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998F8E" w14:textId="77777777" w:rsidR="002D3030" w:rsidRPr="001626CA" w:rsidRDefault="001626CA" w:rsidP="001626CA">
      <w:pPr>
        <w:pStyle w:val="Title"/>
        <w:jc w:val="center"/>
        <w:rPr>
          <w:rFonts w:ascii="Times New Roman" w:hAnsi="Times New Roman" w:cs="Times New Roman"/>
          <w:sz w:val="40"/>
          <w:szCs w:val="40"/>
        </w:rPr>
      </w:pPr>
      <w:r w:rsidRPr="001626CA">
        <w:rPr>
          <w:rFonts w:ascii="Times New Roman" w:hAnsi="Times New Roman" w:cs="Times New Roman"/>
          <w:sz w:val="40"/>
          <w:szCs w:val="40"/>
        </w:rPr>
        <w:t>An Analysis of the main role of the Roman Military in the Eastern Desert of Egypt.</w:t>
      </w:r>
    </w:p>
    <w:p w14:paraId="53251EC4" w14:textId="77777777" w:rsidR="001626CA" w:rsidRPr="001626CA" w:rsidRDefault="001626CA" w:rsidP="001626CA">
      <w:pPr>
        <w:rPr>
          <w:rFonts w:ascii="Times New Roman" w:hAnsi="Times New Roman" w:cs="Times New Roman"/>
        </w:rPr>
      </w:pPr>
    </w:p>
    <w:p w14:paraId="170A93EE" w14:textId="77777777" w:rsidR="00801E64" w:rsidRDefault="00801E64" w:rsidP="00801E64">
      <w:pPr>
        <w:rPr>
          <w:rFonts w:ascii="Times New Roman" w:hAnsi="Times New Roman" w:cs="Times New Roman"/>
        </w:rPr>
      </w:pPr>
      <w:r w:rsidRPr="00A65C5A">
        <w:rPr>
          <w:rFonts w:ascii="Times New Roman" w:hAnsi="Times New Roman" w:cs="Times New Roman"/>
        </w:rPr>
        <w:t>There is sufficient evidence to suggest a significant increase in the levels of overland trade in the Eastern Desert of Egypt under Roman occupation between the 1</w:t>
      </w:r>
      <w:r w:rsidRPr="00A65C5A">
        <w:rPr>
          <w:rFonts w:ascii="Times New Roman" w:hAnsi="Times New Roman" w:cs="Times New Roman"/>
          <w:vertAlign w:val="superscript"/>
        </w:rPr>
        <w:t>st</w:t>
      </w:r>
      <w:r w:rsidRPr="00A65C5A">
        <w:rPr>
          <w:rFonts w:ascii="Times New Roman" w:hAnsi="Times New Roman" w:cs="Times New Roman"/>
        </w:rPr>
        <w:t xml:space="preserve"> and 3</w:t>
      </w:r>
      <w:r w:rsidRPr="00A65C5A">
        <w:rPr>
          <w:rFonts w:ascii="Times New Roman" w:hAnsi="Times New Roman" w:cs="Times New Roman"/>
          <w:vertAlign w:val="superscript"/>
        </w:rPr>
        <w:t>rd</w:t>
      </w:r>
      <w:r w:rsidRPr="00A65C5A">
        <w:rPr>
          <w:rFonts w:ascii="Times New Roman" w:hAnsi="Times New Roman" w:cs="Times New Roman"/>
        </w:rPr>
        <w:t xml:space="preserve"> Centuries AD</w:t>
      </w:r>
      <w:r>
        <w:rPr>
          <w:rFonts w:ascii="Times New Roman" w:hAnsi="Times New Roman" w:cs="Times New Roman"/>
        </w:rPr>
        <w:t xml:space="preserve">, It is </w:t>
      </w:r>
      <w:r w:rsidRPr="00A65C5A">
        <w:rPr>
          <w:rFonts w:ascii="Times New Roman" w:hAnsi="Times New Roman" w:cs="Times New Roman"/>
        </w:rPr>
        <w:t>likely</w:t>
      </w:r>
      <w:r>
        <w:rPr>
          <w:rFonts w:ascii="Times New Roman" w:hAnsi="Times New Roman" w:cs="Times New Roman"/>
        </w:rPr>
        <w:t xml:space="preserve"> to be one of the driving factors</w:t>
      </w:r>
      <w:r w:rsidRPr="00A65C5A">
        <w:rPr>
          <w:rFonts w:ascii="Times New Roman" w:hAnsi="Times New Roman" w:cs="Times New Roman"/>
        </w:rPr>
        <w:t xml:space="preserve"> resulting in the heavy development of the region’s key trading ports and overland trade routes</w:t>
      </w:r>
      <w:r>
        <w:rPr>
          <w:rFonts w:ascii="Times New Roman" w:hAnsi="Times New Roman" w:cs="Times New Roman"/>
        </w:rPr>
        <w:t>,</w:t>
      </w:r>
      <w:r w:rsidRPr="00A65C5A">
        <w:rPr>
          <w:rFonts w:ascii="Times New Roman" w:hAnsi="Times New Roman" w:cs="Times New Roman"/>
        </w:rPr>
        <w:t xml:space="preserve"> this in turn being linked to the heavy exportation of both luxury and common goods from the </w:t>
      </w:r>
      <w:r>
        <w:rPr>
          <w:rFonts w:ascii="Times New Roman" w:hAnsi="Times New Roman" w:cs="Times New Roman"/>
        </w:rPr>
        <w:t>R</w:t>
      </w:r>
      <w:r w:rsidRPr="00A65C5A">
        <w:rPr>
          <w:rFonts w:ascii="Times New Roman" w:hAnsi="Times New Roman" w:cs="Times New Roman"/>
        </w:rPr>
        <w:t xml:space="preserve">ed </w:t>
      </w:r>
      <w:r>
        <w:rPr>
          <w:rFonts w:ascii="Times New Roman" w:hAnsi="Times New Roman" w:cs="Times New Roman"/>
        </w:rPr>
        <w:t>S</w:t>
      </w:r>
      <w:r w:rsidRPr="00A65C5A">
        <w:rPr>
          <w:rFonts w:ascii="Times New Roman" w:hAnsi="Times New Roman" w:cs="Times New Roman"/>
        </w:rPr>
        <w:t>ea to the Mediterranean via the Nile.</w:t>
      </w:r>
      <w:r w:rsidRPr="00A65C5A">
        <w:rPr>
          <w:rStyle w:val="FootnoteReference"/>
          <w:rFonts w:ascii="Times New Roman" w:hAnsi="Times New Roman" w:cs="Times New Roman"/>
        </w:rPr>
        <w:footnoteReference w:id="1"/>
      </w:r>
      <w:r w:rsidRPr="00A65C5A">
        <w:rPr>
          <w:rFonts w:ascii="Times New Roman" w:hAnsi="Times New Roman" w:cs="Times New Roman"/>
        </w:rPr>
        <w:t xml:space="preserve"> </w:t>
      </w:r>
      <w:r>
        <w:rPr>
          <w:rFonts w:ascii="Times New Roman" w:hAnsi="Times New Roman" w:cs="Times New Roman"/>
        </w:rPr>
        <w:t xml:space="preserve">The development </w:t>
      </w:r>
      <w:r w:rsidRPr="00A65C5A">
        <w:rPr>
          <w:rFonts w:ascii="Times New Roman" w:hAnsi="Times New Roman" w:cs="Times New Roman"/>
        </w:rPr>
        <w:t>can be seen to have gone hand in hand with the military developments in the region and the increased presence of the military along the main overland trade routes of the period. This leads into the chosen topic for this essay, an analysis of the main role of the Roman Military in the Eastern Desert</w:t>
      </w:r>
      <w:r>
        <w:rPr>
          <w:rFonts w:ascii="Times New Roman" w:hAnsi="Times New Roman" w:cs="Times New Roman"/>
        </w:rPr>
        <w:t>. O</w:t>
      </w:r>
      <w:r w:rsidRPr="00A65C5A">
        <w:rPr>
          <w:rFonts w:ascii="Times New Roman" w:hAnsi="Times New Roman" w:cs="Times New Roman"/>
        </w:rPr>
        <w:t xml:space="preserve">ne of the most commonly accepted arguments </w:t>
      </w:r>
      <w:r>
        <w:rPr>
          <w:rFonts w:ascii="Times New Roman" w:hAnsi="Times New Roman" w:cs="Times New Roman"/>
        </w:rPr>
        <w:t>for</w:t>
      </w:r>
      <w:r w:rsidRPr="00A65C5A">
        <w:rPr>
          <w:rFonts w:ascii="Times New Roman" w:hAnsi="Times New Roman" w:cs="Times New Roman"/>
        </w:rPr>
        <w:t xml:space="preserve"> the role of the Roman Military was to provide protection for both caravans transporting goods along these overland routes and for work parties both providing maintenance of the trade routes and working within the variety of mines in the region.</w:t>
      </w:r>
      <w:r w:rsidRPr="00A65C5A">
        <w:rPr>
          <w:rStyle w:val="FootnoteReference"/>
          <w:rFonts w:ascii="Times New Roman" w:hAnsi="Times New Roman" w:cs="Times New Roman"/>
        </w:rPr>
        <w:footnoteReference w:id="2"/>
      </w:r>
      <w:r w:rsidRPr="00A65C5A">
        <w:rPr>
          <w:rFonts w:ascii="Times New Roman" w:hAnsi="Times New Roman" w:cs="Times New Roman"/>
        </w:rPr>
        <w:t xml:space="preserve"> However, the argument that will be presented over the course of this essay is that</w:t>
      </w:r>
      <w:r>
        <w:rPr>
          <w:rFonts w:ascii="Times New Roman" w:hAnsi="Times New Roman" w:cs="Times New Roman"/>
        </w:rPr>
        <w:t>,</w:t>
      </w:r>
      <w:r w:rsidRPr="00A65C5A">
        <w:rPr>
          <w:rFonts w:ascii="Times New Roman" w:hAnsi="Times New Roman" w:cs="Times New Roman"/>
        </w:rPr>
        <w:t xml:space="preserve"> whilst providing protection was a prominent role of the Roman Military in the region, it is </w:t>
      </w:r>
      <w:r>
        <w:rPr>
          <w:rFonts w:ascii="Times New Roman" w:hAnsi="Times New Roman" w:cs="Times New Roman"/>
        </w:rPr>
        <w:t>highly</w:t>
      </w:r>
      <w:r w:rsidRPr="00A65C5A">
        <w:rPr>
          <w:rFonts w:ascii="Times New Roman" w:hAnsi="Times New Roman" w:cs="Times New Roman"/>
        </w:rPr>
        <w:t xml:space="preserve"> likely that there are potentially other roles that appear to be, if not equally, </w:t>
      </w:r>
      <w:r>
        <w:rPr>
          <w:rFonts w:ascii="Times New Roman" w:hAnsi="Times New Roman" w:cs="Times New Roman"/>
        </w:rPr>
        <w:t xml:space="preserve">then </w:t>
      </w:r>
      <w:r w:rsidRPr="00A65C5A">
        <w:rPr>
          <w:rFonts w:ascii="Times New Roman" w:hAnsi="Times New Roman" w:cs="Times New Roman"/>
        </w:rPr>
        <w:t>more prominent. This topic finds itself in a state of near-constant development as more evidence</w:t>
      </w:r>
      <w:r>
        <w:rPr>
          <w:rFonts w:ascii="Times New Roman" w:hAnsi="Times New Roman" w:cs="Times New Roman"/>
        </w:rPr>
        <w:t>,</w:t>
      </w:r>
      <w:r w:rsidRPr="00A65C5A">
        <w:rPr>
          <w:rFonts w:ascii="Times New Roman" w:hAnsi="Times New Roman" w:cs="Times New Roman"/>
        </w:rPr>
        <w:t xml:space="preserve"> in the form of Ostraka</w:t>
      </w:r>
      <w:r>
        <w:rPr>
          <w:rFonts w:ascii="Times New Roman" w:hAnsi="Times New Roman" w:cs="Times New Roman"/>
        </w:rPr>
        <w:t>,</w:t>
      </w:r>
      <w:r w:rsidRPr="00A65C5A">
        <w:rPr>
          <w:rFonts w:ascii="Times New Roman" w:hAnsi="Times New Roman" w:cs="Times New Roman"/>
        </w:rPr>
        <w:t xml:space="preserve"> are excavated at key sites in the Eastern Desert numbering highly in excess of 15,000, even if predominately fragmentary.</w:t>
      </w:r>
      <w:r w:rsidRPr="00A65C5A">
        <w:rPr>
          <w:rStyle w:val="FootnoteReference"/>
          <w:rFonts w:ascii="Times New Roman" w:hAnsi="Times New Roman" w:cs="Times New Roman"/>
        </w:rPr>
        <w:footnoteReference w:id="3"/>
      </w:r>
      <w:r w:rsidRPr="00A65C5A">
        <w:rPr>
          <w:rFonts w:ascii="Times New Roman" w:hAnsi="Times New Roman" w:cs="Times New Roman"/>
        </w:rPr>
        <w:t xml:space="preserve"> Another potential reason for, what appears to be a focus on the Eastern Desert</w:t>
      </w:r>
      <w:r>
        <w:rPr>
          <w:rFonts w:ascii="Times New Roman" w:hAnsi="Times New Roman" w:cs="Times New Roman"/>
        </w:rPr>
        <w:t>,</w:t>
      </w:r>
      <w:r w:rsidRPr="00A65C5A">
        <w:rPr>
          <w:rFonts w:ascii="Times New Roman" w:hAnsi="Times New Roman" w:cs="Times New Roman"/>
        </w:rPr>
        <w:t xml:space="preserve"> could lie in the fact that whilst it retained many similarities to other Roman provinces, there are still some notable situations and rare exceptions in which it does not align with the management style of other provinces.</w:t>
      </w:r>
      <w:r w:rsidRPr="00A65C5A">
        <w:rPr>
          <w:rStyle w:val="FootnoteReference"/>
          <w:rFonts w:ascii="Times New Roman" w:hAnsi="Times New Roman" w:cs="Times New Roman"/>
        </w:rPr>
        <w:footnoteReference w:id="4"/>
      </w:r>
    </w:p>
    <w:p w14:paraId="0BD9CAC9" w14:textId="4C86D74E" w:rsidR="00801E64" w:rsidRDefault="00801E64" w:rsidP="00801E64">
      <w:pPr>
        <w:rPr>
          <w:rFonts w:ascii="Times New Roman" w:hAnsi="Times New Roman" w:cs="Times New Roman"/>
        </w:rPr>
      </w:pPr>
      <w:r w:rsidRPr="00095C13">
        <w:rPr>
          <w:rFonts w:ascii="Times New Roman" w:hAnsi="Times New Roman" w:cs="Times New Roman"/>
        </w:rPr>
        <w:t>Before moving on</w:t>
      </w:r>
      <w:r>
        <w:rPr>
          <w:rFonts w:ascii="Times New Roman" w:hAnsi="Times New Roman" w:cs="Times New Roman"/>
        </w:rPr>
        <w:t xml:space="preserve"> </w:t>
      </w:r>
      <w:r w:rsidRPr="00095C13">
        <w:rPr>
          <w:rFonts w:ascii="Times New Roman" w:hAnsi="Times New Roman" w:cs="Times New Roman"/>
        </w:rPr>
        <w:t xml:space="preserve">to the first area of focus for this essay, the role of the Roman Military </w:t>
      </w:r>
      <w:proofErr w:type="gramStart"/>
      <w:r w:rsidRPr="00095C13">
        <w:rPr>
          <w:rFonts w:ascii="Times New Roman" w:hAnsi="Times New Roman" w:cs="Times New Roman"/>
        </w:rPr>
        <w:t>in regard to</w:t>
      </w:r>
      <w:proofErr w:type="gramEnd"/>
      <w:r w:rsidRPr="00095C13">
        <w:rPr>
          <w:rFonts w:ascii="Times New Roman" w:hAnsi="Times New Roman" w:cs="Times New Roman"/>
        </w:rPr>
        <w:t xml:space="preserve"> the Native and Nomadic tribes of the region, there </w:t>
      </w:r>
      <w:r>
        <w:rPr>
          <w:rFonts w:ascii="Times New Roman" w:hAnsi="Times New Roman" w:cs="Times New Roman"/>
        </w:rPr>
        <w:t>is</w:t>
      </w:r>
      <w:r w:rsidRPr="00095C13">
        <w:rPr>
          <w:rFonts w:ascii="Times New Roman" w:hAnsi="Times New Roman" w:cs="Times New Roman"/>
        </w:rPr>
        <w:t xml:space="preserve"> a number of things to be taken into account when considering the subject being analysed. The first of </w:t>
      </w:r>
      <w:r>
        <w:rPr>
          <w:rFonts w:ascii="Times New Roman" w:hAnsi="Times New Roman" w:cs="Times New Roman"/>
        </w:rPr>
        <w:t>these</w:t>
      </w:r>
      <w:r w:rsidRPr="00095C13">
        <w:rPr>
          <w:rFonts w:ascii="Times New Roman" w:hAnsi="Times New Roman" w:cs="Times New Roman"/>
        </w:rPr>
        <w:t xml:space="preserve"> is that of the available sources of information an</w:t>
      </w:r>
      <w:r w:rsidR="00C96AC7">
        <w:rPr>
          <w:rFonts w:ascii="Times New Roman" w:hAnsi="Times New Roman" w:cs="Times New Roman"/>
        </w:rPr>
        <w:t>d</w:t>
      </w:r>
      <w:r w:rsidRPr="00095C13">
        <w:rPr>
          <w:rFonts w:ascii="Times New Roman" w:hAnsi="Times New Roman" w:cs="Times New Roman"/>
        </w:rPr>
        <w:t xml:space="preserve"> evidence on the Eastern Desert within the </w:t>
      </w:r>
      <w:proofErr w:type="gramStart"/>
      <w:r w:rsidRPr="00095C13">
        <w:rPr>
          <w:rFonts w:ascii="Times New Roman" w:hAnsi="Times New Roman" w:cs="Times New Roman"/>
        </w:rPr>
        <w:t>period of time</w:t>
      </w:r>
      <w:proofErr w:type="gramEnd"/>
      <w:r w:rsidRPr="00095C13">
        <w:rPr>
          <w:rFonts w:ascii="Times New Roman" w:hAnsi="Times New Roman" w:cs="Times New Roman"/>
        </w:rPr>
        <w:t xml:space="preserve"> that will be </w:t>
      </w:r>
      <w:r>
        <w:rPr>
          <w:rFonts w:ascii="Times New Roman" w:hAnsi="Times New Roman" w:cs="Times New Roman"/>
        </w:rPr>
        <w:t>considered</w:t>
      </w:r>
      <w:r w:rsidRPr="00095C13">
        <w:rPr>
          <w:rFonts w:ascii="Times New Roman" w:hAnsi="Times New Roman" w:cs="Times New Roman"/>
        </w:rPr>
        <w:t xml:space="preserve"> in this essay. The main literary sources on the Eastern Desert are Strabo, Diodorus Siculus and Procopius</w:t>
      </w:r>
      <w:r>
        <w:rPr>
          <w:rFonts w:ascii="Times New Roman" w:hAnsi="Times New Roman" w:cs="Times New Roman"/>
        </w:rPr>
        <w:t>.</w:t>
      </w:r>
      <w:r w:rsidRPr="00095C13">
        <w:rPr>
          <w:rFonts w:ascii="Times New Roman" w:hAnsi="Times New Roman" w:cs="Times New Roman"/>
        </w:rPr>
        <w:t xml:space="preserve"> </w:t>
      </w:r>
      <w:r>
        <w:rPr>
          <w:rFonts w:ascii="Times New Roman" w:hAnsi="Times New Roman" w:cs="Times New Roman"/>
        </w:rPr>
        <w:t>W</w:t>
      </w:r>
      <w:r w:rsidRPr="00095C13">
        <w:rPr>
          <w:rFonts w:ascii="Times New Roman" w:hAnsi="Times New Roman" w:cs="Times New Roman"/>
        </w:rPr>
        <w:t>hilst</w:t>
      </w:r>
      <w:r>
        <w:rPr>
          <w:rFonts w:ascii="Times New Roman" w:hAnsi="Times New Roman" w:cs="Times New Roman"/>
        </w:rPr>
        <w:t>,</w:t>
      </w:r>
      <w:r w:rsidRPr="00095C13">
        <w:rPr>
          <w:rFonts w:ascii="Times New Roman" w:hAnsi="Times New Roman" w:cs="Times New Roman"/>
        </w:rPr>
        <w:t xml:space="preserve"> in their own rights</w:t>
      </w:r>
      <w:r>
        <w:rPr>
          <w:rFonts w:ascii="Times New Roman" w:hAnsi="Times New Roman" w:cs="Times New Roman"/>
        </w:rPr>
        <w:t>,</w:t>
      </w:r>
      <w:r w:rsidRPr="00095C13">
        <w:rPr>
          <w:rFonts w:ascii="Times New Roman" w:hAnsi="Times New Roman" w:cs="Times New Roman"/>
        </w:rPr>
        <w:t xml:space="preserve"> they all are prominent and</w:t>
      </w:r>
      <w:r>
        <w:rPr>
          <w:rFonts w:ascii="Times New Roman" w:hAnsi="Times New Roman" w:cs="Times New Roman"/>
        </w:rPr>
        <w:t>,</w:t>
      </w:r>
      <w:r w:rsidRPr="00095C13">
        <w:rPr>
          <w:rFonts w:ascii="Times New Roman" w:hAnsi="Times New Roman" w:cs="Times New Roman"/>
        </w:rPr>
        <w:t xml:space="preserve"> arguably reliable sources on the Eastern Desert</w:t>
      </w:r>
      <w:r>
        <w:rPr>
          <w:rFonts w:ascii="Times New Roman" w:hAnsi="Times New Roman" w:cs="Times New Roman"/>
        </w:rPr>
        <w:t>,</w:t>
      </w:r>
      <w:r w:rsidRPr="00095C13">
        <w:rPr>
          <w:rFonts w:ascii="Times New Roman" w:hAnsi="Times New Roman" w:cs="Times New Roman"/>
        </w:rPr>
        <w:t xml:space="preserve"> even if they are somewhat limited, their usefulness when analysing this topic is somewhat lacking</w:t>
      </w:r>
      <w:r>
        <w:rPr>
          <w:rFonts w:ascii="Times New Roman" w:hAnsi="Times New Roman" w:cs="Times New Roman"/>
        </w:rPr>
        <w:t>. This is</w:t>
      </w:r>
      <w:r w:rsidRPr="00095C13">
        <w:rPr>
          <w:rFonts w:ascii="Times New Roman" w:hAnsi="Times New Roman" w:cs="Times New Roman"/>
        </w:rPr>
        <w:t xml:space="preserve"> due to the heavy focus on the interpretation of the archaeological evidence that has been excavated from sites in the Eastern Desert (predominately from fortlets and towers along the main trade routes of the region). Therefore, the focus in terms of primary evidence for this essay will come </w:t>
      </w:r>
      <w:r>
        <w:rPr>
          <w:rFonts w:ascii="Times New Roman" w:hAnsi="Times New Roman" w:cs="Times New Roman"/>
        </w:rPr>
        <w:t>in</w:t>
      </w:r>
      <w:r w:rsidRPr="00095C13">
        <w:rPr>
          <w:rFonts w:ascii="Times New Roman" w:hAnsi="Times New Roman" w:cs="Times New Roman"/>
        </w:rPr>
        <w:t xml:space="preserve"> the form of the Ostraka that have been excavated </w:t>
      </w:r>
      <w:r>
        <w:rPr>
          <w:rFonts w:ascii="Times New Roman" w:hAnsi="Times New Roman" w:cs="Times New Roman"/>
        </w:rPr>
        <w:t>providing</w:t>
      </w:r>
      <w:r w:rsidRPr="00095C13">
        <w:rPr>
          <w:rFonts w:ascii="Times New Roman" w:hAnsi="Times New Roman" w:cs="Times New Roman"/>
        </w:rPr>
        <w:t xml:space="preserve"> information on the day to day life and activity of the Roman Military in the region.</w:t>
      </w:r>
      <w:r w:rsidRPr="00095C13">
        <w:rPr>
          <w:rStyle w:val="FootnoteReference"/>
          <w:rFonts w:ascii="Times New Roman" w:hAnsi="Times New Roman" w:cs="Times New Roman"/>
        </w:rPr>
        <w:footnoteReference w:id="5"/>
      </w:r>
      <w:r w:rsidRPr="00095C13">
        <w:rPr>
          <w:rFonts w:ascii="Times New Roman" w:hAnsi="Times New Roman" w:cs="Times New Roman"/>
        </w:rPr>
        <w:t xml:space="preserve"> As is pointed out by Cuvigny, whilst they do</w:t>
      </w:r>
      <w:r>
        <w:rPr>
          <w:rFonts w:ascii="Times New Roman" w:hAnsi="Times New Roman" w:cs="Times New Roman"/>
        </w:rPr>
        <w:t xml:space="preserve"> not</w:t>
      </w:r>
      <w:r w:rsidRPr="00095C13">
        <w:rPr>
          <w:rFonts w:ascii="Times New Roman" w:hAnsi="Times New Roman" w:cs="Times New Roman"/>
        </w:rPr>
        <w:t xml:space="preserve"> provide the same quality of information that can be gained from literary sources, they provide an effective comparison and, as I would suggest, a realistic idea as to the actual situation in the region. </w:t>
      </w:r>
      <w:r w:rsidRPr="00095C13">
        <w:rPr>
          <w:rStyle w:val="FootnoteReference"/>
          <w:rFonts w:ascii="Times New Roman" w:hAnsi="Times New Roman" w:cs="Times New Roman"/>
        </w:rPr>
        <w:footnoteReference w:id="6"/>
      </w:r>
      <w:r w:rsidRPr="00095C13">
        <w:rPr>
          <w:rFonts w:ascii="Times New Roman" w:hAnsi="Times New Roman" w:cs="Times New Roman"/>
        </w:rPr>
        <w:t xml:space="preserve"> As previously mentioned, Ostraka have been found at many sites in the Eastern Desert</w:t>
      </w:r>
      <w:r>
        <w:rPr>
          <w:rFonts w:ascii="Times New Roman" w:hAnsi="Times New Roman" w:cs="Times New Roman"/>
        </w:rPr>
        <w:t>,</w:t>
      </w:r>
      <w:r w:rsidRPr="00095C13">
        <w:rPr>
          <w:rFonts w:ascii="Times New Roman" w:hAnsi="Times New Roman" w:cs="Times New Roman"/>
        </w:rPr>
        <w:t xml:space="preserve"> however, some of the most significant finds come from the sites at Wadi Hammamat and Wadi Fawakhir due to the information they provide on the military and quarrying </w:t>
      </w:r>
      <w:r>
        <w:rPr>
          <w:rFonts w:ascii="Times New Roman" w:hAnsi="Times New Roman" w:cs="Times New Roman"/>
        </w:rPr>
        <w:t xml:space="preserve">settlements </w:t>
      </w:r>
      <w:r w:rsidRPr="00095C13">
        <w:rPr>
          <w:rFonts w:ascii="Times New Roman" w:hAnsi="Times New Roman" w:cs="Times New Roman"/>
        </w:rPr>
        <w:t>in the region.</w:t>
      </w:r>
      <w:r w:rsidRPr="00095C13">
        <w:rPr>
          <w:rStyle w:val="FootnoteReference"/>
          <w:rFonts w:ascii="Times New Roman" w:hAnsi="Times New Roman" w:cs="Times New Roman"/>
        </w:rPr>
        <w:footnoteReference w:id="7"/>
      </w:r>
      <w:r w:rsidRPr="00095C13">
        <w:rPr>
          <w:rFonts w:ascii="Times New Roman" w:hAnsi="Times New Roman" w:cs="Times New Roman"/>
        </w:rPr>
        <w:t xml:space="preserve"> The second group of consideration</w:t>
      </w:r>
      <w:r>
        <w:rPr>
          <w:rFonts w:ascii="Times New Roman" w:hAnsi="Times New Roman" w:cs="Times New Roman"/>
        </w:rPr>
        <w:t>s</w:t>
      </w:r>
      <w:r w:rsidRPr="00095C13">
        <w:rPr>
          <w:rFonts w:ascii="Times New Roman" w:hAnsi="Times New Roman" w:cs="Times New Roman"/>
        </w:rPr>
        <w:t xml:space="preserve"> is </w:t>
      </w:r>
      <w:r>
        <w:rPr>
          <w:rFonts w:ascii="Times New Roman" w:hAnsi="Times New Roman" w:cs="Times New Roman"/>
        </w:rPr>
        <w:t>the role of</w:t>
      </w:r>
      <w:r w:rsidRPr="00095C13">
        <w:rPr>
          <w:rFonts w:ascii="Times New Roman" w:hAnsi="Times New Roman" w:cs="Times New Roman"/>
        </w:rPr>
        <w:t xml:space="preserve"> the main overland trade routes for the Eastern Desert under Roman occupation and what requirements travellers had for using the trade routes. As stated by </w:t>
      </w:r>
      <w:r w:rsidRPr="00095C13">
        <w:rPr>
          <w:rFonts w:ascii="Times New Roman" w:hAnsi="Times New Roman" w:cs="Times New Roman"/>
        </w:rPr>
        <w:lastRenderedPageBreak/>
        <w:t xml:space="preserve">Zitterkopf and Sidebotham, there were three main overland trade routes connecting the Red Sea to the Nile; these were the </w:t>
      </w:r>
      <w:r>
        <w:rPr>
          <w:rFonts w:ascii="Times New Roman" w:hAnsi="Times New Roman" w:cs="Times New Roman"/>
        </w:rPr>
        <w:t>N</w:t>
      </w:r>
      <w:r w:rsidRPr="00095C13">
        <w:rPr>
          <w:rFonts w:ascii="Times New Roman" w:hAnsi="Times New Roman" w:cs="Times New Roman"/>
        </w:rPr>
        <w:t xml:space="preserve">orthern (From Abu Sha’ar, potentially Myos Hormos), </w:t>
      </w:r>
      <w:r>
        <w:rPr>
          <w:rFonts w:ascii="Times New Roman" w:hAnsi="Times New Roman" w:cs="Times New Roman"/>
        </w:rPr>
        <w:t>the C</w:t>
      </w:r>
      <w:r w:rsidRPr="00095C13">
        <w:rPr>
          <w:rFonts w:ascii="Times New Roman" w:hAnsi="Times New Roman" w:cs="Times New Roman"/>
        </w:rPr>
        <w:t xml:space="preserve">entral (The Leukos Limen Route) and </w:t>
      </w:r>
      <w:r>
        <w:rPr>
          <w:rFonts w:ascii="Times New Roman" w:hAnsi="Times New Roman" w:cs="Times New Roman"/>
        </w:rPr>
        <w:t xml:space="preserve">the </w:t>
      </w:r>
      <w:r w:rsidRPr="00095C13">
        <w:rPr>
          <w:rFonts w:ascii="Times New Roman" w:hAnsi="Times New Roman" w:cs="Times New Roman"/>
        </w:rPr>
        <w:t>Southern (from Berenice).</w:t>
      </w:r>
      <w:r w:rsidRPr="00095C13">
        <w:rPr>
          <w:rStyle w:val="FootnoteReference"/>
          <w:rFonts w:ascii="Times New Roman" w:hAnsi="Times New Roman" w:cs="Times New Roman"/>
        </w:rPr>
        <w:footnoteReference w:id="8"/>
      </w:r>
      <w:r w:rsidRPr="00095C13">
        <w:rPr>
          <w:rFonts w:ascii="Times New Roman" w:hAnsi="Times New Roman" w:cs="Times New Roman"/>
        </w:rPr>
        <w:t xml:space="preserve"> Whilst the first two of the routes are considered to have been significantly shorter to travel from the Red </w:t>
      </w:r>
      <w:r>
        <w:rPr>
          <w:rFonts w:ascii="Times New Roman" w:hAnsi="Times New Roman" w:cs="Times New Roman"/>
        </w:rPr>
        <w:t>S</w:t>
      </w:r>
      <w:r w:rsidRPr="00095C13">
        <w:rPr>
          <w:rFonts w:ascii="Times New Roman" w:hAnsi="Times New Roman" w:cs="Times New Roman"/>
        </w:rPr>
        <w:t>ea to the Nile emporium, Berenice is considered to be one of the largest and most multicultural trade centres on the Red Sea</w:t>
      </w:r>
      <w:r>
        <w:rPr>
          <w:rFonts w:ascii="Times New Roman" w:hAnsi="Times New Roman" w:cs="Times New Roman"/>
        </w:rPr>
        <w:t>,</w:t>
      </w:r>
      <w:r w:rsidRPr="00095C13">
        <w:rPr>
          <w:rStyle w:val="FootnoteReference"/>
          <w:rFonts w:ascii="Times New Roman" w:hAnsi="Times New Roman" w:cs="Times New Roman"/>
        </w:rPr>
        <w:footnoteReference w:id="9"/>
      </w:r>
      <w:r w:rsidRPr="00095C13">
        <w:rPr>
          <w:rFonts w:ascii="Times New Roman" w:hAnsi="Times New Roman" w:cs="Times New Roman"/>
        </w:rPr>
        <w:t xml:space="preserve"> however, it also has the longest overland route to the Nile with a journey length of 260km going from Berenice to Coptos. One final consider</w:t>
      </w:r>
      <w:r>
        <w:rPr>
          <w:rFonts w:ascii="Times New Roman" w:hAnsi="Times New Roman" w:cs="Times New Roman"/>
        </w:rPr>
        <w:t>ation</w:t>
      </w:r>
      <w:r w:rsidRPr="00095C13">
        <w:rPr>
          <w:rFonts w:ascii="Times New Roman" w:hAnsi="Times New Roman" w:cs="Times New Roman"/>
        </w:rPr>
        <w:t xml:space="preserve"> </w:t>
      </w:r>
      <w:r>
        <w:rPr>
          <w:rFonts w:ascii="Times New Roman" w:hAnsi="Times New Roman" w:cs="Times New Roman"/>
        </w:rPr>
        <w:t xml:space="preserve">is </w:t>
      </w:r>
      <w:r w:rsidRPr="00095C13">
        <w:rPr>
          <w:rFonts w:ascii="Times New Roman" w:hAnsi="Times New Roman" w:cs="Times New Roman"/>
        </w:rPr>
        <w:t>that</w:t>
      </w:r>
      <w:r>
        <w:rPr>
          <w:rFonts w:ascii="Times New Roman" w:hAnsi="Times New Roman" w:cs="Times New Roman"/>
        </w:rPr>
        <w:t>,</w:t>
      </w:r>
      <w:r w:rsidRPr="00095C13">
        <w:rPr>
          <w:rFonts w:ascii="Times New Roman" w:hAnsi="Times New Roman" w:cs="Times New Roman"/>
        </w:rPr>
        <w:t xml:space="preserve"> whilst there may have been a constant stream of overland traffic due to the number of mines and quarries in the region, it is </w:t>
      </w:r>
      <w:r>
        <w:rPr>
          <w:rFonts w:ascii="Times New Roman" w:hAnsi="Times New Roman" w:cs="Times New Roman"/>
        </w:rPr>
        <w:t>highly</w:t>
      </w:r>
      <w:r w:rsidRPr="00095C13">
        <w:rPr>
          <w:rFonts w:ascii="Times New Roman" w:hAnsi="Times New Roman" w:cs="Times New Roman"/>
        </w:rPr>
        <w:t xml:space="preserve"> likely that trade would have been at its highest level during the seasonal monsoons in the Indian </w:t>
      </w:r>
      <w:r>
        <w:rPr>
          <w:rFonts w:ascii="Times New Roman" w:hAnsi="Times New Roman" w:cs="Times New Roman"/>
        </w:rPr>
        <w:t>O</w:t>
      </w:r>
      <w:r w:rsidRPr="00095C13">
        <w:rPr>
          <w:rFonts w:ascii="Times New Roman" w:hAnsi="Times New Roman" w:cs="Times New Roman"/>
        </w:rPr>
        <w:t xml:space="preserve">cean as that would have allowed ships to enter the Red Sea </w:t>
      </w:r>
      <w:r>
        <w:rPr>
          <w:rFonts w:ascii="Times New Roman" w:hAnsi="Times New Roman" w:cs="Times New Roman"/>
        </w:rPr>
        <w:t xml:space="preserve">directly </w:t>
      </w:r>
      <w:r w:rsidRPr="00095C13">
        <w:rPr>
          <w:rFonts w:ascii="Times New Roman" w:hAnsi="Times New Roman" w:cs="Times New Roman"/>
        </w:rPr>
        <w:t>from th</w:t>
      </w:r>
      <w:r>
        <w:rPr>
          <w:rFonts w:ascii="Times New Roman" w:hAnsi="Times New Roman" w:cs="Times New Roman"/>
        </w:rPr>
        <w:t>at route.</w:t>
      </w:r>
      <w:r w:rsidRPr="00095C13">
        <w:rPr>
          <w:rStyle w:val="FootnoteReference"/>
          <w:rFonts w:ascii="Times New Roman" w:hAnsi="Times New Roman" w:cs="Times New Roman"/>
        </w:rPr>
        <w:footnoteReference w:id="10"/>
      </w:r>
      <w:r w:rsidRPr="00095C13">
        <w:rPr>
          <w:rFonts w:ascii="Times New Roman" w:hAnsi="Times New Roman" w:cs="Times New Roman"/>
        </w:rPr>
        <w:t xml:space="preserve"> </w:t>
      </w:r>
      <w:r>
        <w:rPr>
          <w:rFonts w:ascii="Times New Roman" w:hAnsi="Times New Roman" w:cs="Times New Roman"/>
        </w:rPr>
        <w:t>A</w:t>
      </w:r>
      <w:r w:rsidRPr="00095C13">
        <w:rPr>
          <w:rFonts w:ascii="Times New Roman" w:hAnsi="Times New Roman" w:cs="Times New Roman"/>
        </w:rPr>
        <w:t>ny other requirements</w:t>
      </w:r>
      <w:r>
        <w:rPr>
          <w:rFonts w:ascii="Times New Roman" w:hAnsi="Times New Roman" w:cs="Times New Roman"/>
        </w:rPr>
        <w:t xml:space="preserve"> aside,</w:t>
      </w:r>
      <w:r w:rsidRPr="00095C13">
        <w:rPr>
          <w:rFonts w:ascii="Times New Roman" w:hAnsi="Times New Roman" w:cs="Times New Roman"/>
        </w:rPr>
        <w:t xml:space="preserve"> for trade to have been possible along the overland trade routes of the Eastern Desert, the primary need w</w:t>
      </w:r>
      <w:r>
        <w:rPr>
          <w:rFonts w:ascii="Times New Roman" w:hAnsi="Times New Roman" w:cs="Times New Roman"/>
        </w:rPr>
        <w:t>ould have been</w:t>
      </w:r>
      <w:r w:rsidRPr="00095C13">
        <w:rPr>
          <w:rFonts w:ascii="Times New Roman" w:hAnsi="Times New Roman" w:cs="Times New Roman"/>
        </w:rPr>
        <w:t xml:space="preserve"> access to potable drinking water.</w:t>
      </w:r>
      <w:r w:rsidRPr="00095C13">
        <w:rPr>
          <w:rStyle w:val="FootnoteReference"/>
          <w:rFonts w:ascii="Times New Roman" w:hAnsi="Times New Roman" w:cs="Times New Roman"/>
        </w:rPr>
        <w:footnoteReference w:id="11"/>
      </w:r>
      <w:r w:rsidRPr="00095C13">
        <w:rPr>
          <w:rFonts w:ascii="Times New Roman" w:hAnsi="Times New Roman" w:cs="Times New Roman"/>
        </w:rPr>
        <w:t xml:space="preserve"> This is something that will be explored </w:t>
      </w:r>
      <w:r>
        <w:rPr>
          <w:rFonts w:ascii="Times New Roman" w:hAnsi="Times New Roman" w:cs="Times New Roman"/>
        </w:rPr>
        <w:t>further</w:t>
      </w:r>
      <w:r w:rsidRPr="00095C13">
        <w:rPr>
          <w:rFonts w:ascii="Times New Roman" w:hAnsi="Times New Roman" w:cs="Times New Roman"/>
        </w:rPr>
        <w:t xml:space="preserve"> when looking at the role of the military in facilitating trade. </w:t>
      </w:r>
    </w:p>
    <w:p w14:paraId="3D4532C6" w14:textId="210B386E" w:rsidR="00801E64" w:rsidRDefault="00801E64" w:rsidP="00801E64">
      <w:pPr>
        <w:rPr>
          <w:rFonts w:ascii="Times New Roman" w:hAnsi="Times New Roman" w:cs="Times New Roman"/>
        </w:rPr>
      </w:pPr>
      <w:r>
        <w:rPr>
          <w:rFonts w:ascii="Times New Roman" w:hAnsi="Times New Roman" w:cs="Times New Roman"/>
        </w:rPr>
        <w:t xml:space="preserve">As previously mentioned, in the next part of this essay the role of the military, in a purely militaristic sense, will be analysed in conjunction with the Nomadic and Native Tribes of the region. In its most simple </w:t>
      </w:r>
      <w:proofErr w:type="gramStart"/>
      <w:r>
        <w:rPr>
          <w:rFonts w:ascii="Times New Roman" w:hAnsi="Times New Roman" w:cs="Times New Roman"/>
        </w:rPr>
        <w:t>form</w:t>
      </w:r>
      <w:proofErr w:type="gramEnd"/>
      <w:r>
        <w:rPr>
          <w:rFonts w:ascii="Times New Roman" w:hAnsi="Times New Roman" w:cs="Times New Roman"/>
        </w:rPr>
        <w:t xml:space="preserve"> there is an argument to be made that, on the surface, the presence of the Roman Military in the Egyptian province served two primary purposes; to maintain public order and to garrison areas of significant importance. Specifically, within the Eastern Desert of Egypt, the garrisons of troops placed there appear to serve the primary task of protecting areas in which substantial commerce took place (ports, etc. any other examples??) and the locations of significant economic assets (mines, quarries, etc.).</w:t>
      </w:r>
      <w:r>
        <w:rPr>
          <w:rStyle w:val="FootnoteReference"/>
          <w:rFonts w:ascii="Times New Roman" w:hAnsi="Times New Roman" w:cs="Times New Roman"/>
        </w:rPr>
        <w:footnoteReference w:id="12"/>
      </w:r>
      <w:r>
        <w:rPr>
          <w:rFonts w:ascii="Times New Roman" w:hAnsi="Times New Roman" w:cs="Times New Roman"/>
        </w:rPr>
        <w:t xml:space="preserve"> There is an argument to be made that there are both external and internal threats to the region, however, the most significant threat to the region comes from the non-Egyptian nomadic tribes located in this region during this time period rather than the threat posed by the southern neighbours to the Egyptian province.</w:t>
      </w:r>
      <w:r>
        <w:rPr>
          <w:rStyle w:val="FootnoteReference"/>
          <w:rFonts w:ascii="Times New Roman" w:hAnsi="Times New Roman" w:cs="Times New Roman"/>
        </w:rPr>
        <w:footnoteReference w:id="13"/>
      </w:r>
      <w:r>
        <w:rPr>
          <w:rFonts w:ascii="Times New Roman" w:hAnsi="Times New Roman" w:cs="Times New Roman"/>
        </w:rPr>
        <w:t xml:space="preserve"> This may well be linked to the fact that nomadic groups proved hard to ward off in the desert due to the challenge the Romans had of providing anything greater than small garrisons in the region. It is from this that one of the key arguments I intend to present towards the end of this section finds its basis. The prominence of this threat can also be viewed when taking into consideration the argument presented by Adams that the overland routes of the Eastern Desert are likely to have been closely monitored by the State and that it appears that there were other routes used to access the quarries and mines of the region.</w:t>
      </w:r>
      <w:r>
        <w:rPr>
          <w:rStyle w:val="FootnoteReference"/>
          <w:rFonts w:ascii="Times New Roman" w:hAnsi="Times New Roman" w:cs="Times New Roman"/>
        </w:rPr>
        <w:footnoteReference w:id="14"/>
      </w:r>
      <w:r>
        <w:rPr>
          <w:rFonts w:ascii="Times New Roman" w:hAnsi="Times New Roman" w:cs="Times New Roman"/>
        </w:rPr>
        <w:t xml:space="preserve"> However, contrary to the argument presented by Adams, I would suggest that there is also the likelihood that the close monitoring of the main overland routes through the region could also be linked to the role of the Roman Military in more administrative roles such as taxes. This is something that will be explored in more depth during a later section of this essay. Whilst no text </w:t>
      </w:r>
      <w:proofErr w:type="gramStart"/>
      <w:r>
        <w:rPr>
          <w:rFonts w:ascii="Times New Roman" w:hAnsi="Times New Roman" w:cs="Times New Roman"/>
        </w:rPr>
        <w:t>actually mentions</w:t>
      </w:r>
      <w:proofErr w:type="gramEnd"/>
      <w:r>
        <w:rPr>
          <w:rFonts w:ascii="Times New Roman" w:hAnsi="Times New Roman" w:cs="Times New Roman"/>
        </w:rPr>
        <w:t xml:space="preserve"> the threat posed by the nomadic tribes of the region, it appears that the threat reached its zenith during the 2</w:t>
      </w:r>
      <w:r w:rsidRPr="00E00B46">
        <w:rPr>
          <w:rFonts w:ascii="Times New Roman" w:hAnsi="Times New Roman" w:cs="Times New Roman"/>
          <w:vertAlign w:val="superscript"/>
        </w:rPr>
        <w:t>nd</w:t>
      </w:r>
      <w:r>
        <w:rPr>
          <w:rFonts w:ascii="Times New Roman" w:hAnsi="Times New Roman" w:cs="Times New Roman"/>
        </w:rPr>
        <w:t xml:space="preserve"> century AD. There is evidence from Ostraka recovered from Dios to suggest this.</w:t>
      </w:r>
      <w:r>
        <w:rPr>
          <w:rStyle w:val="FootnoteReference"/>
          <w:rFonts w:ascii="Times New Roman" w:hAnsi="Times New Roman" w:cs="Times New Roman"/>
        </w:rPr>
        <w:footnoteReference w:id="15"/>
      </w:r>
      <w:r>
        <w:rPr>
          <w:rFonts w:ascii="Times New Roman" w:hAnsi="Times New Roman" w:cs="Times New Roman"/>
        </w:rPr>
        <w:t xml:space="preserve"> However, there is evidence to suggest both significant tensions between the Romans and these nomadic groups but also evidence in which an association with the term ‘barbaroi’, in regards to the nomadic tribes, appears to be made by the Romans.</w:t>
      </w:r>
      <w:r>
        <w:rPr>
          <w:rStyle w:val="FootnoteReference"/>
          <w:rFonts w:ascii="Times New Roman" w:hAnsi="Times New Roman" w:cs="Times New Roman"/>
        </w:rPr>
        <w:footnoteReference w:id="16"/>
      </w:r>
      <w:r>
        <w:rPr>
          <w:rFonts w:ascii="Times New Roman" w:hAnsi="Times New Roman" w:cs="Times New Roman"/>
        </w:rPr>
        <w:t xml:space="preserve"> This association is also the earliest reference available to the desert dwellers in the Eastern Desert of Egypt dating back roughly to the reigns of Domitian and Trajan. An example can be drawn from the work of Procopius. It can be argued that this shows how, by the 3</w:t>
      </w:r>
      <w:r w:rsidRPr="00002054">
        <w:rPr>
          <w:rFonts w:ascii="Times New Roman" w:hAnsi="Times New Roman" w:cs="Times New Roman"/>
          <w:vertAlign w:val="superscript"/>
        </w:rPr>
        <w:t>rd</w:t>
      </w:r>
      <w:r>
        <w:rPr>
          <w:rFonts w:ascii="Times New Roman" w:hAnsi="Times New Roman" w:cs="Times New Roman"/>
        </w:rPr>
        <w:t xml:space="preserve"> Century </w:t>
      </w:r>
      <w:proofErr w:type="gramStart"/>
      <w:r>
        <w:rPr>
          <w:rFonts w:ascii="Times New Roman" w:hAnsi="Times New Roman" w:cs="Times New Roman"/>
        </w:rPr>
        <w:t xml:space="preserve">AD,  </w:t>
      </w:r>
      <w:r>
        <w:rPr>
          <w:rFonts w:ascii="Times New Roman" w:hAnsi="Times New Roman" w:cs="Times New Roman"/>
        </w:rPr>
        <w:lastRenderedPageBreak/>
        <w:t>there</w:t>
      </w:r>
      <w:proofErr w:type="gramEnd"/>
      <w:r>
        <w:rPr>
          <w:rFonts w:ascii="Times New Roman" w:hAnsi="Times New Roman" w:cs="Times New Roman"/>
        </w:rPr>
        <w:t xml:space="preserve"> was a significant threat posed by the nomadic tribes. Procopius writes of how Emperor Diocletian had to resort to paying an annual (for lack of a better term) tribute to the Nobotae and Blemyes whilst also allowing for the former to settle in Roman lands so as to prevent them from further raids against the Romans in the region.</w:t>
      </w:r>
      <w:r>
        <w:rPr>
          <w:rStyle w:val="FootnoteReference"/>
          <w:rFonts w:ascii="Times New Roman" w:hAnsi="Times New Roman" w:cs="Times New Roman"/>
        </w:rPr>
        <w:footnoteReference w:id="17"/>
      </w:r>
      <w:r>
        <w:rPr>
          <w:rFonts w:ascii="Times New Roman" w:hAnsi="Times New Roman" w:cs="Times New Roman"/>
        </w:rPr>
        <w:t xml:space="preserve"> This proves contrary to evidence found in other literary sources such as Strabo, who appears primarily to downplay the threat posed. One of the potential reasons for the aggressive nature of these tribes, as suggested by Cuvigny, could be that the presence of the garrisons in the region alongside the increased trade traffic as it is within reason to present the view that the desert dwellers would have viewed this as intrusions into their lands whilst also presenting them with the temptation of being able to launch raids against the near-constant traffic through the region.</w:t>
      </w:r>
      <w:r>
        <w:rPr>
          <w:rStyle w:val="FootnoteReference"/>
          <w:rFonts w:ascii="Times New Roman" w:hAnsi="Times New Roman" w:cs="Times New Roman"/>
        </w:rPr>
        <w:footnoteReference w:id="18"/>
      </w:r>
      <w:r>
        <w:rPr>
          <w:rFonts w:ascii="Times New Roman" w:hAnsi="Times New Roman" w:cs="Times New Roman"/>
        </w:rPr>
        <w:t xml:space="preserve"> The threat in the region does not appear to have been solely limited to the trade routes; the realistic likelihood is that threat spanned the entirety of the Eastern Desert and, potentially more specifically, the Red Sea Coast. Reference is made to a papyrus recovered from the Eastern Desert of a notice given to all ships that, should they find themselves unable to anchor within the harbours of one of the Red Sea ports, word should be sent to the settlements so that a detachment of guards could be sent to prevent the ship from coming to harm.</w:t>
      </w:r>
      <w:r>
        <w:rPr>
          <w:rStyle w:val="FootnoteReference"/>
          <w:rFonts w:ascii="Times New Roman" w:hAnsi="Times New Roman" w:cs="Times New Roman"/>
        </w:rPr>
        <w:footnoteReference w:id="19"/>
      </w:r>
      <w:r>
        <w:rPr>
          <w:rFonts w:ascii="Times New Roman" w:hAnsi="Times New Roman" w:cs="Times New Roman"/>
        </w:rPr>
        <w:t xml:space="preserve"> This further supports the view of the main role of the Roman Military in the region </w:t>
      </w:r>
      <w:r w:rsidR="00C96AC7">
        <w:rPr>
          <w:rFonts w:ascii="Times New Roman" w:hAnsi="Times New Roman" w:cs="Times New Roman"/>
        </w:rPr>
        <w:t>is</w:t>
      </w:r>
      <w:r>
        <w:rPr>
          <w:rFonts w:ascii="Times New Roman" w:hAnsi="Times New Roman" w:cs="Times New Roman"/>
        </w:rPr>
        <w:t xml:space="preserve"> to provide protection from the potential threat posed by raids not only against trade caravans but also ships bringing goods through the Red Sea. </w:t>
      </w:r>
    </w:p>
    <w:p w14:paraId="22B9A0C9" w14:textId="725C6789" w:rsidR="00801E64" w:rsidRDefault="00801E64" w:rsidP="00801E64">
      <w:r>
        <w:rPr>
          <w:rFonts w:ascii="Times New Roman" w:hAnsi="Times New Roman" w:cs="Times New Roman"/>
        </w:rPr>
        <w:t>As previously mentioned, the most significant source of evidence for the role of the Roman Military in the Eastern Desert comes from the Ostraka recovered; however, the most extensive source of archaeological evidence in the region comes from the Leukos Limen – Nile trade route. This is suggested by modern scholars to have been a result of the availability of better-quality materials along this route from which forts and towers where constructed.</w:t>
      </w:r>
      <w:r>
        <w:rPr>
          <w:rStyle w:val="FootnoteReference"/>
          <w:rFonts w:ascii="Times New Roman" w:hAnsi="Times New Roman" w:cs="Times New Roman"/>
        </w:rPr>
        <w:footnoteReference w:id="20"/>
      </w:r>
      <w:r>
        <w:rPr>
          <w:rFonts w:ascii="Times New Roman" w:hAnsi="Times New Roman" w:cs="Times New Roman"/>
        </w:rPr>
        <w:t xml:space="preserve"> Along this central route, serving as the principal overland thoroughfare during the period, evidence for 8 </w:t>
      </w:r>
      <w:r>
        <w:rPr>
          <w:rFonts w:ascii="Times New Roman" w:hAnsi="Times New Roman" w:cs="Times New Roman"/>
          <w:i/>
          <w:iCs/>
        </w:rPr>
        <w:t xml:space="preserve">Hydreumata </w:t>
      </w:r>
      <w:r>
        <w:rPr>
          <w:rFonts w:ascii="Times New Roman" w:hAnsi="Times New Roman" w:cs="Times New Roman"/>
        </w:rPr>
        <w:t>and roughly 65 towers ha</w:t>
      </w:r>
      <w:r w:rsidR="00C96AC7">
        <w:rPr>
          <w:rFonts w:ascii="Times New Roman" w:hAnsi="Times New Roman" w:cs="Times New Roman"/>
        </w:rPr>
        <w:t>ve</w:t>
      </w:r>
      <w:r>
        <w:rPr>
          <w:rFonts w:ascii="Times New Roman" w:hAnsi="Times New Roman" w:cs="Times New Roman"/>
        </w:rPr>
        <w:t xml:space="preserve"> been found; the defensive nature of these towers is a debatable topic.</w:t>
      </w:r>
      <w:r>
        <w:rPr>
          <w:rStyle w:val="FootnoteReference"/>
          <w:rFonts w:ascii="Times New Roman" w:hAnsi="Times New Roman" w:cs="Times New Roman"/>
        </w:rPr>
        <w:footnoteReference w:id="21"/>
      </w:r>
      <w:r>
        <w:rPr>
          <w:rFonts w:ascii="Times New Roman" w:hAnsi="Times New Roman" w:cs="Times New Roman"/>
        </w:rPr>
        <w:t xml:space="preserve"> A timeframe for the use of these towers (and other Roman fortifications along other routes) can be roughly attained from the evidence available; an inscription found at El-Lageita suggests use of Roman fortifications in the early Roman occupation of the region.</w:t>
      </w:r>
      <w:r>
        <w:rPr>
          <w:rStyle w:val="FootnoteReference"/>
          <w:rFonts w:ascii="Times New Roman" w:hAnsi="Times New Roman" w:cs="Times New Roman"/>
        </w:rPr>
        <w:footnoteReference w:id="22"/>
      </w:r>
      <w:r>
        <w:rPr>
          <w:rFonts w:ascii="Times New Roman" w:hAnsi="Times New Roman" w:cs="Times New Roman"/>
        </w:rPr>
        <w:t xml:space="preserve"> This matches the arguments suggesting that the threat posed in the region reached back as early as the 1</w:t>
      </w:r>
      <w:r w:rsidRPr="00643ABB">
        <w:rPr>
          <w:rFonts w:ascii="Times New Roman" w:hAnsi="Times New Roman" w:cs="Times New Roman"/>
          <w:vertAlign w:val="superscript"/>
        </w:rPr>
        <w:t>st</w:t>
      </w:r>
      <w:r>
        <w:rPr>
          <w:rFonts w:ascii="Times New Roman" w:hAnsi="Times New Roman" w:cs="Times New Roman"/>
        </w:rPr>
        <w:t xml:space="preserve"> century A.D. Alongside the presence of </w:t>
      </w:r>
      <w:r>
        <w:rPr>
          <w:rFonts w:ascii="Times New Roman" w:hAnsi="Times New Roman" w:cs="Times New Roman"/>
          <w:i/>
          <w:iCs/>
        </w:rPr>
        <w:t xml:space="preserve">Hydreumata </w:t>
      </w:r>
      <w:r>
        <w:rPr>
          <w:rFonts w:ascii="Times New Roman" w:hAnsi="Times New Roman" w:cs="Times New Roman"/>
        </w:rPr>
        <w:t xml:space="preserve">and towers along the central route, in analysing the evidence for the design of the </w:t>
      </w:r>
      <w:r>
        <w:rPr>
          <w:rFonts w:ascii="Times New Roman" w:hAnsi="Times New Roman" w:cs="Times New Roman"/>
          <w:i/>
          <w:iCs/>
        </w:rPr>
        <w:t>praesidia</w:t>
      </w:r>
      <w:r>
        <w:t xml:space="preserve"> allow for an argument to be presented for the role of the military to revolve around the protection of the trade caravans. The first point to be taken into account is that the animal watering troughs that would usually be expected to be present outside the walls were located within;</w:t>
      </w:r>
      <w:r>
        <w:rPr>
          <w:rStyle w:val="FootnoteReference"/>
        </w:rPr>
        <w:footnoteReference w:id="23"/>
      </w:r>
      <w:r>
        <w:t xml:space="preserve"> this taken into account alongside the fact that the archaeological evidence shows a wider entrance of roughly 6m to multiple of the </w:t>
      </w:r>
      <w:r>
        <w:rPr>
          <w:i/>
          <w:iCs/>
        </w:rPr>
        <w:t>praesidia</w:t>
      </w:r>
      <w:r>
        <w:t xml:space="preserve"> (with some smaller entrances being found at locations such as El-Zerkah) suggest that the entrance would have been possible for not only the people travelling with the caravan but also the pack animals carrying the goods.</w:t>
      </w:r>
      <w:r>
        <w:rPr>
          <w:rStyle w:val="FootnoteReference"/>
        </w:rPr>
        <w:footnoteReference w:id="24"/>
      </w:r>
      <w:r>
        <w:t xml:space="preserve"> It is likely that this would have been to make it easier to defend the caravans within the forts, rather than having to be concerned with goods being stored outside the fort. From this, it could be suggested that wagons would not have been common on these trade routes. It is reasonable to assume that these watering stations/forts would not have been day-to-day stops due to their regularity; however, from the evidence available it is </w:t>
      </w:r>
      <w:r>
        <w:lastRenderedPageBreak/>
        <w:t>clear that they would have been able to accommodate trade caravans overnight.</w:t>
      </w:r>
      <w:r>
        <w:rPr>
          <w:rStyle w:val="FootnoteReference"/>
        </w:rPr>
        <w:footnoteReference w:id="25"/>
      </w:r>
      <w:r>
        <w:t xml:space="preserve"> However, Strabo does make reference to the idea of night-time travel to avoid the extreme heats of the summer in the deserts;</w:t>
      </w:r>
      <w:r>
        <w:rPr>
          <w:rStyle w:val="FootnoteReference"/>
        </w:rPr>
        <w:footnoteReference w:id="26"/>
      </w:r>
      <w:r>
        <w:t xml:space="preserve"> the likelihood of this being a reality is something worth questioning when considering how significant the threat in the region appears to be. The presence of towers on the routes, the purpose of which is something that will be analysed later in this essay, allowed for additional protection for the economic assets in the region by maintaining coverage over the surrounding the land.</w:t>
      </w:r>
      <w:r>
        <w:rPr>
          <w:rStyle w:val="FootnoteReference"/>
        </w:rPr>
        <w:footnoteReference w:id="27"/>
      </w:r>
    </w:p>
    <w:p w14:paraId="465A041A" w14:textId="5DFCEDCD" w:rsidR="00801E64" w:rsidRDefault="00801E64" w:rsidP="00801E64">
      <w:r>
        <w:t>When analysing the role of the Roman military in this region, one of the main views that I would argue is that the Romans appear to have adopted a reactive military approach to providing protection in the region against a more aggressive proactive approach. One of the main arguments in modern scholarship that lends itself to the reasoning behind this view is that of the arguably guerrilla-type conflict (small skirmishes, hard to pursue, etc.) that seems to be favoured by the nomadic and native groups in the region.</w:t>
      </w:r>
      <w:r>
        <w:rPr>
          <w:rStyle w:val="FootnoteReference"/>
        </w:rPr>
        <w:footnoteReference w:id="28"/>
      </w:r>
      <w:r>
        <w:t xml:space="preserve"> Further evidence that seems to suggest a more defensive approach to the conflicts in the region can be seen from the Ostraka evidence recovered from Krokodila. This appears to suggest that the conflict between the Romans and these native groups aligns more closely to skirmishes than actual large scale conflicts.</w:t>
      </w:r>
      <w:r>
        <w:rPr>
          <w:rStyle w:val="FootnoteReference"/>
        </w:rPr>
        <w:footnoteReference w:id="29"/>
      </w:r>
      <w:r>
        <w:t xml:space="preserve"> The argument could be presented, when considering what would have been a standard Roman response to banditry and raids, that appropriate measures were not taken to deal with the source of the issue but rather simply to try to deter the threat. This is an argument that potentially gains more weight when considering, not only the limited presence of the Roman Military in the Eastern Desert</w:t>
      </w:r>
      <w:r>
        <w:rPr>
          <w:rStyle w:val="FootnoteReference"/>
        </w:rPr>
        <w:footnoteReference w:id="30"/>
      </w:r>
      <w:r>
        <w:t xml:space="preserve"> but also the evidence for the small garrisons of soldiers in the </w:t>
      </w:r>
      <w:r w:rsidRPr="009F2D39">
        <w:rPr>
          <w:i/>
          <w:iCs/>
        </w:rPr>
        <w:t>praesidia</w:t>
      </w:r>
      <w:r>
        <w:rPr>
          <w:i/>
          <w:iCs/>
        </w:rPr>
        <w:t xml:space="preserve"> </w:t>
      </w:r>
      <w:r>
        <w:t xml:space="preserve">(From the Vespasian period onwards only 15 soldiers would have manned the </w:t>
      </w:r>
      <w:r w:rsidRPr="009F2D39">
        <w:rPr>
          <w:i/>
          <w:iCs/>
        </w:rPr>
        <w:t>praesidia</w:t>
      </w:r>
      <w:r>
        <w:rPr>
          <w:i/>
          <w:iCs/>
        </w:rPr>
        <w:t>).</w:t>
      </w:r>
      <w:r>
        <w:rPr>
          <w:rStyle w:val="FootnoteReference"/>
          <w:i/>
          <w:iCs/>
        </w:rPr>
        <w:footnoteReference w:id="31"/>
      </w:r>
      <w:r>
        <w:rPr>
          <w:i/>
          <w:iCs/>
        </w:rPr>
        <w:t xml:space="preserve"> </w:t>
      </w:r>
      <w:r>
        <w:t>On first view, d</w:t>
      </w:r>
      <w:r w:rsidRPr="009F2D39">
        <w:t>espite</w:t>
      </w:r>
      <w:r>
        <w:t xml:space="preserve"> the evidence that provides access to accounts of small scale engagements, according to Cuvigny, there is only a single Ostraka that openly suggests tensions between the Romans and the so-called barbaroi (An Ostraka containing details of a messenger running into issues during his return to the praesidium).</w:t>
      </w:r>
      <w:r>
        <w:rPr>
          <w:rStyle w:val="FootnoteReference"/>
        </w:rPr>
        <w:footnoteReference w:id="32"/>
      </w:r>
      <w:r>
        <w:t xml:space="preserve"> However, to take a different view on the limited military presence in the region, whilst also considering all the evidence previously mentioned, the reason for the limited military presence in the region could simply be due to there never being any conflicts large enough to require a more significant force. To draw again from Cuvigny’s Ostraka references, evidence for an engagement against 18 barbaroi appears to be one of the larger conflicts to have taken place.</w:t>
      </w:r>
      <w:r>
        <w:rPr>
          <w:rStyle w:val="FootnoteReference"/>
        </w:rPr>
        <w:footnoteReference w:id="33"/>
      </w:r>
    </w:p>
    <w:p w14:paraId="065C456C" w14:textId="4CA35CAA" w:rsidR="00801E64" w:rsidRDefault="00801E64" w:rsidP="00801E64">
      <w:r>
        <w:t xml:space="preserve">One of the most interesting areas to analyse, when considering the role of the Roman military in the Eastern Desert, is that of the function of the towers found along many of the overland trade routes in the region. At face value, the view that these towers serve a predominantly defensive purpose is highly feasible especially if taking the view that they served as both a deterrent to raiding parties and </w:t>
      </w:r>
      <w:proofErr w:type="gramStart"/>
      <w:r>
        <w:t>as a means to</w:t>
      </w:r>
      <w:proofErr w:type="gramEnd"/>
      <w:r>
        <w:t xml:space="preserve"> maintain a constant level of surveillance over the region. However, the likelihood of these towers proving to be effective in defending the caravans if they where attacked whilst travelling between stations is questionable at best. This would suggest that some alternate purpose for these towers was </w:t>
      </w:r>
      <w:proofErr w:type="gramStart"/>
      <w:r>
        <w:t>actually the</w:t>
      </w:r>
      <w:proofErr w:type="gramEnd"/>
      <w:r>
        <w:t xml:space="preserve"> case. There appear to be numerous styles and types of towers </w:t>
      </w:r>
      <w:r>
        <w:lastRenderedPageBreak/>
        <w:t>found along many of the different routes, some in pairs serving as what would be expected to be route markers (such as on the Abu Sha’ar) and then also larger singular towers from which the indivisibility and number of these towers would suggest a role in some form of signal tower.</w:t>
      </w:r>
      <w:r>
        <w:rPr>
          <w:rStyle w:val="FootnoteReference"/>
        </w:rPr>
        <w:footnoteReference w:id="34"/>
      </w:r>
      <w:r>
        <w:t xml:space="preserve"> Upon the central Leukos Limen route</w:t>
      </w:r>
      <w:r w:rsidR="00C96AC7">
        <w:t>,</w:t>
      </w:r>
      <w:r>
        <w:t xml:space="preserve"> a minimum of 65 towers have been identified from which the likely conclusion, given that their locations in relation to each other (i.e.no standardised distance between the towers, although in mountainous regions they are far closer in distance than areas of open flat land), is that their role is that of signal towers.</w:t>
      </w:r>
      <w:r>
        <w:rPr>
          <w:rStyle w:val="FootnoteReference"/>
        </w:rPr>
        <w:footnoteReference w:id="35"/>
      </w:r>
      <w:r>
        <w:t xml:space="preserve"> However, as a result of this their defensive purpose can be questioned. It has been suggested that these towers would not have been permanently manned but rather would have only seen use during times at which a caravan was due to travel along that section of the route.</w:t>
      </w:r>
      <w:r>
        <w:rPr>
          <w:rStyle w:val="FootnoteReference"/>
        </w:rPr>
        <w:footnoteReference w:id="36"/>
      </w:r>
      <w:r>
        <w:t xml:space="preserve"> This is something that would arguably be unlikely primarily due to the fact that if one of the primary uses for these towers was to pass information quickly down the length of the route without relying on riders to accomplish this, having to dispatch troops to garrison these towers every time a message was due to be passed along the route and then pass the message on, by whatever means this was accomplished, completely defeats the point. On the other side of the argument, a suggestion made by Zitterkopf and Sidebotham states that it is possible for the high levels of preservation, along with the lack of evidence for long-term occupation of the towers, could be linked to their minimal usage during the period.</w:t>
      </w:r>
      <w:r>
        <w:rPr>
          <w:rStyle w:val="FootnoteReference"/>
        </w:rPr>
        <w:footnoteReference w:id="37"/>
      </w:r>
      <w:r>
        <w:t xml:space="preserve"> This would make sense when considering the pairs of route-marker towers as it is likely that they were unmanned. A potential different approach is to consider whether or not the role of the Roman military was linked to the manning of the </w:t>
      </w:r>
      <w:proofErr w:type="gramStart"/>
      <w:r>
        <w:t>towers,  possibly</w:t>
      </w:r>
      <w:proofErr w:type="gramEnd"/>
      <w:r>
        <w:t xml:space="preserve"> using locally drawn militia forces under Roman command to supplement the protection of areas considered to be less substantial in their worth. An Ostraka published by Sidebotham, Zitterkopf and Helms provides us with a list of guards being sent to positions at tower posts along an unnamed trade route.</w:t>
      </w:r>
      <w:r>
        <w:rPr>
          <w:rStyle w:val="FootnoteReference"/>
        </w:rPr>
        <w:footnoteReference w:id="38"/>
      </w:r>
      <w:r>
        <w:t xml:space="preserve"> From this, the argument could be presented that the role of the Roman military would not have been solely militaristic if local drawn forces where being used to supplement their system of surveillance and defensive measures, therefore allowing for the possibility of other main roles for the military in the region.</w:t>
      </w:r>
    </w:p>
    <w:p w14:paraId="1CDFE9E6" w14:textId="77777777" w:rsidR="00801E64" w:rsidRDefault="00801E64" w:rsidP="00801E64">
      <w:r>
        <w:t xml:space="preserve">The argument for a more developed role for the Roman military in the Eastern Desert finds its basis in considering the roles of the garrisons of troops along these trade routes outside of the military purposes suggested by modern scholarship. There is </w:t>
      </w:r>
      <w:proofErr w:type="gramStart"/>
      <w:r>
        <w:t>a number of</w:t>
      </w:r>
      <w:proofErr w:type="gramEnd"/>
      <w:r>
        <w:t xml:space="preserve"> arguments to suggest that the military served a more administrative role in the region, primarily revolving around construction and taxation. One thing that can be reasonably assumed is that part of the role of the Roman military included monitoring all traffic passing through the region. including merchants, travellers and cargoes.</w:t>
      </w:r>
      <w:r>
        <w:rPr>
          <w:rStyle w:val="FootnoteReference"/>
        </w:rPr>
        <w:footnoteReference w:id="39"/>
      </w:r>
      <w:r>
        <w:t xml:space="preserve"> From this, it is not a far-fetched assumption to make that, through the taxes collected through road tariffs and tolls paid by those traversing the routes across the desert, the role of the military in the region could primarily have been linked to the compliance to Roman fiscal laws and the incomes that could be attained through this. The decisively small nature of the garrisons of troops along these routes, in both the forts and towers, could arguably be used as evidence for this point as it requires fewer troops to exert a toll from travellers than it does to combat guerrilla-style banditry. A potential source of additional evidence for this comes from what has been found for alternate routes across the central portion of the desert.</w:t>
      </w:r>
      <w:r>
        <w:rPr>
          <w:rStyle w:val="FootnoteReference"/>
        </w:rPr>
        <w:footnoteReference w:id="40"/>
      </w:r>
      <w:r>
        <w:t xml:space="preserve"> From this, there are two primary views </w:t>
      </w:r>
      <w:r>
        <w:lastRenderedPageBreak/>
        <w:t xml:space="preserve">that can be argued: Firstly that these other routes are just simply less travelled and did not bear enough significance for any permanent military fortification to be present, however, given the likelihood of the Romans wanting to maintain control over all routes through the region, this is not the most reliable idea. Secondly that these are evidence of routes that could have been used to circumvent the Roman network of surveillance and tolls, an attempt to smuggle goods without having to pay any taxes. If this did prove to be the case, it would support a more administrative role of the military concerning taxes </w:t>
      </w:r>
      <w:proofErr w:type="gramStart"/>
      <w:r>
        <w:t>so as to</w:t>
      </w:r>
      <w:proofErr w:type="gramEnd"/>
      <w:r>
        <w:t xml:space="preserve"> make sure that all those meant to be paying them did so. One example of a route is that to be found spurring from the Via Hadriana, a camel track appearing to lead off into an area of no apparent significance.</w:t>
      </w:r>
      <w:r>
        <w:rPr>
          <w:rStyle w:val="FootnoteReference"/>
        </w:rPr>
        <w:footnoteReference w:id="41"/>
      </w:r>
      <w:r>
        <w:t xml:space="preserve"> However, this is an example to be used carefully as, due to the heavy number of flash floods responsible for destroying archaeological evidence in the region, it could simply be that there was some reason for this track to have been present but the evidence for it is no longer in existence. </w:t>
      </w:r>
    </w:p>
    <w:p w14:paraId="551CCFBB" w14:textId="77777777" w:rsidR="00801E64" w:rsidRDefault="00801E64" w:rsidP="00801E64">
      <w:r>
        <w:t>The administrative role of the military arguably extends beyond that of collecting taxes but also into the wider construction in the region (construction of a non-military nature). Two tablets recovered in archaeological excavations at Coptos provide a record from which details can be seen of both legionary and auxiliary forces being used to form part of the construction team for a number of water tanks to be built at four sites (unfortunately unnamed) in the Eastern desert.</w:t>
      </w:r>
      <w:r>
        <w:rPr>
          <w:rStyle w:val="FootnoteReference"/>
        </w:rPr>
        <w:footnoteReference w:id="42"/>
      </w:r>
      <w:r>
        <w:t xml:space="preserve"> This conforms with one of the main arguments presented for the role of the Roman military in that they also partook in construction in the region, however, these arguments suggest the legionnaires served as labour in construction projects. I would suggest that this is not an argument that should be taken at face value. Drawing upon a suggestion by Lesquier it is far more likely for the legions stationed in the region to have provided access to skilled individuals present in their garrisons to serve as supervisors over what presumably would have been slave or local labour groups.</w:t>
      </w:r>
      <w:r>
        <w:rPr>
          <w:rStyle w:val="FootnoteReference"/>
        </w:rPr>
        <w:footnoteReference w:id="43"/>
      </w:r>
      <w:r>
        <w:t xml:space="preserve"> This is an argument that is supported by evidence from Strabo who makes mention of soldiers being taken from garrisons due to their skills in construction. A distinction should be made between the construction of new buildings and the maintenance of the conditions of the road along the main trade routes. Zitterkopf and Sidebotham suggest that it may very well have been the case that the legionaries did provide manual labour for construction but only in the maintaining of the road in the immediate vicinity of their towers or forts.</w:t>
      </w:r>
      <w:r>
        <w:rPr>
          <w:rStyle w:val="FootnoteReference"/>
        </w:rPr>
        <w:footnoteReference w:id="44"/>
      </w:r>
      <w:r>
        <w:t xml:space="preserve"> This could explain why there is no standardised width or structure to the actual routes themselves, however, this could also be linked to the threat in the region posed by nomadic tribes (as has been previously covered) because work parties are less likely to have wanted to spend time away from their camps if facing threat of guerrilla attacks.</w:t>
      </w:r>
      <w:r>
        <w:rPr>
          <w:rStyle w:val="FootnoteReference"/>
        </w:rPr>
        <w:footnoteReference w:id="45"/>
      </w:r>
      <w:r>
        <w:t xml:space="preserve"> </w:t>
      </w:r>
    </w:p>
    <w:p w14:paraId="4D5A1518" w14:textId="77777777" w:rsidR="00801E64" w:rsidRDefault="00801E64" w:rsidP="00801E64">
      <w:r>
        <w:t>A final example of a more administrative role of the Roman military in the region which removes them from a primarily militaristic role is the policing of the region. Arguably, the Roman military plays a key role in the provision of an unofficial police force during their initial occupation of the region. This is linked to the fact that one of the first actions of the Romans was to dissolve the already pre-established professional police force of the Ptolemies that was already active in the Eastern Desert. Whilst there are arguments that suggest the Roman military stayed out of the policing matters in the provinces in which they where stationed, there is evidence for ‘military stations’ that served as the home for guard forces drawn from the local population under the command of a Roman officer.</w:t>
      </w:r>
      <w:r>
        <w:rPr>
          <w:rStyle w:val="FootnoteReference"/>
        </w:rPr>
        <w:footnoteReference w:id="46"/>
      </w:r>
      <w:r>
        <w:t xml:space="preserve"> From an administrative sense, the members of the </w:t>
      </w:r>
      <w:r>
        <w:rPr>
          <w:i/>
          <w:iCs/>
        </w:rPr>
        <w:t>stationarii</w:t>
      </w:r>
      <w:r>
        <w:t xml:space="preserve"> served </w:t>
      </w:r>
      <w:r>
        <w:lastRenderedPageBreak/>
        <w:t>the purpose of providing a local jurisdiction which would have allowed for crime in the region to have been combated slightly more effectively. This is a process which seems to have come to its peak during the 2</w:t>
      </w:r>
      <w:r w:rsidRPr="00E075CD">
        <w:rPr>
          <w:vertAlign w:val="superscript"/>
        </w:rPr>
        <w:t>nd</w:t>
      </w:r>
      <w:r>
        <w:t xml:space="preserve"> and 3</w:t>
      </w:r>
      <w:r w:rsidRPr="00E075CD">
        <w:rPr>
          <w:vertAlign w:val="superscript"/>
        </w:rPr>
        <w:t>rd</w:t>
      </w:r>
      <w:r>
        <w:t xml:space="preserve"> centuries as there is evidence to suggest a larger number of complaints being presented to be dealt with.</w:t>
      </w:r>
      <w:r>
        <w:rPr>
          <w:rStyle w:val="FootnoteReference"/>
        </w:rPr>
        <w:footnoteReference w:id="47"/>
      </w:r>
    </w:p>
    <w:p w14:paraId="13E82398" w14:textId="730CF9C0" w:rsidR="00801E64" w:rsidRDefault="00801E64" w:rsidP="00801E64">
      <w:r>
        <w:t>One last thing to be considered when analysing the role of the Roman military in the Eastern Desert is that of the reality of supplying the forces stationed there. Whist, as suggested by Adams, no state system could have been universally applicable when it came to supplying a region.</w:t>
      </w:r>
      <w:r>
        <w:rPr>
          <w:rStyle w:val="FootnoteReference"/>
        </w:rPr>
        <w:footnoteReference w:id="48"/>
      </w:r>
      <w:r>
        <w:t xml:space="preserve"> Communities in Egypt were reliant on supplies from the Nile and the Red Sea to survive as they are not self-sufficient.</w:t>
      </w:r>
      <w:r>
        <w:rPr>
          <w:rStyle w:val="FootnoteReference"/>
        </w:rPr>
        <w:footnoteReference w:id="49"/>
      </w:r>
      <w:r>
        <w:t xml:space="preserve"> This suggests that it would have been difficult for the military to have been able to supply themselves from within the Eastern Desert rather that they would have relied on external support. Whilst it could be argued that the likelihood of the Roman military having not been permanently based in the Eastern Desert, therefore, impacting </w:t>
      </w:r>
      <w:r w:rsidR="00C96AC7">
        <w:t xml:space="preserve">whether their role in the region was low or high; however, </w:t>
      </w:r>
      <w:bookmarkStart w:id="0" w:name="_GoBack"/>
      <w:bookmarkEnd w:id="0"/>
      <w:r>
        <w:t>there is another view to be considered. An ostrak</w:t>
      </w:r>
      <w:r w:rsidR="00C96AC7">
        <w:t>on</w:t>
      </w:r>
      <w:r>
        <w:t xml:space="preserve"> published by Tait in 1930 shows beyond reasonable doubt that there was a level of regular supply to the army garrisons in the Eastern Desert which allowed for long periods of time to be spent away from the Nile Valley.</w:t>
      </w:r>
      <w:r>
        <w:rPr>
          <w:rStyle w:val="FootnoteReference"/>
        </w:rPr>
        <w:footnoteReference w:id="50"/>
      </w:r>
      <w:r>
        <w:t xml:space="preserve"> There is also evidence for gardens to have existed at Wadi Fawakhir as well as evidence of hunting having taken place in the region.</w:t>
      </w:r>
      <w:r>
        <w:rPr>
          <w:rStyle w:val="FootnoteReference"/>
        </w:rPr>
        <w:footnoteReference w:id="51"/>
      </w:r>
      <w:r>
        <w:t xml:space="preserve"> Other Ostraka recovered also provide evidence of familial relatives of the soldiers stationed in the Eastern Desert attempting to make it possible for them to gain access to foods that would have been otherwise unobtainable.</w:t>
      </w:r>
      <w:r>
        <w:rPr>
          <w:rStyle w:val="FootnoteReference"/>
        </w:rPr>
        <w:footnoteReference w:id="52"/>
      </w:r>
      <w:r>
        <w:t xml:space="preserve"> Taking all of this into account, to suggest that the role of the Roman military was limited due to the issues with supply bears very little standing when also considering that there is evidence for a state-run supply from AD163 onwards.</w:t>
      </w:r>
      <w:r>
        <w:rPr>
          <w:rStyle w:val="FootnoteReference"/>
        </w:rPr>
        <w:footnoteReference w:id="53"/>
      </w:r>
    </w:p>
    <w:p w14:paraId="4BAA4AF2" w14:textId="4EB056F5" w:rsidR="00801E64" w:rsidRDefault="00801E64" w:rsidP="00801E64">
      <w:r>
        <w:t>In summary, through the analysis of all the potential parts that make up the role of the Roman military in the region, there are two conclusions that</w:t>
      </w:r>
      <w:r w:rsidR="00C96AC7">
        <w:t xml:space="preserve"> </w:t>
      </w:r>
      <w:r>
        <w:t xml:space="preserve">are not unreasonable to make. The first of these is that, without a doubt, the main role of the Roman military was predominantly linked to the protection of the region from internal and external threats. The second conclusion that can be made is that the main role of the Roman military was not solely to provide protection but also to serve in the administrative roles central to maintaining the peace and levels of public order in the region. Therefore, to say that the main role of the Roman military in the Eastern Desert was purely militaristic is arguably misinformed and, hence, flawed. </w:t>
      </w:r>
    </w:p>
    <w:p w14:paraId="3ADAFC1F" w14:textId="7E070434" w:rsidR="00BF4F93" w:rsidRDefault="00BF4F93" w:rsidP="001626CA"/>
    <w:p w14:paraId="6E394203" w14:textId="25A66880" w:rsidR="00BF4F93" w:rsidRDefault="00BF4F93" w:rsidP="001626CA"/>
    <w:p w14:paraId="7C03B044" w14:textId="348E22A1" w:rsidR="00BF4F93" w:rsidRDefault="00BF4F93" w:rsidP="001626CA"/>
    <w:p w14:paraId="4BD35321" w14:textId="0528EE43" w:rsidR="00BF4F93" w:rsidRDefault="00BF4F93" w:rsidP="001626CA"/>
    <w:p w14:paraId="0E492894" w14:textId="27A67E00" w:rsidR="00BF4F93" w:rsidRDefault="00BF4F93" w:rsidP="001626CA"/>
    <w:p w14:paraId="393C7D5F" w14:textId="5594BD12" w:rsidR="00BF4F93" w:rsidRDefault="00BF4F93" w:rsidP="00BF4F93">
      <w:pPr>
        <w:pStyle w:val="Heading1"/>
      </w:pPr>
      <w:r>
        <w:lastRenderedPageBreak/>
        <w:t xml:space="preserve">Bibliography: </w:t>
      </w:r>
    </w:p>
    <w:p w14:paraId="4626487C" w14:textId="0BB057C8" w:rsidR="00BF4F93" w:rsidRDefault="00BF4F93" w:rsidP="00BF4F93">
      <w:pPr>
        <w:pStyle w:val="Heading2"/>
      </w:pPr>
      <w:r>
        <w:t>Ancient Sources:</w:t>
      </w:r>
    </w:p>
    <w:p w14:paraId="0724389A" w14:textId="12DFACBD" w:rsidR="0043049D" w:rsidRPr="0043049D" w:rsidRDefault="0043049D" w:rsidP="0043049D">
      <w:r>
        <w:t xml:space="preserve">Strabo. </w:t>
      </w:r>
      <w:r>
        <w:rPr>
          <w:i/>
          <w:iCs/>
        </w:rPr>
        <w:t>The Geography of Strabo</w:t>
      </w:r>
      <w:r>
        <w:t>. H.C. Hamilton and W. Falconer (trans.). 1903. London: George Bell &amp; Sons</w:t>
      </w:r>
    </w:p>
    <w:p w14:paraId="6B811E64" w14:textId="4332B757" w:rsidR="0043049D" w:rsidRPr="0043049D" w:rsidRDefault="0043049D" w:rsidP="0043049D">
      <w:r>
        <w:t xml:space="preserve">Procopius. </w:t>
      </w:r>
      <w:r>
        <w:rPr>
          <w:i/>
          <w:iCs/>
        </w:rPr>
        <w:t>History of the Wars</w:t>
      </w:r>
      <w:r>
        <w:t>. H.B. Dewing (trans.). 2005. Project Gutenberg.</w:t>
      </w:r>
    </w:p>
    <w:p w14:paraId="6086A933" w14:textId="44BE7E75" w:rsidR="00BF4F93" w:rsidRDefault="00BF4F93" w:rsidP="00BF4F93">
      <w:pPr>
        <w:pStyle w:val="Heading2"/>
      </w:pPr>
      <w:r>
        <w:t xml:space="preserve">Modern Scholarship: </w:t>
      </w:r>
    </w:p>
    <w:p w14:paraId="43EC0EE9" w14:textId="77777777" w:rsidR="00BF4F93" w:rsidRDefault="00BF4F93" w:rsidP="00BF4F93">
      <w:r>
        <w:t xml:space="preserve">Adams, C.E.P. 1995. ‘Supplying the Roman Army: “Q. Petr.” 245’. </w:t>
      </w:r>
      <w:r w:rsidRPr="00BF4F93">
        <w:rPr>
          <w:i/>
          <w:iCs/>
        </w:rPr>
        <w:t xml:space="preserve">Zeitschrift für Papyrologie und Epigraphik. </w:t>
      </w:r>
      <w:r>
        <w:t>Bd 109. 119-124.</w:t>
      </w:r>
    </w:p>
    <w:p w14:paraId="5204D803" w14:textId="77777777" w:rsidR="00BF4F93" w:rsidRDefault="00BF4F93" w:rsidP="00BF4F93">
      <w:r>
        <w:t xml:space="preserve">Adams, C. E. P. 2007. ‘Desert and Military Supply’ in Adams, C.E.P. (ed.) </w:t>
      </w:r>
      <w:r w:rsidRPr="00BF4F93">
        <w:rPr>
          <w:i/>
          <w:iCs/>
        </w:rPr>
        <w:t>Land transport in Roman Egypt: a study of economics and administration in a Roman Province</w:t>
      </w:r>
      <w:r>
        <w:t>. New York: Oxford University Press.</w:t>
      </w:r>
    </w:p>
    <w:p w14:paraId="1EDFBCFD" w14:textId="77777777" w:rsidR="00BF4F93" w:rsidRDefault="00BF4F93" w:rsidP="00BF4F93">
      <w:r>
        <w:t xml:space="preserve">Bagnall, R.S. 1977. ‘Army and Police in Roman Upper Egypt’. </w:t>
      </w:r>
      <w:r w:rsidRPr="00BF4F93">
        <w:rPr>
          <w:i/>
          <w:iCs/>
        </w:rPr>
        <w:t>Journal of the American Research center in Egypt</w:t>
      </w:r>
      <w:r>
        <w:t>. Vol 14. 67-86</w:t>
      </w:r>
    </w:p>
    <w:p w14:paraId="0861FDD8" w14:textId="5455A34F" w:rsidR="00BF4F93" w:rsidRPr="00801E64" w:rsidRDefault="00BF4F93" w:rsidP="00BF4F93">
      <w:r w:rsidRPr="00801E64">
        <w:t xml:space="preserve">Cuvigny, H. 2014. ‘Papyrological Evidence on ‘Barbarians’ in the Egyptian Eastern Desert’ in J. H. F. Dijkstra and G. Fisher (eds.), </w:t>
      </w:r>
      <w:r w:rsidRPr="00801E64">
        <w:rPr>
          <w:i/>
          <w:iCs/>
        </w:rPr>
        <w:t>Inside and Out: Interactions between Rome and the Peoples on the Arabian and Egyptian Frontiers in Late Antiquity</w:t>
      </w:r>
      <w:r w:rsidRPr="00801E64">
        <w:t>. Leuven</w:t>
      </w:r>
      <w:r w:rsidR="00801E64" w:rsidRPr="00801E64">
        <w:t>.</w:t>
      </w:r>
    </w:p>
    <w:p w14:paraId="32540955" w14:textId="77777777" w:rsidR="00BF4F93" w:rsidRDefault="00BF4F93" w:rsidP="00BF4F93">
      <w:r>
        <w:t xml:space="preserve">Kennedy, D. 1985. ‘The Composition of a Military Work Part in Roman Egypt (ILS 2483: Coptos)’. </w:t>
      </w:r>
      <w:r w:rsidRPr="00BF4F93">
        <w:rPr>
          <w:i/>
          <w:iCs/>
        </w:rPr>
        <w:t xml:space="preserve">The Journal of Egyptian Archaeology. </w:t>
      </w:r>
      <w:r>
        <w:t>Vol 71. 156-160.</w:t>
      </w:r>
    </w:p>
    <w:p w14:paraId="5CF6CEC1" w14:textId="77777777" w:rsidR="00BF4F93" w:rsidRPr="00EF3ECB" w:rsidRDefault="00BF4F93" w:rsidP="00BF4F93">
      <w:r>
        <w:t xml:space="preserve">Sidebotham, S.E., Zitterkopf, R.E., and Helms, C.C. 2000. ‘Survey of the Via Hadriana: The 1998 Season’. </w:t>
      </w:r>
      <w:r w:rsidRPr="00BF4F93">
        <w:rPr>
          <w:i/>
          <w:iCs/>
        </w:rPr>
        <w:t>Journal of the American Research Center in Egypt.</w:t>
      </w:r>
      <w:r>
        <w:t xml:space="preserve"> Vol 37. 115-126.</w:t>
      </w:r>
    </w:p>
    <w:p w14:paraId="0366A9E5" w14:textId="77777777" w:rsidR="00BF4F93" w:rsidRDefault="00BF4F93" w:rsidP="00BF4F93">
      <w:r>
        <w:t xml:space="preserve">Zitterkopf, R. E. and Sidebotham, S. E. 1989. ‘Stations and Towers on the Quseir-Nile Road’. </w:t>
      </w:r>
      <w:r w:rsidRPr="00BF4F93">
        <w:rPr>
          <w:i/>
          <w:iCs/>
        </w:rPr>
        <w:t xml:space="preserve">The Journal of Egyptian Archaeology. </w:t>
      </w:r>
      <w:r>
        <w:t xml:space="preserve">Vol 75. 155-189. </w:t>
      </w:r>
    </w:p>
    <w:p w14:paraId="5B06330E" w14:textId="77777777" w:rsidR="00BF4F93" w:rsidRPr="00BF4F93" w:rsidRDefault="00BF4F93" w:rsidP="00BF4F93"/>
    <w:sectPr w:rsidR="00BF4F93" w:rsidRPr="00BF4F9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DC2158" w14:textId="77777777" w:rsidR="00F37D79" w:rsidRDefault="00F37D79" w:rsidP="001626CA">
      <w:pPr>
        <w:spacing w:after="0" w:line="240" w:lineRule="auto"/>
      </w:pPr>
      <w:r>
        <w:separator/>
      </w:r>
    </w:p>
  </w:endnote>
  <w:endnote w:type="continuationSeparator" w:id="0">
    <w:p w14:paraId="74875CCF" w14:textId="77777777" w:rsidR="00F37D79" w:rsidRDefault="00F37D79" w:rsidP="00162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8368439"/>
      <w:docPartObj>
        <w:docPartGallery w:val="Page Numbers (Bottom of Page)"/>
        <w:docPartUnique/>
      </w:docPartObj>
    </w:sdtPr>
    <w:sdtEndPr>
      <w:rPr>
        <w:noProof/>
      </w:rPr>
    </w:sdtEndPr>
    <w:sdtContent>
      <w:p w14:paraId="0A476C38" w14:textId="77777777" w:rsidR="0096135E" w:rsidRDefault="009613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0F4E0C" w14:textId="77777777" w:rsidR="0096135E" w:rsidRDefault="009613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19D196" w14:textId="77777777" w:rsidR="00F37D79" w:rsidRDefault="00F37D79" w:rsidP="001626CA">
      <w:pPr>
        <w:spacing w:after="0" w:line="240" w:lineRule="auto"/>
      </w:pPr>
      <w:r>
        <w:separator/>
      </w:r>
    </w:p>
  </w:footnote>
  <w:footnote w:type="continuationSeparator" w:id="0">
    <w:p w14:paraId="167AB13E" w14:textId="77777777" w:rsidR="00F37D79" w:rsidRDefault="00F37D79" w:rsidP="001626CA">
      <w:pPr>
        <w:spacing w:after="0" w:line="240" w:lineRule="auto"/>
      </w:pPr>
      <w:r>
        <w:continuationSeparator/>
      </w:r>
    </w:p>
  </w:footnote>
  <w:footnote w:id="1">
    <w:p w14:paraId="079D76AF" w14:textId="77777777" w:rsidR="00801E64" w:rsidRDefault="00801E64" w:rsidP="00801E64">
      <w:pPr>
        <w:pStyle w:val="FootnoteText"/>
      </w:pPr>
      <w:r>
        <w:rPr>
          <w:rStyle w:val="FootnoteReference"/>
        </w:rPr>
        <w:footnoteRef/>
      </w:r>
      <w:r>
        <w:t xml:space="preserve"> Zitterkopf and Sidebotham 1989: 157</w:t>
      </w:r>
    </w:p>
  </w:footnote>
  <w:footnote w:id="2">
    <w:p w14:paraId="3EDED218" w14:textId="77777777" w:rsidR="00801E64" w:rsidRDefault="00801E64" w:rsidP="00801E64">
      <w:pPr>
        <w:pStyle w:val="FootnoteText"/>
      </w:pPr>
      <w:r>
        <w:rPr>
          <w:rStyle w:val="FootnoteReference"/>
        </w:rPr>
        <w:footnoteRef/>
      </w:r>
      <w:r>
        <w:t xml:space="preserve"> Adams 1995: 120</w:t>
      </w:r>
    </w:p>
  </w:footnote>
  <w:footnote w:id="3">
    <w:p w14:paraId="052EB73E" w14:textId="77777777" w:rsidR="00801E64" w:rsidRDefault="00801E64" w:rsidP="00801E64">
      <w:pPr>
        <w:pStyle w:val="FootnoteText"/>
      </w:pPr>
      <w:r>
        <w:rPr>
          <w:rStyle w:val="FootnoteReference"/>
        </w:rPr>
        <w:footnoteRef/>
      </w:r>
      <w:r>
        <w:t xml:space="preserve"> Cuvigny 2014: 166</w:t>
      </w:r>
    </w:p>
  </w:footnote>
  <w:footnote w:id="4">
    <w:p w14:paraId="6C3874CD" w14:textId="77777777" w:rsidR="00801E64" w:rsidRDefault="00801E64" w:rsidP="00801E64">
      <w:pPr>
        <w:pStyle w:val="FootnoteText"/>
      </w:pPr>
      <w:r>
        <w:rPr>
          <w:rStyle w:val="FootnoteReference"/>
        </w:rPr>
        <w:footnoteRef/>
      </w:r>
      <w:r>
        <w:t xml:space="preserve"> Haensch 2012: 78</w:t>
      </w:r>
    </w:p>
  </w:footnote>
  <w:footnote w:id="5">
    <w:p w14:paraId="4CE5CDEA" w14:textId="77777777" w:rsidR="00801E64" w:rsidRDefault="00801E64" w:rsidP="00801E64">
      <w:pPr>
        <w:pStyle w:val="FootnoteText"/>
      </w:pPr>
      <w:r>
        <w:rPr>
          <w:rStyle w:val="FootnoteReference"/>
        </w:rPr>
        <w:footnoteRef/>
      </w:r>
      <w:r>
        <w:t xml:space="preserve"> Cuvigny 2014: 166; Haensch 2012: 71</w:t>
      </w:r>
    </w:p>
  </w:footnote>
  <w:footnote w:id="6">
    <w:p w14:paraId="27196426" w14:textId="77777777" w:rsidR="00801E64" w:rsidRDefault="00801E64" w:rsidP="00801E64">
      <w:pPr>
        <w:pStyle w:val="FootnoteText"/>
      </w:pPr>
      <w:r>
        <w:rPr>
          <w:rStyle w:val="FootnoteReference"/>
        </w:rPr>
        <w:footnoteRef/>
      </w:r>
      <w:r>
        <w:t xml:space="preserve"> Cuvigny 2014: 166</w:t>
      </w:r>
    </w:p>
  </w:footnote>
  <w:footnote w:id="7">
    <w:p w14:paraId="1423CCFD" w14:textId="77777777" w:rsidR="00801E64" w:rsidRDefault="00801E64" w:rsidP="00801E64">
      <w:pPr>
        <w:pStyle w:val="FootnoteText"/>
      </w:pPr>
      <w:r>
        <w:rPr>
          <w:rStyle w:val="FootnoteReference"/>
        </w:rPr>
        <w:footnoteRef/>
      </w:r>
      <w:r>
        <w:t xml:space="preserve"> Adams 2007: 198-9</w:t>
      </w:r>
    </w:p>
  </w:footnote>
  <w:footnote w:id="8">
    <w:p w14:paraId="3C7BCED1" w14:textId="77777777" w:rsidR="00801E64" w:rsidRDefault="00801E64" w:rsidP="00801E64">
      <w:pPr>
        <w:pStyle w:val="FootnoteText"/>
      </w:pPr>
      <w:r>
        <w:rPr>
          <w:rStyle w:val="FootnoteReference"/>
        </w:rPr>
        <w:footnoteRef/>
      </w:r>
      <w:r>
        <w:t xml:space="preserve"> Zitterkopf and Sidebotham 1989: 156</w:t>
      </w:r>
    </w:p>
  </w:footnote>
  <w:footnote w:id="9">
    <w:p w14:paraId="74B9F7A6" w14:textId="77777777" w:rsidR="00801E64" w:rsidRDefault="00801E64" w:rsidP="00801E64">
      <w:pPr>
        <w:pStyle w:val="FootnoteText"/>
      </w:pPr>
      <w:r>
        <w:rPr>
          <w:rStyle w:val="FootnoteReference"/>
        </w:rPr>
        <w:footnoteRef/>
      </w:r>
      <w:r>
        <w:t xml:space="preserve"> Zitterkopf and Sidebotham 1989: 156</w:t>
      </w:r>
    </w:p>
  </w:footnote>
  <w:footnote w:id="10">
    <w:p w14:paraId="1D5E7F56" w14:textId="77777777" w:rsidR="00801E64" w:rsidRDefault="00801E64" w:rsidP="00801E64">
      <w:pPr>
        <w:pStyle w:val="FootnoteText"/>
      </w:pPr>
      <w:r>
        <w:rPr>
          <w:rStyle w:val="FootnoteReference"/>
        </w:rPr>
        <w:footnoteRef/>
      </w:r>
      <w:r>
        <w:t xml:space="preserve"> Zitterkopf and Sidebotham 1989: 157</w:t>
      </w:r>
    </w:p>
  </w:footnote>
  <w:footnote w:id="11">
    <w:p w14:paraId="4D47CC99" w14:textId="77777777" w:rsidR="00801E64" w:rsidRDefault="00801E64" w:rsidP="00801E64">
      <w:pPr>
        <w:pStyle w:val="FootnoteText"/>
      </w:pPr>
      <w:r>
        <w:rPr>
          <w:rStyle w:val="FootnoteReference"/>
        </w:rPr>
        <w:footnoteRef/>
      </w:r>
      <w:r>
        <w:t xml:space="preserve"> Zitterkopf and Sidebotham 1989: 163</w:t>
      </w:r>
    </w:p>
  </w:footnote>
  <w:footnote w:id="12">
    <w:p w14:paraId="5680F8ED" w14:textId="77777777" w:rsidR="00801E64" w:rsidRDefault="00801E64" w:rsidP="00801E64">
      <w:pPr>
        <w:pStyle w:val="FootnoteText"/>
      </w:pPr>
      <w:r>
        <w:rPr>
          <w:rStyle w:val="FootnoteReference"/>
        </w:rPr>
        <w:footnoteRef/>
      </w:r>
      <w:r>
        <w:t xml:space="preserve"> Zitterkopf and Sidebotham 1989: 166</w:t>
      </w:r>
    </w:p>
  </w:footnote>
  <w:footnote w:id="13">
    <w:p w14:paraId="2CDA72CB" w14:textId="77777777" w:rsidR="00801E64" w:rsidRDefault="00801E64" w:rsidP="00801E64">
      <w:pPr>
        <w:pStyle w:val="FootnoteText"/>
      </w:pPr>
      <w:r>
        <w:rPr>
          <w:rStyle w:val="FootnoteReference"/>
        </w:rPr>
        <w:footnoteRef/>
      </w:r>
      <w:r>
        <w:t xml:space="preserve"> Sidebotham, Zitterkopf and Helms 2000: 67</w:t>
      </w:r>
    </w:p>
  </w:footnote>
  <w:footnote w:id="14">
    <w:p w14:paraId="53728F4A" w14:textId="77777777" w:rsidR="00801E64" w:rsidRDefault="00801E64" w:rsidP="00801E64">
      <w:pPr>
        <w:pStyle w:val="FootnoteText"/>
      </w:pPr>
      <w:r>
        <w:rPr>
          <w:rStyle w:val="FootnoteReference"/>
        </w:rPr>
        <w:footnoteRef/>
      </w:r>
      <w:r>
        <w:t xml:space="preserve"> Adams 2007: 198</w:t>
      </w:r>
    </w:p>
  </w:footnote>
  <w:footnote w:id="15">
    <w:p w14:paraId="6CEFF6E7" w14:textId="77777777" w:rsidR="00801E64" w:rsidRDefault="00801E64" w:rsidP="00801E64">
      <w:pPr>
        <w:pStyle w:val="FootnoteText"/>
      </w:pPr>
      <w:r>
        <w:rPr>
          <w:rStyle w:val="FootnoteReference"/>
        </w:rPr>
        <w:footnoteRef/>
      </w:r>
      <w:r>
        <w:t xml:space="preserve"> Cuvigny 2014: 182</w:t>
      </w:r>
    </w:p>
  </w:footnote>
  <w:footnote w:id="16">
    <w:p w14:paraId="4CDFE0C5" w14:textId="77777777" w:rsidR="00801E64" w:rsidRDefault="00801E64" w:rsidP="00801E64">
      <w:pPr>
        <w:pStyle w:val="FootnoteText"/>
      </w:pPr>
      <w:r>
        <w:rPr>
          <w:rStyle w:val="FootnoteReference"/>
        </w:rPr>
        <w:footnoteRef/>
      </w:r>
      <w:r>
        <w:t xml:space="preserve"> Cugigny 2014: 169</w:t>
      </w:r>
    </w:p>
  </w:footnote>
  <w:footnote w:id="17">
    <w:p w14:paraId="43BED24A" w14:textId="77777777" w:rsidR="00801E64" w:rsidRDefault="00801E64" w:rsidP="00801E64">
      <w:pPr>
        <w:pStyle w:val="FootnoteText"/>
      </w:pPr>
      <w:r>
        <w:rPr>
          <w:rStyle w:val="FootnoteReference"/>
        </w:rPr>
        <w:footnoteRef/>
      </w:r>
      <w:r>
        <w:t xml:space="preserve"> Procops. 1.19.29-35</w:t>
      </w:r>
    </w:p>
  </w:footnote>
  <w:footnote w:id="18">
    <w:p w14:paraId="0A9629DE" w14:textId="77777777" w:rsidR="00801E64" w:rsidRDefault="00801E64" w:rsidP="00801E64">
      <w:pPr>
        <w:pStyle w:val="FootnoteText"/>
      </w:pPr>
      <w:r>
        <w:rPr>
          <w:rStyle w:val="FootnoteReference"/>
        </w:rPr>
        <w:footnoteRef/>
      </w:r>
      <w:r>
        <w:t xml:space="preserve"> Cuvigny 2014: 183</w:t>
      </w:r>
    </w:p>
  </w:footnote>
  <w:footnote w:id="19">
    <w:p w14:paraId="3DD0D9FA" w14:textId="77777777" w:rsidR="00801E64" w:rsidRDefault="00801E64" w:rsidP="00801E64">
      <w:pPr>
        <w:pStyle w:val="FootnoteText"/>
      </w:pPr>
      <w:r>
        <w:rPr>
          <w:rStyle w:val="FootnoteReference"/>
        </w:rPr>
        <w:footnoteRef/>
      </w:r>
      <w:r>
        <w:t xml:space="preserve"> Sidebotham, Zitterkopf and Helms 2000: 67</w:t>
      </w:r>
    </w:p>
  </w:footnote>
  <w:footnote w:id="20">
    <w:p w14:paraId="10472BBB" w14:textId="77777777" w:rsidR="00801E64" w:rsidRDefault="00801E64" w:rsidP="00801E64">
      <w:pPr>
        <w:pStyle w:val="FootnoteText"/>
      </w:pPr>
      <w:r>
        <w:rPr>
          <w:rStyle w:val="FootnoteReference"/>
        </w:rPr>
        <w:footnoteRef/>
      </w:r>
      <w:r>
        <w:t xml:space="preserve"> Zitterkopf and Sidebotham 1989: 181-2</w:t>
      </w:r>
    </w:p>
  </w:footnote>
  <w:footnote w:id="21">
    <w:p w14:paraId="15656B98" w14:textId="77777777" w:rsidR="00801E64" w:rsidRDefault="00801E64" w:rsidP="00801E64">
      <w:pPr>
        <w:pStyle w:val="FootnoteText"/>
      </w:pPr>
      <w:r>
        <w:rPr>
          <w:rStyle w:val="FootnoteReference"/>
        </w:rPr>
        <w:footnoteRef/>
      </w:r>
      <w:r>
        <w:t xml:space="preserve"> Zitterkopf and Sidebotham 1989: 155</w:t>
      </w:r>
    </w:p>
  </w:footnote>
  <w:footnote w:id="22">
    <w:p w14:paraId="6EDD64B5" w14:textId="77777777" w:rsidR="00801E64" w:rsidRDefault="00801E64" w:rsidP="00801E64">
      <w:pPr>
        <w:pStyle w:val="FootnoteText"/>
      </w:pPr>
      <w:r>
        <w:rPr>
          <w:rStyle w:val="FootnoteReference"/>
        </w:rPr>
        <w:footnoteRef/>
      </w:r>
      <w:r>
        <w:t xml:space="preserve"> Zitterkopf and Sidebotham 1989: 188</w:t>
      </w:r>
    </w:p>
  </w:footnote>
  <w:footnote w:id="23">
    <w:p w14:paraId="3E6D6053" w14:textId="77777777" w:rsidR="00801E64" w:rsidRDefault="00801E64" w:rsidP="00801E64">
      <w:pPr>
        <w:pStyle w:val="FootnoteText"/>
      </w:pPr>
      <w:r>
        <w:rPr>
          <w:rStyle w:val="FootnoteReference"/>
        </w:rPr>
        <w:footnoteRef/>
      </w:r>
      <w:r>
        <w:t xml:space="preserve"> Zitterkopf and Sidebotham 1989: 168</w:t>
      </w:r>
    </w:p>
  </w:footnote>
  <w:footnote w:id="24">
    <w:p w14:paraId="051531A3" w14:textId="77777777" w:rsidR="00801E64" w:rsidRDefault="00801E64" w:rsidP="00801E64">
      <w:pPr>
        <w:pStyle w:val="FootnoteText"/>
      </w:pPr>
      <w:r>
        <w:rPr>
          <w:rStyle w:val="FootnoteReference"/>
        </w:rPr>
        <w:footnoteRef/>
      </w:r>
      <w:r>
        <w:t xml:space="preserve"> Zitterkopf and Sidebotham 1989: 168</w:t>
      </w:r>
    </w:p>
  </w:footnote>
  <w:footnote w:id="25">
    <w:p w14:paraId="191DF9C2" w14:textId="77777777" w:rsidR="00801E64" w:rsidRDefault="00801E64" w:rsidP="00801E64">
      <w:pPr>
        <w:pStyle w:val="FootnoteText"/>
      </w:pPr>
      <w:r>
        <w:rPr>
          <w:rStyle w:val="FootnoteReference"/>
        </w:rPr>
        <w:footnoteRef/>
      </w:r>
      <w:r>
        <w:t xml:space="preserve"> Zitterkopf and Sidebotham 1989: 170</w:t>
      </w:r>
    </w:p>
  </w:footnote>
  <w:footnote w:id="26">
    <w:p w14:paraId="2E033C27" w14:textId="77777777" w:rsidR="00801E64" w:rsidRDefault="00801E64" w:rsidP="00801E64">
      <w:pPr>
        <w:pStyle w:val="FootnoteText"/>
      </w:pPr>
      <w:r>
        <w:rPr>
          <w:rStyle w:val="FootnoteReference"/>
        </w:rPr>
        <w:footnoteRef/>
      </w:r>
      <w:r>
        <w:t xml:space="preserve"> Strab. 17.1.45</w:t>
      </w:r>
    </w:p>
  </w:footnote>
  <w:footnote w:id="27">
    <w:p w14:paraId="4D27723E" w14:textId="77777777" w:rsidR="00801E64" w:rsidRDefault="00801E64" w:rsidP="00801E64">
      <w:pPr>
        <w:pStyle w:val="FootnoteText"/>
      </w:pPr>
      <w:r>
        <w:rPr>
          <w:rStyle w:val="FootnoteReference"/>
        </w:rPr>
        <w:footnoteRef/>
      </w:r>
      <w:r>
        <w:t xml:space="preserve"> Zitterkopf and Sidebotham 1989: 184</w:t>
      </w:r>
    </w:p>
  </w:footnote>
  <w:footnote w:id="28">
    <w:p w14:paraId="7D5698B3" w14:textId="77777777" w:rsidR="00801E64" w:rsidRDefault="00801E64" w:rsidP="00801E64">
      <w:pPr>
        <w:pStyle w:val="FootnoteText"/>
      </w:pPr>
      <w:r>
        <w:rPr>
          <w:rStyle w:val="FootnoteReference"/>
        </w:rPr>
        <w:footnoteRef/>
      </w:r>
      <w:r>
        <w:t xml:space="preserve"> Sidebotham, Zitterkopf and Helms 2000: 69</w:t>
      </w:r>
    </w:p>
  </w:footnote>
  <w:footnote w:id="29">
    <w:p w14:paraId="7E2D059B" w14:textId="77777777" w:rsidR="00801E64" w:rsidRDefault="00801E64" w:rsidP="00801E64">
      <w:pPr>
        <w:pStyle w:val="FootnoteText"/>
      </w:pPr>
      <w:r>
        <w:rPr>
          <w:rStyle w:val="FootnoteReference"/>
        </w:rPr>
        <w:footnoteRef/>
      </w:r>
      <w:r>
        <w:t xml:space="preserve"> Cuvigny 2014: 174</w:t>
      </w:r>
    </w:p>
  </w:footnote>
  <w:footnote w:id="30">
    <w:p w14:paraId="203D11CF" w14:textId="77777777" w:rsidR="00801E64" w:rsidRDefault="00801E64" w:rsidP="00801E64">
      <w:pPr>
        <w:pStyle w:val="FootnoteText"/>
      </w:pPr>
      <w:r>
        <w:rPr>
          <w:rStyle w:val="FootnoteReference"/>
        </w:rPr>
        <w:footnoteRef/>
      </w:r>
      <w:r>
        <w:t xml:space="preserve"> Adams 2007: 198</w:t>
      </w:r>
    </w:p>
  </w:footnote>
  <w:footnote w:id="31">
    <w:p w14:paraId="61E0E779" w14:textId="77777777" w:rsidR="00801E64" w:rsidRDefault="00801E64" w:rsidP="00801E64">
      <w:pPr>
        <w:pStyle w:val="FootnoteText"/>
      </w:pPr>
      <w:r>
        <w:rPr>
          <w:rStyle w:val="FootnoteReference"/>
        </w:rPr>
        <w:footnoteRef/>
      </w:r>
      <w:r>
        <w:t xml:space="preserve"> Cuvigny 2014: 168</w:t>
      </w:r>
    </w:p>
  </w:footnote>
  <w:footnote w:id="32">
    <w:p w14:paraId="0C1CEC6B" w14:textId="77777777" w:rsidR="00801E64" w:rsidRDefault="00801E64" w:rsidP="00801E64">
      <w:pPr>
        <w:pStyle w:val="FootnoteText"/>
      </w:pPr>
      <w:r>
        <w:rPr>
          <w:rStyle w:val="FootnoteReference"/>
        </w:rPr>
        <w:footnoteRef/>
      </w:r>
      <w:r>
        <w:t xml:space="preserve"> Cuvigny 2014: 186</w:t>
      </w:r>
    </w:p>
  </w:footnote>
  <w:footnote w:id="33">
    <w:p w14:paraId="4CA68815" w14:textId="77777777" w:rsidR="00801E64" w:rsidRDefault="00801E64" w:rsidP="00801E64">
      <w:pPr>
        <w:pStyle w:val="FootnoteText"/>
      </w:pPr>
      <w:r>
        <w:rPr>
          <w:rStyle w:val="FootnoteReference"/>
        </w:rPr>
        <w:footnoteRef/>
      </w:r>
      <w:r>
        <w:t xml:space="preserve"> Cuvigny 2014: 173</w:t>
      </w:r>
    </w:p>
  </w:footnote>
  <w:footnote w:id="34">
    <w:p w14:paraId="2BBF64D9" w14:textId="77777777" w:rsidR="00801E64" w:rsidRDefault="00801E64" w:rsidP="00801E64">
      <w:pPr>
        <w:pStyle w:val="FootnoteText"/>
      </w:pPr>
      <w:r>
        <w:rPr>
          <w:rStyle w:val="FootnoteReference"/>
        </w:rPr>
        <w:footnoteRef/>
      </w:r>
      <w:r>
        <w:t xml:space="preserve"> Zitterkopf and Sidebotham 1989: 182</w:t>
      </w:r>
    </w:p>
  </w:footnote>
  <w:footnote w:id="35">
    <w:p w14:paraId="688C9CCA" w14:textId="77777777" w:rsidR="00801E64" w:rsidRDefault="00801E64" w:rsidP="00801E64">
      <w:pPr>
        <w:pStyle w:val="FootnoteText"/>
      </w:pPr>
      <w:r>
        <w:rPr>
          <w:rStyle w:val="FootnoteReference"/>
        </w:rPr>
        <w:footnoteRef/>
      </w:r>
      <w:r>
        <w:t xml:space="preserve"> Zitterkopf and Sidebotham 1989: 180</w:t>
      </w:r>
    </w:p>
  </w:footnote>
  <w:footnote w:id="36">
    <w:p w14:paraId="7567E7EB" w14:textId="77777777" w:rsidR="00801E64" w:rsidRDefault="00801E64" w:rsidP="00801E64">
      <w:pPr>
        <w:pStyle w:val="FootnoteText"/>
      </w:pPr>
      <w:r>
        <w:rPr>
          <w:rStyle w:val="FootnoteReference"/>
        </w:rPr>
        <w:footnoteRef/>
      </w:r>
      <w:r>
        <w:t xml:space="preserve"> Zitterkopf and Sidebotham 1989: 183</w:t>
      </w:r>
    </w:p>
  </w:footnote>
  <w:footnote w:id="37">
    <w:p w14:paraId="2E3909D9" w14:textId="77777777" w:rsidR="00801E64" w:rsidRDefault="00801E64" w:rsidP="00801E64">
      <w:pPr>
        <w:pStyle w:val="FootnoteText"/>
      </w:pPr>
      <w:r>
        <w:rPr>
          <w:rStyle w:val="FootnoteReference"/>
        </w:rPr>
        <w:footnoteRef/>
      </w:r>
      <w:r>
        <w:t xml:space="preserve"> Zitterkopf and Sidebotham 1989: 189</w:t>
      </w:r>
    </w:p>
  </w:footnote>
  <w:footnote w:id="38">
    <w:p w14:paraId="5D3B9DD3" w14:textId="77777777" w:rsidR="00801E64" w:rsidRDefault="00801E64" w:rsidP="00801E64">
      <w:pPr>
        <w:pStyle w:val="FootnoteText"/>
      </w:pPr>
      <w:r>
        <w:rPr>
          <w:rStyle w:val="FootnoteReference"/>
        </w:rPr>
        <w:footnoteRef/>
      </w:r>
      <w:r>
        <w:t xml:space="preserve"> Sidebotham, Zitterkopf and Helms 2000: 70</w:t>
      </w:r>
    </w:p>
  </w:footnote>
  <w:footnote w:id="39">
    <w:p w14:paraId="5322993E" w14:textId="77777777" w:rsidR="00801E64" w:rsidRDefault="00801E64" w:rsidP="00801E64">
      <w:pPr>
        <w:pStyle w:val="FootnoteText"/>
      </w:pPr>
      <w:r>
        <w:rPr>
          <w:rStyle w:val="FootnoteReference"/>
        </w:rPr>
        <w:footnoteRef/>
      </w:r>
      <w:r>
        <w:t xml:space="preserve"> Zitterkopf and Sidebotham 1989: 166</w:t>
      </w:r>
    </w:p>
  </w:footnote>
  <w:footnote w:id="40">
    <w:p w14:paraId="715DC772" w14:textId="77777777" w:rsidR="00801E64" w:rsidRDefault="00801E64" w:rsidP="00801E64">
      <w:pPr>
        <w:pStyle w:val="FootnoteText"/>
      </w:pPr>
      <w:r>
        <w:rPr>
          <w:rStyle w:val="FootnoteReference"/>
        </w:rPr>
        <w:footnoteRef/>
      </w:r>
      <w:r>
        <w:t xml:space="preserve"> Zitterkopf and Sidebotham 1989: 161</w:t>
      </w:r>
    </w:p>
  </w:footnote>
  <w:footnote w:id="41">
    <w:p w14:paraId="35B95E25" w14:textId="77777777" w:rsidR="00801E64" w:rsidRDefault="00801E64" w:rsidP="00801E64">
      <w:pPr>
        <w:pStyle w:val="FootnoteText"/>
      </w:pPr>
      <w:r>
        <w:rPr>
          <w:rStyle w:val="FootnoteReference"/>
        </w:rPr>
        <w:footnoteRef/>
      </w:r>
      <w:r>
        <w:t xml:space="preserve"> Sidebotham, Zitterkopf and Helms 2000: 115</w:t>
      </w:r>
    </w:p>
  </w:footnote>
  <w:footnote w:id="42">
    <w:p w14:paraId="235D837D" w14:textId="77777777" w:rsidR="00801E64" w:rsidRDefault="00801E64" w:rsidP="00801E64">
      <w:pPr>
        <w:pStyle w:val="FootnoteText"/>
      </w:pPr>
      <w:r>
        <w:rPr>
          <w:rStyle w:val="FootnoteReference"/>
        </w:rPr>
        <w:footnoteRef/>
      </w:r>
      <w:r>
        <w:t xml:space="preserve"> Kennedy 1985: 156</w:t>
      </w:r>
    </w:p>
  </w:footnote>
  <w:footnote w:id="43">
    <w:p w14:paraId="558A2847" w14:textId="77777777" w:rsidR="00801E64" w:rsidRDefault="00801E64" w:rsidP="00801E64">
      <w:pPr>
        <w:pStyle w:val="FootnoteText"/>
      </w:pPr>
      <w:r>
        <w:rPr>
          <w:rStyle w:val="FootnoteReference"/>
        </w:rPr>
        <w:footnoteRef/>
      </w:r>
      <w:r>
        <w:t xml:space="preserve"> Kennedy 1985: 157</w:t>
      </w:r>
    </w:p>
  </w:footnote>
  <w:footnote w:id="44">
    <w:p w14:paraId="30380BC7" w14:textId="77777777" w:rsidR="00801E64" w:rsidRDefault="00801E64" w:rsidP="00801E64">
      <w:pPr>
        <w:pStyle w:val="FootnoteText"/>
      </w:pPr>
      <w:r>
        <w:rPr>
          <w:rStyle w:val="FootnoteReference"/>
        </w:rPr>
        <w:footnoteRef/>
      </w:r>
      <w:r>
        <w:t xml:space="preserve"> Zitterkopf and Sidebotham 1989: 170</w:t>
      </w:r>
    </w:p>
  </w:footnote>
  <w:footnote w:id="45">
    <w:p w14:paraId="71289EEA" w14:textId="77777777" w:rsidR="00801E64" w:rsidRDefault="00801E64" w:rsidP="00801E64">
      <w:pPr>
        <w:pStyle w:val="FootnoteText"/>
      </w:pPr>
      <w:r>
        <w:rPr>
          <w:rStyle w:val="FootnoteReference"/>
        </w:rPr>
        <w:footnoteRef/>
      </w:r>
      <w:r>
        <w:t xml:space="preserve"> Sidebotham, Zitterkopf and Helms 2000: 122</w:t>
      </w:r>
    </w:p>
  </w:footnote>
  <w:footnote w:id="46">
    <w:p w14:paraId="3E657E1B" w14:textId="77777777" w:rsidR="00801E64" w:rsidRDefault="00801E64" w:rsidP="00801E64">
      <w:pPr>
        <w:pStyle w:val="FootnoteText"/>
      </w:pPr>
      <w:r>
        <w:rPr>
          <w:rStyle w:val="FootnoteReference"/>
        </w:rPr>
        <w:footnoteRef/>
      </w:r>
      <w:r>
        <w:t xml:space="preserve"> Sidebotham, Zitterkopf and Helms 2000: 71</w:t>
      </w:r>
    </w:p>
  </w:footnote>
  <w:footnote w:id="47">
    <w:p w14:paraId="56A39877" w14:textId="77777777" w:rsidR="00801E64" w:rsidRDefault="00801E64" w:rsidP="00801E64">
      <w:pPr>
        <w:pStyle w:val="FootnoteText"/>
      </w:pPr>
      <w:r>
        <w:rPr>
          <w:rStyle w:val="FootnoteReference"/>
        </w:rPr>
        <w:footnoteRef/>
      </w:r>
      <w:r>
        <w:t xml:space="preserve"> Sidebotham, Zitterkopf and Helms 2000: 72</w:t>
      </w:r>
    </w:p>
  </w:footnote>
  <w:footnote w:id="48">
    <w:p w14:paraId="5D1CF215" w14:textId="77777777" w:rsidR="00801E64" w:rsidRDefault="00801E64" w:rsidP="00801E64">
      <w:pPr>
        <w:pStyle w:val="FootnoteText"/>
      </w:pPr>
      <w:r>
        <w:rPr>
          <w:rStyle w:val="FootnoteReference"/>
        </w:rPr>
        <w:footnoteRef/>
      </w:r>
      <w:r>
        <w:t xml:space="preserve"> Adams 2007: 205</w:t>
      </w:r>
    </w:p>
  </w:footnote>
  <w:footnote w:id="49">
    <w:p w14:paraId="3A7FFC33" w14:textId="77777777" w:rsidR="00801E64" w:rsidRDefault="00801E64" w:rsidP="00801E64">
      <w:pPr>
        <w:pStyle w:val="FootnoteText"/>
      </w:pPr>
      <w:r>
        <w:rPr>
          <w:rStyle w:val="FootnoteReference"/>
        </w:rPr>
        <w:footnoteRef/>
      </w:r>
      <w:r>
        <w:t xml:space="preserve"> Adams 2007: 196</w:t>
      </w:r>
    </w:p>
  </w:footnote>
  <w:footnote w:id="50">
    <w:p w14:paraId="5AFB11EF" w14:textId="77777777" w:rsidR="00801E64" w:rsidRDefault="00801E64" w:rsidP="00801E64">
      <w:pPr>
        <w:pStyle w:val="FootnoteText"/>
      </w:pPr>
      <w:r>
        <w:rPr>
          <w:rStyle w:val="FootnoteReference"/>
        </w:rPr>
        <w:footnoteRef/>
      </w:r>
      <w:r>
        <w:t xml:space="preserve"> Adams 1995: 120</w:t>
      </w:r>
    </w:p>
  </w:footnote>
  <w:footnote w:id="51">
    <w:p w14:paraId="6CEBDCC2" w14:textId="77777777" w:rsidR="00801E64" w:rsidRDefault="00801E64" w:rsidP="00801E64">
      <w:pPr>
        <w:pStyle w:val="FootnoteText"/>
      </w:pPr>
      <w:r>
        <w:rPr>
          <w:rStyle w:val="FootnoteReference"/>
        </w:rPr>
        <w:footnoteRef/>
      </w:r>
      <w:r>
        <w:t xml:space="preserve"> Adams 2007: 213</w:t>
      </w:r>
    </w:p>
  </w:footnote>
  <w:footnote w:id="52">
    <w:p w14:paraId="2F80DDA3" w14:textId="77777777" w:rsidR="00801E64" w:rsidRDefault="00801E64" w:rsidP="00801E64">
      <w:pPr>
        <w:pStyle w:val="FootnoteText"/>
      </w:pPr>
      <w:r>
        <w:rPr>
          <w:rStyle w:val="FootnoteReference"/>
        </w:rPr>
        <w:footnoteRef/>
      </w:r>
      <w:r>
        <w:t xml:space="preserve"> Sidebotham, Zitterkopf and Helms 2000: 69</w:t>
      </w:r>
    </w:p>
  </w:footnote>
  <w:footnote w:id="53">
    <w:p w14:paraId="7DC38410" w14:textId="77777777" w:rsidR="00801E64" w:rsidRDefault="00801E64" w:rsidP="00801E64">
      <w:pPr>
        <w:pStyle w:val="FootnoteText"/>
      </w:pPr>
      <w:r>
        <w:rPr>
          <w:rStyle w:val="FootnoteReference"/>
        </w:rPr>
        <w:footnoteRef/>
      </w:r>
      <w:r>
        <w:t xml:space="preserve"> Adams 2007: 215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ADE25" w14:textId="77777777" w:rsidR="0096135E" w:rsidRDefault="0096135E">
    <w:pPr>
      <w:pStyle w:val="Header"/>
    </w:pPr>
    <w:r>
      <w:t>Tomas Sharpe</w:t>
    </w:r>
    <w:r>
      <w:tab/>
    </w:r>
    <w:r>
      <w:tab/>
      <w:t>1500326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C47D9A"/>
    <w:multiLevelType w:val="hybridMultilevel"/>
    <w:tmpl w:val="9126E74C"/>
    <w:lvl w:ilvl="0" w:tplc="3DD2EC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IwNDE2MDMzsTQzNzJQ0lEKTi0uzszPAykwrgUAMXNvfiwAAAA="/>
  </w:docVars>
  <w:rsids>
    <w:rsidRoot w:val="001626CA"/>
    <w:rsid w:val="00002054"/>
    <w:rsid w:val="000037D6"/>
    <w:rsid w:val="00050A80"/>
    <w:rsid w:val="000578E5"/>
    <w:rsid w:val="00060767"/>
    <w:rsid w:val="00095C13"/>
    <w:rsid w:val="001149D1"/>
    <w:rsid w:val="00160C9C"/>
    <w:rsid w:val="001626CA"/>
    <w:rsid w:val="002A3184"/>
    <w:rsid w:val="002C2FCB"/>
    <w:rsid w:val="002D3030"/>
    <w:rsid w:val="002E0204"/>
    <w:rsid w:val="00346DD9"/>
    <w:rsid w:val="003475FF"/>
    <w:rsid w:val="00361230"/>
    <w:rsid w:val="00385AA7"/>
    <w:rsid w:val="003C06C1"/>
    <w:rsid w:val="003D4918"/>
    <w:rsid w:val="0043049D"/>
    <w:rsid w:val="00496EF0"/>
    <w:rsid w:val="00592708"/>
    <w:rsid w:val="005D6B32"/>
    <w:rsid w:val="007239FE"/>
    <w:rsid w:val="0074303E"/>
    <w:rsid w:val="00774F5B"/>
    <w:rsid w:val="007A0F34"/>
    <w:rsid w:val="00801E64"/>
    <w:rsid w:val="00824912"/>
    <w:rsid w:val="00850A13"/>
    <w:rsid w:val="008F4EA9"/>
    <w:rsid w:val="0096135E"/>
    <w:rsid w:val="00974047"/>
    <w:rsid w:val="009A634A"/>
    <w:rsid w:val="009C7F0B"/>
    <w:rsid w:val="009F2D39"/>
    <w:rsid w:val="00A255DF"/>
    <w:rsid w:val="00A341AE"/>
    <w:rsid w:val="00A65472"/>
    <w:rsid w:val="00A65C5A"/>
    <w:rsid w:val="00B218CF"/>
    <w:rsid w:val="00B748D4"/>
    <w:rsid w:val="00B95683"/>
    <w:rsid w:val="00BF4F93"/>
    <w:rsid w:val="00C57B5B"/>
    <w:rsid w:val="00C877B6"/>
    <w:rsid w:val="00C96AC7"/>
    <w:rsid w:val="00D0074E"/>
    <w:rsid w:val="00D26336"/>
    <w:rsid w:val="00D62F94"/>
    <w:rsid w:val="00D71AD1"/>
    <w:rsid w:val="00D9015C"/>
    <w:rsid w:val="00E00B46"/>
    <w:rsid w:val="00E075CD"/>
    <w:rsid w:val="00E64A16"/>
    <w:rsid w:val="00E77CF1"/>
    <w:rsid w:val="00EF14AC"/>
    <w:rsid w:val="00EF7AFC"/>
    <w:rsid w:val="00F37D79"/>
    <w:rsid w:val="00F41ADC"/>
    <w:rsid w:val="00F615A6"/>
    <w:rsid w:val="00F94314"/>
    <w:rsid w:val="00FF6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770B3"/>
  <w15:chartTrackingRefBased/>
  <w15:docId w15:val="{50592C2B-B830-4C11-8826-D07F2EC15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4F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4F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626C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26C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1626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6CA"/>
  </w:style>
  <w:style w:type="paragraph" w:styleId="Footer">
    <w:name w:val="footer"/>
    <w:basedOn w:val="Normal"/>
    <w:link w:val="FooterChar"/>
    <w:uiPriority w:val="99"/>
    <w:unhideWhenUsed/>
    <w:rsid w:val="001626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6CA"/>
  </w:style>
  <w:style w:type="paragraph" w:styleId="FootnoteText">
    <w:name w:val="footnote text"/>
    <w:basedOn w:val="Normal"/>
    <w:link w:val="FootnoteTextChar"/>
    <w:uiPriority w:val="99"/>
    <w:semiHidden/>
    <w:unhideWhenUsed/>
    <w:rsid w:val="001626C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26CA"/>
    <w:rPr>
      <w:sz w:val="20"/>
      <w:szCs w:val="20"/>
    </w:rPr>
  </w:style>
  <w:style w:type="character" w:styleId="FootnoteReference">
    <w:name w:val="footnote reference"/>
    <w:basedOn w:val="DefaultParagraphFont"/>
    <w:uiPriority w:val="99"/>
    <w:semiHidden/>
    <w:unhideWhenUsed/>
    <w:rsid w:val="001626CA"/>
    <w:rPr>
      <w:vertAlign w:val="superscript"/>
    </w:rPr>
  </w:style>
  <w:style w:type="paragraph" w:styleId="EndnoteText">
    <w:name w:val="endnote text"/>
    <w:basedOn w:val="Normal"/>
    <w:link w:val="EndnoteTextChar"/>
    <w:uiPriority w:val="99"/>
    <w:semiHidden/>
    <w:unhideWhenUsed/>
    <w:rsid w:val="00E64A1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64A16"/>
    <w:rPr>
      <w:sz w:val="20"/>
      <w:szCs w:val="20"/>
    </w:rPr>
  </w:style>
  <w:style w:type="character" w:styleId="EndnoteReference">
    <w:name w:val="endnote reference"/>
    <w:basedOn w:val="DefaultParagraphFont"/>
    <w:uiPriority w:val="99"/>
    <w:semiHidden/>
    <w:unhideWhenUsed/>
    <w:rsid w:val="00E64A16"/>
    <w:rPr>
      <w:vertAlign w:val="superscript"/>
    </w:rPr>
  </w:style>
  <w:style w:type="character" w:styleId="CommentReference">
    <w:name w:val="annotation reference"/>
    <w:basedOn w:val="DefaultParagraphFont"/>
    <w:uiPriority w:val="99"/>
    <w:semiHidden/>
    <w:unhideWhenUsed/>
    <w:rsid w:val="00BF4F93"/>
    <w:rPr>
      <w:sz w:val="16"/>
      <w:szCs w:val="16"/>
    </w:rPr>
  </w:style>
  <w:style w:type="paragraph" w:styleId="CommentText">
    <w:name w:val="annotation text"/>
    <w:basedOn w:val="Normal"/>
    <w:link w:val="CommentTextChar"/>
    <w:uiPriority w:val="99"/>
    <w:semiHidden/>
    <w:unhideWhenUsed/>
    <w:rsid w:val="00BF4F93"/>
    <w:pPr>
      <w:spacing w:line="240" w:lineRule="auto"/>
    </w:pPr>
    <w:rPr>
      <w:sz w:val="20"/>
      <w:szCs w:val="20"/>
    </w:rPr>
  </w:style>
  <w:style w:type="character" w:customStyle="1" w:styleId="CommentTextChar">
    <w:name w:val="Comment Text Char"/>
    <w:basedOn w:val="DefaultParagraphFont"/>
    <w:link w:val="CommentText"/>
    <w:uiPriority w:val="99"/>
    <w:semiHidden/>
    <w:rsid w:val="00BF4F93"/>
    <w:rPr>
      <w:sz w:val="20"/>
      <w:szCs w:val="20"/>
    </w:rPr>
  </w:style>
  <w:style w:type="paragraph" w:styleId="CommentSubject">
    <w:name w:val="annotation subject"/>
    <w:basedOn w:val="CommentText"/>
    <w:next w:val="CommentText"/>
    <w:link w:val="CommentSubjectChar"/>
    <w:uiPriority w:val="99"/>
    <w:semiHidden/>
    <w:unhideWhenUsed/>
    <w:rsid w:val="00BF4F93"/>
    <w:rPr>
      <w:b/>
      <w:bCs/>
    </w:rPr>
  </w:style>
  <w:style w:type="character" w:customStyle="1" w:styleId="CommentSubjectChar">
    <w:name w:val="Comment Subject Char"/>
    <w:basedOn w:val="CommentTextChar"/>
    <w:link w:val="CommentSubject"/>
    <w:uiPriority w:val="99"/>
    <w:semiHidden/>
    <w:rsid w:val="00BF4F93"/>
    <w:rPr>
      <w:b/>
      <w:bCs/>
      <w:sz w:val="20"/>
      <w:szCs w:val="20"/>
    </w:rPr>
  </w:style>
  <w:style w:type="paragraph" w:styleId="BalloonText">
    <w:name w:val="Balloon Text"/>
    <w:basedOn w:val="Normal"/>
    <w:link w:val="BalloonTextChar"/>
    <w:uiPriority w:val="99"/>
    <w:semiHidden/>
    <w:unhideWhenUsed/>
    <w:rsid w:val="00BF4F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4F93"/>
    <w:rPr>
      <w:rFonts w:ascii="Segoe UI" w:hAnsi="Segoe UI" w:cs="Segoe UI"/>
      <w:sz w:val="18"/>
      <w:szCs w:val="18"/>
    </w:rPr>
  </w:style>
  <w:style w:type="character" w:customStyle="1" w:styleId="Heading1Char">
    <w:name w:val="Heading 1 Char"/>
    <w:basedOn w:val="DefaultParagraphFont"/>
    <w:link w:val="Heading1"/>
    <w:uiPriority w:val="9"/>
    <w:rsid w:val="00BF4F9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F4F9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F4F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0B4E2-221F-4F5C-8BD3-81EF25316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4694</Words>
  <Characters>22814</Characters>
  <Application>Microsoft Office Word</Application>
  <DocSecurity>0</DocSecurity>
  <Lines>430</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Sharpe</dc:creator>
  <cp:keywords/>
  <dc:description/>
  <cp:lastModifiedBy>Tomas Sharpe</cp:lastModifiedBy>
  <cp:revision>4</cp:revision>
  <dcterms:created xsi:type="dcterms:W3CDTF">2020-01-16T19:58:00Z</dcterms:created>
  <dcterms:modified xsi:type="dcterms:W3CDTF">2020-01-16T20:02:00Z</dcterms:modified>
</cp:coreProperties>
</file>