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DA17B"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 xml:space="preserve">Student name: Rosena Lucy </w:t>
      </w:r>
    </w:p>
    <w:p w14:paraId="6538C106"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Student ID: 2210256</w:t>
      </w:r>
    </w:p>
    <w:p w14:paraId="4D51FF1C"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Programme: MSc Public Health and Social Care in Practice</w:t>
      </w:r>
    </w:p>
    <w:p w14:paraId="5DB4BFA5"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 xml:space="preserve">Module: Health Care System, Organisation and Leadership    </w:t>
      </w:r>
    </w:p>
    <w:p w14:paraId="7A28FB0C"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Module code: LCHS7002</w:t>
      </w:r>
    </w:p>
    <w:p w14:paraId="113400F6"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Lecturer:</w:t>
      </w: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ab/>
        <w:t>Dr Fahad Khan</w:t>
      </w:r>
    </w:p>
    <w:p w14:paraId="13158BC0"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Assignment Title:</w:t>
      </w: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ab/>
        <w:t xml:space="preserve">Case Study Analysis Report:   </w:t>
      </w:r>
    </w:p>
    <w:p w14:paraId="3C9F08EF"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 xml:space="preserve">Comparative report on COVID19 leadership responses     </w:t>
      </w:r>
    </w:p>
    <w:p w14:paraId="3C269DE7"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p>
    <w:p w14:paraId="30848208"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p>
    <w:p w14:paraId="667D41F3" w14:textId="77777777" w:rsidR="00172CB7" w:rsidRPr="00172CB7" w:rsidRDefault="00172CB7" w:rsidP="00172CB7">
      <w:pPr>
        <w:rPr>
          <w:rFonts w:ascii="Aptos" w:eastAsia="Aptos" w:hAnsi="Aptos" w:cs="Times New Roman"/>
        </w:rPr>
      </w:pPr>
    </w:p>
    <w:p w14:paraId="6E57E755" w14:textId="77777777" w:rsidR="00172CB7" w:rsidRPr="00172CB7" w:rsidRDefault="00172CB7" w:rsidP="00172CB7">
      <w:pPr>
        <w:rPr>
          <w:rFonts w:ascii="Aptos" w:eastAsia="Aptos" w:hAnsi="Aptos" w:cs="Times New Roman"/>
        </w:rPr>
      </w:pPr>
    </w:p>
    <w:p w14:paraId="3D52A2D6" w14:textId="77777777" w:rsidR="00172CB7" w:rsidRPr="00172CB7" w:rsidRDefault="00172CB7" w:rsidP="00172CB7">
      <w:pPr>
        <w:rPr>
          <w:rFonts w:ascii="Aptos" w:eastAsia="Aptos" w:hAnsi="Aptos" w:cs="Times New Roman"/>
        </w:rPr>
      </w:pPr>
    </w:p>
    <w:p w14:paraId="263DC86E" w14:textId="77777777" w:rsidR="00172CB7" w:rsidRPr="00172CB7" w:rsidRDefault="00172CB7" w:rsidP="00172CB7">
      <w:pPr>
        <w:rPr>
          <w:rFonts w:ascii="Aptos" w:eastAsia="Aptos" w:hAnsi="Aptos" w:cs="Times New Roman"/>
        </w:rPr>
      </w:pPr>
    </w:p>
    <w:p w14:paraId="2B3EF1E3" w14:textId="77777777" w:rsidR="00172CB7" w:rsidRPr="00172CB7" w:rsidRDefault="00172CB7" w:rsidP="00172CB7">
      <w:pPr>
        <w:rPr>
          <w:rFonts w:ascii="Aptos" w:eastAsia="Aptos" w:hAnsi="Aptos" w:cs="Times New Roman"/>
        </w:rPr>
      </w:pPr>
    </w:p>
    <w:p w14:paraId="28D267B6" w14:textId="77777777" w:rsidR="00172CB7" w:rsidRPr="00172CB7" w:rsidRDefault="00172CB7" w:rsidP="00172CB7">
      <w:pPr>
        <w:rPr>
          <w:rFonts w:ascii="Aptos" w:eastAsia="Aptos" w:hAnsi="Aptos" w:cs="Times New Roman"/>
        </w:rPr>
      </w:pPr>
    </w:p>
    <w:p w14:paraId="204FCF66" w14:textId="77777777" w:rsidR="00172CB7" w:rsidRDefault="00172CB7" w:rsidP="00172CB7">
      <w:bookmarkStart w:id="0" w:name="_Toc209848340"/>
    </w:p>
    <w:p w14:paraId="7E9DAF7B" w14:textId="77777777" w:rsidR="00172CB7" w:rsidRDefault="00172CB7" w:rsidP="00172CB7"/>
    <w:p w14:paraId="775CCA89" w14:textId="77777777" w:rsidR="00172CB7" w:rsidRDefault="00172CB7" w:rsidP="00172CB7"/>
    <w:p w14:paraId="5C280CA7" w14:textId="77777777" w:rsidR="00172CB7" w:rsidRPr="00172CB7" w:rsidRDefault="00172CB7" w:rsidP="00172CB7">
      <w:pPr>
        <w:rPr>
          <w:rFonts w:ascii="Aptos Display" w:eastAsia="Times New Roman" w:hAnsi="Aptos Display"/>
          <w:color w:val="0F4761"/>
          <w:sz w:val="40"/>
          <w:szCs w:val="40"/>
        </w:rPr>
      </w:pPr>
    </w:p>
    <w:p w14:paraId="19687F5E" w14:textId="77777777" w:rsidR="00172CB7" w:rsidRDefault="00172CB7" w:rsidP="00172CB7">
      <w:pPr>
        <w:rPr>
          <w:rFonts w:ascii="Aptos Display" w:eastAsia="Times New Roman" w:hAnsi="Aptos Display"/>
          <w:b/>
          <w:bCs/>
          <w:sz w:val="40"/>
          <w:szCs w:val="40"/>
        </w:rPr>
      </w:pPr>
    </w:p>
    <w:sdt>
      <w:sdtPr>
        <w:rPr>
          <w:rFonts w:asciiTheme="minorHAnsi" w:eastAsiaTheme="minorHAnsi" w:hAnsiTheme="minorHAnsi" w:cstheme="minorBidi"/>
          <w:color w:val="auto"/>
          <w:kern w:val="2"/>
          <w:sz w:val="24"/>
          <w:szCs w:val="24"/>
          <w:lang w:val="en-GB"/>
          <w14:ligatures w14:val="standardContextual"/>
        </w:rPr>
        <w:id w:val="-371767872"/>
        <w:docPartObj>
          <w:docPartGallery w:val="Table of Contents"/>
          <w:docPartUnique/>
        </w:docPartObj>
      </w:sdtPr>
      <w:sdtEndPr>
        <w:rPr>
          <w:b/>
          <w:bCs/>
          <w:noProof/>
        </w:rPr>
      </w:sdtEndPr>
      <w:sdtContent>
        <w:p w14:paraId="136895A7" w14:textId="23E72110" w:rsidR="008D2E06" w:rsidRDefault="008D2E06">
          <w:pPr>
            <w:pStyle w:val="TOCHeading"/>
          </w:pPr>
          <w:r>
            <w:t>Table of Contents</w:t>
          </w:r>
        </w:p>
        <w:p w14:paraId="41A8B4E6" w14:textId="1030D3DD" w:rsidR="004D2799" w:rsidRDefault="008D2E0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439686" w:history="1">
            <w:r w:rsidR="004D2799" w:rsidRPr="00733201">
              <w:rPr>
                <w:rStyle w:val="Hyperlink"/>
                <w:rFonts w:eastAsia="Times New Roman"/>
                <w:noProof/>
              </w:rPr>
              <w:t>1.0 Introduction</w:t>
            </w:r>
            <w:r w:rsidR="004D2799">
              <w:rPr>
                <w:noProof/>
                <w:webHidden/>
              </w:rPr>
              <w:tab/>
            </w:r>
            <w:r w:rsidR="004D2799">
              <w:rPr>
                <w:noProof/>
                <w:webHidden/>
              </w:rPr>
              <w:fldChar w:fldCharType="begin"/>
            </w:r>
            <w:r w:rsidR="004D2799">
              <w:rPr>
                <w:noProof/>
                <w:webHidden/>
              </w:rPr>
              <w:instrText xml:space="preserve"> PAGEREF _Toc212439686 \h </w:instrText>
            </w:r>
            <w:r w:rsidR="004D2799">
              <w:rPr>
                <w:noProof/>
                <w:webHidden/>
              </w:rPr>
            </w:r>
            <w:r w:rsidR="004D2799">
              <w:rPr>
                <w:noProof/>
                <w:webHidden/>
              </w:rPr>
              <w:fldChar w:fldCharType="separate"/>
            </w:r>
            <w:r w:rsidR="004D2799">
              <w:rPr>
                <w:noProof/>
                <w:webHidden/>
              </w:rPr>
              <w:t>3</w:t>
            </w:r>
            <w:r w:rsidR="004D2799">
              <w:rPr>
                <w:noProof/>
                <w:webHidden/>
              </w:rPr>
              <w:fldChar w:fldCharType="end"/>
            </w:r>
          </w:hyperlink>
        </w:p>
        <w:p w14:paraId="0030AC55" w14:textId="76CF2410" w:rsidR="004D2799" w:rsidRDefault="004D2799">
          <w:pPr>
            <w:pStyle w:val="TOC1"/>
            <w:tabs>
              <w:tab w:val="right" w:leader="dot" w:pos="9016"/>
            </w:tabs>
            <w:rPr>
              <w:rFonts w:eastAsiaTheme="minorEastAsia"/>
              <w:noProof/>
              <w:lang w:eastAsia="en-GB"/>
            </w:rPr>
          </w:pPr>
          <w:hyperlink w:anchor="_Toc212439687" w:history="1">
            <w:r w:rsidRPr="00733201">
              <w:rPr>
                <w:rStyle w:val="Hyperlink"/>
                <w:rFonts w:eastAsia="Aptos"/>
                <w:noProof/>
              </w:rPr>
              <w:t>2.0 Rich picture</w:t>
            </w:r>
            <w:r>
              <w:rPr>
                <w:noProof/>
                <w:webHidden/>
              </w:rPr>
              <w:tab/>
            </w:r>
            <w:r>
              <w:rPr>
                <w:noProof/>
                <w:webHidden/>
              </w:rPr>
              <w:fldChar w:fldCharType="begin"/>
            </w:r>
            <w:r>
              <w:rPr>
                <w:noProof/>
                <w:webHidden/>
              </w:rPr>
              <w:instrText xml:space="preserve"> PAGEREF _Toc212439687 \h </w:instrText>
            </w:r>
            <w:r>
              <w:rPr>
                <w:noProof/>
                <w:webHidden/>
              </w:rPr>
            </w:r>
            <w:r>
              <w:rPr>
                <w:noProof/>
                <w:webHidden/>
              </w:rPr>
              <w:fldChar w:fldCharType="separate"/>
            </w:r>
            <w:r>
              <w:rPr>
                <w:noProof/>
                <w:webHidden/>
              </w:rPr>
              <w:t>4</w:t>
            </w:r>
            <w:r>
              <w:rPr>
                <w:noProof/>
                <w:webHidden/>
              </w:rPr>
              <w:fldChar w:fldCharType="end"/>
            </w:r>
          </w:hyperlink>
        </w:p>
        <w:p w14:paraId="664FE502" w14:textId="46D92D0D" w:rsidR="004D2799" w:rsidRDefault="004D2799">
          <w:pPr>
            <w:pStyle w:val="TOC1"/>
            <w:tabs>
              <w:tab w:val="right" w:leader="dot" w:pos="9016"/>
            </w:tabs>
            <w:rPr>
              <w:rFonts w:eastAsiaTheme="minorEastAsia"/>
              <w:noProof/>
              <w:lang w:eastAsia="en-GB"/>
            </w:rPr>
          </w:pPr>
          <w:hyperlink w:anchor="_Toc212439688" w:history="1">
            <w:r w:rsidRPr="00733201">
              <w:rPr>
                <w:rStyle w:val="Hyperlink"/>
                <w:noProof/>
              </w:rPr>
              <w:t>SPAIN:</w:t>
            </w:r>
            <w:r>
              <w:rPr>
                <w:noProof/>
                <w:webHidden/>
              </w:rPr>
              <w:tab/>
            </w:r>
            <w:r>
              <w:rPr>
                <w:noProof/>
                <w:webHidden/>
              </w:rPr>
              <w:fldChar w:fldCharType="begin"/>
            </w:r>
            <w:r>
              <w:rPr>
                <w:noProof/>
                <w:webHidden/>
              </w:rPr>
              <w:instrText xml:space="preserve"> PAGEREF _Toc212439688 \h </w:instrText>
            </w:r>
            <w:r>
              <w:rPr>
                <w:noProof/>
                <w:webHidden/>
              </w:rPr>
            </w:r>
            <w:r>
              <w:rPr>
                <w:noProof/>
                <w:webHidden/>
              </w:rPr>
              <w:fldChar w:fldCharType="separate"/>
            </w:r>
            <w:r>
              <w:rPr>
                <w:noProof/>
                <w:webHidden/>
              </w:rPr>
              <w:t>4</w:t>
            </w:r>
            <w:r>
              <w:rPr>
                <w:noProof/>
                <w:webHidden/>
              </w:rPr>
              <w:fldChar w:fldCharType="end"/>
            </w:r>
          </w:hyperlink>
        </w:p>
        <w:p w14:paraId="22117D68" w14:textId="2B0C3C8C" w:rsidR="004D2799" w:rsidRDefault="004D2799">
          <w:pPr>
            <w:pStyle w:val="TOC1"/>
            <w:tabs>
              <w:tab w:val="right" w:leader="dot" w:pos="9016"/>
            </w:tabs>
            <w:rPr>
              <w:rFonts w:eastAsiaTheme="minorEastAsia"/>
              <w:noProof/>
              <w:lang w:eastAsia="en-GB"/>
            </w:rPr>
          </w:pPr>
          <w:hyperlink w:anchor="_Toc212439689" w:history="1">
            <w:r w:rsidRPr="00733201">
              <w:rPr>
                <w:rStyle w:val="Hyperlink"/>
                <w:noProof/>
              </w:rPr>
              <w:t>SOUTH KOREA:</w:t>
            </w:r>
            <w:r>
              <w:rPr>
                <w:noProof/>
                <w:webHidden/>
              </w:rPr>
              <w:tab/>
            </w:r>
            <w:r>
              <w:rPr>
                <w:noProof/>
                <w:webHidden/>
              </w:rPr>
              <w:fldChar w:fldCharType="begin"/>
            </w:r>
            <w:r>
              <w:rPr>
                <w:noProof/>
                <w:webHidden/>
              </w:rPr>
              <w:instrText xml:space="preserve"> PAGEREF _Toc212439689 \h </w:instrText>
            </w:r>
            <w:r>
              <w:rPr>
                <w:noProof/>
                <w:webHidden/>
              </w:rPr>
            </w:r>
            <w:r>
              <w:rPr>
                <w:noProof/>
                <w:webHidden/>
              </w:rPr>
              <w:fldChar w:fldCharType="separate"/>
            </w:r>
            <w:r>
              <w:rPr>
                <w:noProof/>
                <w:webHidden/>
              </w:rPr>
              <w:t>5</w:t>
            </w:r>
            <w:r>
              <w:rPr>
                <w:noProof/>
                <w:webHidden/>
              </w:rPr>
              <w:fldChar w:fldCharType="end"/>
            </w:r>
          </w:hyperlink>
        </w:p>
        <w:p w14:paraId="1404D46D" w14:textId="128EFEB2" w:rsidR="004D2799" w:rsidRDefault="004D2799">
          <w:pPr>
            <w:pStyle w:val="TOC1"/>
            <w:tabs>
              <w:tab w:val="right" w:leader="dot" w:pos="9016"/>
            </w:tabs>
            <w:rPr>
              <w:rFonts w:eastAsiaTheme="minorEastAsia"/>
              <w:noProof/>
              <w:lang w:eastAsia="en-GB"/>
            </w:rPr>
          </w:pPr>
          <w:hyperlink w:anchor="_Toc212439690" w:history="1">
            <w:r w:rsidRPr="00733201">
              <w:rPr>
                <w:rStyle w:val="Hyperlink"/>
                <w:noProof/>
              </w:rPr>
              <w:t>CANADA:</w:t>
            </w:r>
            <w:r>
              <w:rPr>
                <w:noProof/>
                <w:webHidden/>
              </w:rPr>
              <w:tab/>
            </w:r>
            <w:r>
              <w:rPr>
                <w:noProof/>
                <w:webHidden/>
              </w:rPr>
              <w:fldChar w:fldCharType="begin"/>
            </w:r>
            <w:r>
              <w:rPr>
                <w:noProof/>
                <w:webHidden/>
              </w:rPr>
              <w:instrText xml:space="preserve"> PAGEREF _Toc212439690 \h </w:instrText>
            </w:r>
            <w:r>
              <w:rPr>
                <w:noProof/>
                <w:webHidden/>
              </w:rPr>
            </w:r>
            <w:r>
              <w:rPr>
                <w:noProof/>
                <w:webHidden/>
              </w:rPr>
              <w:fldChar w:fldCharType="separate"/>
            </w:r>
            <w:r>
              <w:rPr>
                <w:noProof/>
                <w:webHidden/>
              </w:rPr>
              <w:t>7</w:t>
            </w:r>
            <w:r>
              <w:rPr>
                <w:noProof/>
                <w:webHidden/>
              </w:rPr>
              <w:fldChar w:fldCharType="end"/>
            </w:r>
          </w:hyperlink>
        </w:p>
        <w:p w14:paraId="185624AE" w14:textId="79C13E56" w:rsidR="004D2799" w:rsidRDefault="004D2799">
          <w:pPr>
            <w:pStyle w:val="TOC2"/>
            <w:tabs>
              <w:tab w:val="right" w:leader="dot" w:pos="9016"/>
            </w:tabs>
            <w:rPr>
              <w:rFonts w:eastAsiaTheme="minorEastAsia"/>
              <w:noProof/>
              <w:lang w:eastAsia="en-GB"/>
            </w:rPr>
          </w:pPr>
          <w:hyperlink w:anchor="_Toc212439691" w:history="1">
            <w:r w:rsidRPr="00733201">
              <w:rPr>
                <w:rStyle w:val="Hyperlink"/>
                <w:noProof/>
              </w:rPr>
              <w:t>COVID-19 Statistics and Equity Overview</w:t>
            </w:r>
            <w:r>
              <w:rPr>
                <w:noProof/>
                <w:webHidden/>
              </w:rPr>
              <w:tab/>
            </w:r>
            <w:r>
              <w:rPr>
                <w:noProof/>
                <w:webHidden/>
              </w:rPr>
              <w:fldChar w:fldCharType="begin"/>
            </w:r>
            <w:r>
              <w:rPr>
                <w:noProof/>
                <w:webHidden/>
              </w:rPr>
              <w:instrText xml:space="preserve"> PAGEREF _Toc212439691 \h </w:instrText>
            </w:r>
            <w:r>
              <w:rPr>
                <w:noProof/>
                <w:webHidden/>
              </w:rPr>
            </w:r>
            <w:r>
              <w:rPr>
                <w:noProof/>
                <w:webHidden/>
              </w:rPr>
              <w:fldChar w:fldCharType="separate"/>
            </w:r>
            <w:r>
              <w:rPr>
                <w:noProof/>
                <w:webHidden/>
              </w:rPr>
              <w:t>9</w:t>
            </w:r>
            <w:r>
              <w:rPr>
                <w:noProof/>
                <w:webHidden/>
              </w:rPr>
              <w:fldChar w:fldCharType="end"/>
            </w:r>
          </w:hyperlink>
        </w:p>
        <w:p w14:paraId="3BC9DAD6" w14:textId="5132A6AD" w:rsidR="004D2799" w:rsidRDefault="004D2799">
          <w:pPr>
            <w:pStyle w:val="TOC1"/>
            <w:tabs>
              <w:tab w:val="right" w:leader="dot" w:pos="9016"/>
            </w:tabs>
            <w:rPr>
              <w:rFonts w:eastAsiaTheme="minorEastAsia"/>
              <w:noProof/>
              <w:lang w:eastAsia="en-GB"/>
            </w:rPr>
          </w:pPr>
          <w:hyperlink w:anchor="_Toc212439692" w:history="1">
            <w:r w:rsidRPr="00733201">
              <w:rPr>
                <w:rStyle w:val="Hyperlink"/>
                <w:noProof/>
              </w:rPr>
              <w:t>3.0 Centralised and Decentralised.</w:t>
            </w:r>
            <w:r>
              <w:rPr>
                <w:noProof/>
                <w:webHidden/>
              </w:rPr>
              <w:tab/>
            </w:r>
            <w:r>
              <w:rPr>
                <w:noProof/>
                <w:webHidden/>
              </w:rPr>
              <w:fldChar w:fldCharType="begin"/>
            </w:r>
            <w:r>
              <w:rPr>
                <w:noProof/>
                <w:webHidden/>
              </w:rPr>
              <w:instrText xml:space="preserve"> PAGEREF _Toc212439692 \h </w:instrText>
            </w:r>
            <w:r>
              <w:rPr>
                <w:noProof/>
                <w:webHidden/>
              </w:rPr>
            </w:r>
            <w:r>
              <w:rPr>
                <w:noProof/>
                <w:webHidden/>
              </w:rPr>
              <w:fldChar w:fldCharType="separate"/>
            </w:r>
            <w:r>
              <w:rPr>
                <w:noProof/>
                <w:webHidden/>
              </w:rPr>
              <w:t>10</w:t>
            </w:r>
            <w:r>
              <w:rPr>
                <w:noProof/>
                <w:webHidden/>
              </w:rPr>
              <w:fldChar w:fldCharType="end"/>
            </w:r>
          </w:hyperlink>
        </w:p>
        <w:p w14:paraId="49DD235A" w14:textId="3769A754" w:rsidR="004D2799" w:rsidRDefault="004D2799">
          <w:pPr>
            <w:pStyle w:val="TOC1"/>
            <w:tabs>
              <w:tab w:val="right" w:leader="dot" w:pos="9016"/>
            </w:tabs>
            <w:rPr>
              <w:rFonts w:eastAsiaTheme="minorEastAsia"/>
              <w:noProof/>
              <w:lang w:eastAsia="en-GB"/>
            </w:rPr>
          </w:pPr>
          <w:hyperlink w:anchor="_Toc212439693" w:history="1">
            <w:r w:rsidRPr="00733201">
              <w:rPr>
                <w:rStyle w:val="Hyperlink"/>
                <w:noProof/>
              </w:rPr>
              <w:t>SPAIN:</w:t>
            </w:r>
            <w:r>
              <w:rPr>
                <w:noProof/>
                <w:webHidden/>
              </w:rPr>
              <w:tab/>
            </w:r>
            <w:r>
              <w:rPr>
                <w:noProof/>
                <w:webHidden/>
              </w:rPr>
              <w:fldChar w:fldCharType="begin"/>
            </w:r>
            <w:r>
              <w:rPr>
                <w:noProof/>
                <w:webHidden/>
              </w:rPr>
              <w:instrText xml:space="preserve"> PAGEREF _Toc212439693 \h </w:instrText>
            </w:r>
            <w:r>
              <w:rPr>
                <w:noProof/>
                <w:webHidden/>
              </w:rPr>
            </w:r>
            <w:r>
              <w:rPr>
                <w:noProof/>
                <w:webHidden/>
              </w:rPr>
              <w:fldChar w:fldCharType="separate"/>
            </w:r>
            <w:r>
              <w:rPr>
                <w:noProof/>
                <w:webHidden/>
              </w:rPr>
              <w:t>10</w:t>
            </w:r>
            <w:r>
              <w:rPr>
                <w:noProof/>
                <w:webHidden/>
              </w:rPr>
              <w:fldChar w:fldCharType="end"/>
            </w:r>
          </w:hyperlink>
        </w:p>
        <w:p w14:paraId="43A204D8" w14:textId="53853742" w:rsidR="004D2799" w:rsidRDefault="004D2799">
          <w:pPr>
            <w:pStyle w:val="TOC1"/>
            <w:tabs>
              <w:tab w:val="right" w:leader="dot" w:pos="9016"/>
            </w:tabs>
            <w:rPr>
              <w:rFonts w:eastAsiaTheme="minorEastAsia"/>
              <w:noProof/>
              <w:lang w:eastAsia="en-GB"/>
            </w:rPr>
          </w:pPr>
          <w:hyperlink w:anchor="_Toc212439694" w:history="1">
            <w:r w:rsidRPr="00733201">
              <w:rPr>
                <w:rStyle w:val="Hyperlink"/>
                <w:noProof/>
              </w:rPr>
              <w:t>CANADA:</w:t>
            </w:r>
            <w:r>
              <w:rPr>
                <w:noProof/>
                <w:webHidden/>
              </w:rPr>
              <w:tab/>
            </w:r>
            <w:r>
              <w:rPr>
                <w:noProof/>
                <w:webHidden/>
              </w:rPr>
              <w:fldChar w:fldCharType="begin"/>
            </w:r>
            <w:r>
              <w:rPr>
                <w:noProof/>
                <w:webHidden/>
              </w:rPr>
              <w:instrText xml:space="preserve"> PAGEREF _Toc212439694 \h </w:instrText>
            </w:r>
            <w:r>
              <w:rPr>
                <w:noProof/>
                <w:webHidden/>
              </w:rPr>
            </w:r>
            <w:r>
              <w:rPr>
                <w:noProof/>
                <w:webHidden/>
              </w:rPr>
              <w:fldChar w:fldCharType="separate"/>
            </w:r>
            <w:r>
              <w:rPr>
                <w:noProof/>
                <w:webHidden/>
              </w:rPr>
              <w:t>11</w:t>
            </w:r>
            <w:r>
              <w:rPr>
                <w:noProof/>
                <w:webHidden/>
              </w:rPr>
              <w:fldChar w:fldCharType="end"/>
            </w:r>
          </w:hyperlink>
        </w:p>
        <w:p w14:paraId="39A0A172" w14:textId="49E66DA1" w:rsidR="004D2799" w:rsidRDefault="004D2799">
          <w:pPr>
            <w:pStyle w:val="TOC1"/>
            <w:tabs>
              <w:tab w:val="right" w:leader="dot" w:pos="9016"/>
            </w:tabs>
            <w:rPr>
              <w:rFonts w:eastAsiaTheme="minorEastAsia"/>
              <w:noProof/>
              <w:lang w:eastAsia="en-GB"/>
            </w:rPr>
          </w:pPr>
          <w:hyperlink w:anchor="_Toc212439695" w:history="1">
            <w:r w:rsidRPr="00733201">
              <w:rPr>
                <w:rStyle w:val="Hyperlink"/>
                <w:noProof/>
              </w:rPr>
              <w:t>SOUTH KOREA:</w:t>
            </w:r>
            <w:r>
              <w:rPr>
                <w:noProof/>
                <w:webHidden/>
              </w:rPr>
              <w:tab/>
            </w:r>
            <w:r>
              <w:rPr>
                <w:noProof/>
                <w:webHidden/>
              </w:rPr>
              <w:fldChar w:fldCharType="begin"/>
            </w:r>
            <w:r>
              <w:rPr>
                <w:noProof/>
                <w:webHidden/>
              </w:rPr>
              <w:instrText xml:space="preserve"> PAGEREF _Toc212439695 \h </w:instrText>
            </w:r>
            <w:r>
              <w:rPr>
                <w:noProof/>
                <w:webHidden/>
              </w:rPr>
            </w:r>
            <w:r>
              <w:rPr>
                <w:noProof/>
                <w:webHidden/>
              </w:rPr>
              <w:fldChar w:fldCharType="separate"/>
            </w:r>
            <w:r>
              <w:rPr>
                <w:noProof/>
                <w:webHidden/>
              </w:rPr>
              <w:t>13</w:t>
            </w:r>
            <w:r>
              <w:rPr>
                <w:noProof/>
                <w:webHidden/>
              </w:rPr>
              <w:fldChar w:fldCharType="end"/>
            </w:r>
          </w:hyperlink>
        </w:p>
        <w:p w14:paraId="625E571F" w14:textId="6E41F594" w:rsidR="004D2799" w:rsidRDefault="004D2799">
          <w:pPr>
            <w:pStyle w:val="TOC2"/>
            <w:tabs>
              <w:tab w:val="right" w:leader="dot" w:pos="9016"/>
            </w:tabs>
            <w:rPr>
              <w:rFonts w:eastAsiaTheme="minorEastAsia"/>
              <w:noProof/>
              <w:lang w:eastAsia="en-GB"/>
            </w:rPr>
          </w:pPr>
          <w:hyperlink w:anchor="_Toc212439696" w:history="1">
            <w:r w:rsidRPr="00733201">
              <w:rPr>
                <w:rStyle w:val="Hyperlink"/>
                <w:noProof/>
              </w:rPr>
              <w:t>4.0 Leadership Styles</w:t>
            </w:r>
            <w:r>
              <w:rPr>
                <w:noProof/>
                <w:webHidden/>
              </w:rPr>
              <w:tab/>
            </w:r>
            <w:r>
              <w:rPr>
                <w:noProof/>
                <w:webHidden/>
              </w:rPr>
              <w:fldChar w:fldCharType="begin"/>
            </w:r>
            <w:r>
              <w:rPr>
                <w:noProof/>
                <w:webHidden/>
              </w:rPr>
              <w:instrText xml:space="preserve"> PAGEREF _Toc212439696 \h </w:instrText>
            </w:r>
            <w:r>
              <w:rPr>
                <w:noProof/>
                <w:webHidden/>
              </w:rPr>
            </w:r>
            <w:r>
              <w:rPr>
                <w:noProof/>
                <w:webHidden/>
              </w:rPr>
              <w:fldChar w:fldCharType="separate"/>
            </w:r>
            <w:r>
              <w:rPr>
                <w:noProof/>
                <w:webHidden/>
              </w:rPr>
              <w:t>14</w:t>
            </w:r>
            <w:r>
              <w:rPr>
                <w:noProof/>
                <w:webHidden/>
              </w:rPr>
              <w:fldChar w:fldCharType="end"/>
            </w:r>
          </w:hyperlink>
        </w:p>
        <w:p w14:paraId="58412FC1" w14:textId="3CB3C477" w:rsidR="004D2799" w:rsidRDefault="004D2799">
          <w:pPr>
            <w:pStyle w:val="TOC2"/>
            <w:tabs>
              <w:tab w:val="right" w:leader="dot" w:pos="9016"/>
            </w:tabs>
            <w:rPr>
              <w:rFonts w:eastAsiaTheme="minorEastAsia"/>
              <w:noProof/>
              <w:lang w:eastAsia="en-GB"/>
            </w:rPr>
          </w:pPr>
          <w:hyperlink w:anchor="_Toc212439697" w:history="1">
            <w:r w:rsidRPr="00733201">
              <w:rPr>
                <w:rStyle w:val="Hyperlink"/>
                <w:noProof/>
              </w:rPr>
              <w:t>Leadership Theories X, Y, Z to Country Responses</w:t>
            </w:r>
            <w:r>
              <w:rPr>
                <w:noProof/>
                <w:webHidden/>
              </w:rPr>
              <w:tab/>
            </w:r>
            <w:r>
              <w:rPr>
                <w:noProof/>
                <w:webHidden/>
              </w:rPr>
              <w:fldChar w:fldCharType="begin"/>
            </w:r>
            <w:r>
              <w:rPr>
                <w:noProof/>
                <w:webHidden/>
              </w:rPr>
              <w:instrText xml:space="preserve"> PAGEREF _Toc212439697 \h </w:instrText>
            </w:r>
            <w:r>
              <w:rPr>
                <w:noProof/>
                <w:webHidden/>
              </w:rPr>
            </w:r>
            <w:r>
              <w:rPr>
                <w:noProof/>
                <w:webHidden/>
              </w:rPr>
              <w:fldChar w:fldCharType="separate"/>
            </w:r>
            <w:r>
              <w:rPr>
                <w:noProof/>
                <w:webHidden/>
              </w:rPr>
              <w:t>16</w:t>
            </w:r>
            <w:r>
              <w:rPr>
                <w:noProof/>
                <w:webHidden/>
              </w:rPr>
              <w:fldChar w:fldCharType="end"/>
            </w:r>
          </w:hyperlink>
        </w:p>
        <w:p w14:paraId="57D1E3BE" w14:textId="1DF71302" w:rsidR="004D2799" w:rsidRDefault="004D2799">
          <w:pPr>
            <w:pStyle w:val="TOC1"/>
            <w:tabs>
              <w:tab w:val="right" w:leader="dot" w:pos="9016"/>
            </w:tabs>
            <w:rPr>
              <w:rFonts w:eastAsiaTheme="minorEastAsia"/>
              <w:noProof/>
              <w:lang w:eastAsia="en-GB"/>
            </w:rPr>
          </w:pPr>
          <w:hyperlink w:anchor="_Toc212439698" w:history="1">
            <w:r w:rsidRPr="00733201">
              <w:rPr>
                <w:rStyle w:val="Hyperlink"/>
                <w:noProof/>
              </w:rPr>
              <w:t>4.1 SPAIN</w:t>
            </w:r>
            <w:r>
              <w:rPr>
                <w:noProof/>
                <w:webHidden/>
              </w:rPr>
              <w:tab/>
            </w:r>
            <w:r>
              <w:rPr>
                <w:noProof/>
                <w:webHidden/>
              </w:rPr>
              <w:fldChar w:fldCharType="begin"/>
            </w:r>
            <w:r>
              <w:rPr>
                <w:noProof/>
                <w:webHidden/>
              </w:rPr>
              <w:instrText xml:space="preserve"> PAGEREF _Toc212439698 \h </w:instrText>
            </w:r>
            <w:r>
              <w:rPr>
                <w:noProof/>
                <w:webHidden/>
              </w:rPr>
            </w:r>
            <w:r>
              <w:rPr>
                <w:noProof/>
                <w:webHidden/>
              </w:rPr>
              <w:fldChar w:fldCharType="separate"/>
            </w:r>
            <w:r>
              <w:rPr>
                <w:noProof/>
                <w:webHidden/>
              </w:rPr>
              <w:t>16</w:t>
            </w:r>
            <w:r>
              <w:rPr>
                <w:noProof/>
                <w:webHidden/>
              </w:rPr>
              <w:fldChar w:fldCharType="end"/>
            </w:r>
          </w:hyperlink>
        </w:p>
        <w:p w14:paraId="2A1AC7B1" w14:textId="7E2815A4" w:rsidR="004D2799" w:rsidRDefault="004D2799">
          <w:pPr>
            <w:pStyle w:val="TOC2"/>
            <w:tabs>
              <w:tab w:val="right" w:leader="dot" w:pos="9016"/>
            </w:tabs>
            <w:rPr>
              <w:rFonts w:eastAsiaTheme="minorEastAsia"/>
              <w:noProof/>
              <w:lang w:eastAsia="en-GB"/>
            </w:rPr>
          </w:pPr>
          <w:hyperlink w:anchor="_Toc212439699" w:history="1">
            <w:r w:rsidRPr="00733201">
              <w:rPr>
                <w:rStyle w:val="Hyperlink"/>
                <w:noProof/>
              </w:rPr>
              <w:t>Alignment with Core Themes:</w:t>
            </w:r>
            <w:r>
              <w:rPr>
                <w:noProof/>
                <w:webHidden/>
              </w:rPr>
              <w:tab/>
            </w:r>
            <w:r>
              <w:rPr>
                <w:noProof/>
                <w:webHidden/>
              </w:rPr>
              <w:fldChar w:fldCharType="begin"/>
            </w:r>
            <w:r>
              <w:rPr>
                <w:noProof/>
                <w:webHidden/>
              </w:rPr>
              <w:instrText xml:space="preserve"> PAGEREF _Toc212439699 \h </w:instrText>
            </w:r>
            <w:r>
              <w:rPr>
                <w:noProof/>
                <w:webHidden/>
              </w:rPr>
            </w:r>
            <w:r>
              <w:rPr>
                <w:noProof/>
                <w:webHidden/>
              </w:rPr>
              <w:fldChar w:fldCharType="separate"/>
            </w:r>
            <w:r>
              <w:rPr>
                <w:noProof/>
                <w:webHidden/>
              </w:rPr>
              <w:t>17</w:t>
            </w:r>
            <w:r>
              <w:rPr>
                <w:noProof/>
                <w:webHidden/>
              </w:rPr>
              <w:fldChar w:fldCharType="end"/>
            </w:r>
          </w:hyperlink>
        </w:p>
        <w:p w14:paraId="606B98B5" w14:textId="58DF4DF5" w:rsidR="004D2799" w:rsidRDefault="004D2799">
          <w:pPr>
            <w:pStyle w:val="TOC2"/>
            <w:tabs>
              <w:tab w:val="right" w:leader="dot" w:pos="9016"/>
            </w:tabs>
            <w:rPr>
              <w:rFonts w:eastAsiaTheme="minorEastAsia"/>
              <w:noProof/>
              <w:lang w:eastAsia="en-GB"/>
            </w:rPr>
          </w:pPr>
          <w:hyperlink w:anchor="_Toc212439700" w:history="1">
            <w:r w:rsidRPr="00733201">
              <w:rPr>
                <w:rStyle w:val="Hyperlink"/>
                <w:noProof/>
              </w:rPr>
              <w:t>Strategy and Governance Trade-offs:</w:t>
            </w:r>
            <w:r>
              <w:rPr>
                <w:noProof/>
                <w:webHidden/>
              </w:rPr>
              <w:tab/>
            </w:r>
            <w:r>
              <w:rPr>
                <w:noProof/>
                <w:webHidden/>
              </w:rPr>
              <w:fldChar w:fldCharType="begin"/>
            </w:r>
            <w:r>
              <w:rPr>
                <w:noProof/>
                <w:webHidden/>
              </w:rPr>
              <w:instrText xml:space="preserve"> PAGEREF _Toc212439700 \h </w:instrText>
            </w:r>
            <w:r>
              <w:rPr>
                <w:noProof/>
                <w:webHidden/>
              </w:rPr>
            </w:r>
            <w:r>
              <w:rPr>
                <w:noProof/>
                <w:webHidden/>
              </w:rPr>
              <w:fldChar w:fldCharType="separate"/>
            </w:r>
            <w:r>
              <w:rPr>
                <w:noProof/>
                <w:webHidden/>
              </w:rPr>
              <w:t>18</w:t>
            </w:r>
            <w:r>
              <w:rPr>
                <w:noProof/>
                <w:webHidden/>
              </w:rPr>
              <w:fldChar w:fldCharType="end"/>
            </w:r>
          </w:hyperlink>
        </w:p>
        <w:p w14:paraId="1ACE3591" w14:textId="6FEB7BEB" w:rsidR="004D2799" w:rsidRDefault="004D2799">
          <w:pPr>
            <w:pStyle w:val="TOC2"/>
            <w:tabs>
              <w:tab w:val="right" w:leader="dot" w:pos="9016"/>
            </w:tabs>
            <w:rPr>
              <w:rFonts w:eastAsiaTheme="minorEastAsia"/>
              <w:noProof/>
              <w:lang w:eastAsia="en-GB"/>
            </w:rPr>
          </w:pPr>
          <w:hyperlink w:anchor="_Toc212439701" w:history="1">
            <w:r w:rsidRPr="00733201">
              <w:rPr>
                <w:rStyle w:val="Hyperlink"/>
                <w:noProof/>
              </w:rPr>
              <w:t>Critical Evaluation</w:t>
            </w:r>
            <w:r>
              <w:rPr>
                <w:noProof/>
                <w:webHidden/>
              </w:rPr>
              <w:tab/>
            </w:r>
            <w:r>
              <w:rPr>
                <w:noProof/>
                <w:webHidden/>
              </w:rPr>
              <w:fldChar w:fldCharType="begin"/>
            </w:r>
            <w:r>
              <w:rPr>
                <w:noProof/>
                <w:webHidden/>
              </w:rPr>
              <w:instrText xml:space="preserve"> PAGEREF _Toc212439701 \h </w:instrText>
            </w:r>
            <w:r>
              <w:rPr>
                <w:noProof/>
                <w:webHidden/>
              </w:rPr>
            </w:r>
            <w:r>
              <w:rPr>
                <w:noProof/>
                <w:webHidden/>
              </w:rPr>
              <w:fldChar w:fldCharType="separate"/>
            </w:r>
            <w:r>
              <w:rPr>
                <w:noProof/>
                <w:webHidden/>
              </w:rPr>
              <w:t>20</w:t>
            </w:r>
            <w:r>
              <w:rPr>
                <w:noProof/>
                <w:webHidden/>
              </w:rPr>
              <w:fldChar w:fldCharType="end"/>
            </w:r>
          </w:hyperlink>
        </w:p>
        <w:p w14:paraId="73E9BF09" w14:textId="22BFC45C" w:rsidR="004D2799" w:rsidRDefault="004D2799">
          <w:pPr>
            <w:pStyle w:val="TOC1"/>
            <w:tabs>
              <w:tab w:val="right" w:leader="dot" w:pos="9016"/>
            </w:tabs>
            <w:rPr>
              <w:rFonts w:eastAsiaTheme="minorEastAsia"/>
              <w:noProof/>
              <w:lang w:eastAsia="en-GB"/>
            </w:rPr>
          </w:pPr>
          <w:hyperlink w:anchor="_Toc212439702" w:history="1">
            <w:r w:rsidRPr="00733201">
              <w:rPr>
                <w:rStyle w:val="Hyperlink"/>
                <w:noProof/>
              </w:rPr>
              <w:t>4.2 SOUTH KOREA</w:t>
            </w:r>
            <w:r>
              <w:rPr>
                <w:noProof/>
                <w:webHidden/>
              </w:rPr>
              <w:tab/>
            </w:r>
            <w:r>
              <w:rPr>
                <w:noProof/>
                <w:webHidden/>
              </w:rPr>
              <w:fldChar w:fldCharType="begin"/>
            </w:r>
            <w:r>
              <w:rPr>
                <w:noProof/>
                <w:webHidden/>
              </w:rPr>
              <w:instrText xml:space="preserve"> PAGEREF _Toc212439702 \h </w:instrText>
            </w:r>
            <w:r>
              <w:rPr>
                <w:noProof/>
                <w:webHidden/>
              </w:rPr>
            </w:r>
            <w:r>
              <w:rPr>
                <w:noProof/>
                <w:webHidden/>
              </w:rPr>
              <w:fldChar w:fldCharType="separate"/>
            </w:r>
            <w:r>
              <w:rPr>
                <w:noProof/>
                <w:webHidden/>
              </w:rPr>
              <w:t>21</w:t>
            </w:r>
            <w:r>
              <w:rPr>
                <w:noProof/>
                <w:webHidden/>
              </w:rPr>
              <w:fldChar w:fldCharType="end"/>
            </w:r>
          </w:hyperlink>
        </w:p>
        <w:p w14:paraId="6952A16C" w14:textId="7EB128BA" w:rsidR="004D2799" w:rsidRDefault="004D2799">
          <w:pPr>
            <w:pStyle w:val="TOC2"/>
            <w:tabs>
              <w:tab w:val="right" w:leader="dot" w:pos="9016"/>
            </w:tabs>
            <w:rPr>
              <w:rFonts w:eastAsiaTheme="minorEastAsia"/>
              <w:noProof/>
              <w:lang w:eastAsia="en-GB"/>
            </w:rPr>
          </w:pPr>
          <w:hyperlink w:anchor="_Toc212439703" w:history="1">
            <w:r w:rsidRPr="00733201">
              <w:rPr>
                <w:rStyle w:val="Hyperlink"/>
                <w:noProof/>
              </w:rPr>
              <w:t>Alignment with Core Themes:</w:t>
            </w:r>
            <w:r>
              <w:rPr>
                <w:noProof/>
                <w:webHidden/>
              </w:rPr>
              <w:tab/>
            </w:r>
            <w:r>
              <w:rPr>
                <w:noProof/>
                <w:webHidden/>
              </w:rPr>
              <w:fldChar w:fldCharType="begin"/>
            </w:r>
            <w:r>
              <w:rPr>
                <w:noProof/>
                <w:webHidden/>
              </w:rPr>
              <w:instrText xml:space="preserve"> PAGEREF _Toc212439703 \h </w:instrText>
            </w:r>
            <w:r>
              <w:rPr>
                <w:noProof/>
                <w:webHidden/>
              </w:rPr>
            </w:r>
            <w:r>
              <w:rPr>
                <w:noProof/>
                <w:webHidden/>
              </w:rPr>
              <w:fldChar w:fldCharType="separate"/>
            </w:r>
            <w:r>
              <w:rPr>
                <w:noProof/>
                <w:webHidden/>
              </w:rPr>
              <w:t>22</w:t>
            </w:r>
            <w:r>
              <w:rPr>
                <w:noProof/>
                <w:webHidden/>
              </w:rPr>
              <w:fldChar w:fldCharType="end"/>
            </w:r>
          </w:hyperlink>
        </w:p>
        <w:p w14:paraId="22078E78" w14:textId="240BDC22" w:rsidR="004D2799" w:rsidRDefault="004D2799">
          <w:pPr>
            <w:pStyle w:val="TOC2"/>
            <w:tabs>
              <w:tab w:val="right" w:leader="dot" w:pos="9016"/>
            </w:tabs>
            <w:rPr>
              <w:rFonts w:eastAsiaTheme="minorEastAsia"/>
              <w:noProof/>
              <w:lang w:eastAsia="en-GB"/>
            </w:rPr>
          </w:pPr>
          <w:hyperlink w:anchor="_Toc212439704" w:history="1">
            <w:r w:rsidRPr="00733201">
              <w:rPr>
                <w:rStyle w:val="Hyperlink"/>
                <w:noProof/>
              </w:rPr>
              <w:t>strategy and Governance Trade-offs:</w:t>
            </w:r>
            <w:r>
              <w:rPr>
                <w:noProof/>
                <w:webHidden/>
              </w:rPr>
              <w:tab/>
            </w:r>
            <w:r>
              <w:rPr>
                <w:noProof/>
                <w:webHidden/>
              </w:rPr>
              <w:fldChar w:fldCharType="begin"/>
            </w:r>
            <w:r>
              <w:rPr>
                <w:noProof/>
                <w:webHidden/>
              </w:rPr>
              <w:instrText xml:space="preserve"> PAGEREF _Toc212439704 \h </w:instrText>
            </w:r>
            <w:r>
              <w:rPr>
                <w:noProof/>
                <w:webHidden/>
              </w:rPr>
            </w:r>
            <w:r>
              <w:rPr>
                <w:noProof/>
                <w:webHidden/>
              </w:rPr>
              <w:fldChar w:fldCharType="separate"/>
            </w:r>
            <w:r>
              <w:rPr>
                <w:noProof/>
                <w:webHidden/>
              </w:rPr>
              <w:t>23</w:t>
            </w:r>
            <w:r>
              <w:rPr>
                <w:noProof/>
                <w:webHidden/>
              </w:rPr>
              <w:fldChar w:fldCharType="end"/>
            </w:r>
          </w:hyperlink>
        </w:p>
        <w:p w14:paraId="16F14A18" w14:textId="48B783B8" w:rsidR="004D2799" w:rsidRDefault="004D2799">
          <w:pPr>
            <w:pStyle w:val="TOC2"/>
            <w:tabs>
              <w:tab w:val="right" w:leader="dot" w:pos="9016"/>
            </w:tabs>
            <w:rPr>
              <w:rFonts w:eastAsiaTheme="minorEastAsia"/>
              <w:noProof/>
              <w:lang w:eastAsia="en-GB"/>
            </w:rPr>
          </w:pPr>
          <w:hyperlink w:anchor="_Toc212439705" w:history="1">
            <w:r w:rsidRPr="00733201">
              <w:rPr>
                <w:rStyle w:val="Hyperlink"/>
                <w:noProof/>
              </w:rPr>
              <w:t>Critical Evaluation</w:t>
            </w:r>
            <w:r>
              <w:rPr>
                <w:noProof/>
                <w:webHidden/>
              </w:rPr>
              <w:tab/>
            </w:r>
            <w:r>
              <w:rPr>
                <w:noProof/>
                <w:webHidden/>
              </w:rPr>
              <w:fldChar w:fldCharType="begin"/>
            </w:r>
            <w:r>
              <w:rPr>
                <w:noProof/>
                <w:webHidden/>
              </w:rPr>
              <w:instrText xml:space="preserve"> PAGEREF _Toc212439705 \h </w:instrText>
            </w:r>
            <w:r>
              <w:rPr>
                <w:noProof/>
                <w:webHidden/>
              </w:rPr>
            </w:r>
            <w:r>
              <w:rPr>
                <w:noProof/>
                <w:webHidden/>
              </w:rPr>
              <w:fldChar w:fldCharType="separate"/>
            </w:r>
            <w:r>
              <w:rPr>
                <w:noProof/>
                <w:webHidden/>
              </w:rPr>
              <w:t>24</w:t>
            </w:r>
            <w:r>
              <w:rPr>
                <w:noProof/>
                <w:webHidden/>
              </w:rPr>
              <w:fldChar w:fldCharType="end"/>
            </w:r>
          </w:hyperlink>
        </w:p>
        <w:p w14:paraId="41B42C8C" w14:textId="4BEA0861" w:rsidR="004D2799" w:rsidRDefault="004D2799">
          <w:pPr>
            <w:pStyle w:val="TOC1"/>
            <w:tabs>
              <w:tab w:val="right" w:leader="dot" w:pos="9016"/>
            </w:tabs>
            <w:rPr>
              <w:rFonts w:eastAsiaTheme="minorEastAsia"/>
              <w:noProof/>
              <w:lang w:eastAsia="en-GB"/>
            </w:rPr>
          </w:pPr>
          <w:hyperlink w:anchor="_Toc212439706" w:history="1">
            <w:r w:rsidRPr="00733201">
              <w:rPr>
                <w:rStyle w:val="Hyperlink"/>
                <w:noProof/>
              </w:rPr>
              <w:t>4.3 CANADA</w:t>
            </w:r>
            <w:r>
              <w:rPr>
                <w:noProof/>
                <w:webHidden/>
              </w:rPr>
              <w:tab/>
            </w:r>
            <w:r>
              <w:rPr>
                <w:noProof/>
                <w:webHidden/>
              </w:rPr>
              <w:fldChar w:fldCharType="begin"/>
            </w:r>
            <w:r>
              <w:rPr>
                <w:noProof/>
                <w:webHidden/>
              </w:rPr>
              <w:instrText xml:space="preserve"> PAGEREF _Toc212439706 \h </w:instrText>
            </w:r>
            <w:r>
              <w:rPr>
                <w:noProof/>
                <w:webHidden/>
              </w:rPr>
            </w:r>
            <w:r>
              <w:rPr>
                <w:noProof/>
                <w:webHidden/>
              </w:rPr>
              <w:fldChar w:fldCharType="separate"/>
            </w:r>
            <w:r>
              <w:rPr>
                <w:noProof/>
                <w:webHidden/>
              </w:rPr>
              <w:t>26</w:t>
            </w:r>
            <w:r>
              <w:rPr>
                <w:noProof/>
                <w:webHidden/>
              </w:rPr>
              <w:fldChar w:fldCharType="end"/>
            </w:r>
          </w:hyperlink>
        </w:p>
        <w:p w14:paraId="381DC8AF" w14:textId="6242AE92" w:rsidR="004D2799" w:rsidRDefault="004D2799">
          <w:pPr>
            <w:pStyle w:val="TOC2"/>
            <w:tabs>
              <w:tab w:val="right" w:leader="dot" w:pos="9016"/>
            </w:tabs>
            <w:rPr>
              <w:rFonts w:eastAsiaTheme="minorEastAsia"/>
              <w:noProof/>
              <w:lang w:eastAsia="en-GB"/>
            </w:rPr>
          </w:pPr>
          <w:hyperlink w:anchor="_Toc212439707" w:history="1">
            <w:r w:rsidRPr="00733201">
              <w:rPr>
                <w:rStyle w:val="Hyperlink"/>
                <w:noProof/>
              </w:rPr>
              <w:t>Alignment with Core Themes:</w:t>
            </w:r>
            <w:r>
              <w:rPr>
                <w:noProof/>
                <w:webHidden/>
              </w:rPr>
              <w:tab/>
            </w:r>
            <w:r>
              <w:rPr>
                <w:noProof/>
                <w:webHidden/>
              </w:rPr>
              <w:fldChar w:fldCharType="begin"/>
            </w:r>
            <w:r>
              <w:rPr>
                <w:noProof/>
                <w:webHidden/>
              </w:rPr>
              <w:instrText xml:space="preserve"> PAGEREF _Toc212439707 \h </w:instrText>
            </w:r>
            <w:r>
              <w:rPr>
                <w:noProof/>
                <w:webHidden/>
              </w:rPr>
            </w:r>
            <w:r>
              <w:rPr>
                <w:noProof/>
                <w:webHidden/>
              </w:rPr>
              <w:fldChar w:fldCharType="separate"/>
            </w:r>
            <w:r>
              <w:rPr>
                <w:noProof/>
                <w:webHidden/>
              </w:rPr>
              <w:t>27</w:t>
            </w:r>
            <w:r>
              <w:rPr>
                <w:noProof/>
                <w:webHidden/>
              </w:rPr>
              <w:fldChar w:fldCharType="end"/>
            </w:r>
          </w:hyperlink>
        </w:p>
        <w:p w14:paraId="69A8A289" w14:textId="52CB274E" w:rsidR="004D2799" w:rsidRDefault="004D2799">
          <w:pPr>
            <w:pStyle w:val="TOC2"/>
            <w:tabs>
              <w:tab w:val="right" w:leader="dot" w:pos="9016"/>
            </w:tabs>
            <w:rPr>
              <w:rFonts w:eastAsiaTheme="minorEastAsia"/>
              <w:noProof/>
              <w:lang w:eastAsia="en-GB"/>
            </w:rPr>
          </w:pPr>
          <w:hyperlink w:anchor="_Toc212439708" w:history="1">
            <w:r w:rsidRPr="00733201">
              <w:rPr>
                <w:rStyle w:val="Hyperlink"/>
                <w:noProof/>
              </w:rPr>
              <w:t>Strategy and Governance Trade-offs:</w:t>
            </w:r>
            <w:r>
              <w:rPr>
                <w:noProof/>
                <w:webHidden/>
              </w:rPr>
              <w:tab/>
            </w:r>
            <w:r>
              <w:rPr>
                <w:noProof/>
                <w:webHidden/>
              </w:rPr>
              <w:fldChar w:fldCharType="begin"/>
            </w:r>
            <w:r>
              <w:rPr>
                <w:noProof/>
                <w:webHidden/>
              </w:rPr>
              <w:instrText xml:space="preserve"> PAGEREF _Toc212439708 \h </w:instrText>
            </w:r>
            <w:r>
              <w:rPr>
                <w:noProof/>
                <w:webHidden/>
              </w:rPr>
            </w:r>
            <w:r>
              <w:rPr>
                <w:noProof/>
                <w:webHidden/>
              </w:rPr>
              <w:fldChar w:fldCharType="separate"/>
            </w:r>
            <w:r>
              <w:rPr>
                <w:noProof/>
                <w:webHidden/>
              </w:rPr>
              <w:t>28</w:t>
            </w:r>
            <w:r>
              <w:rPr>
                <w:noProof/>
                <w:webHidden/>
              </w:rPr>
              <w:fldChar w:fldCharType="end"/>
            </w:r>
          </w:hyperlink>
        </w:p>
        <w:p w14:paraId="05704E1F" w14:textId="2D7B9462" w:rsidR="004D2799" w:rsidRDefault="004D2799">
          <w:pPr>
            <w:pStyle w:val="TOC2"/>
            <w:tabs>
              <w:tab w:val="right" w:leader="dot" w:pos="9016"/>
            </w:tabs>
            <w:rPr>
              <w:rFonts w:eastAsiaTheme="minorEastAsia"/>
              <w:noProof/>
              <w:lang w:eastAsia="en-GB"/>
            </w:rPr>
          </w:pPr>
          <w:hyperlink w:anchor="_Toc212439709" w:history="1">
            <w:r w:rsidRPr="00733201">
              <w:rPr>
                <w:rStyle w:val="Hyperlink"/>
                <w:noProof/>
              </w:rPr>
              <w:t>Critical Evaluation</w:t>
            </w:r>
            <w:r>
              <w:rPr>
                <w:noProof/>
                <w:webHidden/>
              </w:rPr>
              <w:tab/>
            </w:r>
            <w:r>
              <w:rPr>
                <w:noProof/>
                <w:webHidden/>
              </w:rPr>
              <w:fldChar w:fldCharType="begin"/>
            </w:r>
            <w:r>
              <w:rPr>
                <w:noProof/>
                <w:webHidden/>
              </w:rPr>
              <w:instrText xml:space="preserve"> PAGEREF _Toc212439709 \h </w:instrText>
            </w:r>
            <w:r>
              <w:rPr>
                <w:noProof/>
                <w:webHidden/>
              </w:rPr>
            </w:r>
            <w:r>
              <w:rPr>
                <w:noProof/>
                <w:webHidden/>
              </w:rPr>
              <w:fldChar w:fldCharType="separate"/>
            </w:r>
            <w:r>
              <w:rPr>
                <w:noProof/>
                <w:webHidden/>
              </w:rPr>
              <w:t>29</w:t>
            </w:r>
            <w:r>
              <w:rPr>
                <w:noProof/>
                <w:webHidden/>
              </w:rPr>
              <w:fldChar w:fldCharType="end"/>
            </w:r>
          </w:hyperlink>
        </w:p>
        <w:p w14:paraId="4071A167" w14:textId="677DC834" w:rsidR="004D2799" w:rsidRDefault="004D2799">
          <w:pPr>
            <w:pStyle w:val="TOC2"/>
            <w:tabs>
              <w:tab w:val="right" w:leader="dot" w:pos="9016"/>
            </w:tabs>
            <w:rPr>
              <w:rFonts w:eastAsiaTheme="minorEastAsia"/>
              <w:noProof/>
              <w:lang w:eastAsia="en-GB"/>
            </w:rPr>
          </w:pPr>
          <w:hyperlink w:anchor="_Toc212439710" w:history="1">
            <w:r w:rsidRPr="00733201">
              <w:rPr>
                <w:rStyle w:val="Hyperlink"/>
                <w:noProof/>
              </w:rPr>
              <w:t>Conclusion</w:t>
            </w:r>
            <w:r>
              <w:rPr>
                <w:noProof/>
                <w:webHidden/>
              </w:rPr>
              <w:tab/>
            </w:r>
            <w:r>
              <w:rPr>
                <w:noProof/>
                <w:webHidden/>
              </w:rPr>
              <w:fldChar w:fldCharType="begin"/>
            </w:r>
            <w:r>
              <w:rPr>
                <w:noProof/>
                <w:webHidden/>
              </w:rPr>
              <w:instrText xml:space="preserve"> PAGEREF _Toc212439710 \h </w:instrText>
            </w:r>
            <w:r>
              <w:rPr>
                <w:noProof/>
                <w:webHidden/>
              </w:rPr>
            </w:r>
            <w:r>
              <w:rPr>
                <w:noProof/>
                <w:webHidden/>
              </w:rPr>
              <w:fldChar w:fldCharType="separate"/>
            </w:r>
            <w:r>
              <w:rPr>
                <w:noProof/>
                <w:webHidden/>
              </w:rPr>
              <w:t>30</w:t>
            </w:r>
            <w:r>
              <w:rPr>
                <w:noProof/>
                <w:webHidden/>
              </w:rPr>
              <w:fldChar w:fldCharType="end"/>
            </w:r>
          </w:hyperlink>
        </w:p>
        <w:p w14:paraId="6249B15A" w14:textId="5E4CAFD6" w:rsidR="004D2799" w:rsidRDefault="004D2799">
          <w:pPr>
            <w:pStyle w:val="TOC2"/>
            <w:tabs>
              <w:tab w:val="right" w:leader="dot" w:pos="9016"/>
            </w:tabs>
            <w:rPr>
              <w:rFonts w:eastAsiaTheme="minorEastAsia"/>
              <w:noProof/>
              <w:lang w:eastAsia="en-GB"/>
            </w:rPr>
          </w:pPr>
          <w:hyperlink w:anchor="_Toc212439711" w:history="1">
            <w:r w:rsidRPr="00733201">
              <w:rPr>
                <w:rStyle w:val="Hyperlink"/>
                <w:noProof/>
              </w:rPr>
              <w:t>References:</w:t>
            </w:r>
            <w:r>
              <w:rPr>
                <w:noProof/>
                <w:webHidden/>
              </w:rPr>
              <w:tab/>
            </w:r>
            <w:r>
              <w:rPr>
                <w:noProof/>
                <w:webHidden/>
              </w:rPr>
              <w:fldChar w:fldCharType="begin"/>
            </w:r>
            <w:r>
              <w:rPr>
                <w:noProof/>
                <w:webHidden/>
              </w:rPr>
              <w:instrText xml:space="preserve"> PAGEREF _Toc212439711 \h </w:instrText>
            </w:r>
            <w:r>
              <w:rPr>
                <w:noProof/>
                <w:webHidden/>
              </w:rPr>
            </w:r>
            <w:r>
              <w:rPr>
                <w:noProof/>
                <w:webHidden/>
              </w:rPr>
              <w:fldChar w:fldCharType="separate"/>
            </w:r>
            <w:r>
              <w:rPr>
                <w:noProof/>
                <w:webHidden/>
              </w:rPr>
              <w:t>32</w:t>
            </w:r>
            <w:r>
              <w:rPr>
                <w:noProof/>
                <w:webHidden/>
              </w:rPr>
              <w:fldChar w:fldCharType="end"/>
            </w:r>
          </w:hyperlink>
        </w:p>
        <w:p w14:paraId="2E41DB38" w14:textId="4025A7BB" w:rsidR="008D2E06" w:rsidRDefault="008D2E06">
          <w:r>
            <w:rPr>
              <w:b/>
              <w:bCs/>
              <w:noProof/>
            </w:rPr>
            <w:fldChar w:fldCharType="end"/>
          </w:r>
        </w:p>
      </w:sdtContent>
    </w:sdt>
    <w:p w14:paraId="4F29F37B" w14:textId="77777777" w:rsidR="008D2E06" w:rsidRDefault="008D2E06" w:rsidP="004113CB">
      <w:pPr>
        <w:pStyle w:val="Heading2"/>
        <w:rPr>
          <w:rFonts w:eastAsia="Times New Roman"/>
          <w:sz w:val="24"/>
          <w:szCs w:val="24"/>
        </w:rPr>
      </w:pPr>
    </w:p>
    <w:p w14:paraId="0F3D1C99" w14:textId="77777777" w:rsidR="008D2E06" w:rsidRPr="008D2E06" w:rsidRDefault="008D2E06" w:rsidP="008D2E06"/>
    <w:p w14:paraId="0AC68ADB" w14:textId="77777777" w:rsidR="008D2E06" w:rsidRDefault="008D2E06" w:rsidP="004113CB">
      <w:pPr>
        <w:pStyle w:val="Heading2"/>
        <w:rPr>
          <w:rFonts w:eastAsia="Times New Roman"/>
          <w:sz w:val="24"/>
          <w:szCs w:val="24"/>
        </w:rPr>
      </w:pPr>
    </w:p>
    <w:p w14:paraId="01193A65" w14:textId="7A20A785" w:rsidR="00172CB7" w:rsidRPr="000E0440" w:rsidRDefault="007C7B30" w:rsidP="004113CB">
      <w:pPr>
        <w:pStyle w:val="Heading2"/>
        <w:rPr>
          <w:rFonts w:eastAsia="Times New Roman"/>
          <w:sz w:val="24"/>
          <w:szCs w:val="24"/>
        </w:rPr>
      </w:pPr>
      <w:bookmarkStart w:id="1" w:name="_Toc212439686"/>
      <w:r>
        <w:rPr>
          <w:rFonts w:eastAsia="Times New Roman"/>
          <w:sz w:val="24"/>
          <w:szCs w:val="24"/>
        </w:rPr>
        <w:t xml:space="preserve">1.0 </w:t>
      </w:r>
      <w:r w:rsidR="00172CB7" w:rsidRPr="000E0440">
        <w:rPr>
          <w:rFonts w:eastAsia="Times New Roman"/>
          <w:sz w:val="24"/>
          <w:szCs w:val="24"/>
        </w:rPr>
        <w:t>Introduction</w:t>
      </w:r>
      <w:bookmarkEnd w:id="0"/>
      <w:bookmarkEnd w:id="1"/>
    </w:p>
    <w:p w14:paraId="3FE1E9AB" w14:textId="77777777" w:rsidR="00172CB7" w:rsidRPr="00172CB7" w:rsidRDefault="00172CB7" w:rsidP="00472207">
      <w:pPr>
        <w:spacing w:line="360" w:lineRule="auto"/>
        <w:jc w:val="both"/>
        <w:rPr>
          <w:rFonts w:ascii="Aptos" w:eastAsia="Aptos" w:hAnsi="Aptos" w:cs="Times New Roman"/>
        </w:rPr>
      </w:pPr>
      <w:r w:rsidRPr="00172CB7">
        <w:rPr>
          <w:rFonts w:ascii="Aptos" w:eastAsia="Aptos" w:hAnsi="Aptos" w:cs="Times New Roman"/>
        </w:rPr>
        <w:t>COVID-19 is an infectious disease caused by the SARS-CoV-2 virus, first identified in 2019. It spreads through respiratory droplets and contacts with contaminated surfaces. Symptoms range from mild (fever, cough) to severe (pneumonia, organ failure) (World Health Organisation, 2023).</w:t>
      </w:r>
    </w:p>
    <w:p w14:paraId="58CE08B5" w14:textId="77777777" w:rsidR="00172CB7" w:rsidRDefault="00172CB7" w:rsidP="00472207">
      <w:pPr>
        <w:spacing w:line="360" w:lineRule="auto"/>
        <w:jc w:val="both"/>
        <w:rPr>
          <w:rFonts w:ascii="Aptos" w:eastAsia="Aptos" w:hAnsi="Aptos" w:cs="Times New Roman"/>
        </w:rPr>
      </w:pPr>
      <w:r w:rsidRPr="00172CB7">
        <w:rPr>
          <w:rFonts w:ascii="Aptos" w:eastAsia="Aptos" w:hAnsi="Aptos" w:cs="Times New Roman"/>
        </w:rPr>
        <w:t>High-risk groups include older adults and those with underlying conditions. (National Health Service, 2023). Preventive measures include vaccination, masks, and hygiene. COVID-19 led to a global pandemic, prompting widespread public health interventions and ongoing research into treatment, long-term effects, and future preparedness (World Health Organisation, 2023).</w:t>
      </w:r>
    </w:p>
    <w:p w14:paraId="0C4B6E9F" w14:textId="2C2DEC76" w:rsidR="00C57194" w:rsidRDefault="001E723A" w:rsidP="00472207">
      <w:pPr>
        <w:spacing w:line="360" w:lineRule="auto"/>
        <w:jc w:val="both"/>
        <w:rPr>
          <w:rFonts w:ascii="Aptos" w:eastAsia="Aptos" w:hAnsi="Aptos" w:cs="Times New Roman"/>
        </w:rPr>
      </w:pPr>
      <w:r w:rsidRPr="001E723A">
        <w:rPr>
          <w:rFonts w:ascii="Aptos" w:eastAsia="Aptos" w:hAnsi="Aptos" w:cs="Times New Roman"/>
        </w:rPr>
        <w:t xml:space="preserve">In this report, the terms centralisation, autocratic leadership, and democratic leadership will be used frequently to analyse how governance structures and leadership styles shaped public health responses during the COVID-19 pandemic. Centralisation refers to the concentration of </w:t>
      </w:r>
      <w:r w:rsidR="00C57194" w:rsidRPr="001E723A">
        <w:rPr>
          <w:rFonts w:ascii="Aptos" w:eastAsia="Aptos" w:hAnsi="Aptos" w:cs="Times New Roman"/>
        </w:rPr>
        <w:t>decision</w:t>
      </w:r>
      <w:r w:rsidR="00C57194">
        <w:rPr>
          <w:rFonts w:ascii="Aptos" w:eastAsia="Aptos" w:hAnsi="Aptos" w:cs="Times New Roman"/>
        </w:rPr>
        <w:t>-making</w:t>
      </w:r>
      <w:r w:rsidRPr="001E723A">
        <w:rPr>
          <w:rFonts w:ascii="Aptos" w:eastAsia="Aptos" w:hAnsi="Aptos" w:cs="Times New Roman"/>
        </w:rPr>
        <w:t xml:space="preserve"> authority at the national level, often limiting regional autonomy in policy implementation </w:t>
      </w:r>
      <w:r w:rsidR="004E02E1">
        <w:rPr>
          <w:rFonts w:ascii="Aptos" w:eastAsia="Aptos" w:hAnsi="Aptos" w:cs="Times New Roman"/>
        </w:rPr>
        <w:t>for</w:t>
      </w:r>
      <w:r w:rsidR="00825A55">
        <w:rPr>
          <w:rFonts w:ascii="Aptos" w:eastAsia="Aptos" w:hAnsi="Aptos" w:cs="Times New Roman"/>
        </w:rPr>
        <w:t xml:space="preserve"> example Spain </w:t>
      </w:r>
      <w:r w:rsidRPr="001E723A">
        <w:rPr>
          <w:rFonts w:ascii="Aptos" w:eastAsia="Aptos" w:hAnsi="Aptos" w:cs="Times New Roman"/>
        </w:rPr>
        <w:t xml:space="preserve">(Saltman et al., 2007). </w:t>
      </w:r>
    </w:p>
    <w:p w14:paraId="35450219" w14:textId="7DDFC311" w:rsidR="001E723A" w:rsidRDefault="001E723A" w:rsidP="00472207">
      <w:pPr>
        <w:spacing w:line="360" w:lineRule="auto"/>
        <w:jc w:val="both"/>
        <w:rPr>
          <w:rFonts w:ascii="Aptos" w:eastAsia="Aptos" w:hAnsi="Aptos" w:cs="Times New Roman"/>
        </w:rPr>
      </w:pPr>
      <w:r w:rsidRPr="001E723A">
        <w:rPr>
          <w:rFonts w:ascii="Aptos" w:eastAsia="Aptos" w:hAnsi="Aptos" w:cs="Times New Roman"/>
        </w:rPr>
        <w:t>Autocratic leadership involves top-down decision-making with minimal consultation, typically used in emergencies for rapid control (Northouse, 2021). In contrast, democratic leadership encourages inclusive decision-making and stakeholder engagement, fostering collaboration across governance levels (Northouse, 2021). These concepts are critical for understanding Spain’s shift from centralised, autocratic control to more regionally autonomous, democratic leadership during the pandemic (Navarro and Velasco, 2022).</w:t>
      </w:r>
    </w:p>
    <w:p w14:paraId="2315E830" w14:textId="14FD3F85" w:rsidR="00BB454E" w:rsidRDefault="00BB454E" w:rsidP="00472207">
      <w:pPr>
        <w:spacing w:line="360" w:lineRule="auto"/>
        <w:jc w:val="both"/>
        <w:rPr>
          <w:rFonts w:ascii="Aptos" w:eastAsia="Aptos" w:hAnsi="Aptos" w:cs="Times New Roman"/>
        </w:rPr>
      </w:pPr>
      <w:r w:rsidRPr="00BB454E">
        <w:rPr>
          <w:rFonts w:ascii="Aptos" w:eastAsia="Aptos" w:hAnsi="Aptos" w:cs="Times New Roman"/>
        </w:rPr>
        <w:t>During the initial wave of COVID-19, Spain’s central government temporarily overrode regional autonomy to impose nationwide lockdowns and coordinate emergency health measures. This reflects a clear use of autocratic leadership, prioritising speed and uniformity over regional input (Navarro and Velasco, 2022).</w:t>
      </w:r>
    </w:p>
    <w:p w14:paraId="3FD0B56B" w14:textId="0075C8A0" w:rsidR="009A573E" w:rsidRDefault="00B32EC2" w:rsidP="00472207">
      <w:pPr>
        <w:spacing w:line="360" w:lineRule="auto"/>
        <w:jc w:val="both"/>
        <w:rPr>
          <w:rFonts w:ascii="Aptos" w:eastAsia="Aptos" w:hAnsi="Aptos" w:cs="Times New Roman"/>
        </w:rPr>
      </w:pPr>
      <w:r w:rsidRPr="00B32EC2">
        <w:rPr>
          <w:rFonts w:ascii="Aptos" w:eastAsia="Aptos" w:hAnsi="Aptos" w:cs="Times New Roman"/>
        </w:rPr>
        <w:t>Canada’s federal system enabled provinces to lead their own responses, reflecting democratic and laissez-faire leadership styles rather than autocratic control (</w:t>
      </w:r>
      <w:proofErr w:type="spellStart"/>
      <w:r w:rsidRPr="00B32EC2">
        <w:rPr>
          <w:rFonts w:ascii="Aptos" w:eastAsia="Aptos" w:hAnsi="Aptos" w:cs="Times New Roman"/>
        </w:rPr>
        <w:t>Béland</w:t>
      </w:r>
      <w:proofErr w:type="spellEnd"/>
      <w:r w:rsidRPr="00B32EC2">
        <w:rPr>
          <w:rFonts w:ascii="Aptos" w:eastAsia="Aptos" w:hAnsi="Aptos" w:cs="Times New Roman"/>
        </w:rPr>
        <w:t xml:space="preserve"> et al., 2021).</w:t>
      </w:r>
      <w:r w:rsidR="003C3BF5" w:rsidRPr="003C3BF5">
        <w:t xml:space="preserve"> </w:t>
      </w:r>
      <w:r w:rsidR="003C3BF5" w:rsidRPr="003C3BF5">
        <w:rPr>
          <w:rFonts w:ascii="Aptos" w:eastAsia="Aptos" w:hAnsi="Aptos" w:cs="Times New Roman"/>
        </w:rPr>
        <w:t xml:space="preserve">While South Korea maintained strong central coordination, its approach was </w:t>
      </w:r>
      <w:r w:rsidR="003C3BF5" w:rsidRPr="003C3BF5">
        <w:rPr>
          <w:rFonts w:ascii="Aptos" w:eastAsia="Aptos" w:hAnsi="Aptos" w:cs="Times New Roman"/>
        </w:rPr>
        <w:lastRenderedPageBreak/>
        <w:t>more transformational and distributed, involving collaboration across government levels and civil society (Hong, 2024).</w:t>
      </w:r>
    </w:p>
    <w:p w14:paraId="2A810C7C" w14:textId="4012C50B" w:rsidR="00826EE7" w:rsidRPr="00552CC3" w:rsidRDefault="00552CC3" w:rsidP="00552CC3">
      <w:pPr>
        <w:pStyle w:val="Heading1"/>
        <w:rPr>
          <w:rFonts w:eastAsia="Aptos"/>
          <w:sz w:val="24"/>
          <w:szCs w:val="24"/>
        </w:rPr>
      </w:pPr>
      <w:bookmarkStart w:id="2" w:name="_Toc212439687"/>
      <w:r w:rsidRPr="00552CC3">
        <w:rPr>
          <w:rFonts w:eastAsia="Aptos"/>
          <w:sz w:val="24"/>
          <w:szCs w:val="24"/>
        </w:rPr>
        <w:t xml:space="preserve">2.0 </w:t>
      </w:r>
      <w:r w:rsidR="00826EE7" w:rsidRPr="00552CC3">
        <w:rPr>
          <w:rFonts w:eastAsia="Aptos"/>
          <w:sz w:val="24"/>
          <w:szCs w:val="24"/>
        </w:rPr>
        <w:t>Rich picture</w:t>
      </w:r>
      <w:bookmarkEnd w:id="2"/>
    </w:p>
    <w:p w14:paraId="1BF47A04" w14:textId="75A7EF07" w:rsidR="006A4C58" w:rsidRPr="00472207" w:rsidRDefault="00E32F1A" w:rsidP="00E857C8">
      <w:pPr>
        <w:pStyle w:val="Heading1"/>
        <w:rPr>
          <w:sz w:val="24"/>
          <w:szCs w:val="24"/>
        </w:rPr>
      </w:pPr>
      <w:bookmarkStart w:id="3" w:name="_Toc212439688"/>
      <w:r w:rsidRPr="00472207">
        <w:rPr>
          <w:sz w:val="24"/>
          <w:szCs w:val="24"/>
        </w:rPr>
        <w:t>SPAIN:</w:t>
      </w:r>
      <w:bookmarkEnd w:id="3"/>
    </w:p>
    <w:p w14:paraId="5F167F3A" w14:textId="7036CD4D" w:rsidR="00CE1C0E" w:rsidRDefault="00015CF5" w:rsidP="006460A8">
      <w:pPr>
        <w:spacing w:line="360" w:lineRule="auto"/>
        <w:jc w:val="both"/>
      </w:pPr>
      <w:r w:rsidRPr="00015CF5">
        <w:t>At first, it was difficult for Spain's fragmented health system, which is run by 17 autonomous communities, to arrange a coordinated response.  Inconsistent regional policies, disjointed containment tactics, and delayed action characterised the early phase (García-Basteiro et al., 2020).  Spain eventually became one of Europe's immunisation leaders in spite of these obstacles, thanks to a well-coordinated rollout plan and EU-backed procurement procedures that improved public adoption and distribution equity (European Commission, 2022).</w:t>
      </w:r>
    </w:p>
    <w:p w14:paraId="372C46A8" w14:textId="77777777" w:rsidR="00CE1C0E" w:rsidRDefault="00CE1C0E" w:rsidP="006460A8">
      <w:pPr>
        <w:spacing w:line="360" w:lineRule="auto"/>
        <w:jc w:val="both"/>
      </w:pPr>
      <w:r>
        <w:t xml:space="preserve">The Rich picture titled “Spain’s COVID-19 Journey” visually represents Spain’s experience through the pandemic. It highlights key stages.  Precaution, Lockdown, Government Actions, Vaccination, Death &amp; Impact, Healthcare, and Recovery. </w:t>
      </w:r>
    </w:p>
    <w:p w14:paraId="6C414D48" w14:textId="0FA797A6" w:rsidR="00172CB7" w:rsidRDefault="00CE1C0E" w:rsidP="006460A8">
      <w:pPr>
        <w:spacing w:line="360" w:lineRule="auto"/>
        <w:jc w:val="both"/>
      </w:pPr>
      <w:r>
        <w:t>The map shows all 17 autonomous regions of Spain, emphasi</w:t>
      </w:r>
      <w:r w:rsidR="00E94648">
        <w:t>s</w:t>
      </w:r>
      <w:r>
        <w:t>ing the nationwide scope of the crisis. Illustrations of masked citizens, medical staff, and the Spanish flag convey unity and resilience. Text sections explain how the government coordinated national measures, implemented lockdowns, and faced overwhelming deaths and healthcare strain. The design concludes with recovery efforts, symbolising Spain’s gradual return to stability after the pandemic’s devastating effects.</w:t>
      </w:r>
    </w:p>
    <w:p w14:paraId="611069DA" w14:textId="77777777" w:rsidR="00B7079D" w:rsidRDefault="00B7079D" w:rsidP="00CE1C0E">
      <w:pPr>
        <w:spacing w:line="360" w:lineRule="auto"/>
      </w:pPr>
    </w:p>
    <w:p w14:paraId="6B09DB68" w14:textId="77777777" w:rsidR="00B7079D" w:rsidRDefault="00B7079D" w:rsidP="00CE1C0E">
      <w:pPr>
        <w:spacing w:line="360" w:lineRule="auto"/>
      </w:pPr>
    </w:p>
    <w:p w14:paraId="683B936F" w14:textId="77777777" w:rsidR="00B7079D" w:rsidRDefault="00B7079D" w:rsidP="00CE1C0E">
      <w:pPr>
        <w:spacing w:line="360" w:lineRule="auto"/>
      </w:pPr>
    </w:p>
    <w:p w14:paraId="573BF460" w14:textId="77777777" w:rsidR="00B7079D" w:rsidRDefault="00B7079D" w:rsidP="00CE1C0E">
      <w:pPr>
        <w:spacing w:line="360" w:lineRule="auto"/>
      </w:pPr>
    </w:p>
    <w:p w14:paraId="4AE3ECE5" w14:textId="77777777" w:rsidR="00B7079D" w:rsidRDefault="00B7079D" w:rsidP="00CE1C0E">
      <w:pPr>
        <w:spacing w:line="360" w:lineRule="auto"/>
      </w:pPr>
    </w:p>
    <w:p w14:paraId="231BE010" w14:textId="77777777" w:rsidR="00B7079D" w:rsidRDefault="00B7079D" w:rsidP="00CE1C0E">
      <w:pPr>
        <w:spacing w:line="360" w:lineRule="auto"/>
      </w:pPr>
    </w:p>
    <w:p w14:paraId="731C9716" w14:textId="77777777" w:rsidR="00B7079D" w:rsidRDefault="00B7079D" w:rsidP="00CE1C0E">
      <w:pPr>
        <w:spacing w:line="360" w:lineRule="auto"/>
      </w:pPr>
    </w:p>
    <w:p w14:paraId="7F021441" w14:textId="77777777" w:rsidR="00B7079D" w:rsidRDefault="00B7079D" w:rsidP="00CE1C0E">
      <w:pPr>
        <w:spacing w:line="360" w:lineRule="auto"/>
      </w:pPr>
    </w:p>
    <w:p w14:paraId="012D11E1" w14:textId="77777777" w:rsidR="00B7079D" w:rsidRDefault="00B7079D" w:rsidP="00CE1C0E">
      <w:pPr>
        <w:spacing w:line="360" w:lineRule="auto"/>
      </w:pPr>
    </w:p>
    <w:p w14:paraId="3FC067C8" w14:textId="00FCAC57" w:rsidR="00B7079D" w:rsidRDefault="00637D0D" w:rsidP="00CE1C0E">
      <w:pPr>
        <w:spacing w:line="360" w:lineRule="auto"/>
      </w:pPr>
      <w:r>
        <w:rPr>
          <w:noProof/>
        </w:rPr>
        <w:drawing>
          <wp:inline distT="0" distB="0" distL="0" distR="0" wp14:anchorId="200DC3FA" wp14:editId="45C3BB7E">
            <wp:extent cx="6249035" cy="5273675"/>
            <wp:effectExtent l="0" t="0" r="0" b="3175"/>
            <wp:docPr id="75574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49035" cy="5273675"/>
                    </a:xfrm>
                    <a:prstGeom prst="rect">
                      <a:avLst/>
                    </a:prstGeom>
                    <a:noFill/>
                  </pic:spPr>
                </pic:pic>
              </a:graphicData>
            </a:graphic>
          </wp:inline>
        </w:drawing>
      </w:r>
    </w:p>
    <w:p w14:paraId="4A3AA8AF" w14:textId="5E0E05A3" w:rsidR="00B7079D" w:rsidRDefault="005D0E11" w:rsidP="005D0E11">
      <w:pPr>
        <w:spacing w:line="360" w:lineRule="auto"/>
        <w:ind w:left="7200"/>
      </w:pPr>
      <w:bookmarkStart w:id="4" w:name="_Hlk212094777"/>
      <w:r>
        <w:t>(</w:t>
      </w:r>
      <w:r w:rsidRPr="005D0E11">
        <w:t>OpenAI, 2025).</w:t>
      </w:r>
    </w:p>
    <w:p w14:paraId="34DFF00A" w14:textId="314627DD" w:rsidR="00B7079D" w:rsidRPr="006460A8" w:rsidRDefault="00E32F1A" w:rsidP="00E857C8">
      <w:pPr>
        <w:pStyle w:val="Heading1"/>
        <w:rPr>
          <w:sz w:val="24"/>
          <w:szCs w:val="24"/>
        </w:rPr>
      </w:pPr>
      <w:bookmarkStart w:id="5" w:name="_Toc212439689"/>
      <w:bookmarkEnd w:id="4"/>
      <w:r w:rsidRPr="006460A8">
        <w:rPr>
          <w:sz w:val="24"/>
          <w:szCs w:val="24"/>
        </w:rPr>
        <w:t>SOUTH KOREA:</w:t>
      </w:r>
      <w:bookmarkEnd w:id="5"/>
    </w:p>
    <w:p w14:paraId="7912F2AD" w14:textId="1E476522" w:rsidR="00B7079D" w:rsidRDefault="00E22C54" w:rsidP="00E22C54">
      <w:pPr>
        <w:spacing w:line="360" w:lineRule="auto"/>
        <w:jc w:val="both"/>
      </w:pPr>
      <w:r w:rsidRPr="00E22C54">
        <w:t xml:space="preserve">On the other hand, </w:t>
      </w:r>
      <w:r w:rsidR="00F948D4" w:rsidRPr="00E22C54">
        <w:t>the</w:t>
      </w:r>
      <w:r w:rsidR="00F948D4">
        <w:t xml:space="preserve"> South </w:t>
      </w:r>
      <w:r w:rsidRPr="00E22C54">
        <w:t xml:space="preserve">Korea Disease Control and Prevention Agency (KDCA) spearheaded a centralised, technologically enabled response in South Korea.  By implementing digital contact tracing, real-time data sharing, and community-based care, the government coordinated initiatives across the civil, health, and education sectors.  This whole-of-government approach, supported by high civic compliance and </w:t>
      </w:r>
      <w:r w:rsidRPr="00E22C54">
        <w:lastRenderedPageBreak/>
        <w:t>transparent communication, positioned South Korea as a global exemplar in pandemic management (Hong, 2024).</w:t>
      </w:r>
    </w:p>
    <w:p w14:paraId="5A2FDC5D" w14:textId="77777777" w:rsidR="00B7079D" w:rsidRDefault="00B7079D" w:rsidP="00CE1C0E">
      <w:pPr>
        <w:spacing w:line="360" w:lineRule="auto"/>
      </w:pPr>
    </w:p>
    <w:p w14:paraId="0D74C435" w14:textId="494C3BED" w:rsidR="00441417" w:rsidRDefault="00441417" w:rsidP="00CE1C0E">
      <w:pPr>
        <w:spacing w:line="360" w:lineRule="auto"/>
      </w:pPr>
      <w:r>
        <w:rPr>
          <w:noProof/>
        </w:rPr>
        <w:drawing>
          <wp:inline distT="0" distB="0" distL="0" distR="0" wp14:anchorId="6A70AB1F" wp14:editId="4647BDE1">
            <wp:extent cx="5871210" cy="6846570"/>
            <wp:effectExtent l="0" t="0" r="0" b="0"/>
            <wp:docPr id="497930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71210" cy="6846570"/>
                    </a:xfrm>
                    <a:prstGeom prst="rect">
                      <a:avLst/>
                    </a:prstGeom>
                    <a:noFill/>
                  </pic:spPr>
                </pic:pic>
              </a:graphicData>
            </a:graphic>
          </wp:inline>
        </w:drawing>
      </w:r>
    </w:p>
    <w:p w14:paraId="3F1A1F25" w14:textId="4E2502B5" w:rsidR="007406A5" w:rsidRDefault="007406A5" w:rsidP="007406A5">
      <w:pPr>
        <w:spacing w:line="360" w:lineRule="auto"/>
        <w:ind w:left="6480" w:firstLine="720"/>
      </w:pPr>
      <w:r w:rsidRPr="007406A5">
        <w:t>(OpenAI, 2025).</w:t>
      </w:r>
    </w:p>
    <w:p w14:paraId="23702D1F" w14:textId="6F73CD49" w:rsidR="007406A5" w:rsidRDefault="007406A5" w:rsidP="006460A8">
      <w:pPr>
        <w:spacing w:line="360" w:lineRule="auto"/>
        <w:jc w:val="both"/>
      </w:pPr>
      <w:r>
        <w:lastRenderedPageBreak/>
        <w:t xml:space="preserve">This </w:t>
      </w:r>
      <w:r w:rsidR="00AE3E51">
        <w:t>rich picture</w:t>
      </w:r>
      <w:r>
        <w:t xml:space="preserve"> illustrates COVID-19’s wide-ranging impact in South Korea. A central red circle labelled “COVID-19” connects to eight arrows, each representing a key area: early containment, economic impact, public trust, education shift, healthcare resilience, tech-driven response, mental health, and global diplomacy. Images and icons reinforce each theme from masked citizens and empty airports to digital vaccine passports and mental health symbols. The diagram highlights South Korea’s strategic, tech-savvy, and socially cohesive approach to managing the pandemic.</w:t>
      </w:r>
    </w:p>
    <w:p w14:paraId="508DADDF" w14:textId="217FD242" w:rsidR="00E81AD1" w:rsidRDefault="007406A5" w:rsidP="006460A8">
      <w:pPr>
        <w:spacing w:line="360" w:lineRule="auto"/>
        <w:jc w:val="both"/>
      </w:pPr>
      <w:r>
        <w:t>The federal framework of Canada created particular coordination difficulties.  The federal and provincial governments share responsibility for public health, necessitating ongoing coordination and discussion.  A unifying leadership approach was adopted by Prime Minister Justin Trudeau, who encouraged consistent messaging and made it easier for provinces to purchase and distribute vaccines.  Although Canada's initial rollout was slower than that of other OECD nations, its subsequent response showed better intergovernmental cooperation and equity (Allin, 2022)</w:t>
      </w:r>
    </w:p>
    <w:p w14:paraId="720DA368" w14:textId="28873503" w:rsidR="00AE3E51" w:rsidRPr="006460A8" w:rsidRDefault="00C95D08" w:rsidP="00E857C8">
      <w:pPr>
        <w:pStyle w:val="Heading1"/>
        <w:rPr>
          <w:sz w:val="24"/>
          <w:szCs w:val="24"/>
        </w:rPr>
      </w:pPr>
      <w:bookmarkStart w:id="6" w:name="_Toc212439690"/>
      <w:r w:rsidRPr="006460A8">
        <w:rPr>
          <w:sz w:val="24"/>
          <w:szCs w:val="24"/>
        </w:rPr>
        <w:t>CANADA</w:t>
      </w:r>
      <w:r w:rsidR="00701556" w:rsidRPr="006460A8">
        <w:rPr>
          <w:sz w:val="24"/>
          <w:szCs w:val="24"/>
        </w:rPr>
        <w:t>:</w:t>
      </w:r>
      <w:bookmarkEnd w:id="6"/>
    </w:p>
    <w:p w14:paraId="6F423466" w14:textId="4FCCB641" w:rsidR="00D35107" w:rsidRPr="00D35107" w:rsidRDefault="00D35107" w:rsidP="00D35107">
      <w:pPr>
        <w:spacing w:line="360" w:lineRule="auto"/>
        <w:jc w:val="both"/>
      </w:pPr>
      <w:r w:rsidRPr="00D35107">
        <w:t>The visual summary portrays Canada’s strategic response to COVID-19, spotlighting the collaborative efforts between federal and provincial authorities led by Prime Minister Justin Trudeau. It showcases key elements such as vaccine rollout, mental health challenges, lockdown protocols, pressure on healthcare systems, and public safety practices including two-metre distancing in educational settings. Together, these components reflect enhanced coordination across government levels and a cohesive national strategy to address the multifaceted impacts of the pandemic.</w:t>
      </w:r>
    </w:p>
    <w:p w14:paraId="1599EC07" w14:textId="6C4BF36C" w:rsidR="00701556" w:rsidRDefault="004F6BCE" w:rsidP="007406A5">
      <w:pPr>
        <w:spacing w:line="360" w:lineRule="auto"/>
        <w:rPr>
          <w:b/>
          <w:bCs/>
        </w:rPr>
      </w:pPr>
      <w:r>
        <w:rPr>
          <w:b/>
          <w:bCs/>
          <w:noProof/>
        </w:rPr>
        <w:lastRenderedPageBreak/>
        <w:drawing>
          <wp:inline distT="0" distB="0" distL="0" distR="0" wp14:anchorId="7727AC6D" wp14:editId="0EBC63C3">
            <wp:extent cx="5730875" cy="7120890"/>
            <wp:effectExtent l="0" t="0" r="3175" b="3810"/>
            <wp:docPr id="479439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7120890"/>
                    </a:xfrm>
                    <a:prstGeom prst="rect">
                      <a:avLst/>
                    </a:prstGeom>
                    <a:noFill/>
                  </pic:spPr>
                </pic:pic>
              </a:graphicData>
            </a:graphic>
          </wp:inline>
        </w:drawing>
      </w:r>
    </w:p>
    <w:p w14:paraId="10537B43" w14:textId="796177C4" w:rsidR="00D958C5" w:rsidRDefault="00D958C5" w:rsidP="00D958C5">
      <w:pPr>
        <w:spacing w:line="360" w:lineRule="auto"/>
        <w:ind w:left="5760" w:firstLine="720"/>
      </w:pPr>
      <w:r w:rsidRPr="00D958C5">
        <w:t>(OpenAI, 2025).</w:t>
      </w:r>
    </w:p>
    <w:p w14:paraId="4EB19CE4" w14:textId="77777777" w:rsidR="00D958C5" w:rsidRDefault="00D958C5" w:rsidP="00D958C5">
      <w:pPr>
        <w:spacing w:line="360" w:lineRule="auto"/>
        <w:ind w:left="5760" w:firstLine="720"/>
      </w:pPr>
    </w:p>
    <w:p w14:paraId="433BC440" w14:textId="77777777" w:rsidR="00D958C5" w:rsidRDefault="00D958C5" w:rsidP="00D958C5">
      <w:pPr>
        <w:spacing w:line="360" w:lineRule="auto"/>
        <w:ind w:left="5760" w:firstLine="720"/>
      </w:pPr>
    </w:p>
    <w:p w14:paraId="510C2017" w14:textId="77777777" w:rsidR="00D958C5" w:rsidRDefault="00D958C5" w:rsidP="00D958C5">
      <w:pPr>
        <w:spacing w:line="360" w:lineRule="auto"/>
        <w:ind w:left="5760" w:firstLine="720"/>
      </w:pPr>
    </w:p>
    <w:p w14:paraId="7596E43F" w14:textId="77777777" w:rsidR="005B6110" w:rsidRPr="006460A8" w:rsidRDefault="005B6110" w:rsidP="00E857C8">
      <w:pPr>
        <w:pStyle w:val="Heading2"/>
        <w:rPr>
          <w:sz w:val="24"/>
          <w:szCs w:val="24"/>
        </w:rPr>
      </w:pPr>
      <w:bookmarkStart w:id="7" w:name="_Toc212439691"/>
      <w:r w:rsidRPr="006460A8">
        <w:rPr>
          <w:sz w:val="24"/>
          <w:szCs w:val="24"/>
        </w:rPr>
        <w:lastRenderedPageBreak/>
        <w:t>COVID-19 Statistics and Equity Overview</w:t>
      </w:r>
      <w:bookmarkEnd w:id="7"/>
    </w:p>
    <w:tbl>
      <w:tblPr>
        <w:tblW w:w="11482" w:type="dxa"/>
        <w:tblCellSpacing w:w="15" w:type="dxa"/>
        <w:tblInd w:w="-1134" w:type="dxa"/>
        <w:tblCellMar>
          <w:top w:w="15" w:type="dxa"/>
          <w:left w:w="15" w:type="dxa"/>
          <w:bottom w:w="15" w:type="dxa"/>
          <w:right w:w="15" w:type="dxa"/>
        </w:tblCellMar>
        <w:tblLook w:val="04A0" w:firstRow="1" w:lastRow="0" w:firstColumn="1" w:lastColumn="0" w:noHBand="0" w:noVBand="1"/>
      </w:tblPr>
      <w:tblGrid>
        <w:gridCol w:w="992"/>
        <w:gridCol w:w="1572"/>
        <w:gridCol w:w="2114"/>
        <w:gridCol w:w="2033"/>
        <w:gridCol w:w="1511"/>
        <w:gridCol w:w="1525"/>
        <w:gridCol w:w="1735"/>
      </w:tblGrid>
      <w:tr w:rsidR="005B6110" w:rsidRPr="005B6110" w14:paraId="5F5088AC" w14:textId="77777777" w:rsidTr="00794172">
        <w:trPr>
          <w:tblHeader/>
          <w:tblCellSpacing w:w="15" w:type="dxa"/>
        </w:trPr>
        <w:tc>
          <w:tcPr>
            <w:tcW w:w="947" w:type="dxa"/>
            <w:vAlign w:val="center"/>
            <w:hideMark/>
          </w:tcPr>
          <w:p w14:paraId="38BF33BE" w14:textId="77777777" w:rsidR="005B6110" w:rsidRPr="005B6110" w:rsidRDefault="005B6110" w:rsidP="005B6110">
            <w:pPr>
              <w:spacing w:line="360" w:lineRule="auto"/>
              <w:jc w:val="both"/>
            </w:pPr>
            <w:r w:rsidRPr="005B6110">
              <w:t>Country</w:t>
            </w:r>
          </w:p>
        </w:tc>
        <w:tc>
          <w:tcPr>
            <w:tcW w:w="1542" w:type="dxa"/>
            <w:vAlign w:val="center"/>
            <w:hideMark/>
          </w:tcPr>
          <w:p w14:paraId="1A30E302" w14:textId="77777777" w:rsidR="005B6110" w:rsidRPr="005B6110" w:rsidRDefault="005B6110" w:rsidP="005B6110">
            <w:pPr>
              <w:spacing w:line="360" w:lineRule="auto"/>
              <w:jc w:val="both"/>
            </w:pPr>
            <w:r w:rsidRPr="005B6110">
              <w:t>Governance Structure</w:t>
            </w:r>
          </w:p>
        </w:tc>
        <w:tc>
          <w:tcPr>
            <w:tcW w:w="2084" w:type="dxa"/>
            <w:vAlign w:val="center"/>
            <w:hideMark/>
          </w:tcPr>
          <w:p w14:paraId="6081752D" w14:textId="77777777" w:rsidR="005B6110" w:rsidRPr="005B6110" w:rsidRDefault="005B6110" w:rsidP="005B6110">
            <w:pPr>
              <w:spacing w:line="360" w:lineRule="auto"/>
              <w:jc w:val="both"/>
            </w:pPr>
            <w:r w:rsidRPr="005B6110">
              <w:t>Equity Challenges</w:t>
            </w:r>
          </w:p>
        </w:tc>
        <w:tc>
          <w:tcPr>
            <w:tcW w:w="2003" w:type="dxa"/>
            <w:vAlign w:val="center"/>
            <w:hideMark/>
          </w:tcPr>
          <w:p w14:paraId="61793B0D" w14:textId="77777777" w:rsidR="005B6110" w:rsidRPr="005B6110" w:rsidRDefault="005B6110" w:rsidP="005B6110">
            <w:pPr>
              <w:spacing w:line="360" w:lineRule="auto"/>
              <w:jc w:val="both"/>
            </w:pPr>
            <w:r w:rsidRPr="005B6110">
              <w:t>Recent Trends (2025)</w:t>
            </w:r>
          </w:p>
        </w:tc>
        <w:tc>
          <w:tcPr>
            <w:tcW w:w="0" w:type="auto"/>
            <w:vAlign w:val="center"/>
            <w:hideMark/>
          </w:tcPr>
          <w:p w14:paraId="02DB5DA8" w14:textId="77777777" w:rsidR="005B6110" w:rsidRPr="005B6110" w:rsidRDefault="005B6110" w:rsidP="005B6110">
            <w:pPr>
              <w:spacing w:line="360" w:lineRule="auto"/>
              <w:jc w:val="both"/>
            </w:pPr>
            <w:r w:rsidRPr="005B6110">
              <w:t>Confirmed Cases (2020–2022)</w:t>
            </w:r>
          </w:p>
        </w:tc>
        <w:tc>
          <w:tcPr>
            <w:tcW w:w="0" w:type="auto"/>
            <w:vAlign w:val="center"/>
            <w:hideMark/>
          </w:tcPr>
          <w:p w14:paraId="34A4BA24" w14:textId="77777777" w:rsidR="005B6110" w:rsidRPr="005B6110" w:rsidRDefault="005B6110" w:rsidP="005B6110">
            <w:pPr>
              <w:spacing w:line="360" w:lineRule="auto"/>
              <w:jc w:val="both"/>
            </w:pPr>
            <w:r w:rsidRPr="005B6110">
              <w:t>Deaths (2020–2022)</w:t>
            </w:r>
          </w:p>
        </w:tc>
        <w:tc>
          <w:tcPr>
            <w:tcW w:w="1690" w:type="dxa"/>
            <w:vAlign w:val="center"/>
            <w:hideMark/>
          </w:tcPr>
          <w:p w14:paraId="2E85D531" w14:textId="77777777" w:rsidR="005B6110" w:rsidRPr="005B6110" w:rsidRDefault="005B6110" w:rsidP="005B6110">
            <w:pPr>
              <w:spacing w:line="360" w:lineRule="auto"/>
              <w:jc w:val="both"/>
            </w:pPr>
            <w:r w:rsidRPr="005B6110">
              <w:t>Vaccination Coverage (2022)</w:t>
            </w:r>
          </w:p>
        </w:tc>
      </w:tr>
      <w:tr w:rsidR="005B6110" w:rsidRPr="005B6110" w14:paraId="02686BCA" w14:textId="77777777" w:rsidTr="00794172">
        <w:trPr>
          <w:tblCellSpacing w:w="15" w:type="dxa"/>
        </w:trPr>
        <w:tc>
          <w:tcPr>
            <w:tcW w:w="947" w:type="dxa"/>
            <w:vAlign w:val="center"/>
            <w:hideMark/>
          </w:tcPr>
          <w:p w14:paraId="2F982074" w14:textId="77777777" w:rsidR="005B6110" w:rsidRPr="005B6110" w:rsidRDefault="005B6110" w:rsidP="005B6110">
            <w:pPr>
              <w:spacing w:line="360" w:lineRule="auto"/>
              <w:jc w:val="both"/>
            </w:pPr>
            <w:r w:rsidRPr="005B6110">
              <w:t>Spain</w:t>
            </w:r>
          </w:p>
        </w:tc>
        <w:tc>
          <w:tcPr>
            <w:tcW w:w="1542" w:type="dxa"/>
            <w:vAlign w:val="center"/>
            <w:hideMark/>
          </w:tcPr>
          <w:p w14:paraId="7A21C02E" w14:textId="77777777" w:rsidR="005B6110" w:rsidRPr="005B6110" w:rsidRDefault="005B6110" w:rsidP="005B6110">
            <w:pPr>
              <w:spacing w:line="360" w:lineRule="auto"/>
              <w:jc w:val="both"/>
            </w:pPr>
            <w:r w:rsidRPr="005B6110">
              <w:t xml:space="preserve">Decentralised </w:t>
            </w:r>
          </w:p>
        </w:tc>
        <w:tc>
          <w:tcPr>
            <w:tcW w:w="2084" w:type="dxa"/>
            <w:vAlign w:val="center"/>
            <w:hideMark/>
          </w:tcPr>
          <w:p w14:paraId="7BD68DD5" w14:textId="77777777" w:rsidR="005B6110" w:rsidRPr="005B6110" w:rsidRDefault="005B6110" w:rsidP="005B6110">
            <w:pPr>
              <w:spacing w:line="360" w:lineRule="auto"/>
              <w:jc w:val="both"/>
            </w:pPr>
            <w:r w:rsidRPr="005B6110">
              <w:t>Regional disparities in vaccine access and healthcare capacity (Seing, 2023)</w:t>
            </w:r>
          </w:p>
        </w:tc>
        <w:tc>
          <w:tcPr>
            <w:tcW w:w="2003" w:type="dxa"/>
            <w:vAlign w:val="center"/>
            <w:hideMark/>
          </w:tcPr>
          <w:p w14:paraId="710C1E96" w14:textId="77777777" w:rsidR="005B6110" w:rsidRPr="005B6110" w:rsidRDefault="005B6110" w:rsidP="005B6110">
            <w:pPr>
              <w:spacing w:line="360" w:lineRule="auto"/>
              <w:jc w:val="both"/>
            </w:pPr>
            <w:r w:rsidRPr="005B6110">
              <w:t>Low SARS-CoV-2 activity; 2–3% test positivity rate (World Health Organization, 2025)</w:t>
            </w:r>
          </w:p>
        </w:tc>
        <w:tc>
          <w:tcPr>
            <w:tcW w:w="0" w:type="auto"/>
            <w:vAlign w:val="center"/>
            <w:hideMark/>
          </w:tcPr>
          <w:p w14:paraId="78FE4438" w14:textId="77777777" w:rsidR="005B6110" w:rsidRPr="005B6110" w:rsidRDefault="005B6110" w:rsidP="005B6110">
            <w:pPr>
              <w:spacing w:line="360" w:lineRule="auto"/>
              <w:jc w:val="both"/>
            </w:pPr>
            <w:r w:rsidRPr="005B6110">
              <w:t>13,980,340 ((WHO, 2023)</w:t>
            </w:r>
          </w:p>
        </w:tc>
        <w:tc>
          <w:tcPr>
            <w:tcW w:w="0" w:type="auto"/>
            <w:vAlign w:val="center"/>
            <w:hideMark/>
          </w:tcPr>
          <w:p w14:paraId="4D8C0F8E" w14:textId="77777777" w:rsidR="005B6110" w:rsidRPr="005B6110" w:rsidRDefault="005B6110" w:rsidP="005B6110">
            <w:pPr>
              <w:spacing w:line="360" w:lineRule="auto"/>
              <w:jc w:val="both"/>
            </w:pPr>
            <w:r w:rsidRPr="005B6110">
              <w:t>121,852 (WHO, 2023)</w:t>
            </w:r>
          </w:p>
        </w:tc>
        <w:tc>
          <w:tcPr>
            <w:tcW w:w="1690" w:type="dxa"/>
            <w:vAlign w:val="center"/>
            <w:hideMark/>
          </w:tcPr>
          <w:p w14:paraId="113D9421" w14:textId="5C9F98D3" w:rsidR="005B6110" w:rsidRPr="005B6110" w:rsidRDefault="005B6110" w:rsidP="005B6110">
            <w:pPr>
              <w:spacing w:line="360" w:lineRule="auto"/>
              <w:jc w:val="both"/>
            </w:pPr>
            <w:r w:rsidRPr="005B6110">
              <w:t>94% vaccinated or willing (World Health Organi</w:t>
            </w:r>
            <w:r w:rsidR="00E94648">
              <w:t>s</w:t>
            </w:r>
            <w:r w:rsidRPr="005B6110">
              <w:t>ation, 2023)</w:t>
            </w:r>
          </w:p>
        </w:tc>
      </w:tr>
      <w:tr w:rsidR="005B6110" w:rsidRPr="005B6110" w14:paraId="1A9F3D13" w14:textId="77777777" w:rsidTr="00794172">
        <w:trPr>
          <w:tblCellSpacing w:w="15" w:type="dxa"/>
        </w:trPr>
        <w:tc>
          <w:tcPr>
            <w:tcW w:w="947" w:type="dxa"/>
            <w:vAlign w:val="center"/>
            <w:hideMark/>
          </w:tcPr>
          <w:p w14:paraId="7AFBE7E4" w14:textId="77777777" w:rsidR="005B6110" w:rsidRPr="005B6110" w:rsidRDefault="005B6110" w:rsidP="005B6110">
            <w:pPr>
              <w:spacing w:line="360" w:lineRule="auto"/>
              <w:jc w:val="both"/>
            </w:pPr>
            <w:r w:rsidRPr="005B6110">
              <w:t>South Korea</w:t>
            </w:r>
          </w:p>
        </w:tc>
        <w:tc>
          <w:tcPr>
            <w:tcW w:w="1542" w:type="dxa"/>
            <w:vAlign w:val="center"/>
            <w:hideMark/>
          </w:tcPr>
          <w:p w14:paraId="2CFC08EC" w14:textId="77777777" w:rsidR="005B6110" w:rsidRPr="005B6110" w:rsidRDefault="005B6110" w:rsidP="005B6110">
            <w:pPr>
              <w:spacing w:line="360" w:lineRule="auto"/>
              <w:jc w:val="both"/>
            </w:pPr>
            <w:r w:rsidRPr="005B6110">
              <w:t xml:space="preserve">Centralised </w:t>
            </w:r>
          </w:p>
        </w:tc>
        <w:tc>
          <w:tcPr>
            <w:tcW w:w="2084" w:type="dxa"/>
            <w:vAlign w:val="center"/>
            <w:hideMark/>
          </w:tcPr>
          <w:p w14:paraId="5BEF1049" w14:textId="77777777" w:rsidR="005B6110" w:rsidRPr="005B6110" w:rsidRDefault="005B6110" w:rsidP="005B6110">
            <w:pPr>
              <w:spacing w:line="360" w:lineRule="auto"/>
              <w:jc w:val="both"/>
            </w:pPr>
            <w:r w:rsidRPr="005B6110">
              <w:t>Equity gaps in migrant and low-income populations' access to services (Mac, 2023)</w:t>
            </w:r>
          </w:p>
        </w:tc>
        <w:tc>
          <w:tcPr>
            <w:tcW w:w="2003" w:type="dxa"/>
            <w:vAlign w:val="center"/>
            <w:hideMark/>
          </w:tcPr>
          <w:p w14:paraId="7D50B674" w14:textId="00BD5941" w:rsidR="005B6110" w:rsidRPr="005B6110" w:rsidRDefault="005B6110" w:rsidP="005B6110">
            <w:pPr>
              <w:spacing w:line="360" w:lineRule="auto"/>
              <w:jc w:val="both"/>
            </w:pPr>
            <w:r w:rsidRPr="005B6110">
              <w:t>Increased test positivity in Western Pacific region; limited ICU data (World Health Organi</w:t>
            </w:r>
            <w:r w:rsidR="00E94648">
              <w:t>s</w:t>
            </w:r>
            <w:r w:rsidRPr="005B6110">
              <w:t>ation, 2025)</w:t>
            </w:r>
          </w:p>
        </w:tc>
        <w:tc>
          <w:tcPr>
            <w:tcW w:w="0" w:type="auto"/>
            <w:vAlign w:val="center"/>
            <w:hideMark/>
          </w:tcPr>
          <w:p w14:paraId="1C747C99" w14:textId="08528ACD" w:rsidR="005B6110" w:rsidRPr="005B6110" w:rsidRDefault="005B6110" w:rsidP="005B6110">
            <w:pPr>
              <w:spacing w:line="360" w:lineRule="auto"/>
              <w:jc w:val="both"/>
            </w:pPr>
            <w:r w:rsidRPr="005B6110">
              <w:t>34,571,873 (World Health Organi</w:t>
            </w:r>
            <w:r w:rsidR="00E94648">
              <w:t>s</w:t>
            </w:r>
            <w:r w:rsidRPr="005B6110">
              <w:t>ation, 2023)</w:t>
            </w:r>
          </w:p>
        </w:tc>
        <w:tc>
          <w:tcPr>
            <w:tcW w:w="0" w:type="auto"/>
            <w:vAlign w:val="center"/>
            <w:hideMark/>
          </w:tcPr>
          <w:p w14:paraId="3BDCC82F" w14:textId="5D7E53FB" w:rsidR="005B6110" w:rsidRPr="005B6110" w:rsidRDefault="005B6110" w:rsidP="005B6110">
            <w:pPr>
              <w:spacing w:line="360" w:lineRule="auto"/>
              <w:jc w:val="both"/>
            </w:pPr>
            <w:r w:rsidRPr="005B6110">
              <w:t>35,934 (World Health Organ</w:t>
            </w:r>
            <w:r w:rsidR="00E94648">
              <w:t>isa</w:t>
            </w:r>
            <w:r w:rsidRPr="005B6110">
              <w:t>tion, 2023)</w:t>
            </w:r>
          </w:p>
        </w:tc>
        <w:tc>
          <w:tcPr>
            <w:tcW w:w="1690" w:type="dxa"/>
            <w:vAlign w:val="center"/>
            <w:hideMark/>
          </w:tcPr>
          <w:p w14:paraId="1FF87B4F" w14:textId="77777777" w:rsidR="005B6110" w:rsidRPr="005B6110" w:rsidRDefault="005B6110" w:rsidP="005B6110">
            <w:pPr>
              <w:spacing w:line="360" w:lineRule="auto"/>
              <w:jc w:val="both"/>
            </w:pPr>
            <w:r w:rsidRPr="005B6110">
              <w:t>44,347,430 fully vaccinated (86%) (World Health Organization, 2023)</w:t>
            </w:r>
          </w:p>
        </w:tc>
      </w:tr>
      <w:tr w:rsidR="005B6110" w:rsidRPr="005B6110" w14:paraId="4AF23F15" w14:textId="77777777" w:rsidTr="00794172">
        <w:trPr>
          <w:tblCellSpacing w:w="15" w:type="dxa"/>
        </w:trPr>
        <w:tc>
          <w:tcPr>
            <w:tcW w:w="947" w:type="dxa"/>
            <w:vAlign w:val="center"/>
            <w:hideMark/>
          </w:tcPr>
          <w:p w14:paraId="69F6BE4B" w14:textId="77777777" w:rsidR="005B6110" w:rsidRPr="005B6110" w:rsidRDefault="005B6110" w:rsidP="005B6110">
            <w:pPr>
              <w:spacing w:line="360" w:lineRule="auto"/>
              <w:jc w:val="both"/>
            </w:pPr>
            <w:r w:rsidRPr="005B6110">
              <w:t>Canada</w:t>
            </w:r>
          </w:p>
        </w:tc>
        <w:tc>
          <w:tcPr>
            <w:tcW w:w="1542" w:type="dxa"/>
            <w:vAlign w:val="center"/>
            <w:hideMark/>
          </w:tcPr>
          <w:p w14:paraId="39EF2C85" w14:textId="77777777" w:rsidR="005B6110" w:rsidRPr="005B6110" w:rsidRDefault="005B6110" w:rsidP="005B6110">
            <w:pPr>
              <w:spacing w:line="360" w:lineRule="auto"/>
              <w:jc w:val="both"/>
            </w:pPr>
            <w:r w:rsidRPr="005B6110">
              <w:t xml:space="preserve">Federal </w:t>
            </w:r>
          </w:p>
        </w:tc>
        <w:tc>
          <w:tcPr>
            <w:tcW w:w="2084" w:type="dxa"/>
            <w:vAlign w:val="center"/>
            <w:hideMark/>
          </w:tcPr>
          <w:p w14:paraId="278BCC06" w14:textId="77777777" w:rsidR="005B6110" w:rsidRPr="005B6110" w:rsidRDefault="005B6110" w:rsidP="005B6110">
            <w:pPr>
              <w:spacing w:line="360" w:lineRule="auto"/>
              <w:jc w:val="both"/>
            </w:pPr>
            <w:r w:rsidRPr="005B6110">
              <w:t>Indigenous and remote communities faced delayed vaccine rollout and service access (Mac-Seing et al., 2023)</w:t>
            </w:r>
          </w:p>
        </w:tc>
        <w:tc>
          <w:tcPr>
            <w:tcW w:w="2003" w:type="dxa"/>
            <w:vAlign w:val="center"/>
            <w:hideMark/>
          </w:tcPr>
          <w:p w14:paraId="391ED6A0" w14:textId="49055F42" w:rsidR="005B6110" w:rsidRPr="005B6110" w:rsidRDefault="005B6110" w:rsidP="005B6110">
            <w:pPr>
              <w:spacing w:line="360" w:lineRule="auto"/>
              <w:jc w:val="both"/>
            </w:pPr>
            <w:r w:rsidRPr="005B6110">
              <w:t>Stable low positivity: wastewater data shows no upward trend (World Health Organi</w:t>
            </w:r>
            <w:r w:rsidR="00E94648">
              <w:t>s</w:t>
            </w:r>
            <w:r w:rsidRPr="005B6110">
              <w:t>ation, 2025)</w:t>
            </w:r>
          </w:p>
        </w:tc>
        <w:tc>
          <w:tcPr>
            <w:tcW w:w="0" w:type="auto"/>
            <w:vAlign w:val="center"/>
            <w:hideMark/>
          </w:tcPr>
          <w:p w14:paraId="6F1C86CC" w14:textId="004EFDB9" w:rsidR="005B6110" w:rsidRPr="005B6110" w:rsidRDefault="005B6110" w:rsidP="005B6110">
            <w:pPr>
              <w:spacing w:line="360" w:lineRule="auto"/>
              <w:jc w:val="both"/>
            </w:pPr>
            <w:r w:rsidRPr="005B6110">
              <w:t>4,650,000 (World Health Organi</w:t>
            </w:r>
            <w:r w:rsidR="00E94648">
              <w:t>s</w:t>
            </w:r>
            <w:r w:rsidRPr="005B6110">
              <w:t>ation, 2023)</w:t>
            </w:r>
          </w:p>
        </w:tc>
        <w:tc>
          <w:tcPr>
            <w:tcW w:w="0" w:type="auto"/>
            <w:vAlign w:val="center"/>
            <w:hideMark/>
          </w:tcPr>
          <w:p w14:paraId="346C35AC" w14:textId="77777777" w:rsidR="005B6110" w:rsidRPr="005B6110" w:rsidRDefault="005B6110" w:rsidP="005B6110">
            <w:pPr>
              <w:spacing w:line="360" w:lineRule="auto"/>
              <w:jc w:val="both"/>
            </w:pPr>
            <w:r w:rsidRPr="005B6110">
              <w:t>19,906 (2022 peak) (World Health Organization, 2023)</w:t>
            </w:r>
          </w:p>
        </w:tc>
        <w:tc>
          <w:tcPr>
            <w:tcW w:w="1690" w:type="dxa"/>
            <w:vAlign w:val="center"/>
            <w:hideMark/>
          </w:tcPr>
          <w:p w14:paraId="3653E12D" w14:textId="14F2E1CA" w:rsidR="005B6110" w:rsidRPr="005B6110" w:rsidRDefault="005B6110" w:rsidP="005B6110">
            <w:pPr>
              <w:spacing w:line="360" w:lineRule="auto"/>
              <w:jc w:val="both"/>
            </w:pPr>
            <w:r w:rsidRPr="005B6110">
              <w:t>83% fully vaccinated (World Health Organi</w:t>
            </w:r>
            <w:r w:rsidR="00E94648">
              <w:t>s</w:t>
            </w:r>
            <w:r w:rsidRPr="005B6110">
              <w:t>ation, 2023)</w:t>
            </w:r>
          </w:p>
        </w:tc>
      </w:tr>
    </w:tbl>
    <w:p w14:paraId="219E6D70" w14:textId="508A285A" w:rsidR="008A2DD1" w:rsidRDefault="002734F9" w:rsidP="00E857C8">
      <w:pPr>
        <w:pStyle w:val="Heading1"/>
        <w:rPr>
          <w:sz w:val="24"/>
          <w:szCs w:val="24"/>
        </w:rPr>
      </w:pPr>
      <w:bookmarkStart w:id="8" w:name="_Toc212439692"/>
      <w:r>
        <w:rPr>
          <w:sz w:val="24"/>
          <w:szCs w:val="24"/>
        </w:rPr>
        <w:t>3.0 Centr</w:t>
      </w:r>
      <w:r w:rsidR="00766CB1">
        <w:rPr>
          <w:sz w:val="24"/>
          <w:szCs w:val="24"/>
        </w:rPr>
        <w:t>alised</w:t>
      </w:r>
      <w:r w:rsidR="00FF080E">
        <w:rPr>
          <w:sz w:val="24"/>
          <w:szCs w:val="24"/>
        </w:rPr>
        <w:t xml:space="preserve"> and Decen</w:t>
      </w:r>
      <w:r w:rsidR="007C3F21">
        <w:rPr>
          <w:sz w:val="24"/>
          <w:szCs w:val="24"/>
        </w:rPr>
        <w:t>tralised.</w:t>
      </w:r>
      <w:bookmarkEnd w:id="8"/>
      <w:r w:rsidR="007C3F21">
        <w:rPr>
          <w:sz w:val="24"/>
          <w:szCs w:val="24"/>
        </w:rPr>
        <w:t xml:space="preserve"> </w:t>
      </w:r>
    </w:p>
    <w:p w14:paraId="38494B0D" w14:textId="77777777" w:rsidR="00CB6757" w:rsidRPr="00CB6757" w:rsidRDefault="00CB6757" w:rsidP="00CB6757"/>
    <w:p w14:paraId="60C7523F" w14:textId="73A708BF" w:rsidR="00CB6757" w:rsidRDefault="00CB6757" w:rsidP="00E857C8">
      <w:pPr>
        <w:pStyle w:val="Heading1"/>
        <w:rPr>
          <w:sz w:val="24"/>
          <w:szCs w:val="24"/>
        </w:rPr>
      </w:pPr>
      <w:bookmarkStart w:id="9" w:name="_Toc212439693"/>
      <w:r w:rsidRPr="00CB6757">
        <w:rPr>
          <w:noProof/>
          <w:sz w:val="24"/>
          <w:szCs w:val="24"/>
        </w:rPr>
        <w:lastRenderedPageBreak/>
        <w:drawing>
          <wp:inline distT="0" distB="0" distL="0" distR="0" wp14:anchorId="6A07821E" wp14:editId="4F730B28">
            <wp:extent cx="4296375" cy="2686425"/>
            <wp:effectExtent l="0" t="0" r="9525" b="0"/>
            <wp:docPr id="204028957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89574" name="Picture 1" descr="A diagram of a diagram&#10;&#10;AI-generated content may be incorrect."/>
                    <pic:cNvPicPr/>
                  </pic:nvPicPr>
                  <pic:blipFill>
                    <a:blip r:embed="rId14"/>
                    <a:stretch>
                      <a:fillRect/>
                    </a:stretch>
                  </pic:blipFill>
                  <pic:spPr>
                    <a:xfrm>
                      <a:off x="0" y="0"/>
                      <a:ext cx="4296375" cy="2686425"/>
                    </a:xfrm>
                    <a:prstGeom prst="rect">
                      <a:avLst/>
                    </a:prstGeom>
                  </pic:spPr>
                </pic:pic>
              </a:graphicData>
            </a:graphic>
          </wp:inline>
        </w:drawing>
      </w:r>
    </w:p>
    <w:p w14:paraId="0028AD67" w14:textId="7BD5B951" w:rsidR="003306DB" w:rsidRPr="003306DB" w:rsidRDefault="003306DB" w:rsidP="003306DB">
      <w:r>
        <w:tab/>
      </w:r>
      <w:r>
        <w:tab/>
      </w:r>
      <w:r>
        <w:tab/>
      </w:r>
      <w:r>
        <w:tab/>
      </w:r>
      <w:r>
        <w:tab/>
        <w:t>(key Difference</w:t>
      </w:r>
      <w:r w:rsidR="00E50D9C">
        <w:t>, 2022)</w:t>
      </w:r>
    </w:p>
    <w:p w14:paraId="7EC6E752" w14:textId="6ED0F156" w:rsidR="00CA3D5F" w:rsidRPr="00C7754D" w:rsidRDefault="004D4772" w:rsidP="00E857C8">
      <w:pPr>
        <w:pStyle w:val="Heading1"/>
        <w:rPr>
          <w:sz w:val="24"/>
          <w:szCs w:val="24"/>
        </w:rPr>
      </w:pPr>
      <w:r w:rsidRPr="00C7754D">
        <w:rPr>
          <w:sz w:val="24"/>
          <w:szCs w:val="24"/>
        </w:rPr>
        <w:t>SPAIN:</w:t>
      </w:r>
      <w:bookmarkEnd w:id="9"/>
    </w:p>
    <w:p w14:paraId="43025C9A" w14:textId="77777777" w:rsidR="002E4F83" w:rsidRDefault="00CA3D5F" w:rsidP="00EC174A">
      <w:pPr>
        <w:spacing w:line="360" w:lineRule="auto"/>
        <w:jc w:val="both"/>
      </w:pPr>
      <w:r w:rsidRPr="00CA3D5F">
        <w:rPr>
          <w:noProof/>
        </w:rPr>
        <w:drawing>
          <wp:inline distT="0" distB="0" distL="0" distR="0" wp14:anchorId="17BDF351" wp14:editId="5BC9946A">
            <wp:extent cx="5478780" cy="3390900"/>
            <wp:effectExtent l="0" t="0" r="7620" b="0"/>
            <wp:docPr id="1488254290" name="Picture 1" descr="A person standing at a pod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54290" name="Picture 1" descr="A person standing at a podium&#10;&#10;AI-generated content may be incorrect."/>
                    <pic:cNvPicPr/>
                  </pic:nvPicPr>
                  <pic:blipFill>
                    <a:blip r:embed="rId15"/>
                    <a:stretch>
                      <a:fillRect/>
                    </a:stretch>
                  </pic:blipFill>
                  <pic:spPr>
                    <a:xfrm>
                      <a:off x="0" y="0"/>
                      <a:ext cx="5479546" cy="3391374"/>
                    </a:xfrm>
                    <a:prstGeom prst="rect">
                      <a:avLst/>
                    </a:prstGeom>
                  </pic:spPr>
                </pic:pic>
              </a:graphicData>
            </a:graphic>
          </wp:inline>
        </w:drawing>
      </w:r>
    </w:p>
    <w:p w14:paraId="57FD4CEC" w14:textId="748AF25D" w:rsidR="00BB44B5" w:rsidRDefault="00BB44B5" w:rsidP="004C210D">
      <w:pPr>
        <w:spacing w:line="360" w:lineRule="auto"/>
        <w:ind w:left="5760" w:firstLine="720"/>
        <w:jc w:val="both"/>
      </w:pPr>
      <w:r w:rsidRPr="00BB44B5">
        <w:t>(OpenAI, 2025).</w:t>
      </w:r>
    </w:p>
    <w:p w14:paraId="12514A36" w14:textId="2392F1DC" w:rsidR="00EC174A" w:rsidRDefault="00EC174A" w:rsidP="00EC174A">
      <w:pPr>
        <w:spacing w:line="360" w:lineRule="auto"/>
        <w:jc w:val="both"/>
      </w:pPr>
      <w:r>
        <w:t>During the COVID-19 pandemic, Spain’s initial response was directed by Prime Minister Pedro Sánchez, who declared a state of alarm on 14 March 2020. This measure centrali</w:t>
      </w:r>
      <w:r w:rsidR="00F54A3C">
        <w:t>s</w:t>
      </w:r>
      <w:r>
        <w:t>ed control over health policy and emergency management (Navarro and Velasco, 2022). The declaration temporarily suspended the authority of Spain’s 17 autonomous regions, allowing the national government</w:t>
      </w:r>
      <w:r w:rsidR="009E3876">
        <w:t xml:space="preserve"> </w:t>
      </w:r>
      <w:r>
        <w:t xml:space="preserve">through the Ministry of Health, </w:t>
      </w:r>
      <w:r>
        <w:lastRenderedPageBreak/>
        <w:t>led by Salvador Illa</w:t>
      </w:r>
      <w:r w:rsidR="009E3876">
        <w:t xml:space="preserve"> </w:t>
      </w:r>
      <w:r>
        <w:t>to impose uniform lockdowns, coordinate hospital resources, and oversee testing and PPE distribution (Oxford Constitutional Law, 2024).</w:t>
      </w:r>
    </w:p>
    <w:p w14:paraId="22F0467F" w14:textId="712C130A" w:rsidR="00EC174A" w:rsidRDefault="00EC174A" w:rsidP="00EC174A">
      <w:pPr>
        <w:spacing w:line="360" w:lineRule="auto"/>
        <w:jc w:val="both"/>
      </w:pPr>
      <w:r>
        <w:t>By the end of 2023, Spain had reported more than 13.9 million confirmed COVID-19 cases and 121,852 deaths, ranking among the European countries most severely affected by the pandemic (</w:t>
      </w:r>
      <w:proofErr w:type="spellStart"/>
      <w:r>
        <w:t>Worldometer</w:t>
      </w:r>
      <w:proofErr w:type="spellEnd"/>
      <w:r>
        <w:t>, 2024; Wikipedia, 2024). Although the centralized and top-down strategy enabled swift nationwide action, it also exposed weaknesses such as coordination failures, delayed regional responses, and limited adaptability to local health conditions (Navarro and Velasco, 2022; Lorente et al., 2023).</w:t>
      </w:r>
    </w:p>
    <w:p w14:paraId="3B03D834" w14:textId="2B6A04C8" w:rsidR="00EC174A" w:rsidRDefault="00EC174A" w:rsidP="00EC174A">
      <w:pPr>
        <w:spacing w:line="360" w:lineRule="auto"/>
        <w:jc w:val="both"/>
      </w:pPr>
      <w:r>
        <w:t>As the crisis developed, Spain shifted toward a more decentralized model, restoring regional authority over testing, contact tracing, and vaccine distribution. This change reflected a return to democratic governance, supported by mechanisms like interterritorial councils and shared data systems to enhance coordination between government levels (Navarro and Velasco, 2022). However, disparities remained, as regional governments pursued differing strategies, resulting in inconsistent communication and public confusion (Lorente et al., 2023).</w:t>
      </w:r>
    </w:p>
    <w:p w14:paraId="15A9FC21" w14:textId="09950C72" w:rsidR="006B0B51" w:rsidRDefault="00EC174A" w:rsidP="00EC174A">
      <w:pPr>
        <w:spacing w:line="360" w:lineRule="auto"/>
        <w:jc w:val="both"/>
      </w:pPr>
      <w:r>
        <w:t>Despite these difficulties, Spain achieved a high vaccination rate, with more than 85% of its population fully vaccinated by late 2022</w:t>
      </w:r>
      <w:r w:rsidR="007E4332">
        <w:t xml:space="preserve"> </w:t>
      </w:r>
      <w:r>
        <w:t>a success attributed to a strong public health system and broad citizen cooperation (Our World in Data, 2024). Nevertheless, the country experienced severe economic challenges, including a surge in unemployment and immense pressure on the healthcare sector, particularly during the first and third waves of the pandemic (Chislett, 2021).</w:t>
      </w:r>
    </w:p>
    <w:p w14:paraId="28D32699" w14:textId="69EFF194" w:rsidR="002C2914" w:rsidRDefault="002C2914" w:rsidP="00E857C8">
      <w:pPr>
        <w:pStyle w:val="Heading1"/>
      </w:pPr>
      <w:bookmarkStart w:id="10" w:name="_Toc212439694"/>
      <w:r w:rsidRPr="00000034">
        <w:lastRenderedPageBreak/>
        <w:t>CANADA</w:t>
      </w:r>
      <w:r w:rsidR="00000034">
        <w:t>:</w:t>
      </w:r>
      <w:bookmarkEnd w:id="10"/>
    </w:p>
    <w:p w14:paraId="6F8DF517" w14:textId="77777777" w:rsidR="002E4F83" w:rsidRDefault="00BA1016" w:rsidP="00EC174A">
      <w:pPr>
        <w:spacing w:line="360" w:lineRule="auto"/>
        <w:jc w:val="both"/>
      </w:pPr>
      <w:r w:rsidRPr="00BA1016">
        <w:rPr>
          <w:b/>
          <w:bCs/>
          <w:noProof/>
        </w:rPr>
        <w:drawing>
          <wp:inline distT="0" distB="0" distL="0" distR="0" wp14:anchorId="1E13019C" wp14:editId="5CD98B87">
            <wp:extent cx="5731510" cy="2713355"/>
            <wp:effectExtent l="0" t="0" r="2540" b="0"/>
            <wp:docPr id="200934424"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4424" name="Picture 1" descr="A person in a suit and tie&#10;&#10;AI-generated content may be incorrect."/>
                    <pic:cNvPicPr/>
                  </pic:nvPicPr>
                  <pic:blipFill>
                    <a:blip r:embed="rId16"/>
                    <a:stretch>
                      <a:fillRect/>
                    </a:stretch>
                  </pic:blipFill>
                  <pic:spPr>
                    <a:xfrm>
                      <a:off x="0" y="0"/>
                      <a:ext cx="5731510" cy="2713355"/>
                    </a:xfrm>
                    <a:prstGeom prst="rect">
                      <a:avLst/>
                    </a:prstGeom>
                  </pic:spPr>
                </pic:pic>
              </a:graphicData>
            </a:graphic>
          </wp:inline>
        </w:drawing>
      </w:r>
    </w:p>
    <w:p w14:paraId="2875574B" w14:textId="77777777" w:rsidR="005F2E03" w:rsidRDefault="002E4F83" w:rsidP="005F2E03">
      <w:pPr>
        <w:pStyle w:val="NoSpacing"/>
        <w:ind w:left="5760" w:firstLine="720"/>
      </w:pPr>
      <w:r w:rsidRPr="002E4F83">
        <w:t>(OpenAI,</w:t>
      </w:r>
      <w:r w:rsidR="0028468E">
        <w:t xml:space="preserve"> </w:t>
      </w:r>
      <w:r w:rsidRPr="002E4F83">
        <w:t>2025)</w:t>
      </w:r>
    </w:p>
    <w:p w14:paraId="35D27858" w14:textId="05FF2684" w:rsidR="002E4F83" w:rsidRPr="002E4F83" w:rsidRDefault="002E4F83" w:rsidP="005F2E03">
      <w:pPr>
        <w:pStyle w:val="NoSpacing"/>
      </w:pPr>
      <w:r>
        <w:rPr>
          <w:b/>
          <w:bCs/>
        </w:rPr>
        <w:tab/>
      </w:r>
      <w:r>
        <w:rPr>
          <w:b/>
          <w:bCs/>
        </w:rPr>
        <w:tab/>
      </w:r>
      <w:r>
        <w:rPr>
          <w:b/>
          <w:bCs/>
        </w:rPr>
        <w:tab/>
      </w:r>
    </w:p>
    <w:p w14:paraId="5215A11F" w14:textId="392DE479" w:rsidR="008C6B8E" w:rsidRDefault="008C6B8E" w:rsidP="005F2E03">
      <w:pPr>
        <w:spacing w:line="360" w:lineRule="auto"/>
        <w:jc w:val="both"/>
      </w:pPr>
      <w:r>
        <w:t>During the COVID-19 pandemic, Canada’s approach was defined by its decentrali</w:t>
      </w:r>
      <w:r w:rsidR="003C2C9F">
        <w:t>s</w:t>
      </w:r>
      <w:r>
        <w:t>ed federal structure, in which healthcare responsibilities fall constitutionally under provincial and territorial jurisdiction (</w:t>
      </w:r>
      <w:proofErr w:type="spellStart"/>
      <w:r>
        <w:t>Béland</w:t>
      </w:r>
      <w:proofErr w:type="spellEnd"/>
      <w:r>
        <w:t xml:space="preserve"> et al., 2021). At the national level, Prime Minister Justin Trudeau coordinated overarching measures, including border closures, vaccine acquisition, and federal economic assistance (Cambridge Core, 2021). Nonetheless, public health actions</w:t>
      </w:r>
      <w:r w:rsidR="00153971">
        <w:t xml:space="preserve"> </w:t>
      </w:r>
      <w:r>
        <w:t>such as lockdowns, mask regulations, and school closures</w:t>
      </w:r>
      <w:r w:rsidR="00153971">
        <w:t xml:space="preserve"> </w:t>
      </w:r>
      <w:r>
        <w:t>were managed by provincial and territorial leaders, demonstrating Canada’s adherence to regional self-governance (BMJ, 2023).</w:t>
      </w:r>
    </w:p>
    <w:p w14:paraId="7A7851CC" w14:textId="77777777" w:rsidR="0058307E" w:rsidRDefault="008C6B8E" w:rsidP="008C6B8E">
      <w:pPr>
        <w:spacing w:line="360" w:lineRule="auto"/>
        <w:jc w:val="both"/>
      </w:pPr>
      <w:r>
        <w:t>This decentrali</w:t>
      </w:r>
      <w:r w:rsidR="00544231">
        <w:t>s</w:t>
      </w:r>
      <w:r>
        <w:t>ed framework enabled provinces to adjust their strategies according to local infection rates. For instance, Ontario and Quebec, the hardest-hit provinces, imposed stringent lockdowns and curfews (</w:t>
      </w:r>
      <w:proofErr w:type="spellStart"/>
      <w:r>
        <w:t>Tandfonline</w:t>
      </w:r>
      <w:proofErr w:type="spellEnd"/>
      <w:r>
        <w:t>, 2022). Meanwhile, the Atlantic provinces established a “travel bubble” to minimi</w:t>
      </w:r>
      <w:r w:rsidR="002E078F">
        <w:t>s</w:t>
      </w:r>
      <w:r>
        <w:t>e transmission, and British Columbia followed a health expert</w:t>
      </w:r>
      <w:r w:rsidR="002E078F">
        <w:t xml:space="preserve"> </w:t>
      </w:r>
      <w:r>
        <w:t xml:space="preserve">driven approach marked by consistent communication (BMJ, 2023). </w:t>
      </w:r>
    </w:p>
    <w:p w14:paraId="11E21159" w14:textId="66FFB2B9" w:rsidR="008C6B8E" w:rsidRDefault="008C6B8E" w:rsidP="008C6B8E">
      <w:pPr>
        <w:spacing w:line="360" w:lineRule="auto"/>
        <w:jc w:val="both"/>
      </w:pPr>
      <w:r>
        <w:t>Although this flexibility allowed for context-specific policies, it also resulted in fragmented data systems, inconsistent communication, and varied vaccine rollout timelines across provinces and territories (</w:t>
      </w:r>
      <w:proofErr w:type="spellStart"/>
      <w:r>
        <w:t>Béland</w:t>
      </w:r>
      <w:proofErr w:type="spellEnd"/>
      <w:r>
        <w:t xml:space="preserve"> et al., 2021).</w:t>
      </w:r>
    </w:p>
    <w:p w14:paraId="5D72EB15" w14:textId="77777777" w:rsidR="0058307E" w:rsidRDefault="008C6B8E" w:rsidP="008C6B8E">
      <w:pPr>
        <w:spacing w:line="360" w:lineRule="auto"/>
        <w:jc w:val="both"/>
      </w:pPr>
      <w:r>
        <w:lastRenderedPageBreak/>
        <w:t>By the end of 2023, Canada had reported over 4.6 million confirmed COVID-19 cases and around 53,000 deaths (</w:t>
      </w:r>
      <w:proofErr w:type="spellStart"/>
      <w:r>
        <w:t>Worldometer</w:t>
      </w:r>
      <w:proofErr w:type="spellEnd"/>
      <w:r>
        <w:t>, 2024). Vaccination coverage was strong, with over 80% of Canadians having received at least two doses by late 2022, aided by federal vaccine procurement and provincial</w:t>
      </w:r>
      <w:r w:rsidR="0058307E">
        <w:t xml:space="preserve"> l</w:t>
      </w:r>
      <w:r>
        <w:t xml:space="preserve">evel distribution (Our World in Data, 2024). </w:t>
      </w:r>
    </w:p>
    <w:p w14:paraId="6FE401CD" w14:textId="5DE2684A" w:rsidR="008C6B8E" w:rsidRDefault="008C6B8E" w:rsidP="008C6B8E">
      <w:pPr>
        <w:spacing w:line="360" w:lineRule="auto"/>
        <w:jc w:val="both"/>
      </w:pPr>
      <w:r>
        <w:t>Despite these achievements, Canada encountered several obstacles, including jurisdictional disagreements, slow coordination during subsequent waves, and public confusion stemming from policy inconsistencies among provinces (Cambridge Core, 2021).</w:t>
      </w:r>
    </w:p>
    <w:p w14:paraId="6A6E8D05" w14:textId="77777777" w:rsidR="0058307E" w:rsidRDefault="008C6B8E" w:rsidP="008C6B8E">
      <w:pPr>
        <w:spacing w:line="360" w:lineRule="auto"/>
        <w:jc w:val="both"/>
      </w:pPr>
      <w:r>
        <w:t>Canada’s pandemic governance can be described as democratic and decentrali</w:t>
      </w:r>
      <w:r w:rsidR="0058307E">
        <w:t>s</w:t>
      </w:r>
      <w:r>
        <w:t>ed, with decision</w:t>
      </w:r>
      <w:r w:rsidR="0058307E">
        <w:t xml:space="preserve"> </w:t>
      </w:r>
      <w:r>
        <w:t>making processes involving collaboration and negotiation between federal and provincial governments, guided by public health experts (</w:t>
      </w:r>
      <w:proofErr w:type="spellStart"/>
      <w:r>
        <w:t>Tandfonline</w:t>
      </w:r>
      <w:proofErr w:type="spellEnd"/>
      <w:r>
        <w:t xml:space="preserve">, 2022). </w:t>
      </w:r>
    </w:p>
    <w:p w14:paraId="08AF5A46" w14:textId="3C15989A" w:rsidR="00C802E2" w:rsidRDefault="008C6B8E" w:rsidP="008C6B8E">
      <w:pPr>
        <w:spacing w:line="360" w:lineRule="auto"/>
        <w:jc w:val="both"/>
      </w:pPr>
      <w:r>
        <w:t>While this system promoted regional autonomy and inclusive decision</w:t>
      </w:r>
      <w:r w:rsidR="0058307E">
        <w:t xml:space="preserve"> </w:t>
      </w:r>
      <w:r>
        <w:t>making, it also exposed shortcomings in national coordination, accountability, and data sharing</w:t>
      </w:r>
      <w:r w:rsidR="004D4772">
        <w:t xml:space="preserve"> </w:t>
      </w:r>
      <w:r>
        <w:t>underscoring the need for stronger intergovernmental collaboration in future health crises (BMJ, 2023).</w:t>
      </w:r>
    </w:p>
    <w:p w14:paraId="0E4618DA" w14:textId="711B98D3" w:rsidR="00C802E2" w:rsidRPr="005F2E03" w:rsidRDefault="00C802E2" w:rsidP="00E857C8">
      <w:pPr>
        <w:pStyle w:val="Heading1"/>
        <w:rPr>
          <w:sz w:val="24"/>
          <w:szCs w:val="24"/>
        </w:rPr>
      </w:pPr>
      <w:bookmarkStart w:id="11" w:name="_Toc212439695"/>
      <w:r w:rsidRPr="005F2E03">
        <w:rPr>
          <w:sz w:val="24"/>
          <w:szCs w:val="24"/>
        </w:rPr>
        <w:t>SOUTH KOREA:</w:t>
      </w:r>
      <w:bookmarkEnd w:id="11"/>
    </w:p>
    <w:p w14:paraId="2DE7B642" w14:textId="6F4604D4" w:rsidR="00C802E2" w:rsidRDefault="00C802E2" w:rsidP="008C6B8E">
      <w:pPr>
        <w:spacing w:line="360" w:lineRule="auto"/>
        <w:jc w:val="both"/>
        <w:rPr>
          <w:b/>
          <w:bCs/>
        </w:rPr>
      </w:pPr>
      <w:r w:rsidRPr="00C802E2">
        <w:rPr>
          <w:b/>
          <w:bCs/>
          <w:noProof/>
        </w:rPr>
        <w:drawing>
          <wp:inline distT="0" distB="0" distL="0" distR="0" wp14:anchorId="6C343EAF" wp14:editId="42600B43">
            <wp:extent cx="5608320" cy="3152775"/>
            <wp:effectExtent l="0" t="0" r="0" b="9525"/>
            <wp:docPr id="815420560" name="Picture 1" descr="A couple of men wearing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20560" name="Picture 1" descr="A couple of men wearing masks&#10;&#10;AI-generated content may be incorrect."/>
                    <pic:cNvPicPr/>
                  </pic:nvPicPr>
                  <pic:blipFill>
                    <a:blip r:embed="rId17"/>
                    <a:stretch>
                      <a:fillRect/>
                    </a:stretch>
                  </pic:blipFill>
                  <pic:spPr>
                    <a:xfrm>
                      <a:off x="0" y="0"/>
                      <a:ext cx="5609103" cy="3153215"/>
                    </a:xfrm>
                    <a:prstGeom prst="rect">
                      <a:avLst/>
                    </a:prstGeom>
                  </pic:spPr>
                </pic:pic>
              </a:graphicData>
            </a:graphic>
          </wp:inline>
        </w:drawing>
      </w:r>
    </w:p>
    <w:p w14:paraId="4FDAC0FD" w14:textId="6A2C1610" w:rsidR="002E4F83" w:rsidRPr="002E4F83" w:rsidRDefault="002E4F83" w:rsidP="002E4F83">
      <w:pPr>
        <w:spacing w:line="360" w:lineRule="auto"/>
        <w:ind w:left="5040" w:firstLine="720"/>
        <w:jc w:val="both"/>
      </w:pPr>
      <w:r w:rsidRPr="002E4F83">
        <w:t>(OpenAI, 2025).</w:t>
      </w:r>
    </w:p>
    <w:p w14:paraId="13E37D0D" w14:textId="2F43BBB2" w:rsidR="003120DC" w:rsidRDefault="003120DC" w:rsidP="003120DC">
      <w:pPr>
        <w:spacing w:line="360" w:lineRule="auto"/>
        <w:jc w:val="both"/>
      </w:pPr>
      <w:r>
        <w:lastRenderedPageBreak/>
        <w:t>During the COVID-19 pandemic, South Korea implemented a centralised and technology-driven strategy, directed by the Korea Disease Control and Prevention Agency (KDCA) (Hong, 2024). The government utili</w:t>
      </w:r>
      <w:r w:rsidR="0093376E">
        <w:t>s</w:t>
      </w:r>
      <w:r>
        <w:t>ed digital contact tracing, real-time data systems, and mobile alerts to monitor cases and inform the public (IDB, 2024). These digital measures were supported by legal frameworks designed to balance privacy rights with public health imperatives, enabling swift containment of outbreaks without resorting to full nationwide lockdowns (ICNL, 2024).</w:t>
      </w:r>
    </w:p>
    <w:p w14:paraId="5759E9EF" w14:textId="77777777" w:rsidR="00AF1C74" w:rsidRDefault="003120DC" w:rsidP="003120DC">
      <w:pPr>
        <w:spacing w:line="360" w:lineRule="auto"/>
        <w:jc w:val="both"/>
      </w:pPr>
      <w:r>
        <w:t xml:space="preserve">The KDCA coordinated actions across health, education, and civil sectors, deploying community-based healthcare initiatives and maintaining transparency through public dashboards (Korea.net, 2025). </w:t>
      </w:r>
    </w:p>
    <w:p w14:paraId="72915CF2" w14:textId="708D02F7" w:rsidR="003120DC" w:rsidRDefault="003120DC" w:rsidP="003120DC">
      <w:pPr>
        <w:spacing w:line="360" w:lineRule="auto"/>
        <w:jc w:val="both"/>
      </w:pPr>
      <w:r>
        <w:t>Educational institutions shifted to online learning platforms, while local authorities assisted vulnerable groups with targeted outreach and quarantine support (Hong, 2024). This integrated approach was strengthened by strong public compliance and prior experience managing the MERS (Middle East Respiratory Syndrome) outbreak, which had bolstered institutional preparedness (Korea Herald, 2024).</w:t>
      </w:r>
    </w:p>
    <w:p w14:paraId="35CC50B5" w14:textId="47E23ED7" w:rsidR="003120DC" w:rsidRDefault="003120DC" w:rsidP="003120DC">
      <w:pPr>
        <w:spacing w:line="360" w:lineRule="auto"/>
        <w:jc w:val="both"/>
      </w:pPr>
      <w:r>
        <w:t xml:space="preserve">By the end of 2023, South Korea had reported roughly 34,000 COVID-19 deaths, maintaining one of the lowest mortality rates among OECD nations (Organisation for Economic Co-operation and Development; </w:t>
      </w:r>
      <w:proofErr w:type="spellStart"/>
      <w:r>
        <w:t>Worldometer</w:t>
      </w:r>
      <w:proofErr w:type="spellEnd"/>
      <w:r>
        <w:t>, 2024). Vaccination coverage surpassed 87% among adults, with a phased distribution prioriti</w:t>
      </w:r>
      <w:r w:rsidR="00A833C2">
        <w:t>s</w:t>
      </w:r>
      <w:r>
        <w:t>ing high-risk populations and frontline workers (Our World in Data, 2024). The country’s achievements were largely credited to early testing, open communication, and the use of real-time epidemiological modelling to guide both government policy and public behaviour (IDB, 2024).</w:t>
      </w:r>
    </w:p>
    <w:p w14:paraId="70D0FD4E" w14:textId="0BCA8FE7" w:rsidR="002E4F83" w:rsidRDefault="003120DC" w:rsidP="00EB56FC">
      <w:pPr>
        <w:spacing w:line="360" w:lineRule="auto"/>
        <w:jc w:val="both"/>
      </w:pPr>
      <w:r>
        <w:t>South Korea’s leadership during the pandemic was characteri</w:t>
      </w:r>
      <w:r w:rsidR="00A833C2">
        <w:t>s</w:t>
      </w:r>
      <w:r>
        <w:t>ed by centrali</w:t>
      </w:r>
      <w:r w:rsidR="00A833C2">
        <w:t>s</w:t>
      </w:r>
      <w:r>
        <w:t>ed authority combined with collaborative governance. While the KDCA acted as the principal coordinating body, decision-making incorporated contributions from local governments, academic experts, and civil society organi</w:t>
      </w:r>
      <w:r w:rsidR="00554E7C">
        <w:t>s</w:t>
      </w:r>
      <w:r>
        <w:t>ations (ICNL, 2024). This hybrid model of governance positioned South Korea as an international benchmark for effective pandemic management and preparedness (Hong, 2024).</w:t>
      </w:r>
    </w:p>
    <w:p w14:paraId="75EB2600" w14:textId="27E985B8" w:rsidR="002E4F83" w:rsidRPr="002E4F83" w:rsidRDefault="007C3F21" w:rsidP="00E857C8">
      <w:pPr>
        <w:pStyle w:val="Heading2"/>
      </w:pPr>
      <w:bookmarkStart w:id="12" w:name="_Toc212439696"/>
      <w:r>
        <w:lastRenderedPageBreak/>
        <w:t xml:space="preserve">4.0 </w:t>
      </w:r>
      <w:r w:rsidR="002E4F83" w:rsidRPr="002E4F83">
        <w:t>Leadership Styles</w:t>
      </w:r>
      <w:bookmarkEnd w:id="12"/>
    </w:p>
    <w:p w14:paraId="44085DDA" w14:textId="6DD374B5" w:rsidR="00B012CC" w:rsidRDefault="00B33CB1" w:rsidP="00EB56FC">
      <w:pPr>
        <w:spacing w:line="360" w:lineRule="auto"/>
        <w:jc w:val="both"/>
      </w:pPr>
      <w:r w:rsidRPr="00B33CB1">
        <w:rPr>
          <w:noProof/>
        </w:rPr>
        <w:drawing>
          <wp:inline distT="0" distB="0" distL="0" distR="0" wp14:anchorId="6431459A" wp14:editId="2274A377">
            <wp:extent cx="6237514" cy="4004945"/>
            <wp:effectExtent l="0" t="0" r="0" b="0"/>
            <wp:docPr id="1001292138" name="Picture 1" descr="A group of icon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92138" name="Picture 1" descr="A group of icons with text&#10;&#10;AI-generated content may be incorrect."/>
                    <pic:cNvPicPr/>
                  </pic:nvPicPr>
                  <pic:blipFill>
                    <a:blip r:embed="rId18"/>
                    <a:stretch>
                      <a:fillRect/>
                    </a:stretch>
                  </pic:blipFill>
                  <pic:spPr>
                    <a:xfrm>
                      <a:off x="0" y="0"/>
                      <a:ext cx="6320728" cy="4058375"/>
                    </a:xfrm>
                    <a:prstGeom prst="rect">
                      <a:avLst/>
                    </a:prstGeom>
                  </pic:spPr>
                </pic:pic>
              </a:graphicData>
            </a:graphic>
          </wp:inline>
        </w:drawing>
      </w:r>
    </w:p>
    <w:p w14:paraId="0046F1AD" w14:textId="1159FB3F" w:rsidR="00EB56FC" w:rsidRPr="00EB56FC" w:rsidRDefault="00EB56FC" w:rsidP="00EB56FC">
      <w:pPr>
        <w:spacing w:line="360" w:lineRule="auto"/>
        <w:jc w:val="both"/>
      </w:pPr>
      <w:r w:rsidRPr="00EB56FC">
        <w:t>Leadership styles profoundly shape how governments respond to public health crises. During the COVID-19 pandemic, countries adopted distinct approaches based on their political systems, institutional capacities, and cultural contexts. Three core leadership styles emerged:</w:t>
      </w:r>
    </w:p>
    <w:p w14:paraId="1C3F26C8" w14:textId="077D226B" w:rsidR="00EB56FC" w:rsidRPr="00EB56FC" w:rsidRDefault="00EB56FC" w:rsidP="00EB56FC">
      <w:pPr>
        <w:spacing w:line="360" w:lineRule="auto"/>
        <w:jc w:val="both"/>
      </w:pPr>
      <w:r w:rsidRPr="006835E5">
        <w:rPr>
          <w:b/>
          <w:bCs/>
        </w:rPr>
        <w:t>Autocratic Leadership:</w:t>
      </w:r>
      <w:r w:rsidRPr="00EB56FC">
        <w:t xml:space="preserve"> Characterised by top-down decision-making with minimal consultation. This style enables rapid control and uniform action, often used in emergencies. However, it may limit adaptability and stakeholder engagement (Northouse, 2021).</w:t>
      </w:r>
      <w:r w:rsidR="00820497">
        <w:t xml:space="preserve"> </w:t>
      </w:r>
      <w:r w:rsidRPr="00EB56FC">
        <w:t>Spain initially adopted this style through centralised emergency powers, enabling swift national lockdowns and border controls.</w:t>
      </w:r>
    </w:p>
    <w:p w14:paraId="3DBF957B" w14:textId="79CFE2A9" w:rsidR="00EB56FC" w:rsidRPr="00EB56FC" w:rsidRDefault="00EB56FC" w:rsidP="00EB56FC">
      <w:pPr>
        <w:spacing w:line="360" w:lineRule="auto"/>
        <w:jc w:val="both"/>
      </w:pPr>
      <w:r w:rsidRPr="00820497">
        <w:rPr>
          <w:b/>
          <w:bCs/>
        </w:rPr>
        <w:t>Democratic (Laissez-Faire) Leadership:</w:t>
      </w:r>
      <w:r w:rsidRPr="00EB56FC">
        <w:t xml:space="preserve"> Emphasises inclusive decision-making, stakeholder participation, and transparency. It fosters collaboration across governance levels but may slow response times due to negotiation and decentralisation (Northouse, 2021).</w:t>
      </w:r>
    </w:p>
    <w:p w14:paraId="733B40FE" w14:textId="11D27671" w:rsidR="00366A97" w:rsidRDefault="00366A97" w:rsidP="00EB56FC">
      <w:pPr>
        <w:spacing w:line="360" w:lineRule="auto"/>
        <w:jc w:val="both"/>
      </w:pPr>
      <w:r>
        <w:lastRenderedPageBreak/>
        <w:t>C</w:t>
      </w:r>
      <w:r w:rsidRPr="00366A97">
        <w:t>anada exemplified this style through its decentralised federal system, where provinces led public health measures such as lockdowns and school closures. Some regions also reflected laissez-faire tendencies, with minimal federal intervention and high provincial autonomy ( Bubela et al., 2023).</w:t>
      </w:r>
    </w:p>
    <w:p w14:paraId="752B8C5B" w14:textId="0CFD08CB" w:rsidR="007410B5" w:rsidRDefault="00EB56FC" w:rsidP="003120DC">
      <w:pPr>
        <w:spacing w:line="360" w:lineRule="auto"/>
        <w:jc w:val="both"/>
      </w:pPr>
      <w:r w:rsidRPr="00A1079C">
        <w:rPr>
          <w:b/>
          <w:bCs/>
        </w:rPr>
        <w:t>Hybrid Leadership: Transformational and Collaborative:</w:t>
      </w:r>
      <w:r w:rsidRPr="00EB56FC">
        <w:t xml:space="preserve"> This style focuses on inspiring collective action, integrating expert input, and mobilising civil society. It blends centralised coordination with distributed governance, enhancing resilience and public trust (Hong, 2024).</w:t>
      </w:r>
      <w:r w:rsidR="00A1079C">
        <w:t xml:space="preserve"> </w:t>
      </w:r>
      <w:r w:rsidRPr="00EB56FC">
        <w:t>South Korea demonstrated this hybrid leadership model by combining central authority under the KDCA with contributions from local governments, academic experts, and civil society organisations</w:t>
      </w:r>
      <w:r w:rsidR="00E84C91">
        <w:t>.</w:t>
      </w:r>
      <w:r w:rsidR="00F66322">
        <w:t xml:space="preserve"> ‘</w:t>
      </w:r>
      <w:r w:rsidR="00F66322" w:rsidRPr="00F66322">
        <w:t xml:space="preserve">International </w:t>
      </w:r>
      <w:proofErr w:type="spellStart"/>
      <w:r w:rsidR="00F66322" w:rsidRPr="00F66322">
        <w:t>Center</w:t>
      </w:r>
      <w:proofErr w:type="spellEnd"/>
      <w:r w:rsidR="00F66322" w:rsidRPr="00F66322">
        <w:t xml:space="preserve"> for Not-for-Profit Law</w:t>
      </w:r>
      <w:r w:rsidR="00F66322">
        <w:t>’</w:t>
      </w:r>
      <w:r w:rsidR="00ED244B">
        <w:t xml:space="preserve"> </w:t>
      </w:r>
      <w:r w:rsidR="00697514">
        <w:t>(</w:t>
      </w:r>
      <w:r w:rsidR="00697514" w:rsidRPr="00697514">
        <w:t>ICNL, 2024).</w:t>
      </w:r>
    </w:p>
    <w:p w14:paraId="22CEBA53" w14:textId="075502A2" w:rsidR="00336836" w:rsidRPr="008F5B64" w:rsidRDefault="00336836" w:rsidP="003120DC">
      <w:pPr>
        <w:spacing w:line="360" w:lineRule="auto"/>
        <w:jc w:val="both"/>
        <w:rPr>
          <w:color w:val="EE0000"/>
        </w:rPr>
      </w:pPr>
    </w:p>
    <w:p w14:paraId="723F91AA" w14:textId="15B22218" w:rsidR="00F8670F" w:rsidRPr="005F2E03" w:rsidRDefault="00F8670F" w:rsidP="00E86106">
      <w:pPr>
        <w:pStyle w:val="Heading2"/>
        <w:rPr>
          <w:sz w:val="24"/>
          <w:szCs w:val="24"/>
        </w:rPr>
      </w:pPr>
      <w:bookmarkStart w:id="13" w:name="_Toc212439697"/>
      <w:r w:rsidRPr="005F2E03">
        <w:rPr>
          <w:sz w:val="24"/>
          <w:szCs w:val="24"/>
        </w:rPr>
        <w:t>Leadership Theories X, Y, Z to Country Responses</w:t>
      </w:r>
      <w:bookmarkEnd w:id="13"/>
    </w:p>
    <w:tbl>
      <w:tblPr>
        <w:tblW w:w="11199" w:type="dxa"/>
        <w:tblCellSpacing w:w="15" w:type="dxa"/>
        <w:tblInd w:w="-851" w:type="dxa"/>
        <w:tblCellMar>
          <w:top w:w="15" w:type="dxa"/>
          <w:left w:w="15" w:type="dxa"/>
          <w:bottom w:w="15" w:type="dxa"/>
          <w:right w:w="15" w:type="dxa"/>
        </w:tblCellMar>
        <w:tblLook w:val="04A0" w:firstRow="1" w:lastRow="0" w:firstColumn="1" w:lastColumn="0" w:noHBand="0" w:noVBand="1"/>
      </w:tblPr>
      <w:tblGrid>
        <w:gridCol w:w="1130"/>
        <w:gridCol w:w="2415"/>
        <w:gridCol w:w="1502"/>
        <w:gridCol w:w="6152"/>
      </w:tblGrid>
      <w:tr w:rsidR="00F8670F" w:rsidRPr="00F8670F" w14:paraId="4A7A2EA5" w14:textId="77777777" w:rsidTr="00601D71">
        <w:trPr>
          <w:tblHeader/>
          <w:tblCellSpacing w:w="15" w:type="dxa"/>
        </w:trPr>
        <w:tc>
          <w:tcPr>
            <w:tcW w:w="1085" w:type="dxa"/>
            <w:vAlign w:val="center"/>
            <w:hideMark/>
          </w:tcPr>
          <w:p w14:paraId="0BC428FD" w14:textId="77777777" w:rsidR="00F8670F" w:rsidRPr="00F8670F" w:rsidRDefault="00F8670F" w:rsidP="00F8670F">
            <w:pPr>
              <w:spacing w:line="360" w:lineRule="auto"/>
              <w:jc w:val="both"/>
              <w:rPr>
                <w:b/>
                <w:bCs/>
              </w:rPr>
            </w:pPr>
            <w:r w:rsidRPr="00F8670F">
              <w:rPr>
                <w:b/>
                <w:bCs/>
              </w:rPr>
              <w:t>Theory</w:t>
            </w:r>
          </w:p>
        </w:tc>
        <w:tc>
          <w:tcPr>
            <w:tcW w:w="2385" w:type="dxa"/>
            <w:vAlign w:val="center"/>
            <w:hideMark/>
          </w:tcPr>
          <w:p w14:paraId="7F6519B2" w14:textId="77777777" w:rsidR="00F8670F" w:rsidRPr="00F8670F" w:rsidRDefault="00F8670F" w:rsidP="00F8670F">
            <w:pPr>
              <w:spacing w:line="360" w:lineRule="auto"/>
              <w:jc w:val="both"/>
              <w:rPr>
                <w:b/>
                <w:bCs/>
              </w:rPr>
            </w:pPr>
            <w:r w:rsidRPr="00F8670F">
              <w:rPr>
                <w:b/>
                <w:bCs/>
              </w:rPr>
              <w:t>Core Assumptions</w:t>
            </w:r>
          </w:p>
        </w:tc>
        <w:tc>
          <w:tcPr>
            <w:tcW w:w="1472" w:type="dxa"/>
            <w:vAlign w:val="center"/>
            <w:hideMark/>
          </w:tcPr>
          <w:p w14:paraId="6497ACCF" w14:textId="77777777" w:rsidR="00F8670F" w:rsidRPr="00F8670F" w:rsidRDefault="00F8670F" w:rsidP="00F8670F">
            <w:pPr>
              <w:spacing w:line="360" w:lineRule="auto"/>
              <w:jc w:val="both"/>
              <w:rPr>
                <w:b/>
                <w:bCs/>
              </w:rPr>
            </w:pPr>
            <w:r w:rsidRPr="00F8670F">
              <w:rPr>
                <w:b/>
                <w:bCs/>
              </w:rPr>
              <w:t>Country Alignment</w:t>
            </w:r>
          </w:p>
        </w:tc>
        <w:tc>
          <w:tcPr>
            <w:tcW w:w="6107" w:type="dxa"/>
            <w:vAlign w:val="center"/>
            <w:hideMark/>
          </w:tcPr>
          <w:p w14:paraId="29CD77D0" w14:textId="77777777" w:rsidR="00F8670F" w:rsidRPr="00F8670F" w:rsidRDefault="00F8670F" w:rsidP="00F8670F">
            <w:pPr>
              <w:spacing w:line="360" w:lineRule="auto"/>
              <w:jc w:val="both"/>
              <w:rPr>
                <w:b/>
                <w:bCs/>
              </w:rPr>
            </w:pPr>
            <w:r w:rsidRPr="00F8670F">
              <w:rPr>
                <w:b/>
                <w:bCs/>
              </w:rPr>
              <w:t>Leadership Behaviour During COVID-19</w:t>
            </w:r>
          </w:p>
        </w:tc>
      </w:tr>
      <w:tr w:rsidR="00F8670F" w:rsidRPr="00F8670F" w14:paraId="7E2B4788" w14:textId="77777777" w:rsidTr="00601D71">
        <w:trPr>
          <w:tblCellSpacing w:w="15" w:type="dxa"/>
        </w:trPr>
        <w:tc>
          <w:tcPr>
            <w:tcW w:w="1085" w:type="dxa"/>
            <w:vAlign w:val="center"/>
            <w:hideMark/>
          </w:tcPr>
          <w:p w14:paraId="4C5C3FBD" w14:textId="77777777" w:rsidR="00F8670F" w:rsidRPr="00F8670F" w:rsidRDefault="00F8670F" w:rsidP="00F8670F">
            <w:pPr>
              <w:spacing w:line="360" w:lineRule="auto"/>
              <w:jc w:val="both"/>
            </w:pPr>
            <w:r w:rsidRPr="00F8670F">
              <w:t>Theory X</w:t>
            </w:r>
          </w:p>
        </w:tc>
        <w:tc>
          <w:tcPr>
            <w:tcW w:w="2385" w:type="dxa"/>
            <w:vAlign w:val="center"/>
            <w:hideMark/>
          </w:tcPr>
          <w:p w14:paraId="0A0620A9" w14:textId="77777777" w:rsidR="00F8670F" w:rsidRPr="00F8670F" w:rsidRDefault="00F8670F" w:rsidP="00F8670F">
            <w:pPr>
              <w:spacing w:line="360" w:lineRule="auto"/>
              <w:jc w:val="both"/>
            </w:pPr>
            <w:r w:rsidRPr="00F8670F">
              <w:t>People dislike work; require control and punishment</w:t>
            </w:r>
          </w:p>
        </w:tc>
        <w:tc>
          <w:tcPr>
            <w:tcW w:w="1472" w:type="dxa"/>
            <w:vAlign w:val="center"/>
            <w:hideMark/>
          </w:tcPr>
          <w:p w14:paraId="281FB58F" w14:textId="184537AB" w:rsidR="00F8670F" w:rsidRPr="00F8670F" w:rsidRDefault="00F8670F" w:rsidP="00F8670F">
            <w:pPr>
              <w:spacing w:line="360" w:lineRule="auto"/>
              <w:jc w:val="both"/>
            </w:pPr>
            <w:r w:rsidRPr="00F8670F">
              <w:t xml:space="preserve"> Spain</w:t>
            </w:r>
          </w:p>
        </w:tc>
        <w:tc>
          <w:tcPr>
            <w:tcW w:w="6107" w:type="dxa"/>
            <w:vAlign w:val="center"/>
            <w:hideMark/>
          </w:tcPr>
          <w:p w14:paraId="6384F155" w14:textId="1F971224" w:rsidR="00F8670F" w:rsidRPr="00F8670F" w:rsidRDefault="00F8670F" w:rsidP="00F8670F">
            <w:pPr>
              <w:spacing w:line="360" w:lineRule="auto"/>
              <w:jc w:val="both"/>
            </w:pPr>
            <w:r w:rsidRPr="00F8670F">
              <w:t>Spain’s early response reflected Theory X traits: centralised emergency powers, strict lockdowns, and top-down enforcement. The leadership assumed compliance required coercion and control</w:t>
            </w:r>
            <w:r w:rsidR="004C7534">
              <w:t xml:space="preserve"> </w:t>
            </w:r>
            <w:r w:rsidR="004C7534" w:rsidRPr="004C7534">
              <w:t>(McGregor, 1960; OECD, 2021).</w:t>
            </w:r>
          </w:p>
        </w:tc>
      </w:tr>
      <w:tr w:rsidR="00F8670F" w:rsidRPr="00F8670F" w14:paraId="078813A1" w14:textId="77777777" w:rsidTr="00601D71">
        <w:trPr>
          <w:tblCellSpacing w:w="15" w:type="dxa"/>
        </w:trPr>
        <w:tc>
          <w:tcPr>
            <w:tcW w:w="1085" w:type="dxa"/>
            <w:vAlign w:val="center"/>
            <w:hideMark/>
          </w:tcPr>
          <w:p w14:paraId="5D641DB2" w14:textId="77777777" w:rsidR="00F8670F" w:rsidRPr="00F8670F" w:rsidRDefault="00F8670F" w:rsidP="00F8670F">
            <w:pPr>
              <w:spacing w:line="360" w:lineRule="auto"/>
              <w:jc w:val="both"/>
            </w:pPr>
            <w:r w:rsidRPr="00F8670F">
              <w:t>Theory Y</w:t>
            </w:r>
          </w:p>
        </w:tc>
        <w:tc>
          <w:tcPr>
            <w:tcW w:w="2385" w:type="dxa"/>
            <w:vAlign w:val="center"/>
            <w:hideMark/>
          </w:tcPr>
          <w:p w14:paraId="64D42814" w14:textId="77777777" w:rsidR="00F8670F" w:rsidRPr="00F8670F" w:rsidRDefault="00F8670F" w:rsidP="00F8670F">
            <w:pPr>
              <w:spacing w:line="360" w:lineRule="auto"/>
              <w:jc w:val="both"/>
            </w:pPr>
            <w:r w:rsidRPr="00F8670F">
              <w:t>People are self-motivated and seek responsibility</w:t>
            </w:r>
          </w:p>
        </w:tc>
        <w:tc>
          <w:tcPr>
            <w:tcW w:w="1472" w:type="dxa"/>
            <w:vAlign w:val="center"/>
            <w:hideMark/>
          </w:tcPr>
          <w:p w14:paraId="3A126F1E" w14:textId="3F545884" w:rsidR="00F8670F" w:rsidRPr="00F8670F" w:rsidRDefault="00F8670F" w:rsidP="00F8670F">
            <w:pPr>
              <w:spacing w:line="360" w:lineRule="auto"/>
              <w:jc w:val="both"/>
            </w:pPr>
            <w:r w:rsidRPr="00F8670F">
              <w:t>Canada</w:t>
            </w:r>
          </w:p>
        </w:tc>
        <w:tc>
          <w:tcPr>
            <w:tcW w:w="6107" w:type="dxa"/>
            <w:vAlign w:val="center"/>
            <w:hideMark/>
          </w:tcPr>
          <w:p w14:paraId="703DA24B" w14:textId="4189E74C" w:rsidR="00F8670F" w:rsidRPr="00F8670F" w:rsidRDefault="00F8670F" w:rsidP="00F8670F">
            <w:pPr>
              <w:spacing w:line="360" w:lineRule="auto"/>
              <w:jc w:val="both"/>
            </w:pPr>
            <w:r w:rsidRPr="00F8670F">
              <w:t>Canada’s decentralised approach aligns with Theory Y: provincial autonomy, collaborative decision-making, and trust in local leadership to act responsibly</w:t>
            </w:r>
            <w:r w:rsidR="00ED47B9">
              <w:t xml:space="preserve"> (</w:t>
            </w:r>
            <w:r w:rsidR="00ED47B9" w:rsidRPr="00ED47B9">
              <w:t>Bubela et al., 2023).</w:t>
            </w:r>
          </w:p>
        </w:tc>
      </w:tr>
      <w:tr w:rsidR="00F8670F" w:rsidRPr="00F8670F" w14:paraId="7E5FAA1C" w14:textId="77777777" w:rsidTr="00601D71">
        <w:trPr>
          <w:tblCellSpacing w:w="15" w:type="dxa"/>
        </w:trPr>
        <w:tc>
          <w:tcPr>
            <w:tcW w:w="1085" w:type="dxa"/>
            <w:vAlign w:val="center"/>
            <w:hideMark/>
          </w:tcPr>
          <w:p w14:paraId="0A65CF0C" w14:textId="77777777" w:rsidR="00F8670F" w:rsidRPr="00F8670F" w:rsidRDefault="00F8670F" w:rsidP="00F8670F">
            <w:pPr>
              <w:spacing w:line="360" w:lineRule="auto"/>
              <w:jc w:val="both"/>
            </w:pPr>
            <w:r w:rsidRPr="00F8670F">
              <w:t>Theory Z</w:t>
            </w:r>
          </w:p>
        </w:tc>
        <w:tc>
          <w:tcPr>
            <w:tcW w:w="2385" w:type="dxa"/>
            <w:vAlign w:val="center"/>
            <w:hideMark/>
          </w:tcPr>
          <w:p w14:paraId="7EC4C4BD" w14:textId="77777777" w:rsidR="00F8670F" w:rsidRPr="00F8670F" w:rsidRDefault="00F8670F" w:rsidP="00F8670F">
            <w:pPr>
              <w:spacing w:line="360" w:lineRule="auto"/>
              <w:jc w:val="both"/>
            </w:pPr>
            <w:r w:rsidRPr="00F8670F">
              <w:t>People thrive in participative, supportive environments</w:t>
            </w:r>
          </w:p>
        </w:tc>
        <w:tc>
          <w:tcPr>
            <w:tcW w:w="1472" w:type="dxa"/>
            <w:vAlign w:val="center"/>
            <w:hideMark/>
          </w:tcPr>
          <w:p w14:paraId="6FF920A0" w14:textId="77777777" w:rsidR="0005577C" w:rsidRDefault="00F8670F" w:rsidP="00F8670F">
            <w:pPr>
              <w:spacing w:line="360" w:lineRule="auto"/>
              <w:jc w:val="both"/>
            </w:pPr>
            <w:r w:rsidRPr="00F8670F">
              <w:t xml:space="preserve">South </w:t>
            </w:r>
          </w:p>
          <w:p w14:paraId="5DBC8E81" w14:textId="21F931D3" w:rsidR="00F8670F" w:rsidRPr="00F8670F" w:rsidRDefault="00F8670F" w:rsidP="00F8670F">
            <w:pPr>
              <w:spacing w:line="360" w:lineRule="auto"/>
              <w:jc w:val="both"/>
            </w:pPr>
            <w:r w:rsidRPr="00F8670F">
              <w:t>Korea</w:t>
            </w:r>
          </w:p>
        </w:tc>
        <w:tc>
          <w:tcPr>
            <w:tcW w:w="6107" w:type="dxa"/>
            <w:vAlign w:val="center"/>
            <w:hideMark/>
          </w:tcPr>
          <w:p w14:paraId="25B3D0D8" w14:textId="1ED3CF8C" w:rsidR="00F8670F" w:rsidRPr="00F8670F" w:rsidRDefault="00F8670F" w:rsidP="00F8670F">
            <w:pPr>
              <w:spacing w:line="360" w:lineRule="auto"/>
              <w:jc w:val="both"/>
            </w:pPr>
            <w:r w:rsidRPr="00F8670F">
              <w:t>South Korea’s hybrid leadership reflects Theory Z: integration of civil society, expert networks, and trust-based coordination under KDCA. Emphasis on cohesion, discipline, and mutual support</w:t>
            </w:r>
            <w:r w:rsidR="00422799">
              <w:t xml:space="preserve"> (</w:t>
            </w:r>
            <w:r w:rsidR="00422799" w:rsidRPr="00422799">
              <w:t>ICNL, 2024).</w:t>
            </w:r>
          </w:p>
        </w:tc>
      </w:tr>
    </w:tbl>
    <w:p w14:paraId="370DE47E" w14:textId="07CC1AE6" w:rsidR="00F8670F" w:rsidRPr="005F2E03" w:rsidRDefault="00570DD1" w:rsidP="005F2E03">
      <w:pPr>
        <w:pStyle w:val="Heading1"/>
        <w:rPr>
          <w:sz w:val="24"/>
          <w:szCs w:val="24"/>
        </w:rPr>
      </w:pPr>
      <w:bookmarkStart w:id="14" w:name="_Toc212439698"/>
      <w:r>
        <w:rPr>
          <w:sz w:val="24"/>
          <w:szCs w:val="24"/>
        </w:rPr>
        <w:lastRenderedPageBreak/>
        <w:t xml:space="preserve">4.1 </w:t>
      </w:r>
      <w:r w:rsidR="005F2E03" w:rsidRPr="005F2E03">
        <w:rPr>
          <w:sz w:val="24"/>
          <w:szCs w:val="24"/>
        </w:rPr>
        <w:t>SPAIN</w:t>
      </w:r>
      <w:bookmarkEnd w:id="14"/>
    </w:p>
    <w:p w14:paraId="5202A853" w14:textId="714EF1F1" w:rsidR="0027375D" w:rsidRPr="00F8670F" w:rsidRDefault="005F2E03" w:rsidP="00F8670F">
      <w:pPr>
        <w:spacing w:line="360" w:lineRule="auto"/>
        <w:jc w:val="both"/>
      </w:pPr>
      <w:r>
        <w:rPr>
          <w:noProof/>
        </w:rPr>
        <w:drawing>
          <wp:inline distT="0" distB="0" distL="0" distR="0" wp14:anchorId="64BE7313" wp14:editId="2F4B931D">
            <wp:extent cx="6395357" cy="3319780"/>
            <wp:effectExtent l="0" t="0" r="5715" b="0"/>
            <wp:docPr id="1514753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19316" cy="3332217"/>
                    </a:xfrm>
                    <a:prstGeom prst="rect">
                      <a:avLst/>
                    </a:prstGeom>
                    <a:noFill/>
                  </pic:spPr>
                </pic:pic>
              </a:graphicData>
            </a:graphic>
          </wp:inline>
        </w:drawing>
      </w:r>
    </w:p>
    <w:p w14:paraId="2B60FED4" w14:textId="77777777" w:rsidR="00B919AA" w:rsidRDefault="00B919AA" w:rsidP="00B919AA">
      <w:pPr>
        <w:spacing w:line="360" w:lineRule="auto"/>
        <w:jc w:val="both"/>
      </w:pPr>
      <w:r>
        <w:t>Spain’s COVID-19 response was led by Prime Minister Pedro Sánchez, who exercised centralised emergency powers under the declared State of Alarm.</w:t>
      </w:r>
    </w:p>
    <w:p w14:paraId="1CC7BFEF" w14:textId="77777777" w:rsidR="00A813B5" w:rsidRDefault="00B919AA" w:rsidP="00B919AA">
      <w:pPr>
        <w:spacing w:line="360" w:lineRule="auto"/>
        <w:jc w:val="both"/>
      </w:pPr>
      <w:r>
        <w:t xml:space="preserve">During the initial wave of the pandemic, Prime Minister Pedro Sánchez, leader of the Spanish Socialist Workers' Party (PSOE), spearheaded Spain’s national strategy. </w:t>
      </w:r>
    </w:p>
    <w:p w14:paraId="431CD891" w14:textId="45DBD002" w:rsidR="00B919AA" w:rsidRDefault="00B919AA" w:rsidP="00B919AA">
      <w:pPr>
        <w:spacing w:line="360" w:lineRule="auto"/>
        <w:jc w:val="both"/>
      </w:pPr>
      <w:r>
        <w:t>On 14 March 2020, his government enacted Royal Decree 463/2020, declaring a State of Alarm that enabled sweeping public health measures including lockdowns, border closures, and mobility restrictions. This centralised authority temporarily overrode Spain’s normally decentralised Beveridge-style health system, which typically delegates healthcare delivery to autonomous regional governments (Mac-Seing et al., 2023).</w:t>
      </w:r>
    </w:p>
    <w:p w14:paraId="44AD0C71" w14:textId="040F4A06" w:rsidR="00B919AA" w:rsidRDefault="00B919AA" w:rsidP="00B919AA">
      <w:pPr>
        <w:spacing w:line="360" w:lineRule="auto"/>
        <w:jc w:val="both"/>
      </w:pPr>
      <w:r>
        <w:t>Sánchez’s leadership reflected Tannenbaum and Schmidt’s “tell” and “sell” stages, where decisions were made at the executive level and communicated downward with limited consultation (Tannenbaum et al., 1958). His approach aligned with Path-Goal Theory’s directive style, focusing on compliance and clarity (House, 1971). The Ohio State University studies (1940s) further contextualise this with strong initiating structure clear roles and protocols but low consideration, as relational dynamics were deprioritised in favour of enforcement.</w:t>
      </w:r>
    </w:p>
    <w:p w14:paraId="7DAF077E" w14:textId="0486F68B" w:rsidR="008A5512" w:rsidRPr="005F2E03" w:rsidRDefault="008A5512" w:rsidP="00E86106">
      <w:pPr>
        <w:pStyle w:val="Heading2"/>
        <w:rPr>
          <w:sz w:val="24"/>
          <w:szCs w:val="24"/>
        </w:rPr>
      </w:pPr>
      <w:bookmarkStart w:id="15" w:name="_Toc212439699"/>
      <w:r w:rsidRPr="005F2E03">
        <w:rPr>
          <w:sz w:val="24"/>
          <w:szCs w:val="24"/>
        </w:rPr>
        <w:lastRenderedPageBreak/>
        <w:t>Alignment with Core Themes:</w:t>
      </w:r>
      <w:bookmarkEnd w:id="15"/>
      <w:r w:rsidRPr="005F2E03">
        <w:rPr>
          <w:sz w:val="24"/>
          <w:szCs w:val="24"/>
        </w:rPr>
        <w:t xml:space="preserve"> </w:t>
      </w:r>
    </w:p>
    <w:p w14:paraId="3EBF71D9" w14:textId="1726A602" w:rsidR="008A5512" w:rsidRDefault="008A5512" w:rsidP="008A5512">
      <w:pPr>
        <w:spacing w:line="360" w:lineRule="auto"/>
        <w:jc w:val="both"/>
      </w:pPr>
      <w:r>
        <w:t>This assessment highlights how strategic decision-making and health system performance in Spain were shaped by its decentralised Beveridge model, where autonomous communities manage healthcare delivery. During the COVID-19 crisis, Spain’s leadership</w:t>
      </w:r>
      <w:r w:rsidR="003B5338">
        <w:t xml:space="preserve"> </w:t>
      </w:r>
      <w:r>
        <w:t>particularly under Salvador Illa</w:t>
      </w:r>
      <w:r w:rsidR="003B5338">
        <w:t xml:space="preserve"> </w:t>
      </w:r>
      <w:r>
        <w:t>demonstrated how governance structures influence service planning and coordination. Despite limited formal authority, Illa adopted a situational and servant leadership approach, fostering intergovernmental cooperation across regions (Navarro and Velasco, 2022).</w:t>
      </w:r>
    </w:p>
    <w:p w14:paraId="517F5C16" w14:textId="77777777" w:rsidR="008A5512" w:rsidRDefault="008A5512" w:rsidP="008A5512">
      <w:pPr>
        <w:spacing w:line="360" w:lineRule="auto"/>
        <w:jc w:val="both"/>
      </w:pPr>
      <w:r>
        <w:t>Spain’s initial response also reflected autocratic leadership traits, with centralised emergency powers enabling swift national lockdowns and border controls. This aligns with Tannenbaum and Schmidt’s “tell–sell” continuum and Path-Goal Theory’s directive style, where clarity and control were prioritised over participative engagement (Tannenbaum et al., 1958; House, 1971).</w:t>
      </w:r>
    </w:p>
    <w:p w14:paraId="75A91017" w14:textId="02E4BB45" w:rsidR="008A5512" w:rsidRDefault="008A5512" w:rsidP="00B919AA">
      <w:pPr>
        <w:spacing w:line="360" w:lineRule="auto"/>
        <w:jc w:val="both"/>
      </w:pPr>
      <w:r>
        <w:t>Applying systems thinking, the analysis reveals that Spain’s hybrid leadership</w:t>
      </w:r>
      <w:r w:rsidR="00FC7E88">
        <w:t xml:space="preserve"> </w:t>
      </w:r>
      <w:r>
        <w:t>balancing central authority with regional coordination</w:t>
      </w:r>
      <w:r w:rsidR="00FC7E88">
        <w:t xml:space="preserve"> </w:t>
      </w:r>
      <w:r>
        <w:t xml:space="preserve">impacted continuity of care and public trust. The interplay between institutional constraints and leadership style shaped Spain’s strategic agility, stakeholder engagement, and responsiveness during crisis conditions (Mac-Seing et al., 2023; </w:t>
      </w:r>
      <w:r w:rsidRPr="009A3706">
        <w:t>Carroll et al., 2023).</w:t>
      </w:r>
    </w:p>
    <w:p w14:paraId="36EC8EF2" w14:textId="725D27EE" w:rsidR="009A3706" w:rsidRPr="005F2E03" w:rsidRDefault="009A3706" w:rsidP="00E86106">
      <w:pPr>
        <w:pStyle w:val="Heading2"/>
        <w:rPr>
          <w:sz w:val="24"/>
          <w:szCs w:val="24"/>
        </w:rPr>
      </w:pPr>
      <w:bookmarkStart w:id="16" w:name="_Toc212439700"/>
      <w:r w:rsidRPr="005F2E03">
        <w:rPr>
          <w:sz w:val="24"/>
          <w:szCs w:val="24"/>
        </w:rPr>
        <w:t>Strategy and Governance Trade-offs:</w:t>
      </w:r>
      <w:bookmarkEnd w:id="16"/>
      <w:r w:rsidRPr="005F2E03">
        <w:rPr>
          <w:sz w:val="24"/>
          <w:szCs w:val="24"/>
        </w:rPr>
        <w:t xml:space="preserve"> </w:t>
      </w:r>
    </w:p>
    <w:p w14:paraId="2C34A033" w14:textId="77777777" w:rsidR="009A3706" w:rsidRDefault="009A3706" w:rsidP="009A3706">
      <w:pPr>
        <w:spacing w:line="360" w:lineRule="auto"/>
        <w:jc w:val="both"/>
      </w:pPr>
      <w:r>
        <w:t>Spain’s decentralised Beveridge health system required Minister Salvador Illa to navigate complex intergovernmental dynamics during the COVID-19 crisis. With limited directive authority over autonomous communities, Illa faced significant challenges in enforcing national standards, which delayed the implementation of uniform interventions and hindered real-time monitoring (Navarro, 2022).</w:t>
      </w:r>
    </w:p>
    <w:p w14:paraId="79F28689" w14:textId="77777777" w:rsidR="009A3706" w:rsidRDefault="009A3706" w:rsidP="009A3706">
      <w:pPr>
        <w:spacing w:line="360" w:lineRule="auto"/>
        <w:jc w:val="both"/>
      </w:pPr>
      <w:r>
        <w:t>This governance structure necessitated a situational leadership approach, where Illa adapted his style to the evolving crisis context—initially adopting autocratic measures under emergency powers, then shifting toward servant and collaborative leadership to engage regional stakeholders (Navarro and Velasco, 2022). These trade-offs reflect Tannenbaum and Schmidt’s leadership continuum, where leaders must balance control with delegation depending on institutional constraints (Tannenbaum et al., 1958).</w:t>
      </w:r>
    </w:p>
    <w:p w14:paraId="3CCAE363" w14:textId="682036F2" w:rsidR="00D13249" w:rsidRDefault="009A3706" w:rsidP="009A3706">
      <w:pPr>
        <w:spacing w:line="360" w:lineRule="auto"/>
        <w:jc w:val="both"/>
      </w:pPr>
      <w:r>
        <w:lastRenderedPageBreak/>
        <w:t>The Spanish case illustrates how decentralisation can limit strategic agility, especially in the early stages of a public health emergency. However, it also underscores the importance of negotiated coordination, where trust-building and shared governance become essential for aligning fragmented systems. Spain’s experience highlights the tension between local autonomy and national coherence, a trade-off that shaped the pace, consistency, and equity of its pandemic response.</w:t>
      </w:r>
    </w:p>
    <w:p w14:paraId="2572B489" w14:textId="4B5582EE" w:rsidR="00DD52BB" w:rsidRDefault="00B919AA" w:rsidP="00B919AA">
      <w:pPr>
        <w:spacing w:line="360" w:lineRule="auto"/>
        <w:jc w:val="both"/>
      </w:pPr>
      <w:r>
        <w:t>While this strategy enabled rapid mobilisation, it also drew criticism for limiting regional flexibility and stakeholder engagement (Northouse, 2021). Nonetheless, Sánchez’s decisive traits confidence, urgency, and control</w:t>
      </w:r>
      <w:r w:rsidR="0018347B">
        <w:t xml:space="preserve"> </w:t>
      </w:r>
      <w:r>
        <w:t>were instrumental in Spain’s early containment efforts</w:t>
      </w:r>
    </w:p>
    <w:p w14:paraId="78A58F92" w14:textId="77777777" w:rsidR="00787138" w:rsidRPr="00787138" w:rsidRDefault="00787138" w:rsidP="00787138">
      <w:pPr>
        <w:spacing w:line="360" w:lineRule="auto"/>
        <w:jc w:val="both"/>
        <w:rPr>
          <w:rStyle w:val="Emphasis"/>
          <w:b/>
          <w:bCs/>
        </w:rPr>
      </w:pPr>
      <w:r w:rsidRPr="00787138">
        <w:rPr>
          <w:rStyle w:val="Emphasis"/>
          <w:b/>
          <w:bCs/>
        </w:rPr>
        <w:t xml:space="preserve">Strengths: </w:t>
      </w:r>
    </w:p>
    <w:p w14:paraId="0281C9E8" w14:textId="77777777" w:rsidR="00787138" w:rsidRPr="00787138" w:rsidRDefault="00787138" w:rsidP="00787138">
      <w:pPr>
        <w:numPr>
          <w:ilvl w:val="0"/>
          <w:numId w:val="5"/>
        </w:numPr>
        <w:spacing w:line="360" w:lineRule="auto"/>
        <w:jc w:val="both"/>
      </w:pPr>
      <w:r w:rsidRPr="00787138">
        <w:t xml:space="preserve">operated under a decentralised Beveridge model, but Salvador Illa’s leadership leaned more toward </w:t>
      </w:r>
      <w:r w:rsidRPr="00787138">
        <w:rPr>
          <w:b/>
          <w:bCs/>
        </w:rPr>
        <w:t>situational and servant leadership</w:t>
      </w:r>
      <w:r w:rsidRPr="00787138">
        <w:t>, actively coordinating across autonomous communities despite limited central authority (Navarro and Velasco, 2022).</w:t>
      </w:r>
    </w:p>
    <w:p w14:paraId="482B721E" w14:textId="77777777" w:rsidR="00787138" w:rsidRPr="00787138" w:rsidRDefault="00787138" w:rsidP="00787138">
      <w:pPr>
        <w:numPr>
          <w:ilvl w:val="0"/>
          <w:numId w:val="3"/>
        </w:numPr>
        <w:spacing w:line="360" w:lineRule="auto"/>
        <w:jc w:val="both"/>
      </w:pPr>
      <w:r w:rsidRPr="00787138">
        <w:t>During peak crisis periods, shared governance blurred lines of accountability, creating confusion and making it difficult for the public to identify responsible authorities (WHO, 2023).</w:t>
      </w:r>
    </w:p>
    <w:p w14:paraId="45C5C284" w14:textId="77777777" w:rsidR="00787138" w:rsidRPr="00787138" w:rsidRDefault="00787138" w:rsidP="00787138">
      <w:pPr>
        <w:numPr>
          <w:ilvl w:val="0"/>
          <w:numId w:val="3"/>
        </w:numPr>
        <w:spacing w:line="360" w:lineRule="auto"/>
        <w:jc w:val="both"/>
      </w:pPr>
      <w:r w:rsidRPr="00787138">
        <w:t>Applied servant leadership values by focusing on community health priorities and well-being, even when operating with constrained central authority and limited formal power (Greenleaf, 1977).</w:t>
      </w:r>
    </w:p>
    <w:p w14:paraId="2399878B" w14:textId="1A9E2B63" w:rsidR="00787138" w:rsidRDefault="00787138" w:rsidP="00787138">
      <w:pPr>
        <w:numPr>
          <w:ilvl w:val="0"/>
          <w:numId w:val="3"/>
        </w:numPr>
        <w:spacing w:line="360" w:lineRule="auto"/>
        <w:jc w:val="both"/>
      </w:pPr>
      <w:r w:rsidRPr="00787138">
        <w:t>Fostered collaborative coordination across autonomous communities, improving communication, strengthening joint action, and encouraging broader stakeholder engagement to enhance governance effectiveness and inclusiveness during challenging decision-making processes (</w:t>
      </w:r>
      <w:proofErr w:type="spellStart"/>
      <w:r w:rsidRPr="00787138">
        <w:t>Angelici</w:t>
      </w:r>
      <w:proofErr w:type="spellEnd"/>
      <w:r w:rsidRPr="00787138">
        <w:t xml:space="preserve"> et al., 2023).</w:t>
      </w:r>
    </w:p>
    <w:p w14:paraId="7DB78323" w14:textId="77777777" w:rsidR="002E4F83" w:rsidRDefault="002E4F83" w:rsidP="002E4F83">
      <w:pPr>
        <w:spacing w:line="360" w:lineRule="auto"/>
        <w:ind w:left="720"/>
        <w:jc w:val="both"/>
      </w:pPr>
    </w:p>
    <w:p w14:paraId="739E6AF4" w14:textId="77777777" w:rsidR="0018347B" w:rsidRDefault="0018347B" w:rsidP="002E4F83">
      <w:pPr>
        <w:spacing w:line="360" w:lineRule="auto"/>
        <w:ind w:left="720"/>
        <w:jc w:val="both"/>
      </w:pPr>
    </w:p>
    <w:p w14:paraId="27998C95" w14:textId="77777777" w:rsidR="0018347B" w:rsidRPr="00787138" w:rsidRDefault="0018347B" w:rsidP="002E4F83">
      <w:pPr>
        <w:spacing w:line="360" w:lineRule="auto"/>
        <w:ind w:left="720"/>
        <w:jc w:val="both"/>
      </w:pPr>
    </w:p>
    <w:p w14:paraId="53F198AA" w14:textId="77777777" w:rsidR="00787138" w:rsidRPr="00787138" w:rsidRDefault="00787138" w:rsidP="00787138">
      <w:pPr>
        <w:spacing w:line="360" w:lineRule="auto"/>
        <w:jc w:val="both"/>
        <w:rPr>
          <w:rStyle w:val="Emphasis"/>
          <w:b/>
          <w:bCs/>
        </w:rPr>
      </w:pPr>
      <w:r w:rsidRPr="00787138">
        <w:rPr>
          <w:rStyle w:val="Emphasis"/>
          <w:b/>
          <w:bCs/>
        </w:rPr>
        <w:lastRenderedPageBreak/>
        <w:t>Weaknesses:</w:t>
      </w:r>
    </w:p>
    <w:p w14:paraId="767AA24C" w14:textId="77777777" w:rsidR="00787138" w:rsidRPr="00787138" w:rsidRDefault="00787138" w:rsidP="00787138">
      <w:pPr>
        <w:numPr>
          <w:ilvl w:val="0"/>
          <w:numId w:val="4"/>
        </w:numPr>
        <w:spacing w:line="360" w:lineRule="auto"/>
        <w:jc w:val="both"/>
      </w:pPr>
      <w:r w:rsidRPr="00787138">
        <w:t>Decentralisation contributed to fragmented decision-making, which slowed efforts to achieve a coordinated national response, ultimately delaying timely action and reducing overall crisis management effectiveness (Mac-Seing et al., 2023).</w:t>
      </w:r>
    </w:p>
    <w:p w14:paraId="59B13711" w14:textId="77777777" w:rsidR="00787138" w:rsidRPr="00787138" w:rsidRDefault="00787138" w:rsidP="00787138">
      <w:pPr>
        <w:numPr>
          <w:ilvl w:val="0"/>
          <w:numId w:val="4"/>
        </w:numPr>
        <w:spacing w:line="360" w:lineRule="auto"/>
        <w:jc w:val="both"/>
      </w:pPr>
      <w:r w:rsidRPr="00787138">
        <w:t>Inconsistent policy implementation and regional disparities in vaccine access undermined equity, leaving certain populations disadvantaged and limiting fairness in public health protection (WHO, 2023).</w:t>
      </w:r>
    </w:p>
    <w:p w14:paraId="7E9A71F2" w14:textId="77777777" w:rsidR="00787138" w:rsidRDefault="00787138" w:rsidP="00787138">
      <w:pPr>
        <w:numPr>
          <w:ilvl w:val="0"/>
          <w:numId w:val="4"/>
        </w:numPr>
        <w:spacing w:line="360" w:lineRule="auto"/>
        <w:jc w:val="both"/>
      </w:pPr>
      <w:r w:rsidRPr="00787138">
        <w:t>Gaps in communication across jurisdictions lowered public trust and created confusion, reducing clarity in decision-making and crisis response (Greer et al., 2022).</w:t>
      </w:r>
    </w:p>
    <w:p w14:paraId="75970CD4" w14:textId="4814990E" w:rsidR="009F73D8" w:rsidRPr="005F2E03" w:rsidRDefault="009F73D8" w:rsidP="000E0440">
      <w:pPr>
        <w:pStyle w:val="Heading2"/>
        <w:rPr>
          <w:sz w:val="24"/>
          <w:szCs w:val="24"/>
        </w:rPr>
      </w:pPr>
      <w:bookmarkStart w:id="17" w:name="_Toc212439701"/>
      <w:r w:rsidRPr="005F2E03">
        <w:rPr>
          <w:sz w:val="24"/>
          <w:szCs w:val="24"/>
        </w:rPr>
        <w:t>Critical Evaluation</w:t>
      </w:r>
      <w:bookmarkEnd w:id="17"/>
      <w:r w:rsidRPr="005F2E03">
        <w:rPr>
          <w:sz w:val="24"/>
          <w:szCs w:val="24"/>
        </w:rPr>
        <w:t xml:space="preserve"> </w:t>
      </w:r>
    </w:p>
    <w:p w14:paraId="3ED42544" w14:textId="77777777" w:rsidR="009F73D8" w:rsidRDefault="009F73D8" w:rsidP="009F73D8">
      <w:pPr>
        <w:spacing w:line="360" w:lineRule="auto"/>
        <w:jc w:val="both"/>
      </w:pPr>
      <w:r>
        <w:t>Spain’s COVID-19 response reveals the complex interplay between decentralised governance, leadership adaptability, and health system resilience. Operating under the Beveridge model, Spain’s autonomous communities held primary responsibility for healthcare delivery, which fragmented national coordination and delayed standardised interventions (Navarro, 2022).</w:t>
      </w:r>
    </w:p>
    <w:p w14:paraId="6BA68308" w14:textId="77777777" w:rsidR="009F73D8" w:rsidRDefault="009F73D8" w:rsidP="009F73D8">
      <w:pPr>
        <w:spacing w:line="360" w:lineRule="auto"/>
        <w:jc w:val="both"/>
      </w:pPr>
      <w:r>
        <w:t>Leadership under Minister Salvador Illa reflected a situational and servant leadership approach, navigating limited directive authority to foster intergovernmental cooperation. His strategic choices aligned with Tannenbaum and Schmidt’s “tell–sell” continuum and Path-Goal Theory’s directive style, particularly during the initial emergency phase (Tannenbaum et al., 1958; House, 1971).</w:t>
      </w:r>
    </w:p>
    <w:p w14:paraId="6DFDC83C" w14:textId="77777777" w:rsidR="009F73D8" w:rsidRDefault="009F73D8" w:rsidP="009F73D8">
      <w:pPr>
        <w:spacing w:line="360" w:lineRule="auto"/>
        <w:jc w:val="both"/>
      </w:pPr>
      <w:r>
        <w:t>From a systems thinking perspective, Spain’s regional Integrated Care Systems (ICSs) performed inconsistently due to variable standards, data fragmentation, and decentralised oversight (OECD, 2021). While some regions demonstrated agility and innovation, others struggled with continuity of care and equitable service delivery.</w:t>
      </w:r>
    </w:p>
    <w:p w14:paraId="3BF7893A" w14:textId="77777777" w:rsidR="009F73D8" w:rsidRDefault="009F73D8" w:rsidP="009F73D8">
      <w:pPr>
        <w:spacing w:line="360" w:lineRule="auto"/>
        <w:jc w:val="both"/>
      </w:pPr>
      <w:r>
        <w:t>Spain’s experience underscores key constraints:</w:t>
      </w:r>
    </w:p>
    <w:p w14:paraId="22585169" w14:textId="119924A1" w:rsidR="009F73D8" w:rsidRDefault="009F73D8" w:rsidP="009F73D8">
      <w:pPr>
        <w:spacing w:line="360" w:lineRule="auto"/>
        <w:jc w:val="both"/>
      </w:pPr>
      <w:r>
        <w:t>• Limited national oversight hindered rapid mobilisation.</w:t>
      </w:r>
    </w:p>
    <w:p w14:paraId="3137ECBB" w14:textId="3B1EE4BE" w:rsidR="009F73D8" w:rsidRDefault="009F73D8" w:rsidP="009F73D8">
      <w:pPr>
        <w:spacing w:line="360" w:lineRule="auto"/>
        <w:jc w:val="both"/>
      </w:pPr>
      <w:r>
        <w:lastRenderedPageBreak/>
        <w:t>• Fragmented data systems obstructed real-time monitoring.</w:t>
      </w:r>
    </w:p>
    <w:p w14:paraId="498195A1" w14:textId="2B3A25F7" w:rsidR="009F73D8" w:rsidRDefault="009F73D8" w:rsidP="009F73D8">
      <w:pPr>
        <w:spacing w:line="360" w:lineRule="auto"/>
        <w:jc w:val="both"/>
      </w:pPr>
      <w:r>
        <w:t>• Equity gaps emerged across regions, affecting vulnerable populations.</w:t>
      </w:r>
    </w:p>
    <w:p w14:paraId="6CA99D16" w14:textId="77777777" w:rsidR="005F2E03" w:rsidRPr="00787138" w:rsidRDefault="009F73D8" w:rsidP="005F2E03">
      <w:pPr>
        <w:spacing w:line="360" w:lineRule="auto"/>
        <w:jc w:val="both"/>
      </w:pPr>
      <w:r>
        <w:t xml:space="preserve">Despite these challenges, Spain’s hybrid leadership model contributed to strategic alignment through negotiated coordination and adaptive planning. The case highlights the policy relevance of servant leadership, cross-sector collaboration, and institutional alignment in decentralised systems facing crisis conditions (Carroll et al., 2023; </w:t>
      </w:r>
      <w:proofErr w:type="spellStart"/>
      <w:r>
        <w:t>Castelyn</w:t>
      </w:r>
      <w:proofErr w:type="spellEnd"/>
      <w:r>
        <w:t>, 2024).</w:t>
      </w:r>
      <w:r w:rsidR="005F2E03" w:rsidRPr="00CA1B03">
        <w:t>SOUTH KOREA</w:t>
      </w:r>
    </w:p>
    <w:p w14:paraId="66DD9D84" w14:textId="1DDA61D4" w:rsidR="009F73D8" w:rsidRPr="005F2E03" w:rsidRDefault="00570DD1" w:rsidP="005F2E03">
      <w:pPr>
        <w:pStyle w:val="Heading1"/>
        <w:rPr>
          <w:sz w:val="24"/>
          <w:szCs w:val="24"/>
        </w:rPr>
      </w:pPr>
      <w:bookmarkStart w:id="18" w:name="_Toc212439702"/>
      <w:r>
        <w:rPr>
          <w:sz w:val="24"/>
          <w:szCs w:val="24"/>
        </w:rPr>
        <w:t xml:space="preserve">4.2 </w:t>
      </w:r>
      <w:r w:rsidR="009F73D8" w:rsidRPr="005F2E03">
        <w:rPr>
          <w:sz w:val="24"/>
          <w:szCs w:val="24"/>
        </w:rPr>
        <w:t xml:space="preserve">SOUTH </w:t>
      </w:r>
      <w:r w:rsidR="00CA1B03" w:rsidRPr="005F2E03">
        <w:rPr>
          <w:sz w:val="24"/>
          <w:szCs w:val="24"/>
        </w:rPr>
        <w:t>KOREA</w:t>
      </w:r>
      <w:bookmarkEnd w:id="18"/>
    </w:p>
    <w:p w14:paraId="5B2F258E" w14:textId="651825F5" w:rsidR="00787138" w:rsidRDefault="00244196" w:rsidP="00B919AA">
      <w:pPr>
        <w:spacing w:line="360" w:lineRule="auto"/>
        <w:jc w:val="both"/>
      </w:pPr>
      <w:r w:rsidRPr="00244196">
        <w:rPr>
          <w:noProof/>
        </w:rPr>
        <w:drawing>
          <wp:inline distT="0" distB="0" distL="0" distR="0" wp14:anchorId="6A752069" wp14:editId="44ECEEC6">
            <wp:extent cx="6640286" cy="5741670"/>
            <wp:effectExtent l="0" t="0" r="8255" b="0"/>
            <wp:docPr id="160564009" name="Picture 1" descr="A close-up of a person's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4009" name="Picture 1" descr="A close-up of a person's hand&#10;&#10;AI-generated content may be incorrect."/>
                    <pic:cNvPicPr/>
                  </pic:nvPicPr>
                  <pic:blipFill>
                    <a:blip r:embed="rId20"/>
                    <a:stretch>
                      <a:fillRect/>
                    </a:stretch>
                  </pic:blipFill>
                  <pic:spPr>
                    <a:xfrm>
                      <a:off x="0" y="0"/>
                      <a:ext cx="6683381" cy="5778933"/>
                    </a:xfrm>
                    <a:prstGeom prst="rect">
                      <a:avLst/>
                    </a:prstGeom>
                  </pic:spPr>
                </pic:pic>
              </a:graphicData>
            </a:graphic>
          </wp:inline>
        </w:drawing>
      </w:r>
    </w:p>
    <w:p w14:paraId="4B19E4CC" w14:textId="77777777" w:rsidR="009B3FB0" w:rsidRDefault="009B3FB0" w:rsidP="009B3FB0">
      <w:pPr>
        <w:spacing w:line="360" w:lineRule="auto"/>
        <w:jc w:val="both"/>
      </w:pPr>
      <w:r>
        <w:t>South Korea: Hybrid Transformational Leadership in Crisis Response</w:t>
      </w:r>
    </w:p>
    <w:p w14:paraId="4E9E99F9" w14:textId="186A0CB5" w:rsidR="00BC446E" w:rsidRPr="00BC446E" w:rsidRDefault="009B3FB0" w:rsidP="00BC446E">
      <w:pPr>
        <w:spacing w:line="360" w:lineRule="auto"/>
        <w:jc w:val="both"/>
      </w:pPr>
      <w:r>
        <w:lastRenderedPageBreak/>
        <w:t>South Korea’s pandemic response was led by the Korea Disease Control and Prevention Agency (KDCA),</w:t>
      </w:r>
      <w:r w:rsidR="00BC446E" w:rsidRPr="00BC446E">
        <w:t xml:space="preserve"> led by Prime Minister Chung Sye-kyun, who oversaw a centralised response model anchored by the Korea Disease Control and Prevention Agency (KDCA). His leadership reflected a blend of transformational, transactional, and directive styles, diverging sharply from laissez-faire principles (Burns, 1978; Bass, 1990).</w:t>
      </w:r>
    </w:p>
    <w:p w14:paraId="475768CF" w14:textId="67D6194A" w:rsidR="003079FC" w:rsidRDefault="009B3FB0" w:rsidP="009B3FB0">
      <w:pPr>
        <w:spacing w:line="360" w:lineRule="auto"/>
        <w:jc w:val="both"/>
      </w:pPr>
      <w:r>
        <w:t xml:space="preserve"> which exemplified Hybrid Transformational and Collaborative Leadership. This model blended centralised authority with participative governance, integrating expert input, civil society, and local government coordination (Hong, 2024; ICNL, 2024).</w:t>
      </w:r>
    </w:p>
    <w:p w14:paraId="1A6D56E1" w14:textId="77777777" w:rsidR="009B3FB0" w:rsidRDefault="009B3FB0" w:rsidP="009B3FB0">
      <w:pPr>
        <w:spacing w:line="360" w:lineRule="auto"/>
        <w:jc w:val="both"/>
      </w:pPr>
      <w:r>
        <w:t>The leadership approach aligned with Theory Z, which assumes workers thrive in participative, trust-based environments. Citizens were treated as capable contributors to national health efforts, fostering cohesion and voluntary compliance (Ouchi, 1981).</w:t>
      </w:r>
    </w:p>
    <w:p w14:paraId="6FAAA3E4" w14:textId="77777777" w:rsidR="009B3FB0" w:rsidRDefault="009B3FB0" w:rsidP="009B3FB0">
      <w:pPr>
        <w:spacing w:line="360" w:lineRule="auto"/>
        <w:jc w:val="both"/>
      </w:pPr>
      <w:r>
        <w:t>From a Path-Goal Theory perspective, South Korea adopted supportive and participative styles, enabling transparent communication, digital tracing, and community engagement (House, 1971).</w:t>
      </w:r>
    </w:p>
    <w:p w14:paraId="005E5DD7" w14:textId="77777777" w:rsidR="009B3FB0" w:rsidRDefault="009B3FB0" w:rsidP="009B3FB0">
      <w:pPr>
        <w:spacing w:line="360" w:lineRule="auto"/>
        <w:jc w:val="both"/>
      </w:pPr>
      <w:r>
        <w:t>The Ohio State University studies (1940s) identified two dimensions:</w:t>
      </w:r>
    </w:p>
    <w:p w14:paraId="3F42A5E5" w14:textId="14D8375A" w:rsidR="009B3FB0" w:rsidRDefault="009B3FB0" w:rsidP="009B3FB0">
      <w:pPr>
        <w:spacing w:line="360" w:lineRule="auto"/>
        <w:jc w:val="both"/>
      </w:pPr>
      <w:r>
        <w:t>• Initiating Structure  KDCA established clear protocols, digital infrastructure, and role clarity.</w:t>
      </w:r>
    </w:p>
    <w:p w14:paraId="0884B3DC" w14:textId="45D02660" w:rsidR="00787138" w:rsidRDefault="009B3FB0" w:rsidP="009B3FB0">
      <w:pPr>
        <w:spacing w:line="360" w:lineRule="auto"/>
        <w:jc w:val="both"/>
      </w:pPr>
      <w:r>
        <w:t>• Consideration High empathy, public trust, and inclusive messaging were central to leadership behaviour (Hong, 2024).</w:t>
      </w:r>
    </w:p>
    <w:p w14:paraId="3D726555" w14:textId="1A66228F" w:rsidR="002410EC" w:rsidRPr="005F2E03" w:rsidRDefault="002410EC" w:rsidP="000E0440">
      <w:pPr>
        <w:pStyle w:val="Heading2"/>
        <w:rPr>
          <w:sz w:val="24"/>
          <w:szCs w:val="24"/>
        </w:rPr>
      </w:pPr>
      <w:bookmarkStart w:id="19" w:name="_Toc212439703"/>
      <w:r w:rsidRPr="005F2E03">
        <w:rPr>
          <w:sz w:val="24"/>
          <w:szCs w:val="24"/>
        </w:rPr>
        <w:t>Alignment with Core Themes:</w:t>
      </w:r>
      <w:bookmarkEnd w:id="19"/>
      <w:r w:rsidRPr="005F2E03">
        <w:rPr>
          <w:sz w:val="24"/>
          <w:szCs w:val="24"/>
        </w:rPr>
        <w:t xml:space="preserve"> </w:t>
      </w:r>
    </w:p>
    <w:p w14:paraId="68A63EA6" w14:textId="77777777" w:rsidR="002410EC" w:rsidRDefault="002410EC" w:rsidP="002410EC">
      <w:pPr>
        <w:spacing w:line="360" w:lineRule="auto"/>
        <w:jc w:val="both"/>
      </w:pPr>
      <w:r>
        <w:t>This assessment illustrates how strategic decision-making and health system performance in South Korea were shaped by its centralised governance model, led by the Korea Disease Control and Prevention Agency (KDCA). During the COVID-19 crisis, leadership under Prime Minister Chung Sye-kyun demonstrated how central authority can enhance service coordination, rapid mobilisation, and unified public messaging (Hong, 2024).</w:t>
      </w:r>
    </w:p>
    <w:p w14:paraId="4CBE5F2A" w14:textId="77777777" w:rsidR="002410EC" w:rsidRDefault="002410EC" w:rsidP="002410EC">
      <w:pPr>
        <w:spacing w:line="360" w:lineRule="auto"/>
        <w:jc w:val="both"/>
      </w:pPr>
      <w:r>
        <w:t xml:space="preserve">South Korea’s leadership reflected a hybrid model, combining transformational and transactional leadership traits. Chung promoted a unified national vision while enforcing performance expectations and swift implementation of containment measures (Burns, </w:t>
      </w:r>
      <w:r>
        <w:lastRenderedPageBreak/>
        <w:t>1978; Bass, 1990). This aligns with Path-Goal Theory’s supportive and directive styles, where leaders facilitate goal achievement through clear guidance and stakeholder engagement (House, 1971).</w:t>
      </w:r>
    </w:p>
    <w:p w14:paraId="6E1441D4" w14:textId="4AB9CA88" w:rsidR="002410EC" w:rsidRDefault="002410EC" w:rsidP="002410EC">
      <w:pPr>
        <w:spacing w:line="360" w:lineRule="auto"/>
        <w:jc w:val="both"/>
        <w:rPr>
          <w:color w:val="EE0000"/>
        </w:rPr>
      </w:pPr>
      <w:r>
        <w:t>Applying systems thinking, the analysis shows how South Korea’s integrated response</w:t>
      </w:r>
      <w:r w:rsidR="000D33AF">
        <w:t xml:space="preserve"> </w:t>
      </w:r>
      <w:r>
        <w:t>anchored in digital infrastructure and expert networks</w:t>
      </w:r>
      <w:r w:rsidR="000D33AF">
        <w:t xml:space="preserve"> </w:t>
      </w:r>
      <w:r>
        <w:t xml:space="preserve">enhanced continuity of care and public trust. However, institutional constraints such as privacy concerns and limited local flexibility revealed tensions between efficiency and inclusiveness. The leadership’s emphasis on cohesion and control shaped strategic agility, stakeholder coordination, and ethical governance during crisis conditions (Mac-Seing et al., 2023; Carroll et al., </w:t>
      </w:r>
      <w:r w:rsidRPr="00BD4BD4">
        <w:t>2023).</w:t>
      </w:r>
    </w:p>
    <w:p w14:paraId="58415C0B" w14:textId="683E1624" w:rsidR="00BD4BD4" w:rsidRPr="005F2E03" w:rsidRDefault="00BD4BD4" w:rsidP="000E0440">
      <w:pPr>
        <w:pStyle w:val="Heading2"/>
        <w:rPr>
          <w:sz w:val="24"/>
          <w:szCs w:val="24"/>
        </w:rPr>
      </w:pPr>
      <w:bookmarkStart w:id="20" w:name="_Toc212439704"/>
      <w:r w:rsidRPr="005F2E03">
        <w:rPr>
          <w:sz w:val="24"/>
          <w:szCs w:val="24"/>
        </w:rPr>
        <w:t>strategy and Governance Trade-offs:</w:t>
      </w:r>
      <w:bookmarkEnd w:id="20"/>
      <w:r w:rsidRPr="005F2E03">
        <w:rPr>
          <w:sz w:val="24"/>
          <w:szCs w:val="24"/>
        </w:rPr>
        <w:t xml:space="preserve"> </w:t>
      </w:r>
    </w:p>
    <w:p w14:paraId="5E750469" w14:textId="77777777" w:rsidR="00BD4BD4" w:rsidRDefault="00BD4BD4" w:rsidP="00BD4BD4">
      <w:pPr>
        <w:spacing w:line="360" w:lineRule="auto"/>
        <w:jc w:val="both"/>
      </w:pPr>
      <w:r>
        <w:t>South Korea’s centralised governance model enabled rapid strategic decision-making and efficient coordination during the COVID-19 crisis. Under Prime Minister Chung Sye-kyun, the Korea Disease Control and Prevention Agency (KDCA) led a unified national response, deploying digital infrastructure, contact tracing, and real-time data systems to manage public health interventions (Hong, 2024).</w:t>
      </w:r>
    </w:p>
    <w:p w14:paraId="4A3717FF" w14:textId="77777777" w:rsidR="00BD4BD4" w:rsidRDefault="00BD4BD4" w:rsidP="00BD4BD4">
      <w:pPr>
        <w:spacing w:line="360" w:lineRule="auto"/>
        <w:jc w:val="both"/>
      </w:pPr>
      <w:r>
        <w:t>This centralised approach reflected transformational and transactional leadership traits, where Chung promoted a national vision while enforcing performance expectations and compliance. The model aligned with Path-Goal Theory’s directive style, enabling swift execution of containment strategies (House, 1971).</w:t>
      </w:r>
    </w:p>
    <w:p w14:paraId="3EA06209" w14:textId="77777777" w:rsidR="00BD4BD4" w:rsidRDefault="00BD4BD4" w:rsidP="00BD4BD4">
      <w:pPr>
        <w:spacing w:line="360" w:lineRule="auto"/>
        <w:jc w:val="both"/>
      </w:pPr>
      <w:r>
        <w:t>However, this efficiency came with trade-offs. The use of digital surveillance technologies raised ethical concerns around privacy, civil liberties, and data protection, particularly in relation to contact tracing and public monitoring (Mac-Seing et al., 2023). Additionally, the rigid top-down structure limited local adaptability, constraining community-led initiatives and reducing flexibility in service delivery.</w:t>
      </w:r>
    </w:p>
    <w:p w14:paraId="57DB6D67" w14:textId="7ED26824" w:rsidR="00BD4BD4" w:rsidRDefault="00BD4BD4" w:rsidP="002410EC">
      <w:pPr>
        <w:spacing w:line="360" w:lineRule="auto"/>
        <w:jc w:val="both"/>
      </w:pPr>
      <w:r>
        <w:t>South Korea’s experience highlights the tension between centralised control and civic autonomy. While strategic coherence and speed were strengths, the governance model exposed vulnerabilities in ethical oversight and inclusive engagement. These trade-offs underscore the importance of balancing institutional authority with stakeholder trust and adaptive capacity in future crisis governance.</w:t>
      </w:r>
    </w:p>
    <w:p w14:paraId="21884C7C" w14:textId="77777777" w:rsidR="00041BA5" w:rsidRPr="005F2E03" w:rsidRDefault="00041BA5" w:rsidP="00041BA5">
      <w:pPr>
        <w:spacing w:line="360" w:lineRule="auto"/>
        <w:jc w:val="both"/>
        <w:rPr>
          <w:rStyle w:val="Emphasis"/>
          <w:b/>
          <w:bCs/>
        </w:rPr>
      </w:pPr>
      <w:r w:rsidRPr="005F2E03">
        <w:rPr>
          <w:rStyle w:val="Emphasis"/>
          <w:b/>
          <w:bCs/>
        </w:rPr>
        <w:lastRenderedPageBreak/>
        <w:t>Strengths:</w:t>
      </w:r>
    </w:p>
    <w:p w14:paraId="04EAFE60" w14:textId="3C01CD83" w:rsidR="00041BA5" w:rsidRDefault="00041BA5" w:rsidP="00041BA5">
      <w:pPr>
        <w:spacing w:line="360" w:lineRule="auto"/>
        <w:jc w:val="both"/>
      </w:pPr>
      <w:r>
        <w:t>•Chung promoted a unified national vision, deploying digital tracing tools and coordinated messaging to enhance public engagement and crisis effectiveness (Hong, 2024).</w:t>
      </w:r>
    </w:p>
    <w:p w14:paraId="462D6DBC" w14:textId="2D33EE88" w:rsidR="00041BA5" w:rsidRDefault="00041BA5" w:rsidP="00041BA5">
      <w:pPr>
        <w:spacing w:line="360" w:lineRule="auto"/>
        <w:jc w:val="both"/>
      </w:pPr>
      <w:r>
        <w:t>•He applied transactional leadership, setting clear performance expectations and enforcing swift implementation of testing, quarantine, and containment protocols (Bass, 1990).</w:t>
      </w:r>
    </w:p>
    <w:p w14:paraId="57D79C5D" w14:textId="4802769D" w:rsidR="00041BA5" w:rsidRDefault="00041BA5" w:rsidP="00041BA5">
      <w:pPr>
        <w:spacing w:line="360" w:lineRule="auto"/>
        <w:jc w:val="both"/>
      </w:pPr>
      <w:r>
        <w:t>•South Korea’s centralised health infrastructure enabled rapid mobilisation, consistent communication, and efficient resource deployment (WHO, 2025).</w:t>
      </w:r>
    </w:p>
    <w:p w14:paraId="0596782D" w14:textId="77777777" w:rsidR="00041BA5" w:rsidRPr="005F2E03" w:rsidRDefault="00041BA5" w:rsidP="00041BA5">
      <w:pPr>
        <w:spacing w:line="360" w:lineRule="auto"/>
        <w:jc w:val="both"/>
        <w:rPr>
          <w:rStyle w:val="Emphasis"/>
          <w:b/>
          <w:bCs/>
        </w:rPr>
      </w:pPr>
      <w:r w:rsidRPr="005F2E03">
        <w:rPr>
          <w:rStyle w:val="Emphasis"/>
          <w:b/>
          <w:bCs/>
        </w:rPr>
        <w:t>Weaknesses:</w:t>
      </w:r>
    </w:p>
    <w:p w14:paraId="788D0866" w14:textId="452A4C98" w:rsidR="00041BA5" w:rsidRDefault="00041BA5" w:rsidP="00041BA5">
      <w:pPr>
        <w:spacing w:line="360" w:lineRule="auto"/>
        <w:jc w:val="both"/>
      </w:pPr>
      <w:r>
        <w:t>•Equity gaps persisted for migrant and low-income populations, limiting access to essential services and undermining fairness in public health protection (Mac-Seing et al., 2023).</w:t>
      </w:r>
    </w:p>
    <w:p w14:paraId="558817C8" w14:textId="7F436295" w:rsidR="00041BA5" w:rsidRDefault="00041BA5" w:rsidP="00041BA5">
      <w:pPr>
        <w:spacing w:line="360" w:lineRule="auto"/>
        <w:jc w:val="both"/>
      </w:pPr>
      <w:r>
        <w:t>•Rigid top-down structures constrained local adaptation and community-led initiatives, reducing flexibility in evolving contexts (OECD, 2021).</w:t>
      </w:r>
    </w:p>
    <w:p w14:paraId="61052EB1" w14:textId="7B6D40CC" w:rsidR="00041BA5" w:rsidRDefault="00041BA5" w:rsidP="00041BA5">
      <w:pPr>
        <w:spacing w:line="360" w:lineRule="auto"/>
        <w:jc w:val="both"/>
      </w:pPr>
      <w:r>
        <w:t>•The use of digital surveillance tools raised ethical concerns around privacy, data protection, and civil liberties (Mac-Seing et al., 2023; Frontiers in Public Health, 2021).</w:t>
      </w:r>
    </w:p>
    <w:p w14:paraId="6301AF6B" w14:textId="6E0BBA57" w:rsidR="0071212F" w:rsidRDefault="00041BA5" w:rsidP="00041BA5">
      <w:pPr>
        <w:spacing w:line="360" w:lineRule="auto"/>
        <w:jc w:val="both"/>
      </w:pPr>
      <w:r>
        <w:t>This leadership model aligns with Path-Goal Theory’s directive and supportive styles, and reflects Ohio State University’s “Initiating Structure”, with limited “Consideration” during peak enforcement phases. Chung’s approach was effective in rapid containment but exposed tensions between efficiency and equity</w:t>
      </w:r>
      <w:r w:rsidR="00204709">
        <w:t>.</w:t>
      </w:r>
    </w:p>
    <w:p w14:paraId="57A1E61D" w14:textId="499245D6" w:rsidR="005213CB" w:rsidRPr="00D51E18" w:rsidRDefault="005213CB" w:rsidP="000E0440">
      <w:pPr>
        <w:pStyle w:val="Heading2"/>
        <w:rPr>
          <w:sz w:val="24"/>
          <w:szCs w:val="24"/>
        </w:rPr>
      </w:pPr>
      <w:r>
        <w:t xml:space="preserve"> </w:t>
      </w:r>
      <w:bookmarkStart w:id="21" w:name="_Toc212439705"/>
      <w:r w:rsidRPr="00D51E18">
        <w:rPr>
          <w:sz w:val="24"/>
          <w:szCs w:val="24"/>
        </w:rPr>
        <w:t>Critical Evaluation</w:t>
      </w:r>
      <w:bookmarkEnd w:id="21"/>
      <w:r w:rsidRPr="00D51E18">
        <w:rPr>
          <w:sz w:val="24"/>
          <w:szCs w:val="24"/>
        </w:rPr>
        <w:t xml:space="preserve"> </w:t>
      </w:r>
    </w:p>
    <w:p w14:paraId="7905B86E" w14:textId="77777777" w:rsidR="005213CB" w:rsidRDefault="005213CB" w:rsidP="005213CB">
      <w:pPr>
        <w:spacing w:line="360" w:lineRule="auto"/>
        <w:jc w:val="both"/>
      </w:pPr>
      <w:r>
        <w:t>South Korea’s COVID-19 response exemplifies the strategic advantages and ethical tensions of centralised governance in crisis conditions. Led by Prime Minister Chung Sye-kyun, the Korea Disease Control and Prevention Agency (KDCA) coordinated a unified national strategy, deploying digital infrastructure, contact tracing, and real-time data systems to manage public health interventions (Hong, 2024).</w:t>
      </w:r>
    </w:p>
    <w:p w14:paraId="6B814241" w14:textId="77777777" w:rsidR="005213CB" w:rsidRDefault="005213CB" w:rsidP="005213CB">
      <w:pPr>
        <w:spacing w:line="360" w:lineRule="auto"/>
        <w:jc w:val="both"/>
      </w:pPr>
      <w:r>
        <w:lastRenderedPageBreak/>
        <w:t>Leadership reflected a hybrid model, combining transformational and transactional styles. Chung promoted a cohesive national vision while enforcing performance expectations and compliance, aligning with Path-Goal Theory’s directive and supportive styles (Burns, 1978; Bass, 1990; House, 1971). This enabled rapid mobilisation and consistent messaging across sectors.</w:t>
      </w:r>
    </w:p>
    <w:p w14:paraId="58D79FD6" w14:textId="77777777" w:rsidR="005213CB" w:rsidRDefault="005213CB" w:rsidP="005213CB">
      <w:pPr>
        <w:spacing w:line="360" w:lineRule="auto"/>
        <w:jc w:val="both"/>
      </w:pPr>
      <w:r>
        <w:t>From a systems thinking perspective, South Korea’s response integrated community care, digital monitoring, and expert networks, enhancing service resilience and continuity. However, the model also exposed trade-offs:</w:t>
      </w:r>
    </w:p>
    <w:p w14:paraId="631BC80E" w14:textId="1187CF2A" w:rsidR="005213CB" w:rsidRDefault="005213CB" w:rsidP="005213CB">
      <w:pPr>
        <w:spacing w:line="360" w:lineRule="auto"/>
        <w:jc w:val="both"/>
      </w:pPr>
      <w:r>
        <w:t>• Privacy concerns emerged around digital surveillance and civil liberties (Mac-Seing et al., 2023).</w:t>
      </w:r>
    </w:p>
    <w:p w14:paraId="3BD6AFD5" w14:textId="22233628" w:rsidR="005213CB" w:rsidRDefault="005213CB" w:rsidP="005213CB">
      <w:pPr>
        <w:spacing w:line="360" w:lineRule="auto"/>
        <w:jc w:val="both"/>
      </w:pPr>
      <w:r>
        <w:t>• Limited local flexibility constrained community-led adaptation.</w:t>
      </w:r>
    </w:p>
    <w:p w14:paraId="362443B0" w14:textId="3BE16357" w:rsidR="005213CB" w:rsidRDefault="005213CB" w:rsidP="005213CB">
      <w:pPr>
        <w:spacing w:line="360" w:lineRule="auto"/>
        <w:jc w:val="both"/>
      </w:pPr>
      <w:r>
        <w:t>• Equity gaps persisted for migrant and low-income populations.</w:t>
      </w:r>
    </w:p>
    <w:p w14:paraId="26957F31" w14:textId="28459174" w:rsidR="00581E24" w:rsidRDefault="005213CB" w:rsidP="005213CB">
      <w:pPr>
        <w:spacing w:line="360" w:lineRule="auto"/>
        <w:jc w:val="both"/>
      </w:pPr>
      <w:r>
        <w:t xml:space="preserve">Despite these constraints, South Korea’s leadership demonstrated high strategic agility, stakeholder coordination, and institutional alignment, contributing to effective crisis management. The case reinforces the policy relevance of systems-level leadership, ethical oversight, and adaptive governance in future global emergencies (Carroll et al., 2023; </w:t>
      </w:r>
      <w:proofErr w:type="spellStart"/>
      <w:r>
        <w:t>Castelyn</w:t>
      </w:r>
      <w:proofErr w:type="spellEnd"/>
      <w:r>
        <w:t>, 2024).</w:t>
      </w:r>
    </w:p>
    <w:p w14:paraId="5AA2F7BC" w14:textId="77777777" w:rsidR="00581E24" w:rsidRDefault="00581E24" w:rsidP="00041BA5">
      <w:pPr>
        <w:spacing w:line="360" w:lineRule="auto"/>
        <w:jc w:val="both"/>
      </w:pPr>
    </w:p>
    <w:p w14:paraId="5348EC18" w14:textId="77777777" w:rsidR="00581E24" w:rsidRDefault="00581E24" w:rsidP="00041BA5">
      <w:pPr>
        <w:spacing w:line="360" w:lineRule="auto"/>
        <w:jc w:val="both"/>
      </w:pPr>
    </w:p>
    <w:p w14:paraId="2F067B50" w14:textId="77777777" w:rsidR="00581E24" w:rsidRDefault="00581E24" w:rsidP="00041BA5">
      <w:pPr>
        <w:spacing w:line="360" w:lineRule="auto"/>
        <w:jc w:val="both"/>
      </w:pPr>
    </w:p>
    <w:p w14:paraId="513F7D03" w14:textId="77777777" w:rsidR="00D343DB" w:rsidRDefault="00D343DB" w:rsidP="00041BA5">
      <w:pPr>
        <w:spacing w:line="360" w:lineRule="auto"/>
        <w:jc w:val="both"/>
      </w:pPr>
    </w:p>
    <w:p w14:paraId="589418EC" w14:textId="77777777" w:rsidR="00D343DB" w:rsidRDefault="00D343DB" w:rsidP="00041BA5">
      <w:pPr>
        <w:spacing w:line="360" w:lineRule="auto"/>
        <w:jc w:val="both"/>
      </w:pPr>
    </w:p>
    <w:p w14:paraId="6D4B7205" w14:textId="77777777" w:rsidR="00D343DB" w:rsidRDefault="00D343DB" w:rsidP="00041BA5">
      <w:pPr>
        <w:spacing w:line="360" w:lineRule="auto"/>
        <w:jc w:val="both"/>
      </w:pPr>
    </w:p>
    <w:p w14:paraId="0DA729E2" w14:textId="77777777" w:rsidR="00D343DB" w:rsidRDefault="00D343DB" w:rsidP="00041BA5">
      <w:pPr>
        <w:spacing w:line="360" w:lineRule="auto"/>
        <w:jc w:val="both"/>
      </w:pPr>
    </w:p>
    <w:p w14:paraId="49F1A21F" w14:textId="6AEA6A23" w:rsidR="00DD52BB" w:rsidRPr="00D51E18" w:rsidRDefault="00570DD1" w:rsidP="000E0440">
      <w:pPr>
        <w:pStyle w:val="Heading1"/>
        <w:rPr>
          <w:sz w:val="24"/>
          <w:szCs w:val="24"/>
        </w:rPr>
      </w:pPr>
      <w:bookmarkStart w:id="22" w:name="_Toc212439706"/>
      <w:r>
        <w:rPr>
          <w:sz w:val="24"/>
          <w:szCs w:val="24"/>
        </w:rPr>
        <w:lastRenderedPageBreak/>
        <w:t xml:space="preserve">4.3 </w:t>
      </w:r>
      <w:r w:rsidR="00D00176" w:rsidRPr="00D51E18">
        <w:rPr>
          <w:sz w:val="24"/>
          <w:szCs w:val="24"/>
        </w:rPr>
        <w:t>CANADA</w:t>
      </w:r>
      <w:bookmarkEnd w:id="22"/>
    </w:p>
    <w:p w14:paraId="5DC86763" w14:textId="37A17DAB" w:rsidR="00DD52BB" w:rsidRDefault="00945AD4" w:rsidP="003120DC">
      <w:pPr>
        <w:spacing w:line="360" w:lineRule="auto"/>
        <w:jc w:val="both"/>
      </w:pPr>
      <w:r>
        <w:rPr>
          <w:noProof/>
        </w:rPr>
        <mc:AlternateContent>
          <mc:Choice Requires="wpi">
            <w:drawing>
              <wp:anchor distT="0" distB="0" distL="114300" distR="114300" simplePos="0" relativeHeight="251661312" behindDoc="0" locked="0" layoutInCell="1" allowOverlap="1" wp14:anchorId="495ED1A7" wp14:editId="22BA3D4C">
                <wp:simplePos x="0" y="0"/>
                <wp:positionH relativeFrom="column">
                  <wp:posOffset>7772580</wp:posOffset>
                </wp:positionH>
                <wp:positionV relativeFrom="paragraph">
                  <wp:posOffset>2386785</wp:posOffset>
                </wp:positionV>
                <wp:extent cx="360" cy="360"/>
                <wp:effectExtent l="57150" t="57150" r="57150" b="57150"/>
                <wp:wrapNone/>
                <wp:docPr id="1721553648"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type w14:anchorId="53B02F2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611.3pt;margin-top:187.2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2rSHyxQEAAGgEAAAQAAAAAAAAAAAAAAAAANADAABkcnMv&#10;aW5rL2luazEueG1sUEsBAi0AFAAGAAgAAAAhAC1huYPhAAAADQEAAA8AAAAAAAAAAAAAAAAAwwUA&#10;AGRycy9kb3ducmV2LnhtbFBLAQItABQABgAIAAAAIQB5GLydvwAAACEBAAAZAAAAAAAAAAAAAAAA&#10;ANEGAABkcnMvX3JlbHMvZTJvRG9jLnhtbC5yZWxzUEsFBgAAAAAGAAYAeAEAAMcHAAAAAA==&#10;">
                <v:imagedata r:id="rId22" o:title=""/>
              </v:shape>
            </w:pict>
          </mc:Fallback>
        </mc:AlternateContent>
      </w:r>
      <w:r>
        <w:rPr>
          <w:noProof/>
        </w:rPr>
        <mc:AlternateContent>
          <mc:Choice Requires="wpi">
            <w:drawing>
              <wp:anchor distT="0" distB="0" distL="114300" distR="114300" simplePos="0" relativeHeight="251660288" behindDoc="0" locked="0" layoutInCell="1" allowOverlap="1" wp14:anchorId="041702FF" wp14:editId="2BE8F4D9">
                <wp:simplePos x="0" y="0"/>
                <wp:positionH relativeFrom="column">
                  <wp:posOffset>5859900</wp:posOffset>
                </wp:positionH>
                <wp:positionV relativeFrom="paragraph">
                  <wp:posOffset>4528065</wp:posOffset>
                </wp:positionV>
                <wp:extent cx="61200" cy="253080"/>
                <wp:effectExtent l="57150" t="57150" r="15240" b="52070"/>
                <wp:wrapNone/>
                <wp:docPr id="2093548588" name="Ink 6"/>
                <wp:cNvGraphicFramePr/>
                <a:graphic xmlns:a="http://schemas.openxmlformats.org/drawingml/2006/main">
                  <a:graphicData uri="http://schemas.microsoft.com/office/word/2010/wordprocessingInk">
                    <w14:contentPart bwMode="auto" r:id="rId23">
                      <w14:nvContentPartPr>
                        <w14:cNvContentPartPr/>
                      </w14:nvContentPartPr>
                      <w14:xfrm>
                        <a:off x="0" y="0"/>
                        <a:ext cx="61200" cy="253080"/>
                      </w14:xfrm>
                    </w14:contentPart>
                  </a:graphicData>
                </a:graphic>
              </wp:anchor>
            </w:drawing>
          </mc:Choice>
          <mc:Fallback>
            <w:pict>
              <v:shape w14:anchorId="46FB15D0" id="Ink 6" o:spid="_x0000_s1026" type="#_x0000_t75" style="position:absolute;margin-left:460.7pt;margin-top:355.85pt;width:6.2pt;height:21.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">
                <v:imagedata r:id="rId24" o:title=""/>
              </v:shape>
            </w:pict>
          </mc:Fallback>
        </mc:AlternateContent>
      </w:r>
      <w:r>
        <w:rPr>
          <w:noProof/>
        </w:rPr>
        <mc:AlternateContent>
          <mc:Choice Requires="wpi">
            <w:drawing>
              <wp:anchor distT="0" distB="0" distL="114300" distR="114300" simplePos="0" relativeHeight="251659264" behindDoc="0" locked="0" layoutInCell="1" allowOverlap="1" wp14:anchorId="75874C63" wp14:editId="122CFA1B">
                <wp:simplePos x="0" y="0"/>
                <wp:positionH relativeFrom="column">
                  <wp:posOffset>2332260</wp:posOffset>
                </wp:positionH>
                <wp:positionV relativeFrom="paragraph">
                  <wp:posOffset>4543185</wp:posOffset>
                </wp:positionV>
                <wp:extent cx="63720" cy="223560"/>
                <wp:effectExtent l="57150" t="57150" r="50800" b="43180"/>
                <wp:wrapNone/>
                <wp:docPr id="429048808" name="Ink 5"/>
                <wp:cNvGraphicFramePr/>
                <a:graphic xmlns:a="http://schemas.openxmlformats.org/drawingml/2006/main">
                  <a:graphicData uri="http://schemas.microsoft.com/office/word/2010/wordprocessingInk">
                    <w14:contentPart bwMode="auto" r:id="rId25">
                      <w14:nvContentPartPr>
                        <w14:cNvContentPartPr/>
                      </w14:nvContentPartPr>
                      <w14:xfrm>
                        <a:off x="0" y="0"/>
                        <a:ext cx="63720" cy="223560"/>
                      </w14:xfrm>
                    </w14:contentPart>
                  </a:graphicData>
                </a:graphic>
              </wp:anchor>
            </w:drawing>
          </mc:Choice>
          <mc:Fallback>
            <w:pict>
              <v:shape w14:anchorId="566BB3A3" id="Ink 5" o:spid="_x0000_s1026" type="#_x0000_t75" style="position:absolute;margin-left:182.95pt;margin-top:357.05pt;width:6.4pt;height:1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">
                <v:imagedata r:id="rId26" o:title=""/>
              </v:shape>
            </w:pict>
          </mc:Fallback>
        </mc:AlternateContent>
      </w:r>
      <w:r w:rsidR="00204709" w:rsidRPr="00204709">
        <w:rPr>
          <w:noProof/>
        </w:rPr>
        <w:drawing>
          <wp:inline distT="0" distB="0" distL="0" distR="0" wp14:anchorId="7CF32569" wp14:editId="2C1DCC50">
            <wp:extent cx="6203315" cy="5265420"/>
            <wp:effectExtent l="0" t="0" r="6985" b="0"/>
            <wp:docPr id="19475525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5256" name="Picture 1" descr="A close-up of a document&#10;&#10;AI-generated content may be incorrect."/>
                    <pic:cNvPicPr/>
                  </pic:nvPicPr>
                  <pic:blipFill>
                    <a:blip r:embed="rId27"/>
                    <a:stretch>
                      <a:fillRect/>
                    </a:stretch>
                  </pic:blipFill>
                  <pic:spPr>
                    <a:xfrm>
                      <a:off x="0" y="0"/>
                      <a:ext cx="6250916" cy="5305824"/>
                    </a:xfrm>
                    <a:prstGeom prst="rect">
                      <a:avLst/>
                    </a:prstGeom>
                  </pic:spPr>
                </pic:pic>
              </a:graphicData>
            </a:graphic>
          </wp:inline>
        </w:drawing>
      </w:r>
    </w:p>
    <w:p w14:paraId="025B42B3" w14:textId="77777777" w:rsidR="00DD52BB" w:rsidRDefault="00DD52BB" w:rsidP="003120DC">
      <w:pPr>
        <w:spacing w:line="360" w:lineRule="auto"/>
        <w:jc w:val="both"/>
      </w:pPr>
    </w:p>
    <w:p w14:paraId="3181E938" w14:textId="505AC90A" w:rsidR="00ED0A20" w:rsidRDefault="00ED0A20" w:rsidP="00ED0A20">
      <w:pPr>
        <w:spacing w:line="360" w:lineRule="auto"/>
        <w:jc w:val="both"/>
      </w:pPr>
      <w:r>
        <w:t>Canada: Democratic and Laissez-Faire Leadership in a Federal System</w:t>
      </w:r>
      <w:r w:rsidR="004F5EDD">
        <w:t xml:space="preserve">, </w:t>
      </w:r>
      <w:r>
        <w:t>Canada’s COVID-19 response was defined by its National Health Insurance Model, where healthcare is publicly funded but delivered through provincial systems (OECD, 2021). This decentralised governance structure led to varied provincial responses, with the federal government offering guidance but limited enforcement capacity (Mac-Seing et al., 2023).</w:t>
      </w:r>
    </w:p>
    <w:p w14:paraId="5FDCD984" w14:textId="77777777" w:rsidR="00ED0A20" w:rsidRDefault="00ED0A20" w:rsidP="00ED0A20">
      <w:pPr>
        <w:spacing w:line="360" w:lineRule="auto"/>
        <w:jc w:val="both"/>
      </w:pPr>
      <w:r>
        <w:t xml:space="preserve">Canada’s leadership reflected Theory Y, which assumes individuals are self-motivated and capable of responsible decision-making. Provincial leaders were trusted to manage </w:t>
      </w:r>
      <w:r>
        <w:lastRenderedPageBreak/>
        <w:t>public health measures independently, fostering autonomy and collaboration (McGregor, 1960; Bubela et al., 2023).</w:t>
      </w:r>
    </w:p>
    <w:p w14:paraId="3691846E" w14:textId="77777777" w:rsidR="00ED0A20" w:rsidRDefault="00ED0A20" w:rsidP="00ED0A20">
      <w:pPr>
        <w:spacing w:line="360" w:lineRule="auto"/>
        <w:jc w:val="both"/>
      </w:pPr>
      <w:r>
        <w:t>From a Path-Goal Theory perspective, Canada leaned into participative leadership, encouraging stakeholder input and regional tailoring of interventions (House, 1971).</w:t>
      </w:r>
    </w:p>
    <w:p w14:paraId="079243E2" w14:textId="77777777" w:rsidR="00ED0A20" w:rsidRDefault="00ED0A20" w:rsidP="00ED0A20">
      <w:pPr>
        <w:spacing w:line="360" w:lineRule="auto"/>
        <w:jc w:val="both"/>
      </w:pPr>
      <w:r>
        <w:t>The Ohio State University studies (1940s) identified two dimensions:</w:t>
      </w:r>
    </w:p>
    <w:p w14:paraId="1142F95D" w14:textId="3BEEB53E" w:rsidR="00ED0A20" w:rsidRDefault="00ED0A20" w:rsidP="00ED0A20">
      <w:pPr>
        <w:spacing w:line="360" w:lineRule="auto"/>
        <w:jc w:val="both"/>
      </w:pPr>
      <w:r>
        <w:t>•Initiating Structure Present in federal coordination efforts, such as vaccine procurement and national guidelines.</w:t>
      </w:r>
    </w:p>
    <w:p w14:paraId="4B3CC382" w14:textId="0F5D200A" w:rsidR="00DD52BB" w:rsidRDefault="00ED0A20" w:rsidP="00ED0A20">
      <w:pPr>
        <w:spacing w:line="360" w:lineRule="auto"/>
        <w:jc w:val="both"/>
      </w:pPr>
      <w:r>
        <w:t>•Consideration  Strong at provincial levels, where leaders prioritised community engagement and tailored messaging (Greer et al., 2022).</w:t>
      </w:r>
    </w:p>
    <w:p w14:paraId="1BE0964C" w14:textId="40E5DD53" w:rsidR="00F917C5" w:rsidRPr="00D51E18" w:rsidRDefault="00F917C5" w:rsidP="00D51E18">
      <w:pPr>
        <w:pStyle w:val="Heading2"/>
        <w:rPr>
          <w:sz w:val="24"/>
          <w:szCs w:val="24"/>
        </w:rPr>
      </w:pPr>
      <w:bookmarkStart w:id="23" w:name="_Toc212439707"/>
      <w:r w:rsidRPr="00D51E18">
        <w:rPr>
          <w:sz w:val="24"/>
          <w:szCs w:val="24"/>
        </w:rPr>
        <w:t>Alignment with Core Themes:</w:t>
      </w:r>
      <w:bookmarkEnd w:id="23"/>
      <w:r w:rsidRPr="00D51E18">
        <w:rPr>
          <w:sz w:val="24"/>
          <w:szCs w:val="24"/>
        </w:rPr>
        <w:t xml:space="preserve"> </w:t>
      </w:r>
    </w:p>
    <w:p w14:paraId="11F29BCB" w14:textId="77777777" w:rsidR="00F917C5" w:rsidRDefault="00F917C5" w:rsidP="00F917C5">
      <w:pPr>
        <w:spacing w:line="360" w:lineRule="auto"/>
        <w:jc w:val="both"/>
      </w:pPr>
      <w:r>
        <w:t>Canada’s pandemic response was shaped by its National Health Insurance Model, where healthcare is publicly funded but delivered by provinces. This decentralised governance system placed strategic decision-making in the hands of provincial leaders, with the federal government offering guidance and resources (Mac-Seing et al., 2023).</w:t>
      </w:r>
    </w:p>
    <w:p w14:paraId="234F6C17" w14:textId="77777777" w:rsidR="00F917C5" w:rsidRDefault="00F917C5" w:rsidP="00F917C5">
      <w:pPr>
        <w:spacing w:line="360" w:lineRule="auto"/>
        <w:jc w:val="both"/>
      </w:pPr>
      <w:r>
        <w:t>Leadership across jurisdictions reflected Democratic and Laissez-Faire styles, consistent with Theory Y, which assumes individuals are self-motivated and capable of responsible action (McGregor, 1960). Provincial autonomy enabled tailored interventions, such as region-specific lockdowns and school closures, while the federal government coordinated vaccine procurement and national messaging (Bubela et al., 2023).</w:t>
      </w:r>
    </w:p>
    <w:p w14:paraId="38F26611" w14:textId="57243862" w:rsidR="00F917C5" w:rsidRDefault="00F917C5" w:rsidP="00F917C5">
      <w:pPr>
        <w:spacing w:line="360" w:lineRule="auto"/>
        <w:jc w:val="both"/>
      </w:pPr>
      <w:r>
        <w:t>From a Path-Goal Theory perspective, Canada’s leadership leaned into participative styles, encouraging stakeholder input and regional flexibility (House, 1971). The Ohio State University studies (1940s) further contextualise this with strong Consideration</w:t>
      </w:r>
      <w:r w:rsidR="00935314">
        <w:t xml:space="preserve"> </w:t>
      </w:r>
      <w:r>
        <w:t>community engagement and trust-building</w:t>
      </w:r>
      <w:r w:rsidR="00935314">
        <w:t xml:space="preserve"> </w:t>
      </w:r>
      <w:r>
        <w:t>but limited Initiating Structure, which hindered uniform national action (Greer et al., 2022).</w:t>
      </w:r>
    </w:p>
    <w:p w14:paraId="0AD6C473" w14:textId="464262BE" w:rsidR="00F917C5" w:rsidRDefault="00F917C5" w:rsidP="00F917C5">
      <w:pPr>
        <w:spacing w:line="360" w:lineRule="auto"/>
        <w:jc w:val="both"/>
      </w:pPr>
      <w:r>
        <w:t xml:space="preserve">Applying systems thinking, Canada’s response demonstrated how federal coordination can support continuity of care, but also revealed fragmentation in data systems, uneven policy implementation, and equity gaps for vulnerable populations (Carroll et al., 2023; </w:t>
      </w:r>
      <w:r>
        <w:lastRenderedPageBreak/>
        <w:t>WHO, 2024). These dynamics shaped Canada’s strategic agility, stakeholder responsiveness, and public health outcomes during the crisis.</w:t>
      </w:r>
    </w:p>
    <w:p w14:paraId="5636B28A" w14:textId="1BE3AEB2" w:rsidR="004A79BB" w:rsidRPr="00D51E18" w:rsidRDefault="004A79BB" w:rsidP="000E0440">
      <w:pPr>
        <w:pStyle w:val="Heading2"/>
        <w:rPr>
          <w:sz w:val="24"/>
          <w:szCs w:val="24"/>
        </w:rPr>
      </w:pPr>
      <w:bookmarkStart w:id="24" w:name="_Toc212439708"/>
      <w:r w:rsidRPr="00D51E18">
        <w:rPr>
          <w:sz w:val="24"/>
          <w:szCs w:val="24"/>
        </w:rPr>
        <w:t>Strategy and Governance Trade-offs:</w:t>
      </w:r>
      <w:bookmarkEnd w:id="24"/>
      <w:r w:rsidRPr="00D51E18">
        <w:rPr>
          <w:sz w:val="24"/>
          <w:szCs w:val="24"/>
        </w:rPr>
        <w:t xml:space="preserve"> </w:t>
      </w:r>
    </w:p>
    <w:p w14:paraId="0B6C4CE0" w14:textId="77777777" w:rsidR="004A79BB" w:rsidRDefault="004A79BB" w:rsidP="004A79BB">
      <w:pPr>
        <w:spacing w:line="360" w:lineRule="auto"/>
        <w:jc w:val="both"/>
      </w:pPr>
      <w:r>
        <w:t>Canada’s federal governance structure introduced strategic trade-offs during the COVID-19 crisis. The division of responsibilities between federal and provincial governments complicated early response efforts, requiring continuous mediation and policy harmonisation to align public health interventions (OECD, 2023).</w:t>
      </w:r>
    </w:p>
    <w:p w14:paraId="54CDE0B3" w14:textId="77777777" w:rsidR="004A79BB" w:rsidRDefault="004A79BB" w:rsidP="004A79BB">
      <w:pPr>
        <w:spacing w:line="360" w:lineRule="auto"/>
        <w:jc w:val="both"/>
      </w:pPr>
      <w:r>
        <w:t>Leadership across jurisdictions reflected Democratic and Laissez-Faire styles, consistent with Theory Y, which assumes individuals are self-directed and capable of responsible decision-making (McGregor, 1960). Provincial autonomy enabled regionally tailored plans and service delivery, but also led to fragmented implementation, delays in lockdown coordination, and inconsistent vaccine rollout (Bubela et al., 2023).</w:t>
      </w:r>
    </w:p>
    <w:p w14:paraId="79321D1F" w14:textId="77777777" w:rsidR="004A79BB" w:rsidRDefault="004A79BB" w:rsidP="004A79BB">
      <w:pPr>
        <w:spacing w:line="360" w:lineRule="auto"/>
        <w:jc w:val="both"/>
      </w:pPr>
      <w:r>
        <w:t>From a Path-Goal Theory perspective, Canada leaned into participative leadership, encouraging stakeholder input and regional flexibility (House, 1971). However, the lack of a unified national framework limited strategic agility and slowed early containment efforts.</w:t>
      </w:r>
    </w:p>
    <w:p w14:paraId="437876B3" w14:textId="12943642" w:rsidR="004A79BB" w:rsidRDefault="004A79BB" w:rsidP="004A79BB">
      <w:pPr>
        <w:spacing w:line="360" w:lineRule="auto"/>
        <w:jc w:val="both"/>
      </w:pPr>
      <w:r>
        <w:t>Canada’s experience underscores the tension between local autonomy and national coherence. While decentralisation allowed for contextual responsiveness, it also exposed vulnerabilities in coordination, equity, and accountability. These trade-offs highlight the importance of intergovernmental collaboration, transparent communication, and systems-level leadership in navigating complex public health emergencies.</w:t>
      </w:r>
    </w:p>
    <w:p w14:paraId="3FDCF341" w14:textId="77777777" w:rsidR="00BF0022" w:rsidRPr="00D51E18" w:rsidRDefault="00BF0022" w:rsidP="00BF0022">
      <w:pPr>
        <w:rPr>
          <w:rStyle w:val="Emphasis"/>
          <w:b/>
          <w:bCs/>
        </w:rPr>
      </w:pPr>
      <w:r w:rsidRPr="00D51E18">
        <w:rPr>
          <w:rStyle w:val="Emphasis"/>
          <w:b/>
          <w:bCs/>
        </w:rPr>
        <w:t>Strengths:</w:t>
      </w:r>
    </w:p>
    <w:p w14:paraId="1A6CEB91" w14:textId="77777777" w:rsidR="00BF0022" w:rsidRPr="005F02D6" w:rsidRDefault="00BF0022" w:rsidP="00BF0022">
      <w:pPr>
        <w:pStyle w:val="ListParagraph"/>
        <w:numPr>
          <w:ilvl w:val="0"/>
          <w:numId w:val="6"/>
        </w:numPr>
        <w:spacing w:line="360" w:lineRule="auto"/>
        <w:jc w:val="both"/>
      </w:pPr>
      <w:r w:rsidRPr="005F02D6">
        <w:t>Demonstrated transformational leadership by coordinating consistent national messaging, fostering public trust, and actively promoting vaccine confidence to enhance community participation and strengthen the effectiveness of health interventions (Burns, 1978).</w:t>
      </w:r>
    </w:p>
    <w:p w14:paraId="5F95E32E" w14:textId="77777777" w:rsidR="00BF0022" w:rsidRPr="005F02D6" w:rsidRDefault="00BF0022" w:rsidP="00BF0022">
      <w:pPr>
        <w:pStyle w:val="ListParagraph"/>
        <w:numPr>
          <w:ilvl w:val="0"/>
          <w:numId w:val="6"/>
        </w:numPr>
        <w:spacing w:line="360" w:lineRule="auto"/>
        <w:jc w:val="both"/>
      </w:pPr>
      <w:r w:rsidRPr="005F02D6">
        <w:t>Exhibited situational leadership by flexibly negotiating and adapting strategies between federal and provincial governments to address emerging challenges and ensure coordinated public health responses (Hersey and Blanchard, 1982).</w:t>
      </w:r>
    </w:p>
    <w:p w14:paraId="756D0357" w14:textId="41482DD6" w:rsidR="00BF0022" w:rsidRPr="005B6110" w:rsidRDefault="00BF0022" w:rsidP="005B6110">
      <w:pPr>
        <w:pStyle w:val="ListParagraph"/>
        <w:numPr>
          <w:ilvl w:val="0"/>
          <w:numId w:val="6"/>
        </w:numPr>
        <w:spacing w:line="360" w:lineRule="auto"/>
        <w:jc w:val="both"/>
      </w:pPr>
      <w:r w:rsidRPr="005F02D6">
        <w:lastRenderedPageBreak/>
        <w:t>Embraced servant leadership by centring policy decisions on the needs of vulnerable populations, ensuring their protection and well-being were prioritized in public health planning and implementation (Greenleaf, 1977).</w:t>
      </w:r>
    </w:p>
    <w:p w14:paraId="722629DF" w14:textId="77777777" w:rsidR="00BF0022" w:rsidRPr="00D51E18" w:rsidRDefault="00BF0022" w:rsidP="00BF0022">
      <w:pPr>
        <w:rPr>
          <w:rStyle w:val="Emphasis"/>
          <w:b/>
          <w:bCs/>
        </w:rPr>
      </w:pPr>
      <w:r w:rsidRPr="00D51E18">
        <w:rPr>
          <w:rStyle w:val="Emphasis"/>
          <w:b/>
          <w:bCs/>
        </w:rPr>
        <w:t>Weaknesses:</w:t>
      </w:r>
    </w:p>
    <w:p w14:paraId="3D214739" w14:textId="77777777" w:rsidR="00BF0022" w:rsidRPr="003B3AEB" w:rsidRDefault="00BF0022" w:rsidP="00BF0022">
      <w:pPr>
        <w:pStyle w:val="ListParagraph"/>
        <w:numPr>
          <w:ilvl w:val="0"/>
          <w:numId w:val="7"/>
        </w:numPr>
        <w:spacing w:line="360" w:lineRule="auto"/>
        <w:jc w:val="both"/>
      </w:pPr>
      <w:r w:rsidRPr="003B3AEB">
        <w:t>The complexity of overlapping jurisdictions slowed coordination efforts, creating delays in early response actions and reducing the overall efficiency and effectiveness of public health interventions (</w:t>
      </w:r>
      <w:proofErr w:type="spellStart"/>
      <w:r w:rsidRPr="003B3AEB">
        <w:t>Kippin</w:t>
      </w:r>
      <w:proofErr w:type="spellEnd"/>
      <w:r w:rsidRPr="003B3AEB">
        <w:t xml:space="preserve"> and Morphet, 2023).</w:t>
      </w:r>
    </w:p>
    <w:p w14:paraId="40B62F3F" w14:textId="77777777" w:rsidR="00BF0022" w:rsidRPr="003B3AEB" w:rsidRDefault="00BF0022" w:rsidP="00BF0022">
      <w:pPr>
        <w:pStyle w:val="ListParagraph"/>
        <w:numPr>
          <w:ilvl w:val="0"/>
          <w:numId w:val="7"/>
        </w:numPr>
        <w:spacing w:line="360" w:lineRule="auto"/>
        <w:jc w:val="both"/>
      </w:pPr>
      <w:r w:rsidRPr="003B3AEB">
        <w:t>Indigenous and remote communities faced delays in vaccine distribution and limited access to essential health services, highlighting disparities in public health delivery (Mac-Seing et al., 2023).</w:t>
      </w:r>
    </w:p>
    <w:p w14:paraId="283F600D" w14:textId="77777777" w:rsidR="00BF0022" w:rsidRDefault="00BF0022" w:rsidP="00BF0022">
      <w:pPr>
        <w:pStyle w:val="ListParagraph"/>
        <w:numPr>
          <w:ilvl w:val="0"/>
          <w:numId w:val="7"/>
        </w:numPr>
        <w:spacing w:line="360" w:lineRule="auto"/>
        <w:jc w:val="both"/>
      </w:pPr>
      <w:r w:rsidRPr="003B3AEB">
        <w:t>During crisis peaks, shared governance blurred lines of accountability, making it difficult for the public to understand who was responsible (WHO, 2023).</w:t>
      </w:r>
    </w:p>
    <w:p w14:paraId="5211BF1A" w14:textId="2BA56BEF" w:rsidR="00BC2DD6" w:rsidRPr="00D51E18" w:rsidRDefault="00BC2DD6" w:rsidP="000E0440">
      <w:pPr>
        <w:pStyle w:val="Heading2"/>
        <w:rPr>
          <w:sz w:val="24"/>
          <w:szCs w:val="24"/>
        </w:rPr>
      </w:pPr>
      <w:bookmarkStart w:id="25" w:name="_Toc212439709"/>
      <w:r w:rsidRPr="00D51E18">
        <w:rPr>
          <w:sz w:val="24"/>
          <w:szCs w:val="24"/>
        </w:rPr>
        <w:t>Critical Evaluation</w:t>
      </w:r>
      <w:bookmarkEnd w:id="25"/>
      <w:r w:rsidRPr="00D51E18">
        <w:rPr>
          <w:sz w:val="24"/>
          <w:szCs w:val="24"/>
        </w:rPr>
        <w:t xml:space="preserve"> </w:t>
      </w:r>
    </w:p>
    <w:p w14:paraId="0DDD183F" w14:textId="77777777" w:rsidR="00BC2DD6" w:rsidRDefault="00BC2DD6" w:rsidP="00BC2DD6">
      <w:pPr>
        <w:spacing w:line="360" w:lineRule="auto"/>
        <w:jc w:val="both"/>
      </w:pPr>
      <w:r>
        <w:t>Canada’s COVID-19 response reflects the strategic complexities of federal governance, where healthcare delivery is decentralised across provinces under a publicly funded National Health Insurance Model. This structure required continuous intergovernmental coordination, particularly in the early stages of the pandemic, when fragmented decision-making delayed unified action (OECD, 2023).</w:t>
      </w:r>
    </w:p>
    <w:p w14:paraId="75F7ED85" w14:textId="77777777" w:rsidR="00BC2DD6" w:rsidRDefault="00BC2DD6" w:rsidP="00BC2DD6">
      <w:pPr>
        <w:spacing w:line="360" w:lineRule="auto"/>
        <w:jc w:val="both"/>
      </w:pPr>
      <w:r>
        <w:t>Leadership across jurisdictions aligned with Democratic and Laissez-Faire styles, consistent with Theory Y, which assumes individuals are capable of autonomous, responsible action (McGregor, 1960). Provincial leaders exercised significant discretion, enabling regionally tailored interventions but also producing uneven outcomes in lockdowns, vaccine rollout, and data reporting (Bubela et al., 2023).</w:t>
      </w:r>
    </w:p>
    <w:p w14:paraId="435FEFD7" w14:textId="6B8D5191" w:rsidR="00BC2DD6" w:rsidRDefault="00BC2DD6" w:rsidP="00BC2DD6">
      <w:pPr>
        <w:spacing w:line="360" w:lineRule="auto"/>
        <w:jc w:val="both"/>
      </w:pPr>
      <w:r>
        <w:t>From a Path-Goal Theory lens, Canada leaned into participative leadership, encouraging stakeholder input and local adaptation (House, 1971). The Ohio State University studies (1940s) further contextualise this with strong Consideration</w:t>
      </w:r>
      <w:r w:rsidR="00570430">
        <w:t xml:space="preserve"> </w:t>
      </w:r>
      <w:r>
        <w:t>empathy and engagement</w:t>
      </w:r>
      <w:r w:rsidR="00570430">
        <w:t xml:space="preserve"> </w:t>
      </w:r>
      <w:r>
        <w:t>but limited Initiating Structure, which hindered national coherence (Greer et al., 2022).</w:t>
      </w:r>
    </w:p>
    <w:p w14:paraId="5280F3EE" w14:textId="77777777" w:rsidR="00BC2DD6" w:rsidRDefault="00BC2DD6" w:rsidP="00BC2DD6">
      <w:pPr>
        <w:spacing w:line="360" w:lineRule="auto"/>
        <w:jc w:val="both"/>
      </w:pPr>
      <w:r>
        <w:t xml:space="preserve">Systems thinking reveals that Canada’s dispersed Integrated Care Systems (ICSs) required federal support to align service delivery and promote equity. While </w:t>
      </w:r>
      <w:r>
        <w:lastRenderedPageBreak/>
        <w:t>decentralisation fostered flexibility, it also exposed vulnerabilities in strategic agility, data integration, and accountability (BMJ Open, 2022; Carroll et al., 2023).</w:t>
      </w:r>
    </w:p>
    <w:p w14:paraId="173BA180" w14:textId="4E6518B6" w:rsidR="000B186F" w:rsidRDefault="00BC2DD6" w:rsidP="00ED0A20">
      <w:pPr>
        <w:spacing w:line="360" w:lineRule="auto"/>
        <w:jc w:val="both"/>
      </w:pPr>
      <w:r>
        <w:t>Canada’s experience underscores the policy relevance of collaborative federalism, transparent communication, and adaptive leadership in navigating complex public health emergencies. Strengthening institutional alignment and ICS resilience remains critical for future preparedness (</w:t>
      </w:r>
      <w:proofErr w:type="spellStart"/>
      <w:r>
        <w:t>Castelyn</w:t>
      </w:r>
      <w:proofErr w:type="spellEnd"/>
      <w:r>
        <w:t>, 2024).</w:t>
      </w:r>
    </w:p>
    <w:p w14:paraId="62B32AB6" w14:textId="77777777" w:rsidR="001C23A2" w:rsidRPr="00D51E18" w:rsidRDefault="001C23A2" w:rsidP="000E0440">
      <w:pPr>
        <w:pStyle w:val="Heading2"/>
        <w:rPr>
          <w:sz w:val="24"/>
          <w:szCs w:val="24"/>
        </w:rPr>
      </w:pPr>
      <w:bookmarkStart w:id="26" w:name="_Toc212439710"/>
      <w:r w:rsidRPr="00D51E18">
        <w:rPr>
          <w:sz w:val="24"/>
          <w:szCs w:val="24"/>
        </w:rPr>
        <w:t>Conclusion</w:t>
      </w:r>
      <w:bookmarkEnd w:id="26"/>
    </w:p>
    <w:p w14:paraId="628CB0F3" w14:textId="77777777" w:rsidR="000B186F" w:rsidRDefault="000B186F" w:rsidP="000B186F">
      <w:pPr>
        <w:spacing w:line="360" w:lineRule="auto"/>
        <w:jc w:val="both"/>
      </w:pPr>
      <w:r>
        <w:t>This case study has critically examined the leadership responses and health system configurations of Canada, South Korea, and Spain during the COVID-19 pandemic, drawing on leadership theory, governance analysis, and systems thinking to evaluate their strategic effectiveness.</w:t>
      </w:r>
    </w:p>
    <w:p w14:paraId="4A6D4B6B" w14:textId="77777777" w:rsidR="000B186F" w:rsidRDefault="000B186F" w:rsidP="000B186F">
      <w:pPr>
        <w:spacing w:line="360" w:lineRule="auto"/>
        <w:jc w:val="both"/>
      </w:pPr>
      <w:r>
        <w:t>The findings underscore that governance structure significantly shaped leadership style and policy execution. South Korea’s centralised model enabled transformational and servant leadership under Prime Minister Chung Sye-Kyun, whose emphasis on transparency and civic respect fostered high public compliance and international recognition (Hong, 2024). The Korea Disease Control and Prevention Agency (KDCA) leveraged digital infrastructure and real-time surveillance to deliver integrated, timely interventions.</w:t>
      </w:r>
    </w:p>
    <w:p w14:paraId="5DF32C59" w14:textId="77777777" w:rsidR="000B186F" w:rsidRDefault="000B186F" w:rsidP="000B186F">
      <w:pPr>
        <w:spacing w:line="360" w:lineRule="auto"/>
        <w:jc w:val="both"/>
      </w:pPr>
      <w:r>
        <w:t>In contrast, Spain and Canada, operating under decentralised governance systems, required adaptive and situational leadership to coordinate across autonomous regions and provinces. Salvador Illa in Spain and Justin Trudeau in Canada demonstrated transformational and transactional leadership, respectively, navigating fragmented institutional landscapes to deliver strategic messaging and coordinate vaccine rollouts (OECD, 2023; Bubela et al., 2023).</w:t>
      </w:r>
    </w:p>
    <w:p w14:paraId="54F9426C" w14:textId="77777777" w:rsidR="000B186F" w:rsidRDefault="000B186F" w:rsidP="000B186F">
      <w:pPr>
        <w:spacing w:line="360" w:lineRule="auto"/>
        <w:jc w:val="both"/>
      </w:pPr>
      <w:r>
        <w:t xml:space="preserve">The role of Integrated Care Systems (ICSs) was pivotal in maintaining service continuity. South Korea’s centralised ICSs facilitated seamless coordination and monitoring. Canada’s provincial ICSs, while flexible, depended on federal support to align services and address equity gaps. Spain’s regional ICSs exhibited variable performance, reflecting the challenges of decentralised oversight and inconsistent standards (OECD, 2021; </w:t>
      </w:r>
      <w:proofErr w:type="spellStart"/>
      <w:r>
        <w:t>Angelici</w:t>
      </w:r>
      <w:proofErr w:type="spellEnd"/>
      <w:r>
        <w:t xml:space="preserve"> et al., 2023).</w:t>
      </w:r>
    </w:p>
    <w:p w14:paraId="79761F3E" w14:textId="77777777" w:rsidR="000B186F" w:rsidRDefault="000B186F" w:rsidP="000B186F">
      <w:pPr>
        <w:spacing w:line="360" w:lineRule="auto"/>
        <w:jc w:val="both"/>
      </w:pPr>
      <w:r>
        <w:lastRenderedPageBreak/>
        <w:t>Applying systems thinking, the study highlights the importance of feedback loops, stakeholder alignment, and adaptive planning in managing complex health emergencies. Leaders who embraced these principles were better positioned to ensure continuity of care, activate cross-sector resources, and maintain public trust (BMJ Open, 2022).</w:t>
      </w:r>
    </w:p>
    <w:p w14:paraId="3416C36B" w14:textId="439990F3" w:rsidR="001C23A2" w:rsidRPr="001C23A2" w:rsidRDefault="000B186F" w:rsidP="000B186F">
      <w:pPr>
        <w:spacing w:line="360" w:lineRule="auto"/>
        <w:jc w:val="both"/>
      </w:pPr>
      <w:r>
        <w:t xml:space="preserve">Ultimately, this comparative analysis affirms that effective leadership is context-dependent, shaped by the interplay between institutional frameworks and individual leadership styles. The strategic use of transparent communication, cross-sector collaboration, and resilient ICS infrastructure emerged as critical enablers of success. These insights offer valuable guidance for strengthening future pandemic preparedness, particularly in enhancing leadership adaptability, governance coherence, and health system resilience (Asthana et al., 2025; </w:t>
      </w:r>
      <w:proofErr w:type="spellStart"/>
      <w:r>
        <w:t>Castelyn</w:t>
      </w:r>
      <w:proofErr w:type="spellEnd"/>
      <w:r>
        <w:t>, 2024).</w:t>
      </w:r>
    </w:p>
    <w:p w14:paraId="6853B3F0" w14:textId="77777777" w:rsidR="001C23A2" w:rsidRPr="001C23A2" w:rsidRDefault="001C23A2" w:rsidP="001C23A2">
      <w:pPr>
        <w:spacing w:line="360" w:lineRule="auto"/>
        <w:jc w:val="both"/>
      </w:pPr>
    </w:p>
    <w:p w14:paraId="6E2AF6BF" w14:textId="77777777" w:rsidR="001C23A2" w:rsidRPr="001C23A2" w:rsidRDefault="001C23A2" w:rsidP="001C23A2">
      <w:pPr>
        <w:spacing w:line="360" w:lineRule="auto"/>
        <w:jc w:val="both"/>
      </w:pPr>
    </w:p>
    <w:p w14:paraId="0148E132" w14:textId="77777777" w:rsidR="001C23A2" w:rsidRPr="001C23A2" w:rsidRDefault="001C23A2" w:rsidP="001C23A2">
      <w:pPr>
        <w:spacing w:line="360" w:lineRule="auto"/>
        <w:jc w:val="both"/>
      </w:pPr>
    </w:p>
    <w:p w14:paraId="63F3EC8A" w14:textId="77777777" w:rsidR="001C23A2" w:rsidRPr="001C23A2" w:rsidRDefault="001C23A2" w:rsidP="001C23A2">
      <w:pPr>
        <w:spacing w:line="360" w:lineRule="auto"/>
        <w:jc w:val="both"/>
      </w:pPr>
    </w:p>
    <w:p w14:paraId="1FC65EE0" w14:textId="77777777" w:rsidR="001C23A2" w:rsidRPr="001C23A2" w:rsidRDefault="001C23A2" w:rsidP="001C23A2">
      <w:pPr>
        <w:spacing w:line="360" w:lineRule="auto"/>
        <w:jc w:val="both"/>
      </w:pPr>
    </w:p>
    <w:p w14:paraId="1832762B" w14:textId="77777777" w:rsidR="001C23A2" w:rsidRPr="001C23A2" w:rsidRDefault="001C23A2" w:rsidP="001C23A2">
      <w:pPr>
        <w:spacing w:line="360" w:lineRule="auto"/>
        <w:jc w:val="both"/>
      </w:pPr>
    </w:p>
    <w:p w14:paraId="62EC0B56" w14:textId="77777777" w:rsidR="001C23A2" w:rsidRPr="001C23A2" w:rsidRDefault="001C23A2" w:rsidP="0069663C">
      <w:pPr>
        <w:spacing w:line="360" w:lineRule="auto"/>
        <w:rPr>
          <w:rFonts w:ascii="Arial" w:hAnsi="Arial" w:cs="Arial"/>
        </w:rPr>
      </w:pPr>
    </w:p>
    <w:p w14:paraId="147BD988" w14:textId="77777777" w:rsidR="001C23A2" w:rsidRPr="001C23A2" w:rsidRDefault="001C23A2" w:rsidP="0069663C">
      <w:pPr>
        <w:spacing w:line="360" w:lineRule="auto"/>
        <w:rPr>
          <w:rFonts w:ascii="Arial" w:hAnsi="Arial" w:cs="Arial"/>
        </w:rPr>
      </w:pPr>
    </w:p>
    <w:p w14:paraId="6E54F079" w14:textId="77777777" w:rsidR="001C23A2" w:rsidRPr="001C23A2" w:rsidRDefault="001C23A2" w:rsidP="0069663C">
      <w:pPr>
        <w:spacing w:line="360" w:lineRule="auto"/>
        <w:rPr>
          <w:rFonts w:ascii="Arial" w:hAnsi="Arial" w:cs="Arial"/>
        </w:rPr>
      </w:pPr>
    </w:p>
    <w:p w14:paraId="4B9A4964" w14:textId="77777777" w:rsidR="001C23A2" w:rsidRDefault="001C23A2" w:rsidP="0069663C">
      <w:pPr>
        <w:spacing w:line="360" w:lineRule="auto"/>
        <w:rPr>
          <w:rFonts w:ascii="Arial" w:hAnsi="Arial" w:cs="Arial"/>
        </w:rPr>
      </w:pPr>
    </w:p>
    <w:p w14:paraId="31CF4B84" w14:textId="77777777" w:rsidR="00D51E18" w:rsidRDefault="00D51E18" w:rsidP="0069663C">
      <w:pPr>
        <w:spacing w:line="360" w:lineRule="auto"/>
        <w:rPr>
          <w:rFonts w:ascii="Arial" w:hAnsi="Arial" w:cs="Arial"/>
        </w:rPr>
      </w:pPr>
    </w:p>
    <w:p w14:paraId="689C8276" w14:textId="77777777" w:rsidR="00D51E18" w:rsidRDefault="00D51E18" w:rsidP="0069663C">
      <w:pPr>
        <w:spacing w:line="360" w:lineRule="auto"/>
        <w:rPr>
          <w:rFonts w:ascii="Arial" w:hAnsi="Arial" w:cs="Arial"/>
        </w:rPr>
      </w:pPr>
    </w:p>
    <w:p w14:paraId="2B53DF88" w14:textId="77777777" w:rsidR="00D51E18" w:rsidRDefault="00D51E18" w:rsidP="0069663C">
      <w:pPr>
        <w:spacing w:line="360" w:lineRule="auto"/>
        <w:rPr>
          <w:rFonts w:ascii="Arial" w:hAnsi="Arial" w:cs="Arial"/>
        </w:rPr>
      </w:pPr>
    </w:p>
    <w:p w14:paraId="314343CB" w14:textId="77777777" w:rsidR="00D51E18" w:rsidRPr="001C23A2" w:rsidRDefault="00D51E18" w:rsidP="0069663C">
      <w:pPr>
        <w:spacing w:line="360" w:lineRule="auto"/>
        <w:rPr>
          <w:rFonts w:ascii="Arial" w:hAnsi="Arial" w:cs="Arial"/>
        </w:rPr>
      </w:pPr>
    </w:p>
    <w:p w14:paraId="205A06EA" w14:textId="07F87841" w:rsidR="00721EE0" w:rsidRPr="00D51E18" w:rsidRDefault="00653F7F" w:rsidP="000E0440">
      <w:pPr>
        <w:pStyle w:val="Heading2"/>
        <w:rPr>
          <w:sz w:val="24"/>
          <w:szCs w:val="24"/>
        </w:rPr>
      </w:pPr>
      <w:bookmarkStart w:id="27" w:name="_Toc212439711"/>
      <w:r w:rsidRPr="00D51E18">
        <w:rPr>
          <w:sz w:val="24"/>
          <w:szCs w:val="24"/>
        </w:rPr>
        <w:lastRenderedPageBreak/>
        <w:t>Reference</w:t>
      </w:r>
      <w:r w:rsidR="004D2799">
        <w:rPr>
          <w:sz w:val="24"/>
          <w:szCs w:val="24"/>
        </w:rPr>
        <w:t>s</w:t>
      </w:r>
      <w:r w:rsidRPr="00D51E18">
        <w:rPr>
          <w:sz w:val="24"/>
          <w:szCs w:val="24"/>
        </w:rPr>
        <w:t>:</w:t>
      </w:r>
      <w:bookmarkEnd w:id="27"/>
    </w:p>
    <w:p w14:paraId="38C80A9C" w14:textId="77777777" w:rsidR="00721EE0" w:rsidRPr="00653F7F" w:rsidRDefault="00721EE0" w:rsidP="0060041E">
      <w:pPr>
        <w:spacing w:line="360" w:lineRule="auto"/>
        <w:rPr>
          <w:rFonts w:ascii="Arial" w:hAnsi="Arial" w:cs="Arial"/>
        </w:rPr>
      </w:pPr>
      <w:r w:rsidRPr="00653F7F">
        <w:rPr>
          <w:rFonts w:ascii="Arial" w:hAnsi="Arial" w:cs="Arial"/>
        </w:rPr>
        <w:t xml:space="preserve">Allin, S., Fitzpatrick, T., Marchildon, G. P., </w:t>
      </w:r>
      <w:r w:rsidRPr="0060041E">
        <w:rPr>
          <w:rFonts w:ascii="Arial" w:hAnsi="Arial" w:cs="Arial"/>
        </w:rPr>
        <w:t>and</w:t>
      </w:r>
      <w:r w:rsidRPr="00653F7F">
        <w:rPr>
          <w:rFonts w:ascii="Arial" w:hAnsi="Arial" w:cs="Arial"/>
        </w:rPr>
        <w:t xml:space="preserve"> Quesnel-Vallée, A. (2022) </w:t>
      </w:r>
      <w:r w:rsidRPr="0060041E">
        <w:rPr>
          <w:rFonts w:ascii="Arial" w:hAnsi="Arial" w:cs="Arial"/>
        </w:rPr>
        <w:t>‘</w:t>
      </w:r>
      <w:r w:rsidRPr="00653F7F">
        <w:rPr>
          <w:rFonts w:ascii="Arial" w:hAnsi="Arial" w:cs="Arial"/>
        </w:rPr>
        <w:t xml:space="preserve">The federal government and Canada's COVID-19 responses: from 'we're ready, we're prepared' to 'fires are burning'. </w:t>
      </w:r>
      <w:r w:rsidRPr="00653F7F">
        <w:rPr>
          <w:rFonts w:ascii="Arial" w:hAnsi="Arial" w:cs="Arial"/>
          <w:i/>
          <w:iCs/>
        </w:rPr>
        <w:t xml:space="preserve">Health economics, policy, and law, </w:t>
      </w:r>
      <w:r w:rsidRPr="00653F7F">
        <w:rPr>
          <w:rFonts w:ascii="Arial" w:hAnsi="Arial" w:cs="Arial"/>
        </w:rPr>
        <w:t xml:space="preserve">17(1), 76–94. </w:t>
      </w:r>
      <w:hyperlink r:id="rId28" w:history="1">
        <w:r w:rsidRPr="00653F7F">
          <w:rPr>
            <w:rStyle w:val="Hyperlink"/>
            <w:rFonts w:ascii="Arial" w:hAnsi="Arial" w:cs="Arial"/>
          </w:rPr>
          <w:t>https://doi.org/10.1017/S1744133121000220</w:t>
        </w:r>
      </w:hyperlink>
      <w:r w:rsidRPr="00653F7F">
        <w:rPr>
          <w:rFonts w:ascii="Arial" w:hAnsi="Arial" w:cs="Arial"/>
        </w:rPr>
        <w:t xml:space="preserve">. </w:t>
      </w:r>
    </w:p>
    <w:p w14:paraId="13ECAD08" w14:textId="77777777" w:rsidR="00721EE0" w:rsidRPr="00653F7F" w:rsidRDefault="00721EE0" w:rsidP="0060041E">
      <w:pPr>
        <w:spacing w:line="360" w:lineRule="auto"/>
        <w:rPr>
          <w:rFonts w:ascii="Arial" w:hAnsi="Arial" w:cs="Arial"/>
        </w:rPr>
      </w:pPr>
      <w:proofErr w:type="spellStart"/>
      <w:r w:rsidRPr="00653F7F">
        <w:rPr>
          <w:rFonts w:ascii="Arial" w:hAnsi="Arial" w:cs="Arial"/>
        </w:rPr>
        <w:t>Angelici</w:t>
      </w:r>
      <w:proofErr w:type="spellEnd"/>
      <w:r w:rsidRPr="00653F7F">
        <w:rPr>
          <w:rFonts w:ascii="Arial" w:hAnsi="Arial" w:cs="Arial"/>
        </w:rPr>
        <w:t xml:space="preserve">, M., Berta, P., Costa-Font, J., </w:t>
      </w:r>
      <w:r w:rsidRPr="0060041E">
        <w:rPr>
          <w:rFonts w:ascii="Arial" w:hAnsi="Arial" w:cs="Arial"/>
        </w:rPr>
        <w:t xml:space="preserve">and </w:t>
      </w:r>
      <w:r w:rsidRPr="00653F7F">
        <w:rPr>
          <w:rFonts w:ascii="Arial" w:hAnsi="Arial" w:cs="Arial"/>
        </w:rPr>
        <w:t xml:space="preserve">Turati, G (2023)  ‘Divided We Survive? Multilevel Governance during the COVID-19 Pandemic in Italy and Spain.’  </w:t>
      </w:r>
      <w:r w:rsidRPr="00653F7F">
        <w:rPr>
          <w:rFonts w:ascii="Arial" w:hAnsi="Arial" w:cs="Arial"/>
          <w:i/>
          <w:iCs/>
        </w:rPr>
        <w:t>Publius: The Journal of Federalism</w:t>
      </w:r>
      <w:r w:rsidRPr="00653F7F">
        <w:rPr>
          <w:rFonts w:ascii="Arial" w:hAnsi="Arial" w:cs="Arial"/>
        </w:rPr>
        <w:t xml:space="preserve">, </w:t>
      </w:r>
      <w:r w:rsidRPr="00653F7F">
        <w:rPr>
          <w:rFonts w:ascii="Arial" w:hAnsi="Arial" w:cs="Arial"/>
          <w:i/>
          <w:iCs/>
        </w:rPr>
        <w:t>53(2), 227–250</w:t>
      </w:r>
      <w:r w:rsidRPr="00653F7F">
        <w:rPr>
          <w:rFonts w:ascii="Arial" w:hAnsi="Arial" w:cs="Arial"/>
        </w:rPr>
        <w:t xml:space="preserve">.  Available at: </w:t>
      </w:r>
      <w:hyperlink r:id="rId29" w:history="1">
        <w:r w:rsidRPr="00653F7F">
          <w:rPr>
            <w:rStyle w:val="Hyperlink"/>
            <w:rFonts w:ascii="Arial" w:hAnsi="Arial" w:cs="Arial"/>
          </w:rPr>
          <w:t>https://doi.org/10.1093/publius/pjad002</w:t>
        </w:r>
      </w:hyperlink>
      <w:r w:rsidRPr="00653F7F">
        <w:rPr>
          <w:rFonts w:ascii="Arial" w:hAnsi="Arial" w:cs="Arial"/>
        </w:rPr>
        <w:t xml:space="preserve">. </w:t>
      </w:r>
    </w:p>
    <w:p w14:paraId="79B6B962" w14:textId="77777777" w:rsidR="00721EE0" w:rsidRPr="00653F7F" w:rsidRDefault="00721EE0" w:rsidP="0060041E">
      <w:pPr>
        <w:spacing w:line="360" w:lineRule="auto"/>
        <w:rPr>
          <w:rFonts w:ascii="Arial" w:hAnsi="Arial" w:cs="Arial"/>
        </w:rPr>
      </w:pPr>
      <w:r w:rsidRPr="00653F7F">
        <w:rPr>
          <w:rFonts w:ascii="Arial" w:hAnsi="Arial" w:cs="Arial"/>
        </w:rPr>
        <w:t xml:space="preserve">Asthana, S., Mukherjee, S., et al. (2025) ‘Decision-making under epistemic, strategic and institutional uncertainty during COVID-19: findings from a six-country empirical study.’ </w:t>
      </w:r>
      <w:r w:rsidRPr="00653F7F">
        <w:rPr>
          <w:rFonts w:ascii="Arial" w:hAnsi="Arial" w:cs="Arial"/>
          <w:i/>
          <w:iCs/>
        </w:rPr>
        <w:t>BMJ Global Health, 10(2), e018124.</w:t>
      </w:r>
      <w:r w:rsidRPr="00653F7F">
        <w:rPr>
          <w:rFonts w:ascii="Arial" w:hAnsi="Arial" w:cs="Arial"/>
        </w:rPr>
        <w:t xml:space="preserve"> Available at: </w:t>
      </w:r>
      <w:hyperlink r:id="rId30" w:history="1">
        <w:r w:rsidRPr="00653F7F">
          <w:rPr>
            <w:rStyle w:val="Hyperlink"/>
            <w:rFonts w:ascii="Arial" w:hAnsi="Arial" w:cs="Arial"/>
          </w:rPr>
          <w:t>https://gh.bmj.com/content/10/2/e018124</w:t>
        </w:r>
      </w:hyperlink>
      <w:r w:rsidRPr="00653F7F">
        <w:rPr>
          <w:rFonts w:ascii="Arial" w:hAnsi="Arial" w:cs="Arial"/>
        </w:rPr>
        <w:t>. (Accessed: 15 October  25).</w:t>
      </w:r>
      <w:r w:rsidRPr="00653F7F">
        <w:rPr>
          <w:rFonts w:ascii="Arial" w:hAnsi="Arial" w:cs="Arial"/>
        </w:rPr>
        <w:br/>
        <w:t xml:space="preserve">Bass, B. M. (1990) ‘Bass </w:t>
      </w:r>
      <w:r>
        <w:rPr>
          <w:rFonts w:ascii="Arial" w:hAnsi="Arial" w:cs="Arial"/>
        </w:rPr>
        <w:t>and</w:t>
      </w:r>
      <w:r w:rsidRPr="00653F7F">
        <w:rPr>
          <w:rFonts w:ascii="Arial" w:hAnsi="Arial" w:cs="Arial"/>
        </w:rPr>
        <w:t xml:space="preserve"> Stogdill's Handbook of Leadership: </w:t>
      </w:r>
      <w:r w:rsidRPr="00653F7F">
        <w:rPr>
          <w:rFonts w:ascii="Arial" w:hAnsi="Arial" w:cs="Arial"/>
          <w:i/>
          <w:iCs/>
        </w:rPr>
        <w:t>Theory’, Research, and Managerial Applications.</w:t>
      </w:r>
      <w:r w:rsidRPr="00653F7F">
        <w:rPr>
          <w:rFonts w:ascii="Arial" w:hAnsi="Arial" w:cs="Arial"/>
        </w:rPr>
        <w:t xml:space="preserve"> 3rd </w:t>
      </w:r>
      <w:proofErr w:type="spellStart"/>
      <w:r w:rsidRPr="00653F7F">
        <w:rPr>
          <w:rFonts w:ascii="Arial" w:hAnsi="Arial" w:cs="Arial"/>
        </w:rPr>
        <w:t>edn</w:t>
      </w:r>
      <w:proofErr w:type="spellEnd"/>
      <w:r w:rsidRPr="00653F7F">
        <w:rPr>
          <w:rFonts w:ascii="Arial" w:hAnsi="Arial" w:cs="Arial"/>
        </w:rPr>
        <w:t xml:space="preserve">. </w:t>
      </w:r>
      <w:r w:rsidRPr="00653F7F">
        <w:rPr>
          <w:rFonts w:ascii="Arial" w:hAnsi="Arial" w:cs="Arial"/>
          <w:i/>
          <w:iCs/>
        </w:rPr>
        <w:t>New York: Free Press</w:t>
      </w:r>
      <w:r w:rsidRPr="00653F7F">
        <w:rPr>
          <w:rFonts w:ascii="Arial" w:hAnsi="Arial" w:cs="Arial"/>
        </w:rPr>
        <w:t xml:space="preserve">. Available at: </w:t>
      </w:r>
      <w:hyperlink r:id="rId31" w:history="1">
        <w:r w:rsidRPr="00653F7F">
          <w:rPr>
            <w:rStyle w:val="Hyperlink"/>
            <w:rFonts w:ascii="Arial" w:hAnsi="Arial" w:cs="Arial"/>
          </w:rPr>
          <w:t>Bass, B. M. (1990). Bass &amp; Stogdill’s Handbook of Leadership Theory, Research, and Managerial Application (3rd ed.). New York Free Press. - References - Scientific Research Publishing</w:t>
        </w:r>
      </w:hyperlink>
      <w:r w:rsidRPr="00653F7F">
        <w:rPr>
          <w:rFonts w:ascii="Arial" w:hAnsi="Arial" w:cs="Arial"/>
        </w:rPr>
        <w:t>. (Accessed: 27 April 2024).</w:t>
      </w:r>
    </w:p>
    <w:p w14:paraId="71F2EE9E" w14:textId="77777777" w:rsidR="00721EE0" w:rsidRPr="00653F7F" w:rsidRDefault="00721EE0" w:rsidP="0060041E">
      <w:pPr>
        <w:spacing w:line="360" w:lineRule="auto"/>
        <w:rPr>
          <w:rFonts w:ascii="Arial" w:hAnsi="Arial" w:cs="Arial"/>
        </w:rPr>
      </w:pPr>
      <w:r w:rsidRPr="00653F7F">
        <w:rPr>
          <w:rFonts w:ascii="Arial" w:hAnsi="Arial" w:cs="Arial"/>
        </w:rPr>
        <w:t xml:space="preserve">Bass, B.M. (1990) ‘From transactional to transformational leadership: Learning to share the vision.’ </w:t>
      </w:r>
      <w:r w:rsidRPr="00653F7F">
        <w:rPr>
          <w:rFonts w:ascii="Arial" w:hAnsi="Arial" w:cs="Arial"/>
          <w:i/>
          <w:iCs/>
        </w:rPr>
        <w:t>Organizational Dynamics</w:t>
      </w:r>
      <w:r w:rsidRPr="00653F7F">
        <w:rPr>
          <w:rFonts w:ascii="Arial" w:hAnsi="Arial" w:cs="Arial"/>
        </w:rPr>
        <w:t xml:space="preserve">, 18(3), pp.19–31. Available at: </w:t>
      </w:r>
      <w:hyperlink r:id="rId32" w:history="1">
        <w:r w:rsidRPr="00653F7F">
          <w:rPr>
            <w:rStyle w:val="Hyperlink"/>
            <w:rFonts w:ascii="Arial" w:hAnsi="Arial" w:cs="Arial"/>
          </w:rPr>
          <w:t>https://doi.org/10.1016/0090-2616(90)90061-S</w:t>
        </w:r>
      </w:hyperlink>
      <w:r w:rsidRPr="00653F7F">
        <w:rPr>
          <w:rFonts w:ascii="Arial" w:hAnsi="Arial" w:cs="Arial"/>
        </w:rPr>
        <w:t xml:space="preserve">. </w:t>
      </w:r>
    </w:p>
    <w:p w14:paraId="0FB913B8" w14:textId="77777777" w:rsidR="00721EE0" w:rsidRPr="00721EE0" w:rsidRDefault="00721EE0" w:rsidP="00721EE0">
      <w:pPr>
        <w:spacing w:line="360" w:lineRule="auto"/>
        <w:rPr>
          <w:rFonts w:ascii="Arial" w:hAnsi="Arial" w:cs="Arial"/>
        </w:rPr>
      </w:pPr>
      <w:proofErr w:type="spellStart"/>
      <w:r w:rsidRPr="00721EE0">
        <w:rPr>
          <w:rFonts w:ascii="Arial" w:hAnsi="Arial" w:cs="Arial"/>
        </w:rPr>
        <w:t>Béland</w:t>
      </w:r>
      <w:proofErr w:type="spellEnd"/>
      <w:r w:rsidRPr="00721EE0">
        <w:rPr>
          <w:rFonts w:ascii="Arial" w:hAnsi="Arial" w:cs="Arial"/>
        </w:rPr>
        <w:t xml:space="preserve">, D., Marchildon, G.P., Quesnel-Vallée, A. and Fitzpatrick, T. (2021) ‘The federal government and Canada’s COVID-19 responses: from “we’re ready, we’re prepared” to “fires are burning”.’ </w:t>
      </w:r>
      <w:r w:rsidRPr="00721EE0">
        <w:rPr>
          <w:rFonts w:ascii="Arial" w:hAnsi="Arial" w:cs="Arial"/>
          <w:i/>
          <w:iCs/>
        </w:rPr>
        <w:t>Health Economics</w:t>
      </w:r>
      <w:r w:rsidRPr="00721EE0">
        <w:rPr>
          <w:rFonts w:ascii="Arial" w:hAnsi="Arial" w:cs="Arial"/>
        </w:rPr>
        <w:t xml:space="preserve">, </w:t>
      </w:r>
      <w:r w:rsidRPr="00721EE0">
        <w:rPr>
          <w:rFonts w:ascii="Arial" w:hAnsi="Arial" w:cs="Arial"/>
          <w:i/>
          <w:iCs/>
        </w:rPr>
        <w:t>Policy and Law,</w:t>
      </w:r>
      <w:r w:rsidRPr="00721EE0">
        <w:rPr>
          <w:rFonts w:ascii="Arial" w:hAnsi="Arial" w:cs="Arial"/>
        </w:rPr>
        <w:t xml:space="preserve"> 17(S1), pp.76–94. Available at: </w:t>
      </w:r>
      <w:hyperlink r:id="rId33" w:history="1">
        <w:r w:rsidRPr="00721EE0">
          <w:rPr>
            <w:rStyle w:val="Hyperlink"/>
            <w:rFonts w:ascii="Arial" w:hAnsi="Arial" w:cs="Arial"/>
          </w:rPr>
          <w:t>https://doi.org/10.1017/S1744133121000220</w:t>
        </w:r>
      </w:hyperlink>
      <w:r w:rsidRPr="00721EE0">
        <w:rPr>
          <w:rFonts w:ascii="Arial" w:hAnsi="Arial" w:cs="Arial"/>
        </w:rPr>
        <w:t>.</w:t>
      </w:r>
    </w:p>
    <w:p w14:paraId="4A36381C" w14:textId="12E02CC1" w:rsidR="00721EE0" w:rsidRPr="00653F7F" w:rsidRDefault="00721EE0" w:rsidP="0060041E">
      <w:pPr>
        <w:spacing w:line="360" w:lineRule="auto"/>
        <w:rPr>
          <w:rFonts w:ascii="Arial" w:hAnsi="Arial" w:cs="Arial"/>
        </w:rPr>
      </w:pPr>
      <w:r w:rsidRPr="00653F7F">
        <w:rPr>
          <w:rFonts w:ascii="Arial" w:hAnsi="Arial" w:cs="Arial"/>
        </w:rPr>
        <w:t>BMJ Open (2022) ‘</w:t>
      </w:r>
      <w:r w:rsidR="00126C03">
        <w:rPr>
          <w:rFonts w:ascii="Arial" w:hAnsi="Arial" w:cs="Arial"/>
        </w:rPr>
        <w:t>L</w:t>
      </w:r>
      <w:r w:rsidRPr="00653F7F">
        <w:rPr>
          <w:rFonts w:ascii="Arial" w:hAnsi="Arial" w:cs="Arial"/>
        </w:rPr>
        <w:t xml:space="preserve">eaders who adopted systems’ </w:t>
      </w:r>
      <w:r w:rsidRPr="00653F7F">
        <w:rPr>
          <w:rFonts w:ascii="Arial" w:hAnsi="Arial" w:cs="Arial"/>
          <w:i/>
          <w:iCs/>
        </w:rPr>
        <w:t>(BMJ Open,</w:t>
      </w:r>
      <w:r w:rsidRPr="00653F7F">
        <w:rPr>
          <w:rFonts w:ascii="Arial" w:hAnsi="Arial" w:cs="Arial"/>
        </w:rPr>
        <w:t xml:space="preserve"> Vol. 12, Issue 5). Available at: </w:t>
      </w:r>
      <w:hyperlink r:id="rId34" w:history="1">
        <w:r w:rsidRPr="00653F7F">
          <w:rPr>
            <w:rStyle w:val="Hyperlink"/>
            <w:rFonts w:ascii="Arial" w:hAnsi="Arial" w:cs="Arial"/>
          </w:rPr>
          <w:t>https://bmjopen.bmj.com/content/12/5/e054847</w:t>
        </w:r>
      </w:hyperlink>
      <w:r w:rsidRPr="00653F7F">
        <w:rPr>
          <w:rFonts w:ascii="Arial" w:hAnsi="Arial" w:cs="Arial"/>
        </w:rPr>
        <w:t>. (Accessed:</w:t>
      </w:r>
      <w:r w:rsidR="00126C03">
        <w:rPr>
          <w:rFonts w:ascii="Arial" w:hAnsi="Arial" w:cs="Arial"/>
        </w:rPr>
        <w:t xml:space="preserve"> 1</w:t>
      </w:r>
      <w:r w:rsidRPr="00653F7F">
        <w:rPr>
          <w:rFonts w:ascii="Arial" w:hAnsi="Arial" w:cs="Arial"/>
        </w:rPr>
        <w:t>5 October  25).</w:t>
      </w:r>
    </w:p>
    <w:p w14:paraId="1D1361D7" w14:textId="77777777" w:rsidR="00721EE0" w:rsidRPr="00D66457" w:rsidRDefault="00721EE0" w:rsidP="00721EE0">
      <w:pPr>
        <w:spacing w:line="360" w:lineRule="auto"/>
        <w:rPr>
          <w:rFonts w:ascii="Arial" w:hAnsi="Arial" w:cs="Arial"/>
        </w:rPr>
      </w:pPr>
      <w:proofErr w:type="spellStart"/>
      <w:r w:rsidRPr="00D66457">
        <w:rPr>
          <w:rFonts w:ascii="Arial" w:hAnsi="Arial" w:cs="Arial"/>
        </w:rPr>
        <w:t>Broschek</w:t>
      </w:r>
      <w:proofErr w:type="spellEnd"/>
      <w:r w:rsidRPr="00D66457">
        <w:rPr>
          <w:rFonts w:ascii="Arial" w:hAnsi="Arial" w:cs="Arial"/>
        </w:rPr>
        <w:t xml:space="preserve">, J. (2022) ‘Federalism, political leadership and the Covid-19 pandemic: explaining Canada’s tale of two federations.’ </w:t>
      </w:r>
      <w:r w:rsidRPr="00D66457">
        <w:rPr>
          <w:rFonts w:ascii="Arial" w:hAnsi="Arial" w:cs="Arial"/>
          <w:i/>
          <w:iCs/>
        </w:rPr>
        <w:t>Territory, Politics, Governance</w:t>
      </w:r>
      <w:r w:rsidRPr="00D66457">
        <w:rPr>
          <w:rFonts w:ascii="Arial" w:hAnsi="Arial" w:cs="Arial"/>
        </w:rPr>
        <w:t xml:space="preserve">, 10(6), pp.779–798. Available at: </w:t>
      </w:r>
      <w:hyperlink r:id="rId35" w:history="1">
        <w:r w:rsidRPr="00D66457">
          <w:rPr>
            <w:rStyle w:val="Hyperlink"/>
            <w:rFonts w:ascii="Arial" w:hAnsi="Arial" w:cs="Arial"/>
          </w:rPr>
          <w:t>https://doi.org/10.1080/21622671.2022.2101513</w:t>
        </w:r>
      </w:hyperlink>
      <w:r w:rsidRPr="00D66457">
        <w:rPr>
          <w:rFonts w:ascii="Arial" w:hAnsi="Arial" w:cs="Arial"/>
        </w:rPr>
        <w:t xml:space="preserve">. </w:t>
      </w:r>
    </w:p>
    <w:p w14:paraId="0B9D3C84" w14:textId="77777777" w:rsidR="00721EE0" w:rsidRPr="00D66457" w:rsidRDefault="00721EE0" w:rsidP="00721EE0">
      <w:pPr>
        <w:spacing w:line="360" w:lineRule="auto"/>
        <w:rPr>
          <w:rFonts w:ascii="Arial" w:hAnsi="Arial" w:cs="Arial"/>
        </w:rPr>
      </w:pPr>
      <w:r w:rsidRPr="00D66457">
        <w:rPr>
          <w:rFonts w:ascii="Arial" w:hAnsi="Arial" w:cs="Arial"/>
        </w:rPr>
        <w:lastRenderedPageBreak/>
        <w:t>Bubela, T., Flood, C.M., McGrail, K., Straus, S. and Mishra, S. (2023</w:t>
      </w:r>
      <w:r w:rsidRPr="00D66457">
        <w:rPr>
          <w:rFonts w:ascii="Arial" w:hAnsi="Arial" w:cs="Arial"/>
          <w:i/>
          <w:iCs/>
        </w:rPr>
        <w:t xml:space="preserve">) </w:t>
      </w:r>
      <w:r w:rsidRPr="00D66457">
        <w:rPr>
          <w:rFonts w:ascii="Arial" w:hAnsi="Arial" w:cs="Arial"/>
        </w:rPr>
        <w:t>‘How Canada’s decentralised COVID-19 response affected public health data and decision making.</w:t>
      </w:r>
      <w:r w:rsidRPr="00D66457">
        <w:rPr>
          <w:rFonts w:ascii="Arial" w:hAnsi="Arial" w:cs="Arial"/>
          <w:i/>
          <w:iCs/>
        </w:rPr>
        <w:t>’</w:t>
      </w:r>
      <w:r w:rsidRPr="00D66457">
        <w:rPr>
          <w:rFonts w:ascii="Arial" w:hAnsi="Arial" w:cs="Arial"/>
        </w:rPr>
        <w:t xml:space="preserve"> </w:t>
      </w:r>
      <w:r w:rsidRPr="00D66457">
        <w:rPr>
          <w:rFonts w:ascii="Arial" w:hAnsi="Arial" w:cs="Arial"/>
          <w:i/>
          <w:iCs/>
        </w:rPr>
        <w:t>The BMJ</w:t>
      </w:r>
      <w:r w:rsidRPr="00D66457">
        <w:rPr>
          <w:rFonts w:ascii="Arial" w:hAnsi="Arial" w:cs="Arial"/>
        </w:rPr>
        <w:t xml:space="preserve">, 382, Article e075665. Available at: </w:t>
      </w:r>
      <w:hyperlink r:id="rId36" w:history="1">
        <w:r w:rsidRPr="00D66457">
          <w:rPr>
            <w:rStyle w:val="Hyperlink"/>
            <w:rFonts w:ascii="Arial" w:hAnsi="Arial" w:cs="Arial"/>
          </w:rPr>
          <w:t>https://doi.org/10.1136/bmj-2023-075665</w:t>
        </w:r>
      </w:hyperlink>
      <w:r w:rsidRPr="00D66457">
        <w:rPr>
          <w:rFonts w:ascii="Arial" w:hAnsi="Arial" w:cs="Arial"/>
        </w:rPr>
        <w:t xml:space="preserve">. </w:t>
      </w:r>
    </w:p>
    <w:p w14:paraId="0F362B80" w14:textId="77777777" w:rsidR="00721EE0" w:rsidRPr="00653F7F" w:rsidRDefault="00721EE0" w:rsidP="0060041E">
      <w:pPr>
        <w:spacing w:line="360" w:lineRule="auto"/>
        <w:rPr>
          <w:rFonts w:ascii="Arial" w:hAnsi="Arial" w:cs="Arial"/>
        </w:rPr>
      </w:pPr>
      <w:r w:rsidRPr="00653F7F">
        <w:rPr>
          <w:rFonts w:ascii="Arial" w:hAnsi="Arial" w:cs="Arial"/>
        </w:rPr>
        <w:t xml:space="preserve">Burns, J.M. (1978) ‘Leadership. New York: Harper’ Available at:  </w:t>
      </w:r>
      <w:hyperlink r:id="rId37" w:history="1">
        <w:r w:rsidRPr="00653F7F">
          <w:rPr>
            <w:rStyle w:val="Hyperlink"/>
            <w:rFonts w:ascii="Arial" w:hAnsi="Arial" w:cs="Arial"/>
          </w:rPr>
          <w:t>https://doi.org/10.1002/jls.20022</w:t>
        </w:r>
      </w:hyperlink>
      <w:r w:rsidRPr="00653F7F">
        <w:rPr>
          <w:rFonts w:ascii="Arial" w:hAnsi="Arial" w:cs="Arial"/>
        </w:rPr>
        <w:t xml:space="preserve">. </w:t>
      </w:r>
    </w:p>
    <w:p w14:paraId="2C2F7810" w14:textId="77777777" w:rsidR="00721EE0" w:rsidRPr="00653F7F" w:rsidRDefault="00721EE0" w:rsidP="0060041E">
      <w:pPr>
        <w:spacing w:line="360" w:lineRule="auto"/>
        <w:rPr>
          <w:rFonts w:ascii="Arial" w:hAnsi="Arial" w:cs="Arial"/>
        </w:rPr>
      </w:pPr>
      <w:proofErr w:type="spellStart"/>
      <w:r w:rsidRPr="00653F7F">
        <w:rPr>
          <w:rFonts w:ascii="Arial" w:hAnsi="Arial" w:cs="Arial"/>
        </w:rPr>
        <w:t>Castelyn</w:t>
      </w:r>
      <w:proofErr w:type="spellEnd"/>
      <w:r w:rsidRPr="00653F7F">
        <w:rPr>
          <w:rFonts w:ascii="Arial" w:hAnsi="Arial" w:cs="Arial"/>
        </w:rPr>
        <w:t>, C. (2024)</w:t>
      </w:r>
      <w:r w:rsidRPr="0060041E">
        <w:rPr>
          <w:rFonts w:ascii="Arial" w:hAnsi="Arial" w:cs="Arial"/>
        </w:rPr>
        <w:t xml:space="preserve"> </w:t>
      </w:r>
      <w:r w:rsidRPr="00653F7F">
        <w:rPr>
          <w:rFonts w:ascii="Arial" w:hAnsi="Arial" w:cs="Arial"/>
        </w:rPr>
        <w:t xml:space="preserve"> ‘Leadership in healthcare during a pandemic: for a systems leadership approach’. </w:t>
      </w:r>
      <w:r w:rsidRPr="00653F7F">
        <w:rPr>
          <w:rFonts w:ascii="Arial" w:hAnsi="Arial" w:cs="Arial"/>
          <w:i/>
          <w:iCs/>
        </w:rPr>
        <w:t>Frontiers in Public Health</w:t>
      </w:r>
      <w:r w:rsidRPr="00653F7F">
        <w:rPr>
          <w:rFonts w:ascii="Arial" w:hAnsi="Arial" w:cs="Arial"/>
        </w:rPr>
        <w:t xml:space="preserve">, 12 Available at: </w:t>
      </w:r>
      <w:hyperlink r:id="rId38" w:history="1">
        <w:r w:rsidRPr="00653F7F">
          <w:rPr>
            <w:rStyle w:val="Hyperlink"/>
            <w:rFonts w:ascii="Arial" w:hAnsi="Arial" w:cs="Arial"/>
          </w:rPr>
          <w:t>https://doi.org/10.3389/fpubh.2024.1361046</w:t>
        </w:r>
      </w:hyperlink>
      <w:r w:rsidRPr="00653F7F">
        <w:rPr>
          <w:rFonts w:ascii="Arial" w:hAnsi="Arial" w:cs="Arial"/>
        </w:rPr>
        <w:t xml:space="preserve">. </w:t>
      </w:r>
    </w:p>
    <w:p w14:paraId="341DB7E2" w14:textId="77777777" w:rsidR="00721EE0" w:rsidRPr="00721EE0" w:rsidRDefault="00721EE0" w:rsidP="00721EE0">
      <w:pPr>
        <w:spacing w:line="360" w:lineRule="auto"/>
        <w:rPr>
          <w:rFonts w:ascii="Arial" w:hAnsi="Arial" w:cs="Arial"/>
        </w:rPr>
      </w:pPr>
      <w:r w:rsidRPr="0051167E">
        <w:rPr>
          <w:rFonts w:ascii="Arial" w:hAnsi="Arial" w:cs="Arial"/>
        </w:rPr>
        <w:t xml:space="preserve">Chislett, W. (2021) ‘Challenges and opportunities for Spain in times of COVID-19.’ </w:t>
      </w:r>
      <w:r w:rsidRPr="0051167E">
        <w:rPr>
          <w:rFonts w:ascii="Arial" w:hAnsi="Arial" w:cs="Arial"/>
          <w:i/>
          <w:iCs/>
        </w:rPr>
        <w:t>Real Instituto Elcano.</w:t>
      </w:r>
      <w:r w:rsidRPr="0051167E">
        <w:rPr>
          <w:rFonts w:ascii="Arial" w:hAnsi="Arial" w:cs="Arial"/>
        </w:rPr>
        <w:t xml:space="preserve"> Available at: </w:t>
      </w:r>
      <w:hyperlink r:id="rId39" w:history="1">
        <w:r w:rsidRPr="0051167E">
          <w:rPr>
            <w:rStyle w:val="Hyperlink"/>
            <w:rFonts w:ascii="Arial" w:hAnsi="Arial" w:cs="Arial"/>
          </w:rPr>
          <w:t>https://www.realinstitutoelcano.org/wp-content/uploads/2021/10/wp01-2021-chislett-challenges-and-opportunities-for-spain-in-times-of-covid-19.pdf</w:t>
        </w:r>
      </w:hyperlink>
      <w:r w:rsidRPr="0051167E">
        <w:rPr>
          <w:rFonts w:ascii="Arial" w:hAnsi="Arial" w:cs="Arial"/>
        </w:rPr>
        <w:t>. (Accessed: 21 October 2025).</w:t>
      </w:r>
    </w:p>
    <w:p w14:paraId="73242A2C" w14:textId="77777777" w:rsidR="00721EE0" w:rsidRPr="00653F7F" w:rsidRDefault="00721EE0" w:rsidP="0060041E">
      <w:pPr>
        <w:spacing w:line="360" w:lineRule="auto"/>
        <w:rPr>
          <w:rFonts w:ascii="Arial" w:hAnsi="Arial" w:cs="Arial"/>
        </w:rPr>
      </w:pPr>
      <w:r w:rsidRPr="00653F7F">
        <w:rPr>
          <w:rFonts w:ascii="Arial" w:hAnsi="Arial" w:cs="Arial"/>
        </w:rPr>
        <w:t xml:space="preserve">Curry, L., </w:t>
      </w:r>
      <w:proofErr w:type="spellStart"/>
      <w:r w:rsidRPr="00653F7F">
        <w:rPr>
          <w:rFonts w:ascii="Arial" w:hAnsi="Arial" w:cs="Arial"/>
        </w:rPr>
        <w:t>Ayedun</w:t>
      </w:r>
      <w:proofErr w:type="spellEnd"/>
      <w:r w:rsidRPr="00653F7F">
        <w:rPr>
          <w:rFonts w:ascii="Arial" w:hAnsi="Arial" w:cs="Arial"/>
        </w:rPr>
        <w:t xml:space="preserve">, A., Cherlin, E., Taylor, B., Castle-Clarke, S., </w:t>
      </w:r>
      <w:r w:rsidRPr="0060041E">
        <w:rPr>
          <w:rFonts w:ascii="Arial" w:hAnsi="Arial" w:cs="Arial"/>
        </w:rPr>
        <w:t xml:space="preserve">and </w:t>
      </w:r>
      <w:r w:rsidRPr="00653F7F">
        <w:rPr>
          <w:rFonts w:ascii="Arial" w:hAnsi="Arial" w:cs="Arial"/>
        </w:rPr>
        <w:t xml:space="preserve"> </w:t>
      </w:r>
      <w:proofErr w:type="spellStart"/>
      <w:r w:rsidRPr="00653F7F">
        <w:rPr>
          <w:rFonts w:ascii="Arial" w:hAnsi="Arial" w:cs="Arial"/>
        </w:rPr>
        <w:t>Linnander</w:t>
      </w:r>
      <w:proofErr w:type="spellEnd"/>
      <w:r w:rsidRPr="00653F7F">
        <w:rPr>
          <w:rFonts w:ascii="Arial" w:hAnsi="Arial" w:cs="Arial"/>
        </w:rPr>
        <w:t xml:space="preserve">, E (2022) ‘The role of leadership in times of systems disruption: a qualitative study of health and social care integration.’ </w:t>
      </w:r>
      <w:r w:rsidRPr="00653F7F">
        <w:rPr>
          <w:rFonts w:ascii="Arial" w:hAnsi="Arial" w:cs="Arial"/>
          <w:i/>
          <w:iCs/>
        </w:rPr>
        <w:t>BMJ Open</w:t>
      </w:r>
      <w:r w:rsidRPr="00653F7F">
        <w:rPr>
          <w:rFonts w:ascii="Arial" w:hAnsi="Arial" w:cs="Arial"/>
        </w:rPr>
        <w:t xml:space="preserve">, 12(5), e054847. Available at: </w:t>
      </w:r>
      <w:hyperlink r:id="rId40" w:history="1">
        <w:r w:rsidRPr="00653F7F">
          <w:rPr>
            <w:rStyle w:val="Hyperlink"/>
            <w:rFonts w:ascii="Arial" w:hAnsi="Arial" w:cs="Arial"/>
          </w:rPr>
          <w:t>https://bmjopen.bmj.com/content/12/5/e054847</w:t>
        </w:r>
      </w:hyperlink>
      <w:r w:rsidRPr="00653F7F">
        <w:rPr>
          <w:rFonts w:ascii="Arial" w:hAnsi="Arial" w:cs="Arial"/>
        </w:rPr>
        <w:t>. (Accessed: 15 October  25).</w:t>
      </w:r>
    </w:p>
    <w:p w14:paraId="4D72C85A" w14:textId="77777777" w:rsidR="00721EE0" w:rsidRPr="00653F7F" w:rsidRDefault="00721EE0" w:rsidP="0060041E">
      <w:pPr>
        <w:spacing w:line="360" w:lineRule="auto"/>
        <w:rPr>
          <w:rFonts w:ascii="Arial" w:hAnsi="Arial" w:cs="Arial"/>
        </w:rPr>
      </w:pPr>
      <w:r w:rsidRPr="00653F7F">
        <w:rPr>
          <w:rFonts w:ascii="Arial" w:hAnsi="Arial" w:cs="Arial"/>
        </w:rPr>
        <w:t xml:space="preserve">Deters, H. and Zardo, F ( 2023) ‘The European Commission in Covid-19 vaccine cooperation: leadership vs </w:t>
      </w:r>
      <w:proofErr w:type="spellStart"/>
      <w:r w:rsidRPr="00653F7F">
        <w:rPr>
          <w:rFonts w:ascii="Arial" w:hAnsi="Arial" w:cs="Arial"/>
        </w:rPr>
        <w:t>coronationalism</w:t>
      </w:r>
      <w:proofErr w:type="spellEnd"/>
      <w:r w:rsidRPr="00653F7F">
        <w:rPr>
          <w:rFonts w:ascii="Arial" w:hAnsi="Arial" w:cs="Arial"/>
        </w:rPr>
        <w:t xml:space="preserve">?’. </w:t>
      </w:r>
      <w:r w:rsidRPr="00653F7F">
        <w:rPr>
          <w:rFonts w:ascii="Arial" w:hAnsi="Arial" w:cs="Arial"/>
          <w:i/>
          <w:iCs/>
        </w:rPr>
        <w:t>Journal of European Public Policy</w:t>
      </w:r>
      <w:r w:rsidRPr="00653F7F">
        <w:rPr>
          <w:rFonts w:ascii="Arial" w:hAnsi="Arial" w:cs="Arial"/>
        </w:rPr>
        <w:t xml:space="preserve">, 30(6), pp.1051-1071. Available at: </w:t>
      </w:r>
      <w:hyperlink r:id="rId41" w:history="1">
        <w:r w:rsidRPr="00653F7F">
          <w:rPr>
            <w:rStyle w:val="Hyperlink"/>
            <w:rFonts w:ascii="Arial" w:hAnsi="Arial" w:cs="Arial"/>
          </w:rPr>
          <w:t>https://doi.org/10.1080/13501763.2022.2064900</w:t>
        </w:r>
      </w:hyperlink>
      <w:r w:rsidRPr="00653F7F">
        <w:rPr>
          <w:rFonts w:ascii="Arial" w:hAnsi="Arial" w:cs="Arial"/>
        </w:rPr>
        <w:t xml:space="preserve">. </w:t>
      </w:r>
    </w:p>
    <w:p w14:paraId="477D13F7" w14:textId="77777777" w:rsidR="00721EE0" w:rsidRPr="00721EE0" w:rsidRDefault="00721EE0" w:rsidP="00721EE0">
      <w:pPr>
        <w:spacing w:line="360" w:lineRule="auto"/>
        <w:rPr>
          <w:rFonts w:ascii="Arial" w:hAnsi="Arial" w:cs="Arial"/>
        </w:rPr>
      </w:pPr>
      <w:proofErr w:type="spellStart"/>
      <w:r w:rsidRPr="00721EE0">
        <w:rPr>
          <w:rFonts w:ascii="Arial" w:hAnsi="Arial" w:cs="Arial"/>
        </w:rPr>
        <w:t>DiMoia</w:t>
      </w:r>
      <w:proofErr w:type="spellEnd"/>
      <w:r w:rsidRPr="00721EE0">
        <w:rPr>
          <w:rFonts w:ascii="Arial" w:hAnsi="Arial" w:cs="Arial"/>
        </w:rPr>
        <w:t xml:space="preserve">, J (2020) ‘Remembering MERS in South Korea: Mobilizing Experience of Epidemic Disease.’ </w:t>
      </w:r>
      <w:r w:rsidRPr="00721EE0">
        <w:rPr>
          <w:rFonts w:ascii="Arial" w:hAnsi="Arial" w:cs="Arial"/>
          <w:i/>
          <w:iCs/>
        </w:rPr>
        <w:t>JHI Blog</w:t>
      </w:r>
      <w:r w:rsidRPr="00721EE0">
        <w:rPr>
          <w:rFonts w:ascii="Arial" w:hAnsi="Arial" w:cs="Arial"/>
        </w:rPr>
        <w:t xml:space="preserve">. Available at: </w:t>
      </w:r>
      <w:hyperlink r:id="rId42" w:history="1">
        <w:r w:rsidRPr="00721EE0">
          <w:rPr>
            <w:rStyle w:val="Hyperlink"/>
            <w:rFonts w:ascii="Arial" w:hAnsi="Arial" w:cs="Arial"/>
          </w:rPr>
          <w:t>https://www.jhiblog.org/2020/05/04/history-mers-south-korea-covid19-response</w:t>
        </w:r>
      </w:hyperlink>
      <w:r w:rsidRPr="00721EE0">
        <w:rPr>
          <w:rFonts w:ascii="Arial" w:hAnsi="Arial" w:cs="Arial"/>
        </w:rPr>
        <w:t>. (Accessed: 20 October 2025).</w:t>
      </w:r>
    </w:p>
    <w:p w14:paraId="2473BA75" w14:textId="77777777" w:rsidR="00721EE0" w:rsidRPr="00E244F7" w:rsidRDefault="00721EE0" w:rsidP="00721EE0">
      <w:pPr>
        <w:spacing w:line="360" w:lineRule="auto"/>
        <w:rPr>
          <w:rFonts w:ascii="Arial" w:hAnsi="Arial" w:cs="Arial"/>
        </w:rPr>
      </w:pPr>
      <w:r w:rsidRPr="00E244F7">
        <w:rPr>
          <w:rFonts w:ascii="Arial" w:hAnsi="Arial" w:cs="Arial"/>
        </w:rPr>
        <w:t>European Commission (2022</w:t>
      </w:r>
      <w:r w:rsidRPr="00E244F7">
        <w:rPr>
          <w:rFonts w:ascii="Arial" w:hAnsi="Arial" w:cs="Arial"/>
          <w:b/>
          <w:bCs/>
        </w:rPr>
        <w:t>)</w:t>
      </w:r>
      <w:r w:rsidRPr="00E244F7">
        <w:rPr>
          <w:rFonts w:ascii="Arial" w:hAnsi="Arial" w:cs="Arial"/>
        </w:rPr>
        <w:t xml:space="preserve"> </w:t>
      </w:r>
      <w:r w:rsidRPr="00E244F7">
        <w:rPr>
          <w:rFonts w:ascii="Arial" w:hAnsi="Arial" w:cs="Arial"/>
          <w:i/>
          <w:iCs/>
        </w:rPr>
        <w:t>‘</w:t>
      </w:r>
      <w:r w:rsidRPr="00E244F7">
        <w:rPr>
          <w:rFonts w:ascii="Arial" w:hAnsi="Arial" w:cs="Arial"/>
        </w:rPr>
        <w:t>EU Vaccines Strategy.</w:t>
      </w:r>
      <w:r w:rsidRPr="00E244F7">
        <w:rPr>
          <w:rFonts w:ascii="Arial" w:hAnsi="Arial" w:cs="Arial"/>
          <w:i/>
          <w:iCs/>
        </w:rPr>
        <w:t>’</w:t>
      </w:r>
      <w:r w:rsidRPr="00E244F7">
        <w:rPr>
          <w:rFonts w:ascii="Arial" w:hAnsi="Arial" w:cs="Arial"/>
        </w:rPr>
        <w:t xml:space="preserve"> </w:t>
      </w:r>
      <w:r w:rsidRPr="00E244F7">
        <w:rPr>
          <w:rFonts w:ascii="Arial" w:hAnsi="Arial" w:cs="Arial"/>
          <w:i/>
          <w:iCs/>
        </w:rPr>
        <w:t>European Commission</w:t>
      </w:r>
      <w:r w:rsidRPr="00E244F7">
        <w:rPr>
          <w:rFonts w:ascii="Arial" w:hAnsi="Arial" w:cs="Arial"/>
        </w:rPr>
        <w:t xml:space="preserve">. Available at: </w:t>
      </w:r>
      <w:hyperlink r:id="rId43" w:history="1">
        <w:r w:rsidRPr="00E244F7">
          <w:rPr>
            <w:rStyle w:val="Hyperlink"/>
            <w:rFonts w:ascii="Arial" w:hAnsi="Arial" w:cs="Arial"/>
          </w:rPr>
          <w:t>https://commission.europa.eu/strategy-and-policy/coronavirus-response/public-health/eu-vaccines-strategy_en</w:t>
        </w:r>
      </w:hyperlink>
      <w:r w:rsidRPr="00E244F7">
        <w:rPr>
          <w:rFonts w:ascii="Arial" w:hAnsi="Arial" w:cs="Arial"/>
        </w:rPr>
        <w:t>. (Accessed: 21 October 2025).</w:t>
      </w:r>
    </w:p>
    <w:p w14:paraId="06C4D82C" w14:textId="77777777" w:rsidR="00721EE0" w:rsidRPr="00653F7F" w:rsidRDefault="00721EE0" w:rsidP="0060041E">
      <w:pPr>
        <w:spacing w:line="360" w:lineRule="auto"/>
        <w:rPr>
          <w:rFonts w:ascii="Arial" w:hAnsi="Arial" w:cs="Arial"/>
        </w:rPr>
      </w:pPr>
      <w:r w:rsidRPr="00653F7F">
        <w:rPr>
          <w:rFonts w:ascii="Arial" w:hAnsi="Arial" w:cs="Arial"/>
        </w:rPr>
        <w:t xml:space="preserve">Forester, J. and Clegg, S.R. (1978) ‘Leadership.’ </w:t>
      </w:r>
      <w:r w:rsidRPr="00653F7F">
        <w:rPr>
          <w:rFonts w:ascii="Arial" w:hAnsi="Arial" w:cs="Arial"/>
          <w:i/>
          <w:iCs/>
        </w:rPr>
        <w:t>New York:</w:t>
      </w:r>
      <w:r w:rsidRPr="00653F7F">
        <w:rPr>
          <w:rFonts w:ascii="Arial" w:hAnsi="Arial" w:cs="Arial"/>
        </w:rPr>
        <w:t xml:space="preserve"> Harper and Row. Leadership Quarterly, 2(1). Available at: </w:t>
      </w:r>
      <w:hyperlink r:id="rId44" w:history="1">
        <w:r w:rsidRPr="00653F7F">
          <w:rPr>
            <w:rStyle w:val="Hyperlink"/>
            <w:rFonts w:ascii="Arial" w:hAnsi="Arial" w:cs="Arial"/>
          </w:rPr>
          <w:t>https://scholar.google.co.uk/scholar?hl=en&amp;as_sdt=0%2C5&amp;q=Burns%2C+J.+M.+%</w:t>
        </w:r>
        <w:r w:rsidRPr="00653F7F">
          <w:rPr>
            <w:rStyle w:val="Hyperlink"/>
            <w:rFonts w:ascii="Arial" w:hAnsi="Arial" w:cs="Arial"/>
          </w:rPr>
          <w:lastRenderedPageBreak/>
          <w:t>281978%29+Leadership.+New+York%3A+Harper+%26+Row.&amp;btnG=</w:t>
        </w:r>
      </w:hyperlink>
      <w:r w:rsidRPr="00653F7F">
        <w:rPr>
          <w:rFonts w:ascii="Arial" w:hAnsi="Arial" w:cs="Arial"/>
        </w:rPr>
        <w:t>. (Accessed: 27 April 2024).</w:t>
      </w:r>
    </w:p>
    <w:p w14:paraId="1D19D715" w14:textId="77777777" w:rsidR="00721EE0" w:rsidRPr="00E244F7" w:rsidRDefault="00721EE0" w:rsidP="00721EE0">
      <w:pPr>
        <w:spacing w:line="360" w:lineRule="auto"/>
        <w:rPr>
          <w:rFonts w:ascii="Arial" w:hAnsi="Arial" w:cs="Arial"/>
        </w:rPr>
      </w:pPr>
      <w:r w:rsidRPr="00E244F7">
        <w:rPr>
          <w:rFonts w:ascii="Arial" w:hAnsi="Arial" w:cs="Arial"/>
        </w:rPr>
        <w:t xml:space="preserve">García-Basteiro, A.L., </w:t>
      </w:r>
      <w:proofErr w:type="spellStart"/>
      <w:r w:rsidRPr="00E244F7">
        <w:rPr>
          <w:rFonts w:ascii="Arial" w:hAnsi="Arial" w:cs="Arial"/>
        </w:rPr>
        <w:t>Legido</w:t>
      </w:r>
      <w:proofErr w:type="spellEnd"/>
      <w:r w:rsidRPr="00E244F7">
        <w:rPr>
          <w:rFonts w:ascii="Arial" w:hAnsi="Arial" w:cs="Arial"/>
        </w:rPr>
        <w:t xml:space="preserve">-Quigley, H., Álvarez-Dardet, C., Arenas, A., Bengoa, R., Borrell, C., Del Val, M., Franco, M., Gea-Sánchez, M., </w:t>
      </w:r>
      <w:proofErr w:type="spellStart"/>
      <w:r w:rsidRPr="00E244F7">
        <w:rPr>
          <w:rFonts w:ascii="Arial" w:hAnsi="Arial" w:cs="Arial"/>
        </w:rPr>
        <w:t>Gestal</w:t>
      </w:r>
      <w:proofErr w:type="spellEnd"/>
      <w:r w:rsidRPr="00E244F7">
        <w:rPr>
          <w:rFonts w:ascii="Arial" w:hAnsi="Arial" w:cs="Arial"/>
        </w:rPr>
        <w:t xml:space="preserve">, J., González López-Valcárcel, B., Hernández-Aguado, I., March, J.C., Martin-Moreno, J.M., Menéndez, C., </w:t>
      </w:r>
      <w:proofErr w:type="spellStart"/>
      <w:r w:rsidRPr="00E244F7">
        <w:rPr>
          <w:rFonts w:ascii="Arial" w:hAnsi="Arial" w:cs="Arial"/>
        </w:rPr>
        <w:t>Minué</w:t>
      </w:r>
      <w:proofErr w:type="spellEnd"/>
      <w:r w:rsidRPr="00E244F7">
        <w:rPr>
          <w:rFonts w:ascii="Arial" w:hAnsi="Arial" w:cs="Arial"/>
        </w:rPr>
        <w:t xml:space="preserve">, S., Muntaner, C., Porta, M., Prieto-Alhambra, D. and Vives-Cases, C. (2020) </w:t>
      </w:r>
      <w:r w:rsidRPr="00E244F7">
        <w:rPr>
          <w:rFonts w:ascii="Arial" w:hAnsi="Arial" w:cs="Arial"/>
          <w:i/>
          <w:iCs/>
        </w:rPr>
        <w:t>‘Evaluation of the COVID-19 response in Spain: principles and requirements.’</w:t>
      </w:r>
      <w:r w:rsidRPr="00E244F7">
        <w:rPr>
          <w:rFonts w:ascii="Arial" w:hAnsi="Arial" w:cs="Arial"/>
        </w:rPr>
        <w:t xml:space="preserve"> </w:t>
      </w:r>
      <w:r w:rsidRPr="00E244F7">
        <w:rPr>
          <w:rFonts w:ascii="Arial" w:hAnsi="Arial" w:cs="Arial"/>
          <w:i/>
          <w:iCs/>
        </w:rPr>
        <w:t>The Lancet Public Health</w:t>
      </w:r>
      <w:r w:rsidRPr="00E244F7">
        <w:rPr>
          <w:rFonts w:ascii="Arial" w:hAnsi="Arial" w:cs="Arial"/>
        </w:rPr>
        <w:t xml:space="preserve">, 5(11), pp.e575–e576. Available at: </w:t>
      </w:r>
      <w:hyperlink r:id="rId45" w:history="1">
        <w:r w:rsidRPr="00E244F7">
          <w:rPr>
            <w:rStyle w:val="Hyperlink"/>
            <w:rFonts w:ascii="Arial" w:hAnsi="Arial" w:cs="Arial"/>
          </w:rPr>
          <w:t>https://doi.org/10.1016/S2468-2667(20)30208-5</w:t>
        </w:r>
      </w:hyperlink>
      <w:r w:rsidRPr="00E244F7">
        <w:rPr>
          <w:rFonts w:ascii="Arial" w:hAnsi="Arial" w:cs="Arial"/>
        </w:rPr>
        <w:t xml:space="preserve">. </w:t>
      </w:r>
    </w:p>
    <w:p w14:paraId="035CF515" w14:textId="77777777" w:rsidR="00721EE0" w:rsidRPr="00653F7F" w:rsidRDefault="00721EE0" w:rsidP="0060041E">
      <w:pPr>
        <w:spacing w:line="360" w:lineRule="auto"/>
        <w:rPr>
          <w:rFonts w:ascii="Arial" w:hAnsi="Arial" w:cs="Arial"/>
        </w:rPr>
      </w:pPr>
      <w:r w:rsidRPr="00653F7F">
        <w:rPr>
          <w:rFonts w:ascii="Arial" w:hAnsi="Arial" w:cs="Arial"/>
        </w:rPr>
        <w:t xml:space="preserve">Greenleaf, R.K. (1977) ‘Servant Leadership: A Journey into the Nature of Legitimate Power and Greatness.’ </w:t>
      </w:r>
      <w:r w:rsidRPr="00653F7F">
        <w:rPr>
          <w:rFonts w:ascii="Arial" w:hAnsi="Arial" w:cs="Arial"/>
          <w:i/>
          <w:iCs/>
        </w:rPr>
        <w:t>New York:</w:t>
      </w:r>
      <w:r w:rsidRPr="00653F7F">
        <w:rPr>
          <w:rFonts w:ascii="Arial" w:hAnsi="Arial" w:cs="Arial"/>
        </w:rPr>
        <w:t xml:space="preserve"> </w:t>
      </w:r>
      <w:r w:rsidRPr="00653F7F">
        <w:rPr>
          <w:rFonts w:ascii="Arial" w:hAnsi="Arial" w:cs="Arial"/>
          <w:i/>
          <w:iCs/>
        </w:rPr>
        <w:t>Paulist Press</w:t>
      </w:r>
      <w:r w:rsidRPr="00653F7F">
        <w:rPr>
          <w:rFonts w:ascii="Arial" w:hAnsi="Arial" w:cs="Arial"/>
        </w:rPr>
        <w:t xml:space="preserve">. Available at: </w:t>
      </w:r>
      <w:hyperlink r:id="rId46" w:anchor="v=onepage&amp;q&amp;f=false" w:history="1">
        <w:r w:rsidRPr="00653F7F">
          <w:rPr>
            <w:rStyle w:val="Hyperlink"/>
            <w:rFonts w:ascii="Arial" w:hAnsi="Arial" w:cs="Arial"/>
          </w:rPr>
          <w:t>https://books.google.co.uk/books?hl=en&amp;lr=&amp;id=BQIsBQAAQBAJ&amp;oi=fnd&amp;pg=PT31&amp;dq=Greenleaf,+R.K.+(1977)+%E2%80%98Servant+Leadership:+A+Journey+into+the+Nature+of+Legitimate+Power+and+Greatness.%E2%80%99+New+York:+Paulist+Press.+&amp;ots=jNzCnpej3V&amp;sig=8gh9A17H6LlTqICYIi8-txDUqug#v=onepage&amp;q&amp;f=false</w:t>
        </w:r>
      </w:hyperlink>
      <w:r w:rsidRPr="00653F7F">
        <w:rPr>
          <w:rFonts w:ascii="Arial" w:hAnsi="Arial" w:cs="Arial"/>
        </w:rPr>
        <w:t>. (Accessed: 25 September 2025).</w:t>
      </w:r>
    </w:p>
    <w:p w14:paraId="2032DFCD" w14:textId="77777777" w:rsidR="00721EE0" w:rsidRPr="00653F7F" w:rsidRDefault="00721EE0" w:rsidP="0060041E">
      <w:pPr>
        <w:spacing w:line="360" w:lineRule="auto"/>
        <w:rPr>
          <w:rFonts w:ascii="Arial" w:hAnsi="Arial" w:cs="Arial"/>
        </w:rPr>
      </w:pPr>
      <w:r w:rsidRPr="00653F7F">
        <w:rPr>
          <w:rFonts w:ascii="Arial" w:hAnsi="Arial" w:cs="Arial"/>
        </w:rPr>
        <w:t xml:space="preserve">Greer, S.L., King, E.J., Massard da Fonseca, E., </w:t>
      </w:r>
      <w:r>
        <w:rPr>
          <w:rFonts w:ascii="Arial" w:hAnsi="Arial" w:cs="Arial"/>
        </w:rPr>
        <w:t>and</w:t>
      </w:r>
      <w:r w:rsidRPr="00653F7F">
        <w:rPr>
          <w:rFonts w:ascii="Arial" w:hAnsi="Arial" w:cs="Arial"/>
        </w:rPr>
        <w:t xml:space="preserve"> Peralta-Santos, A (2022) ‘The comparative politics of COVID-19: The need to understand governance and policy.’ </w:t>
      </w:r>
      <w:r w:rsidRPr="00653F7F">
        <w:rPr>
          <w:rFonts w:ascii="Arial" w:hAnsi="Arial" w:cs="Arial"/>
          <w:i/>
          <w:iCs/>
        </w:rPr>
        <w:t>Global Public Health</w:t>
      </w:r>
      <w:r w:rsidRPr="00653F7F">
        <w:rPr>
          <w:rFonts w:ascii="Arial" w:hAnsi="Arial" w:cs="Arial"/>
        </w:rPr>
        <w:t xml:space="preserve">, 17(6), 935–940.  Available at: </w:t>
      </w:r>
      <w:hyperlink r:id="rId47" w:history="1">
        <w:r w:rsidRPr="00653F7F">
          <w:rPr>
            <w:rStyle w:val="Hyperlink"/>
            <w:rFonts w:ascii="Arial" w:hAnsi="Arial" w:cs="Arial"/>
          </w:rPr>
          <w:t>https://doi.org/10.1093/publius/pjad002</w:t>
        </w:r>
      </w:hyperlink>
      <w:r w:rsidRPr="00653F7F">
        <w:rPr>
          <w:rFonts w:ascii="Arial" w:hAnsi="Arial" w:cs="Arial"/>
        </w:rPr>
        <w:t xml:space="preserve">. </w:t>
      </w:r>
    </w:p>
    <w:p w14:paraId="5AC085A6" w14:textId="77777777" w:rsidR="00721EE0" w:rsidRPr="00653F7F" w:rsidRDefault="00721EE0" w:rsidP="0060041E">
      <w:pPr>
        <w:spacing w:line="360" w:lineRule="auto"/>
        <w:rPr>
          <w:rFonts w:ascii="Arial" w:hAnsi="Arial" w:cs="Arial"/>
        </w:rPr>
      </w:pPr>
      <w:r w:rsidRPr="00653F7F">
        <w:rPr>
          <w:rFonts w:ascii="Arial" w:hAnsi="Arial" w:cs="Arial"/>
        </w:rPr>
        <w:t xml:space="preserve">Hersey, P. and Blanchard, K. H. (1969) ‘Management of Organizational </w:t>
      </w:r>
      <w:proofErr w:type="spellStart"/>
      <w:r w:rsidRPr="00653F7F">
        <w:rPr>
          <w:rFonts w:ascii="Arial" w:hAnsi="Arial" w:cs="Arial"/>
        </w:rPr>
        <w:t>Behavior</w:t>
      </w:r>
      <w:proofErr w:type="spellEnd"/>
      <w:r w:rsidRPr="00653F7F">
        <w:rPr>
          <w:rFonts w:ascii="Arial" w:hAnsi="Arial" w:cs="Arial"/>
        </w:rPr>
        <w:t>: Utilizing Human Resources.’</w:t>
      </w:r>
      <w:r w:rsidRPr="00653F7F">
        <w:rPr>
          <w:rFonts w:ascii="Arial" w:hAnsi="Arial" w:cs="Arial"/>
          <w:i/>
          <w:iCs/>
        </w:rPr>
        <w:t xml:space="preserve">  </w:t>
      </w:r>
      <w:r w:rsidRPr="00653F7F">
        <w:rPr>
          <w:rFonts w:ascii="Arial" w:hAnsi="Arial" w:cs="Arial"/>
        </w:rPr>
        <w:t xml:space="preserve">5th </w:t>
      </w:r>
      <w:proofErr w:type="spellStart"/>
      <w:r w:rsidRPr="00653F7F">
        <w:rPr>
          <w:rFonts w:ascii="Arial" w:hAnsi="Arial" w:cs="Arial"/>
        </w:rPr>
        <w:t>edn</w:t>
      </w:r>
      <w:proofErr w:type="spellEnd"/>
      <w:r w:rsidRPr="00653F7F">
        <w:rPr>
          <w:rFonts w:ascii="Arial" w:hAnsi="Arial" w:cs="Arial"/>
        </w:rPr>
        <w:t>. Englewood Cliffs</w:t>
      </w:r>
      <w:r w:rsidRPr="00653F7F">
        <w:rPr>
          <w:rFonts w:ascii="Arial" w:hAnsi="Arial" w:cs="Arial"/>
          <w:i/>
          <w:iCs/>
        </w:rPr>
        <w:t>, NJ: Prentice-Hall.</w:t>
      </w:r>
      <w:r w:rsidRPr="00653F7F">
        <w:rPr>
          <w:rFonts w:ascii="Arial" w:hAnsi="Arial" w:cs="Arial"/>
        </w:rPr>
        <w:t xml:space="preserve"> Available at: </w:t>
      </w:r>
      <w:hyperlink r:id="rId48" w:history="1">
        <w:r w:rsidRPr="00653F7F">
          <w:rPr>
            <w:rStyle w:val="Hyperlink"/>
            <w:rFonts w:ascii="Arial" w:hAnsi="Arial" w:cs="Arial"/>
          </w:rPr>
          <w:t>https://doi.org/10.5465/amj.1969.19201155</w:t>
        </w:r>
      </w:hyperlink>
      <w:r w:rsidRPr="00653F7F">
        <w:rPr>
          <w:rFonts w:ascii="Arial" w:hAnsi="Arial" w:cs="Arial"/>
        </w:rPr>
        <w:t xml:space="preserve">. </w:t>
      </w:r>
    </w:p>
    <w:p w14:paraId="26D42AC4" w14:textId="77777777" w:rsidR="00721EE0" w:rsidRPr="00653F7F" w:rsidRDefault="00721EE0" w:rsidP="0060041E">
      <w:pPr>
        <w:spacing w:line="360" w:lineRule="auto"/>
        <w:rPr>
          <w:rFonts w:ascii="Arial" w:hAnsi="Arial" w:cs="Arial"/>
        </w:rPr>
      </w:pPr>
      <w:r w:rsidRPr="00653F7F">
        <w:rPr>
          <w:rFonts w:ascii="Arial" w:hAnsi="Arial" w:cs="Arial"/>
        </w:rPr>
        <w:t xml:space="preserve">Hersey, P. and Blanchard, K.H. (1982) </w:t>
      </w:r>
      <w:r>
        <w:rPr>
          <w:rFonts w:ascii="Arial" w:hAnsi="Arial" w:cs="Arial"/>
        </w:rPr>
        <w:t>‘</w:t>
      </w:r>
      <w:r w:rsidRPr="00653F7F">
        <w:rPr>
          <w:rFonts w:ascii="Arial" w:hAnsi="Arial" w:cs="Arial"/>
        </w:rPr>
        <w:t>Management of Organizational Behaviour: Utilizing Human Resources.</w:t>
      </w:r>
      <w:r>
        <w:rPr>
          <w:rFonts w:ascii="Arial" w:hAnsi="Arial" w:cs="Arial"/>
        </w:rPr>
        <w:t>’</w:t>
      </w:r>
      <w:r w:rsidRPr="00653F7F">
        <w:rPr>
          <w:rFonts w:ascii="Arial" w:hAnsi="Arial" w:cs="Arial"/>
        </w:rPr>
        <w:t xml:space="preserve"> 4th </w:t>
      </w:r>
      <w:proofErr w:type="spellStart"/>
      <w:r w:rsidRPr="00653F7F">
        <w:rPr>
          <w:rFonts w:ascii="Arial" w:hAnsi="Arial" w:cs="Arial"/>
        </w:rPr>
        <w:t>edn</w:t>
      </w:r>
      <w:proofErr w:type="spellEnd"/>
      <w:r w:rsidRPr="00653F7F">
        <w:rPr>
          <w:rFonts w:ascii="Arial" w:hAnsi="Arial" w:cs="Arial"/>
        </w:rPr>
        <w:t xml:space="preserve">. Englewood Cliffs, NJ: </w:t>
      </w:r>
      <w:r w:rsidRPr="00653F7F">
        <w:rPr>
          <w:rFonts w:ascii="Arial" w:hAnsi="Arial" w:cs="Arial"/>
          <w:i/>
          <w:iCs/>
        </w:rPr>
        <w:t>Prentice-Hall.</w:t>
      </w:r>
      <w:r w:rsidRPr="00653F7F">
        <w:rPr>
          <w:rFonts w:ascii="Arial" w:hAnsi="Arial" w:cs="Arial"/>
        </w:rPr>
        <w:t xml:space="preserve"> Available at: </w:t>
      </w:r>
      <w:hyperlink r:id="rId49" w:history="1">
        <w:r w:rsidRPr="00653F7F">
          <w:rPr>
            <w:rStyle w:val="Hyperlink"/>
            <w:rFonts w:ascii="Arial" w:hAnsi="Arial" w:cs="Arial"/>
          </w:rPr>
          <w:t>https://doi.org/10.5465/amj.1969.19201155</w:t>
        </w:r>
      </w:hyperlink>
      <w:r w:rsidRPr="00653F7F">
        <w:rPr>
          <w:rFonts w:ascii="Arial" w:hAnsi="Arial" w:cs="Arial"/>
        </w:rPr>
        <w:t xml:space="preserve">. </w:t>
      </w:r>
    </w:p>
    <w:p w14:paraId="3479658A" w14:textId="77777777" w:rsidR="00721EE0" w:rsidRPr="00653F7F" w:rsidRDefault="00721EE0" w:rsidP="0060041E">
      <w:pPr>
        <w:spacing w:line="360" w:lineRule="auto"/>
        <w:rPr>
          <w:rFonts w:ascii="Arial" w:hAnsi="Arial" w:cs="Arial"/>
        </w:rPr>
      </w:pPr>
      <w:r w:rsidRPr="00653F7F">
        <w:rPr>
          <w:rFonts w:ascii="Arial" w:hAnsi="Arial" w:cs="Arial"/>
        </w:rPr>
        <w:t xml:space="preserve">Hong, S.A (2024) ‘Toward better pandemic governance and preparedness: South Korea’s whole-of-nation approach to COVID-19’, </w:t>
      </w:r>
      <w:r w:rsidRPr="00653F7F">
        <w:rPr>
          <w:rFonts w:ascii="Arial" w:hAnsi="Arial" w:cs="Arial"/>
          <w:i/>
          <w:iCs/>
        </w:rPr>
        <w:t>BMC Public Health</w:t>
      </w:r>
      <w:r w:rsidRPr="00653F7F">
        <w:rPr>
          <w:rFonts w:ascii="Arial" w:hAnsi="Arial" w:cs="Arial"/>
        </w:rPr>
        <w:t xml:space="preserve">, 24(2126). Available at: </w:t>
      </w:r>
      <w:hyperlink r:id="rId50" w:history="1">
        <w:r w:rsidRPr="00653F7F">
          <w:rPr>
            <w:rStyle w:val="Hyperlink"/>
            <w:rFonts w:ascii="Arial" w:hAnsi="Arial" w:cs="Arial"/>
          </w:rPr>
          <w:t>https://bmcpublichealth.biomedcentral.com/articles/10.1186/s12889-024-19655-8</w:t>
        </w:r>
      </w:hyperlink>
      <w:r w:rsidRPr="00653F7F">
        <w:rPr>
          <w:rFonts w:ascii="Arial" w:hAnsi="Arial" w:cs="Arial"/>
        </w:rPr>
        <w:t xml:space="preserve">. </w:t>
      </w:r>
      <w:bookmarkStart w:id="28" w:name="_Hlk209342735"/>
      <w:r w:rsidRPr="00653F7F">
        <w:rPr>
          <w:rFonts w:ascii="Arial" w:hAnsi="Arial" w:cs="Arial"/>
        </w:rPr>
        <w:t>(Accessed: 21 September 2025).</w:t>
      </w:r>
      <w:bookmarkEnd w:id="28"/>
    </w:p>
    <w:p w14:paraId="003050A0" w14:textId="77777777" w:rsidR="00721EE0" w:rsidRPr="00B06AB3" w:rsidRDefault="00721EE0" w:rsidP="00721EE0">
      <w:pPr>
        <w:spacing w:line="360" w:lineRule="auto"/>
        <w:rPr>
          <w:rFonts w:ascii="Arial" w:hAnsi="Arial" w:cs="Arial"/>
        </w:rPr>
      </w:pPr>
      <w:r w:rsidRPr="00B06AB3">
        <w:rPr>
          <w:rFonts w:ascii="Arial" w:hAnsi="Arial" w:cs="Arial"/>
        </w:rPr>
        <w:lastRenderedPageBreak/>
        <w:t xml:space="preserve">International </w:t>
      </w:r>
      <w:proofErr w:type="spellStart"/>
      <w:r w:rsidRPr="00B06AB3">
        <w:rPr>
          <w:rFonts w:ascii="Arial" w:hAnsi="Arial" w:cs="Arial"/>
        </w:rPr>
        <w:t>Center</w:t>
      </w:r>
      <w:proofErr w:type="spellEnd"/>
      <w:r w:rsidRPr="00B06AB3">
        <w:rPr>
          <w:rFonts w:ascii="Arial" w:hAnsi="Arial" w:cs="Arial"/>
        </w:rPr>
        <w:t xml:space="preserve"> for Not-for-Profit Law (ICNL) (2024) ‘South Korea: COVID-19 Civic Freedom Tracker.’ ICNL. Available at: </w:t>
      </w:r>
      <w:hyperlink r:id="rId51" w:history="1">
        <w:r w:rsidRPr="00B06AB3">
          <w:rPr>
            <w:rStyle w:val="Hyperlink"/>
            <w:rFonts w:ascii="Arial" w:hAnsi="Arial" w:cs="Arial"/>
          </w:rPr>
          <w:t>https://www.icnl.org/covid19tracker/south-korea/</w:t>
        </w:r>
      </w:hyperlink>
      <w:r w:rsidRPr="00B06AB3">
        <w:rPr>
          <w:rFonts w:ascii="Arial" w:hAnsi="Arial" w:cs="Arial"/>
        </w:rPr>
        <w:t>. (Accessed: 21 October 2025).</w:t>
      </w:r>
    </w:p>
    <w:p w14:paraId="5891BCC6" w14:textId="77777777" w:rsidR="00721EE0" w:rsidRPr="00721EE0" w:rsidRDefault="00721EE0" w:rsidP="00721EE0">
      <w:pPr>
        <w:spacing w:line="360" w:lineRule="auto"/>
        <w:rPr>
          <w:rFonts w:ascii="Arial" w:hAnsi="Arial" w:cs="Arial"/>
        </w:rPr>
      </w:pPr>
      <w:r w:rsidRPr="00CA363D">
        <w:rPr>
          <w:rFonts w:ascii="Arial" w:hAnsi="Arial" w:cs="Arial"/>
        </w:rPr>
        <w:t xml:space="preserve">Kim, J.H., An, J.A., Oh, S.J., Oh, J., and Lee, J.K (2020) </w:t>
      </w:r>
      <w:r w:rsidRPr="00CA363D">
        <w:rPr>
          <w:rFonts w:ascii="Arial" w:hAnsi="Arial" w:cs="Arial"/>
          <w:i/>
          <w:iCs/>
        </w:rPr>
        <w:t>‘</w:t>
      </w:r>
      <w:r w:rsidRPr="00CA363D">
        <w:rPr>
          <w:rFonts w:ascii="Arial" w:hAnsi="Arial" w:cs="Arial"/>
        </w:rPr>
        <w:t xml:space="preserve">Lessons from South Korea’s MERS outbreak for COVID-19 response.’ </w:t>
      </w:r>
      <w:r w:rsidRPr="00CA363D">
        <w:rPr>
          <w:rFonts w:ascii="Arial" w:hAnsi="Arial" w:cs="Arial"/>
          <w:i/>
          <w:iCs/>
        </w:rPr>
        <w:t>Journal of Global Health</w:t>
      </w:r>
      <w:r w:rsidRPr="00CA363D">
        <w:rPr>
          <w:rFonts w:ascii="Arial" w:hAnsi="Arial" w:cs="Arial"/>
        </w:rPr>
        <w:t xml:space="preserve">, 10(1), Article 010389. Available at: </w:t>
      </w:r>
      <w:hyperlink r:id="rId52" w:history="1">
        <w:r w:rsidRPr="00CA363D">
          <w:rPr>
            <w:rStyle w:val="Hyperlink"/>
            <w:rFonts w:ascii="Arial" w:hAnsi="Arial" w:cs="Arial"/>
          </w:rPr>
          <w:t>https://jogh.org/10.7189/jogh.10.010389</w:t>
        </w:r>
      </w:hyperlink>
      <w:r w:rsidRPr="00CA363D">
        <w:rPr>
          <w:rFonts w:ascii="Arial" w:hAnsi="Arial" w:cs="Arial"/>
        </w:rPr>
        <w:t>. (Accessed: 21 October 2025).</w:t>
      </w:r>
    </w:p>
    <w:p w14:paraId="6A03F00A" w14:textId="77777777" w:rsidR="00721EE0" w:rsidRPr="00653F7F" w:rsidRDefault="00721EE0" w:rsidP="0060041E">
      <w:pPr>
        <w:spacing w:line="360" w:lineRule="auto"/>
        <w:rPr>
          <w:rFonts w:ascii="Arial" w:hAnsi="Arial" w:cs="Arial"/>
        </w:rPr>
      </w:pPr>
      <w:r w:rsidRPr="00653F7F">
        <w:rPr>
          <w:rFonts w:ascii="Arial" w:hAnsi="Arial" w:cs="Arial"/>
        </w:rPr>
        <w:t xml:space="preserve">Kippin, S. &amp; Morphet, J  (2023) </w:t>
      </w:r>
      <w:r>
        <w:rPr>
          <w:rFonts w:ascii="Arial" w:hAnsi="Arial" w:cs="Arial"/>
        </w:rPr>
        <w:t>‘</w:t>
      </w:r>
      <w:r w:rsidRPr="00653F7F">
        <w:rPr>
          <w:rFonts w:ascii="Arial" w:hAnsi="Arial" w:cs="Arial"/>
        </w:rPr>
        <w:t xml:space="preserve">Coordination, agenda-setting, and future planning: the role of Combined Authorities during the COVID-19 Pandemic.’ </w:t>
      </w:r>
      <w:r w:rsidRPr="00653F7F">
        <w:rPr>
          <w:rFonts w:ascii="Arial" w:hAnsi="Arial" w:cs="Arial"/>
          <w:i/>
          <w:iCs/>
        </w:rPr>
        <w:t>International Review of Public Policy,</w:t>
      </w:r>
      <w:r w:rsidRPr="00653F7F">
        <w:rPr>
          <w:rFonts w:ascii="Arial" w:hAnsi="Arial" w:cs="Arial"/>
        </w:rPr>
        <w:t xml:space="preserve"> 5(3), 246–268 Available : </w:t>
      </w:r>
      <w:hyperlink r:id="rId53" w:history="1">
        <w:r w:rsidRPr="00653F7F">
          <w:rPr>
            <w:rStyle w:val="Hyperlink"/>
            <w:rFonts w:ascii="Arial" w:hAnsi="Arial" w:cs="Arial"/>
          </w:rPr>
          <w:t>https://doi.org/10.4000/irpp.3716</w:t>
        </w:r>
      </w:hyperlink>
      <w:r w:rsidRPr="00653F7F">
        <w:rPr>
          <w:rFonts w:ascii="Arial" w:hAnsi="Arial" w:cs="Arial"/>
        </w:rPr>
        <w:t xml:space="preserve">. </w:t>
      </w:r>
    </w:p>
    <w:p w14:paraId="341C9E61" w14:textId="77777777" w:rsidR="00721EE0" w:rsidRPr="00721EE0" w:rsidRDefault="00721EE0" w:rsidP="00721EE0">
      <w:pPr>
        <w:spacing w:line="360" w:lineRule="auto"/>
        <w:rPr>
          <w:rFonts w:ascii="Arial" w:hAnsi="Arial" w:cs="Arial"/>
        </w:rPr>
      </w:pPr>
      <w:r w:rsidRPr="00FA6B23">
        <w:rPr>
          <w:rFonts w:ascii="Arial" w:hAnsi="Arial" w:cs="Arial"/>
        </w:rPr>
        <w:t xml:space="preserve">Korea Herald (2024) ‘Four Years of COVID-19: Lessons for the Next Pandemic – KDCA White Paper.’ </w:t>
      </w:r>
      <w:r w:rsidRPr="00FA6B23">
        <w:rPr>
          <w:rFonts w:ascii="Arial" w:hAnsi="Arial" w:cs="Arial"/>
          <w:i/>
          <w:iCs/>
        </w:rPr>
        <w:t>Korea Disease Control and Prevention Agency</w:t>
      </w:r>
      <w:r w:rsidRPr="00FA6B23">
        <w:rPr>
          <w:rFonts w:ascii="Arial" w:hAnsi="Arial" w:cs="Arial"/>
        </w:rPr>
        <w:t xml:space="preserve">. Available at: </w:t>
      </w:r>
      <w:hyperlink r:id="rId54" w:history="1">
        <w:r w:rsidRPr="00FA6B23">
          <w:rPr>
            <w:rStyle w:val="Hyperlink"/>
            <w:rFonts w:ascii="Arial" w:hAnsi="Arial" w:cs="Arial"/>
          </w:rPr>
          <w:t>https://www.korea.net/Government/Briefing-Room/Press-Releases/view?articleId=7975&amp;type=O&amp;insttCode=A110445</w:t>
        </w:r>
      </w:hyperlink>
      <w:r w:rsidRPr="00721EE0">
        <w:rPr>
          <w:rFonts w:ascii="Arial" w:hAnsi="Arial" w:cs="Arial"/>
        </w:rPr>
        <w:t>.</w:t>
      </w:r>
      <w:r w:rsidRPr="00FA6B23">
        <w:rPr>
          <w:rFonts w:ascii="Arial" w:hAnsi="Arial" w:cs="Arial"/>
        </w:rPr>
        <w:t xml:space="preserve"> (Accessed: 21 October 2025).</w:t>
      </w:r>
    </w:p>
    <w:p w14:paraId="48F4B48C" w14:textId="77777777" w:rsidR="00721EE0" w:rsidRPr="00653F7F" w:rsidRDefault="00721EE0" w:rsidP="0060041E">
      <w:pPr>
        <w:spacing w:line="360" w:lineRule="auto"/>
        <w:rPr>
          <w:rFonts w:ascii="Arial" w:hAnsi="Arial" w:cs="Arial"/>
        </w:rPr>
      </w:pPr>
      <w:proofErr w:type="spellStart"/>
      <w:r w:rsidRPr="00653F7F">
        <w:rPr>
          <w:rFonts w:ascii="Arial" w:hAnsi="Arial" w:cs="Arial"/>
        </w:rPr>
        <w:t>Kusumasari</w:t>
      </w:r>
      <w:proofErr w:type="spellEnd"/>
      <w:r w:rsidRPr="00653F7F">
        <w:rPr>
          <w:rFonts w:ascii="Arial" w:hAnsi="Arial" w:cs="Arial"/>
        </w:rPr>
        <w:t xml:space="preserve">, B., </w:t>
      </w:r>
      <w:proofErr w:type="spellStart"/>
      <w:r w:rsidRPr="00653F7F">
        <w:rPr>
          <w:rFonts w:ascii="Arial" w:hAnsi="Arial" w:cs="Arial"/>
        </w:rPr>
        <w:t>Munajat</w:t>
      </w:r>
      <w:proofErr w:type="spellEnd"/>
      <w:r w:rsidRPr="00653F7F">
        <w:rPr>
          <w:rFonts w:ascii="Arial" w:hAnsi="Arial" w:cs="Arial"/>
        </w:rPr>
        <w:t xml:space="preserve">, M.D.E., Fauzi, F.Z. (2023) ‘Measuring global pandemic governance: how countries respond to COVID-19.’ </w:t>
      </w:r>
      <w:r w:rsidRPr="00653F7F">
        <w:rPr>
          <w:rFonts w:ascii="Arial" w:hAnsi="Arial" w:cs="Arial"/>
          <w:i/>
          <w:iCs/>
        </w:rPr>
        <w:t>Journal of Management and Governance, 27, 603–629.</w:t>
      </w:r>
      <w:r w:rsidRPr="00653F7F">
        <w:rPr>
          <w:rFonts w:ascii="Arial" w:hAnsi="Arial" w:cs="Arial"/>
        </w:rPr>
        <w:t xml:space="preserve">Available at: </w:t>
      </w:r>
      <w:hyperlink r:id="rId55" w:history="1">
        <w:r w:rsidRPr="00653F7F">
          <w:rPr>
            <w:rStyle w:val="Hyperlink"/>
            <w:rFonts w:ascii="Arial" w:hAnsi="Arial" w:cs="Arial"/>
          </w:rPr>
          <w:t>https://link.springer.com/article/10.1007/s10997-022-09647-4</w:t>
        </w:r>
      </w:hyperlink>
      <w:r w:rsidRPr="00653F7F">
        <w:rPr>
          <w:rFonts w:ascii="Arial" w:hAnsi="Arial" w:cs="Arial"/>
        </w:rPr>
        <w:t>. (Accessed: 15 October  25).</w:t>
      </w:r>
    </w:p>
    <w:p w14:paraId="6EBF395F" w14:textId="77777777" w:rsidR="00721EE0" w:rsidRPr="00721EE0" w:rsidRDefault="00721EE0" w:rsidP="00721EE0">
      <w:pPr>
        <w:spacing w:line="360" w:lineRule="auto"/>
        <w:rPr>
          <w:rFonts w:ascii="Arial" w:hAnsi="Arial" w:cs="Arial"/>
        </w:rPr>
      </w:pPr>
      <w:r w:rsidRPr="00752182">
        <w:rPr>
          <w:rFonts w:ascii="Arial" w:hAnsi="Arial" w:cs="Arial"/>
        </w:rPr>
        <w:t xml:space="preserve">Lorente, J., Tamayo, M., </w:t>
      </w:r>
      <w:proofErr w:type="spellStart"/>
      <w:r w:rsidRPr="00752182">
        <w:rPr>
          <w:rFonts w:ascii="Arial" w:hAnsi="Arial" w:cs="Arial"/>
        </w:rPr>
        <w:t>Bazaga</w:t>
      </w:r>
      <w:proofErr w:type="spellEnd"/>
      <w:r w:rsidRPr="00752182">
        <w:rPr>
          <w:rFonts w:ascii="Arial" w:hAnsi="Arial" w:cs="Arial"/>
        </w:rPr>
        <w:t>, I., Sánchez-</w:t>
      </w:r>
      <w:proofErr w:type="spellStart"/>
      <w:r w:rsidRPr="00752182">
        <w:rPr>
          <w:rFonts w:ascii="Arial" w:hAnsi="Arial" w:cs="Arial"/>
        </w:rPr>
        <w:t>Vítores</w:t>
      </w:r>
      <w:proofErr w:type="spellEnd"/>
      <w:r w:rsidRPr="00752182">
        <w:rPr>
          <w:rFonts w:ascii="Arial" w:hAnsi="Arial" w:cs="Arial"/>
        </w:rPr>
        <w:t xml:space="preserve">, I., Postigo, J.L. and Rodríguez, A. (2023) </w:t>
      </w:r>
      <w:r w:rsidRPr="00752182">
        <w:rPr>
          <w:rFonts w:ascii="Arial" w:hAnsi="Arial" w:cs="Arial"/>
          <w:i/>
          <w:iCs/>
        </w:rPr>
        <w:t>‘</w:t>
      </w:r>
      <w:r w:rsidRPr="00752182">
        <w:rPr>
          <w:rFonts w:ascii="Arial" w:hAnsi="Arial" w:cs="Arial"/>
        </w:rPr>
        <w:t xml:space="preserve">Structures, institutions and actors in the response to the COVID-19 crisis in Spain: Challenges, dilemmas and proposals.’ COVINFORM Policy Brief 04. </w:t>
      </w:r>
      <w:r w:rsidRPr="00752182">
        <w:rPr>
          <w:rFonts w:ascii="Arial" w:hAnsi="Arial" w:cs="Arial"/>
          <w:i/>
          <w:iCs/>
        </w:rPr>
        <w:t>Universidad Rey Juan</w:t>
      </w:r>
      <w:r w:rsidRPr="00752182">
        <w:rPr>
          <w:rFonts w:ascii="Arial" w:hAnsi="Arial" w:cs="Arial"/>
        </w:rPr>
        <w:t xml:space="preserve"> </w:t>
      </w:r>
      <w:r w:rsidRPr="00752182">
        <w:rPr>
          <w:rFonts w:ascii="Arial" w:hAnsi="Arial" w:cs="Arial"/>
          <w:i/>
          <w:iCs/>
        </w:rPr>
        <w:t>Carlos.</w:t>
      </w:r>
      <w:r w:rsidRPr="00752182">
        <w:rPr>
          <w:rFonts w:ascii="Arial" w:hAnsi="Arial" w:cs="Arial"/>
        </w:rPr>
        <w:t xml:space="preserve"> Available at: </w:t>
      </w:r>
      <w:hyperlink r:id="rId56" w:history="1">
        <w:r w:rsidRPr="00752182">
          <w:rPr>
            <w:rStyle w:val="Hyperlink"/>
            <w:rFonts w:ascii="Arial" w:hAnsi="Arial" w:cs="Arial"/>
          </w:rPr>
          <w:t>https://www.covinform.eu/wp-content/uploads/sites/39/2023/10/COVINFORM-Brochure-A4-Policy-Brief-04-STRUCTURES-INSTITUTIONS-AND-ACTORS-IN-THE-RESPONSE-TO-THE-COVID-19-CRISIS-IN-SPAIN-Challenges-dilemmas-and-proposals.-1.0.pdf</w:t>
        </w:r>
      </w:hyperlink>
      <w:r w:rsidRPr="00752182">
        <w:rPr>
          <w:rFonts w:ascii="Arial" w:hAnsi="Arial" w:cs="Arial"/>
        </w:rPr>
        <w:t>. (Accessed: 21 October 2025).</w:t>
      </w:r>
    </w:p>
    <w:p w14:paraId="3908DB89" w14:textId="77777777" w:rsidR="00721EE0" w:rsidRPr="00653F7F" w:rsidRDefault="00721EE0" w:rsidP="0060041E">
      <w:pPr>
        <w:spacing w:line="360" w:lineRule="auto"/>
        <w:rPr>
          <w:rFonts w:ascii="Arial" w:hAnsi="Arial" w:cs="Arial"/>
        </w:rPr>
      </w:pPr>
      <w:r w:rsidRPr="00653F7F">
        <w:rPr>
          <w:rFonts w:ascii="Arial" w:hAnsi="Arial" w:cs="Arial"/>
        </w:rPr>
        <w:t xml:space="preserve">Mac-Seing, M., Gidey, M. and Di Ruggiero, E. (2023) ‘COVID-19-related global health governance and population health priorities for health equity in G20 countries: a scoping review’, </w:t>
      </w:r>
      <w:r w:rsidRPr="00653F7F">
        <w:rPr>
          <w:rFonts w:ascii="Arial" w:hAnsi="Arial" w:cs="Arial"/>
          <w:i/>
          <w:iCs/>
        </w:rPr>
        <w:t>International Journal for Equity in Health, 22(232</w:t>
      </w:r>
      <w:r w:rsidRPr="00653F7F">
        <w:rPr>
          <w:rFonts w:ascii="Arial" w:hAnsi="Arial" w:cs="Arial"/>
        </w:rPr>
        <w:t xml:space="preserve">). Available at: </w:t>
      </w:r>
      <w:hyperlink r:id="rId57" w:history="1">
        <w:r w:rsidRPr="00653F7F">
          <w:rPr>
            <w:rStyle w:val="Hyperlink"/>
            <w:rFonts w:ascii="Arial" w:hAnsi="Arial" w:cs="Arial"/>
          </w:rPr>
          <w:t>https://equityhealthj.biomedcentral.com/articles/10.1186/s12939-023-02045-8</w:t>
        </w:r>
      </w:hyperlink>
      <w:r w:rsidRPr="00653F7F">
        <w:rPr>
          <w:rFonts w:ascii="Arial" w:hAnsi="Arial" w:cs="Arial"/>
        </w:rPr>
        <w:t>.  (Accessed: 25 September 2025).</w:t>
      </w:r>
    </w:p>
    <w:p w14:paraId="23DAF182" w14:textId="77777777" w:rsidR="00721EE0" w:rsidRPr="00051437" w:rsidRDefault="00721EE0" w:rsidP="00721EE0">
      <w:pPr>
        <w:spacing w:line="360" w:lineRule="auto"/>
        <w:rPr>
          <w:rFonts w:ascii="Arial" w:hAnsi="Arial" w:cs="Arial"/>
        </w:rPr>
      </w:pPr>
      <w:r w:rsidRPr="00051437">
        <w:rPr>
          <w:rFonts w:ascii="Arial" w:hAnsi="Arial" w:cs="Arial"/>
        </w:rPr>
        <w:t xml:space="preserve">Marchildon, G.P., Allin, S., Fitzpatrick, T. and Quesnel-Vallée, A. (2021) ‘The federal government and Canada’s COVID-19 responses: from “we’re ready, we’re prepared” to “fires are burning”.’ </w:t>
      </w:r>
      <w:r w:rsidRPr="00051437">
        <w:rPr>
          <w:rFonts w:ascii="Arial" w:hAnsi="Arial" w:cs="Arial"/>
          <w:i/>
          <w:iCs/>
        </w:rPr>
        <w:t>Health Economics, Policy and Law</w:t>
      </w:r>
      <w:r w:rsidRPr="00051437">
        <w:rPr>
          <w:rFonts w:ascii="Arial" w:hAnsi="Arial" w:cs="Arial"/>
        </w:rPr>
        <w:t xml:space="preserve">, 17(S1), pp.76–94. Available at: </w:t>
      </w:r>
      <w:hyperlink r:id="rId58" w:history="1">
        <w:r w:rsidRPr="00051437">
          <w:rPr>
            <w:rStyle w:val="Hyperlink"/>
            <w:rFonts w:ascii="Arial" w:hAnsi="Arial" w:cs="Arial"/>
          </w:rPr>
          <w:t>https://doi.org/10.1017/S1744133121000220</w:t>
        </w:r>
      </w:hyperlink>
      <w:r w:rsidRPr="00051437">
        <w:rPr>
          <w:rFonts w:ascii="Arial" w:hAnsi="Arial" w:cs="Arial"/>
        </w:rPr>
        <w:t xml:space="preserve">. </w:t>
      </w:r>
    </w:p>
    <w:p w14:paraId="216FE0CB" w14:textId="77777777" w:rsidR="00721EE0" w:rsidRPr="00653F7F" w:rsidRDefault="00721EE0" w:rsidP="0060041E">
      <w:pPr>
        <w:spacing w:line="360" w:lineRule="auto"/>
        <w:rPr>
          <w:rFonts w:ascii="Arial" w:hAnsi="Arial" w:cs="Arial"/>
        </w:rPr>
      </w:pPr>
      <w:r w:rsidRPr="00653F7F">
        <w:rPr>
          <w:rFonts w:ascii="Arial" w:hAnsi="Arial" w:cs="Arial"/>
        </w:rPr>
        <w:t>Martinho, V.J.P.D., (2021) ‘Impact of Covid</w:t>
      </w:r>
      <w:r w:rsidRPr="00653F7F">
        <w:rPr>
          <w:rFonts w:ascii="Cambria Math" w:hAnsi="Cambria Math" w:cs="Cambria Math"/>
        </w:rPr>
        <w:t>‐</w:t>
      </w:r>
      <w:r w:rsidRPr="00653F7F">
        <w:rPr>
          <w:rFonts w:ascii="Arial" w:hAnsi="Arial" w:cs="Arial"/>
        </w:rPr>
        <w:t>19 on the convergence of GDP per capita in OECD countries.’ </w:t>
      </w:r>
      <w:r w:rsidRPr="00653F7F">
        <w:rPr>
          <w:rFonts w:ascii="Arial" w:hAnsi="Arial" w:cs="Arial"/>
          <w:i/>
          <w:iCs/>
        </w:rPr>
        <w:t>Regional Science Policy &amp; Practice</w:t>
      </w:r>
      <w:r w:rsidRPr="00653F7F">
        <w:rPr>
          <w:rFonts w:ascii="Arial" w:hAnsi="Arial" w:cs="Arial"/>
        </w:rPr>
        <w:t>, </w:t>
      </w:r>
      <w:r w:rsidRPr="00653F7F">
        <w:rPr>
          <w:rFonts w:ascii="Arial" w:hAnsi="Arial" w:cs="Arial"/>
          <w:i/>
          <w:iCs/>
        </w:rPr>
        <w:t>13</w:t>
      </w:r>
      <w:r w:rsidRPr="00653F7F">
        <w:rPr>
          <w:rFonts w:ascii="Arial" w:hAnsi="Arial" w:cs="Arial"/>
        </w:rPr>
        <w:t xml:space="preserve">, pp.55-72. Available at: </w:t>
      </w:r>
      <w:hyperlink r:id="rId59" w:history="1">
        <w:r w:rsidRPr="00653F7F">
          <w:rPr>
            <w:rStyle w:val="Hyperlink"/>
            <w:rFonts w:ascii="Arial" w:hAnsi="Arial" w:cs="Arial"/>
          </w:rPr>
          <w:t>https://doi.org/10.1111/rsp3.12435</w:t>
        </w:r>
      </w:hyperlink>
      <w:r w:rsidRPr="00653F7F">
        <w:rPr>
          <w:rFonts w:ascii="Arial" w:hAnsi="Arial" w:cs="Arial"/>
        </w:rPr>
        <w:t>.</w:t>
      </w:r>
    </w:p>
    <w:p w14:paraId="5C0F9A0B" w14:textId="77777777" w:rsidR="00721EE0" w:rsidRPr="00653F7F" w:rsidRDefault="00721EE0" w:rsidP="0060041E">
      <w:pPr>
        <w:spacing w:line="360" w:lineRule="auto"/>
        <w:rPr>
          <w:rFonts w:ascii="Arial" w:hAnsi="Arial" w:cs="Arial"/>
        </w:rPr>
      </w:pPr>
      <w:r w:rsidRPr="00653F7F">
        <w:rPr>
          <w:rFonts w:ascii="Arial" w:hAnsi="Arial" w:cs="Arial"/>
        </w:rPr>
        <w:t xml:space="preserve">Migliori, G.B., Tiberi, S., Zumla, A., Petersen, E., </w:t>
      </w:r>
      <w:proofErr w:type="spellStart"/>
      <w:r w:rsidRPr="00653F7F">
        <w:rPr>
          <w:rFonts w:ascii="Arial" w:hAnsi="Arial" w:cs="Arial"/>
        </w:rPr>
        <w:t>Chakaya</w:t>
      </w:r>
      <w:proofErr w:type="spellEnd"/>
      <w:r w:rsidRPr="00653F7F">
        <w:rPr>
          <w:rFonts w:ascii="Arial" w:hAnsi="Arial" w:cs="Arial"/>
        </w:rPr>
        <w:t xml:space="preserve">, J.M., Wejse, C., Torrico, M.M., Duarte, R., </w:t>
      </w:r>
      <w:proofErr w:type="spellStart"/>
      <w:r w:rsidRPr="00653F7F">
        <w:rPr>
          <w:rFonts w:ascii="Arial" w:hAnsi="Arial" w:cs="Arial"/>
        </w:rPr>
        <w:t>Alffenaar</w:t>
      </w:r>
      <w:proofErr w:type="spellEnd"/>
      <w:r w:rsidRPr="00653F7F">
        <w:rPr>
          <w:rFonts w:ascii="Arial" w:hAnsi="Arial" w:cs="Arial"/>
        </w:rPr>
        <w:t>, J.W., Schaaf, H.S. and Marais, B.J (</w:t>
      </w:r>
      <w:r>
        <w:rPr>
          <w:rFonts w:ascii="Arial" w:hAnsi="Arial" w:cs="Arial"/>
        </w:rPr>
        <w:t>2</w:t>
      </w:r>
      <w:r w:rsidRPr="00653F7F">
        <w:rPr>
          <w:rFonts w:ascii="Arial" w:hAnsi="Arial" w:cs="Arial"/>
        </w:rPr>
        <w:t xml:space="preserve">020) ‘MDR/XDR-TB management of patients and contacts: Challenges facing the new decade.’  The 2020 clinical update by the Global Tuberculosis Network. </w:t>
      </w:r>
      <w:r w:rsidRPr="00653F7F">
        <w:rPr>
          <w:rFonts w:ascii="Arial" w:hAnsi="Arial" w:cs="Arial"/>
          <w:i/>
          <w:iCs/>
        </w:rPr>
        <w:t xml:space="preserve">International Journal of Infectious Diseases, </w:t>
      </w:r>
      <w:r w:rsidRPr="00653F7F">
        <w:rPr>
          <w:rFonts w:ascii="Arial" w:hAnsi="Arial" w:cs="Arial"/>
        </w:rPr>
        <w:t xml:space="preserve">92, pp.S15-S25. Available at: </w:t>
      </w:r>
      <w:hyperlink r:id="rId60" w:history="1">
        <w:r w:rsidRPr="00653F7F">
          <w:rPr>
            <w:rStyle w:val="Hyperlink"/>
            <w:rFonts w:ascii="Arial" w:hAnsi="Arial" w:cs="Arial"/>
          </w:rPr>
          <w:t>https://doi.org/10.1016/j.ijid.2020.01.042</w:t>
        </w:r>
      </w:hyperlink>
      <w:r w:rsidRPr="00653F7F">
        <w:rPr>
          <w:rFonts w:ascii="Arial" w:hAnsi="Arial" w:cs="Arial"/>
        </w:rPr>
        <w:t xml:space="preserve">. </w:t>
      </w:r>
    </w:p>
    <w:p w14:paraId="5D959114" w14:textId="77777777" w:rsidR="00721EE0" w:rsidRPr="00653F7F" w:rsidRDefault="00721EE0" w:rsidP="0060041E">
      <w:pPr>
        <w:spacing w:line="360" w:lineRule="auto"/>
        <w:rPr>
          <w:rFonts w:ascii="Arial" w:hAnsi="Arial" w:cs="Arial"/>
        </w:rPr>
      </w:pPr>
      <w:r w:rsidRPr="00653F7F">
        <w:rPr>
          <w:rFonts w:ascii="Arial" w:hAnsi="Arial" w:cs="Arial"/>
        </w:rPr>
        <w:t xml:space="preserve">Navarro, C. &amp; Velasco, F. (2022) ‘From centralisation to new ways of multi-level coordination: Spain’s intergovernmental response to the COVID-19 pandemic.’ </w:t>
      </w:r>
      <w:r w:rsidRPr="00653F7F">
        <w:rPr>
          <w:rFonts w:ascii="Arial" w:hAnsi="Arial" w:cs="Arial"/>
          <w:i/>
          <w:iCs/>
        </w:rPr>
        <w:t>Local Government Studies,</w:t>
      </w:r>
      <w:r w:rsidRPr="00653F7F">
        <w:rPr>
          <w:rFonts w:ascii="Arial" w:hAnsi="Arial" w:cs="Arial"/>
        </w:rPr>
        <w:t xml:space="preserve"> 48(2), 191–21 Available at: </w:t>
      </w:r>
      <w:hyperlink r:id="rId61" w:history="1">
        <w:r w:rsidRPr="00653F7F">
          <w:rPr>
            <w:rStyle w:val="Hyperlink"/>
            <w:rFonts w:ascii="Arial" w:hAnsi="Arial" w:cs="Arial"/>
          </w:rPr>
          <w:t>https://doi.org/10.1080/03003930.2022.2042683</w:t>
        </w:r>
      </w:hyperlink>
      <w:r w:rsidRPr="00653F7F">
        <w:rPr>
          <w:rFonts w:ascii="Arial" w:hAnsi="Arial" w:cs="Arial"/>
        </w:rPr>
        <w:t xml:space="preserve">. </w:t>
      </w:r>
    </w:p>
    <w:p w14:paraId="25B84956" w14:textId="77777777" w:rsidR="00721EE0" w:rsidRPr="00031586" w:rsidRDefault="00721EE0" w:rsidP="00721EE0">
      <w:pPr>
        <w:spacing w:line="360" w:lineRule="auto"/>
        <w:rPr>
          <w:rFonts w:ascii="Arial" w:hAnsi="Arial" w:cs="Arial"/>
        </w:rPr>
      </w:pPr>
      <w:r w:rsidRPr="00031586">
        <w:rPr>
          <w:rFonts w:ascii="Arial" w:hAnsi="Arial" w:cs="Arial"/>
        </w:rPr>
        <w:t xml:space="preserve">Northouse, P.G. (2021) ‘Leadership: Theory and Practice.’ 9th </w:t>
      </w:r>
      <w:proofErr w:type="spellStart"/>
      <w:r w:rsidRPr="00031586">
        <w:rPr>
          <w:rFonts w:ascii="Arial" w:hAnsi="Arial" w:cs="Arial"/>
        </w:rPr>
        <w:t>edn</w:t>
      </w:r>
      <w:proofErr w:type="spellEnd"/>
      <w:r w:rsidRPr="00031586">
        <w:rPr>
          <w:rFonts w:ascii="Arial" w:hAnsi="Arial" w:cs="Arial"/>
          <w:i/>
          <w:iCs/>
        </w:rPr>
        <w:t>. London: Sage</w:t>
      </w:r>
      <w:r w:rsidRPr="00031586">
        <w:rPr>
          <w:rFonts w:ascii="Arial" w:hAnsi="Arial" w:cs="Arial"/>
        </w:rPr>
        <w:t xml:space="preserve"> Publications. Available at: </w:t>
      </w:r>
      <w:hyperlink r:id="rId62" w:history="1">
        <w:r w:rsidRPr="00031586">
          <w:rPr>
            <w:rStyle w:val="Hyperlink"/>
            <w:rFonts w:ascii="Arial" w:hAnsi="Arial" w:cs="Arial"/>
          </w:rPr>
          <w:t>https://collegepublishing.sagepub.com/products/leadership-9-270138</w:t>
        </w:r>
      </w:hyperlink>
      <w:r w:rsidRPr="00031586">
        <w:rPr>
          <w:rFonts w:ascii="Arial" w:hAnsi="Arial" w:cs="Arial"/>
        </w:rPr>
        <w:t>. (Accessed: 21 October 2025).</w:t>
      </w:r>
    </w:p>
    <w:p w14:paraId="29E22948" w14:textId="77777777" w:rsidR="00721EE0" w:rsidRPr="00653F7F" w:rsidRDefault="00721EE0" w:rsidP="0060041E">
      <w:pPr>
        <w:spacing w:line="360" w:lineRule="auto"/>
        <w:rPr>
          <w:rFonts w:ascii="Arial" w:hAnsi="Arial" w:cs="Arial"/>
        </w:rPr>
      </w:pPr>
      <w:r w:rsidRPr="00653F7F">
        <w:rPr>
          <w:rFonts w:ascii="Arial" w:hAnsi="Arial" w:cs="Arial"/>
        </w:rPr>
        <w:t xml:space="preserve">OECD (2021) ‘The territorial impact of COVID-19: Managing the crisis across levels of government.’ </w:t>
      </w:r>
      <w:r w:rsidRPr="00653F7F">
        <w:rPr>
          <w:rFonts w:ascii="Arial" w:hAnsi="Arial" w:cs="Arial"/>
          <w:i/>
          <w:iCs/>
        </w:rPr>
        <w:t>Paris: OECD</w:t>
      </w:r>
      <w:r w:rsidRPr="00653F7F">
        <w:rPr>
          <w:rFonts w:ascii="Arial" w:hAnsi="Arial" w:cs="Arial"/>
        </w:rPr>
        <w:t xml:space="preserve"> Publishing. Available at: </w:t>
      </w:r>
      <w:hyperlink r:id="rId63" w:history="1">
        <w:r w:rsidRPr="00653F7F">
          <w:rPr>
            <w:rStyle w:val="Hyperlink"/>
            <w:rFonts w:ascii="Arial" w:hAnsi="Arial" w:cs="Arial"/>
          </w:rPr>
          <w:t>https://doi.org/10.1080/00343404.2021.1983164</w:t>
        </w:r>
      </w:hyperlink>
    </w:p>
    <w:p w14:paraId="64567C1B" w14:textId="77777777" w:rsidR="00721EE0" w:rsidRPr="00653F7F" w:rsidRDefault="00721EE0" w:rsidP="0060041E">
      <w:pPr>
        <w:spacing w:line="360" w:lineRule="auto"/>
        <w:rPr>
          <w:rFonts w:ascii="Arial" w:hAnsi="Arial" w:cs="Arial"/>
        </w:rPr>
      </w:pPr>
      <w:r w:rsidRPr="00653F7F">
        <w:rPr>
          <w:rFonts w:ascii="Arial" w:hAnsi="Arial" w:cs="Arial"/>
        </w:rPr>
        <w:t xml:space="preserve">OECD (2023) ‘Health at a Glance 2023: Integrated Care.’ </w:t>
      </w:r>
      <w:r w:rsidRPr="00653F7F">
        <w:rPr>
          <w:rFonts w:ascii="Arial" w:hAnsi="Arial" w:cs="Arial"/>
          <w:i/>
          <w:iCs/>
        </w:rPr>
        <w:t>Paris: OECD</w:t>
      </w:r>
      <w:r w:rsidRPr="00653F7F">
        <w:rPr>
          <w:rFonts w:ascii="Arial" w:hAnsi="Arial" w:cs="Arial"/>
        </w:rPr>
        <w:t xml:space="preserve"> Publishing. Available at: </w:t>
      </w:r>
      <w:hyperlink r:id="rId64" w:history="1">
        <w:r w:rsidRPr="00653F7F">
          <w:rPr>
            <w:rStyle w:val="Hyperlink"/>
            <w:rFonts w:ascii="Arial" w:hAnsi="Arial" w:cs="Arial"/>
          </w:rPr>
          <w:t>https://www.oecd.org/en/publications/health-at-a-glance-2023_7a7afb35-en/full-report/integrated-care_5ffd491c.html</w:t>
        </w:r>
      </w:hyperlink>
      <w:r w:rsidRPr="00653F7F">
        <w:rPr>
          <w:rFonts w:ascii="Arial" w:hAnsi="Arial" w:cs="Arial"/>
        </w:rPr>
        <w:t xml:space="preserve">.  (Accessed: 21 September 2025).  </w:t>
      </w:r>
    </w:p>
    <w:p w14:paraId="64E4068D" w14:textId="77777777" w:rsidR="00721EE0" w:rsidRPr="00653F7F" w:rsidRDefault="00721EE0" w:rsidP="0060041E">
      <w:pPr>
        <w:spacing w:line="360" w:lineRule="auto"/>
        <w:rPr>
          <w:rFonts w:ascii="Arial" w:hAnsi="Arial" w:cs="Arial"/>
        </w:rPr>
      </w:pPr>
      <w:r w:rsidRPr="00653F7F">
        <w:rPr>
          <w:rFonts w:ascii="Arial" w:hAnsi="Arial" w:cs="Arial"/>
        </w:rPr>
        <w:lastRenderedPageBreak/>
        <w:t>OpenAI (2025) ‘Spain’s COVID-19 Journey</w:t>
      </w:r>
      <w:r>
        <w:rPr>
          <w:rFonts w:ascii="Arial" w:hAnsi="Arial" w:cs="Arial"/>
        </w:rPr>
        <w:t xml:space="preserve">, </w:t>
      </w:r>
      <w:r w:rsidRPr="00653F7F">
        <w:rPr>
          <w:rFonts w:ascii="Arial" w:hAnsi="Arial" w:cs="Arial"/>
        </w:rPr>
        <w:t xml:space="preserve">A Rich Contextual Overview, infographic,’ created using ChatGPT (GPT-5). Available at: </w:t>
      </w:r>
      <w:hyperlink r:id="rId65" w:history="1">
        <w:r w:rsidRPr="00653F7F">
          <w:rPr>
            <w:rStyle w:val="Hyperlink"/>
            <w:rFonts w:ascii="Arial" w:hAnsi="Arial" w:cs="Arial"/>
          </w:rPr>
          <w:t>https://chat.openai.com/</w:t>
        </w:r>
      </w:hyperlink>
      <w:r w:rsidRPr="00653F7F">
        <w:rPr>
          <w:rFonts w:ascii="Arial" w:hAnsi="Arial" w:cs="Arial"/>
        </w:rPr>
        <w:t>.  (Accessed: 11 October 2025).</w:t>
      </w:r>
      <w:r w:rsidRPr="00653F7F">
        <w:rPr>
          <w:rFonts w:ascii="Arial" w:hAnsi="Arial" w:cs="Arial"/>
        </w:rPr>
        <w:br/>
        <w:t>Organisation for Economic Co-operation and Development. (2021) ‘Health at a Glance 2021: OECD.’</w:t>
      </w:r>
      <w:r w:rsidRPr="00653F7F">
        <w:rPr>
          <w:rFonts w:ascii="Arial" w:hAnsi="Arial" w:cs="Arial"/>
          <w:i/>
          <w:iCs/>
        </w:rPr>
        <w:t xml:space="preserve"> </w:t>
      </w:r>
      <w:r w:rsidRPr="00653F7F">
        <w:rPr>
          <w:rFonts w:ascii="Arial" w:hAnsi="Arial" w:cs="Arial"/>
        </w:rPr>
        <w:t xml:space="preserve">Indicators. </w:t>
      </w:r>
      <w:r w:rsidRPr="00653F7F">
        <w:rPr>
          <w:rFonts w:ascii="Arial" w:hAnsi="Arial" w:cs="Arial"/>
          <w:i/>
          <w:iCs/>
        </w:rPr>
        <w:t>Paris: OECD Publishing</w:t>
      </w:r>
      <w:r w:rsidRPr="00653F7F">
        <w:rPr>
          <w:rFonts w:ascii="Arial" w:hAnsi="Arial" w:cs="Arial"/>
        </w:rPr>
        <w:t xml:space="preserve">. Available at: </w:t>
      </w:r>
      <w:hyperlink r:id="rId66" w:history="1">
        <w:r w:rsidRPr="00653F7F">
          <w:rPr>
            <w:rStyle w:val="Hyperlink"/>
            <w:rFonts w:ascii="Arial" w:hAnsi="Arial" w:cs="Arial"/>
          </w:rPr>
          <w:t>https://www.oecd.org/health/health-at-a-glance/</w:t>
        </w:r>
      </w:hyperlink>
      <w:r w:rsidRPr="00653F7F">
        <w:rPr>
          <w:rFonts w:ascii="Arial" w:hAnsi="Arial" w:cs="Arial"/>
        </w:rPr>
        <w:t xml:space="preserve">.   </w:t>
      </w:r>
      <w:bookmarkStart w:id="29" w:name="_Hlk209329944"/>
      <w:r w:rsidRPr="00653F7F">
        <w:rPr>
          <w:rFonts w:ascii="Arial" w:hAnsi="Arial" w:cs="Arial"/>
        </w:rPr>
        <w:t>(Accessed: 27 April 2024).</w:t>
      </w:r>
      <w:bookmarkEnd w:id="29"/>
    </w:p>
    <w:p w14:paraId="1ADC3AE6" w14:textId="77777777" w:rsidR="00721EE0" w:rsidRPr="00B46AF1" w:rsidRDefault="00721EE0" w:rsidP="00721EE0">
      <w:pPr>
        <w:spacing w:line="360" w:lineRule="auto"/>
        <w:rPr>
          <w:rFonts w:ascii="Arial" w:hAnsi="Arial" w:cs="Arial"/>
        </w:rPr>
      </w:pPr>
      <w:r w:rsidRPr="00B46AF1">
        <w:rPr>
          <w:rFonts w:ascii="Arial" w:hAnsi="Arial" w:cs="Arial"/>
        </w:rPr>
        <w:t xml:space="preserve">Organisation for Economic Co-operation and Development (OECD) (2024) ‘Health at a Glance 2023: OECD Indicators.’ </w:t>
      </w:r>
      <w:r w:rsidRPr="00B46AF1">
        <w:rPr>
          <w:rFonts w:ascii="Arial" w:hAnsi="Arial" w:cs="Arial"/>
          <w:i/>
          <w:iCs/>
        </w:rPr>
        <w:t>OECD Publishing</w:t>
      </w:r>
      <w:r w:rsidRPr="00B46AF1">
        <w:rPr>
          <w:rFonts w:ascii="Arial" w:hAnsi="Arial" w:cs="Arial"/>
        </w:rPr>
        <w:t xml:space="preserve">. Available at: </w:t>
      </w:r>
      <w:hyperlink r:id="rId67" w:history="1">
        <w:r w:rsidRPr="00B46AF1">
          <w:rPr>
            <w:rStyle w:val="Hyperlink"/>
            <w:rFonts w:ascii="Arial" w:hAnsi="Arial" w:cs="Arial"/>
          </w:rPr>
          <w:t>https://www.oecd.org/health/health-at-a-glance.htm</w:t>
        </w:r>
      </w:hyperlink>
      <w:r w:rsidRPr="00B46AF1">
        <w:rPr>
          <w:rFonts w:ascii="Arial" w:hAnsi="Arial" w:cs="Arial"/>
        </w:rPr>
        <w:t>. (Accessed: 21 October 2025).</w:t>
      </w:r>
    </w:p>
    <w:p w14:paraId="0DCC3DB5" w14:textId="77777777" w:rsidR="00721EE0" w:rsidRPr="0051167E" w:rsidRDefault="00721EE0" w:rsidP="00721EE0">
      <w:pPr>
        <w:spacing w:line="360" w:lineRule="auto"/>
        <w:rPr>
          <w:rFonts w:ascii="Arial" w:hAnsi="Arial" w:cs="Arial"/>
        </w:rPr>
      </w:pPr>
      <w:r w:rsidRPr="0051167E">
        <w:rPr>
          <w:rFonts w:ascii="Arial" w:hAnsi="Arial" w:cs="Arial"/>
        </w:rPr>
        <w:t xml:space="preserve">Our World in Data (2024) </w:t>
      </w:r>
      <w:r w:rsidRPr="0051167E">
        <w:rPr>
          <w:rFonts w:ascii="Arial" w:hAnsi="Arial" w:cs="Arial"/>
          <w:i/>
          <w:iCs/>
        </w:rPr>
        <w:t>‘</w:t>
      </w:r>
      <w:r w:rsidRPr="0051167E">
        <w:rPr>
          <w:rFonts w:ascii="Arial" w:hAnsi="Arial" w:cs="Arial"/>
        </w:rPr>
        <w:t>Spain: Coronavirus Pandemic Country Profile.</w:t>
      </w:r>
      <w:r w:rsidRPr="0051167E">
        <w:rPr>
          <w:rFonts w:ascii="Arial" w:hAnsi="Arial" w:cs="Arial"/>
          <w:i/>
          <w:iCs/>
        </w:rPr>
        <w:t>’</w:t>
      </w:r>
      <w:r w:rsidRPr="0051167E">
        <w:rPr>
          <w:rFonts w:ascii="Arial" w:hAnsi="Arial" w:cs="Arial"/>
        </w:rPr>
        <w:t xml:space="preserve"> </w:t>
      </w:r>
      <w:r w:rsidRPr="0051167E">
        <w:rPr>
          <w:rFonts w:ascii="Arial" w:hAnsi="Arial" w:cs="Arial"/>
          <w:i/>
          <w:iCs/>
        </w:rPr>
        <w:t>Our World in Data</w:t>
      </w:r>
      <w:r w:rsidRPr="0051167E">
        <w:rPr>
          <w:rFonts w:ascii="Arial" w:hAnsi="Arial" w:cs="Arial"/>
        </w:rPr>
        <w:t xml:space="preserve">. Available at: </w:t>
      </w:r>
      <w:hyperlink r:id="rId68" w:history="1">
        <w:r w:rsidRPr="0051167E">
          <w:rPr>
            <w:rStyle w:val="Hyperlink"/>
            <w:rFonts w:ascii="Arial" w:hAnsi="Arial" w:cs="Arial"/>
          </w:rPr>
          <w:t>https://ourworldindata.org/coronavirus/country/spain</w:t>
        </w:r>
      </w:hyperlink>
      <w:r w:rsidRPr="0051167E">
        <w:rPr>
          <w:rFonts w:ascii="Arial" w:hAnsi="Arial" w:cs="Arial"/>
        </w:rPr>
        <w:t>. (Accessed: 21 October 2025).</w:t>
      </w:r>
    </w:p>
    <w:p w14:paraId="6F680C69" w14:textId="77777777" w:rsidR="00721EE0" w:rsidRPr="00653F7F" w:rsidRDefault="00721EE0" w:rsidP="0060041E">
      <w:pPr>
        <w:spacing w:line="360" w:lineRule="auto"/>
        <w:rPr>
          <w:rFonts w:ascii="Arial" w:hAnsi="Arial" w:cs="Arial"/>
          <w:i/>
          <w:iCs/>
        </w:rPr>
      </w:pPr>
      <w:r w:rsidRPr="00653F7F">
        <w:rPr>
          <w:rFonts w:ascii="Arial" w:hAnsi="Arial" w:cs="Arial"/>
        </w:rPr>
        <w:t xml:space="preserve">Ramsbottom, C. (2022) ‘Policy Coordination in a Federal State: Lessons from the Canadian Covid-19 Vaccine Implementation Experience.’ </w:t>
      </w:r>
      <w:r w:rsidRPr="00653F7F">
        <w:rPr>
          <w:rFonts w:ascii="Arial" w:hAnsi="Arial" w:cs="Arial"/>
          <w:i/>
          <w:iCs/>
        </w:rPr>
        <w:t>MA Thesis, Simon Fraser University.</w:t>
      </w:r>
      <w:r w:rsidRPr="00653F7F">
        <w:rPr>
          <w:rFonts w:ascii="Arial" w:hAnsi="Arial" w:cs="Arial"/>
        </w:rPr>
        <w:t xml:space="preserve">  Available at : </w:t>
      </w:r>
      <w:hyperlink r:id="rId69" w:history="1">
        <w:r w:rsidRPr="00653F7F">
          <w:rPr>
            <w:rStyle w:val="Hyperlink"/>
            <w:rFonts w:ascii="Arial" w:hAnsi="Arial" w:cs="Arial"/>
          </w:rPr>
          <w:t>https://summit.sfu.ca/item/35749</w:t>
        </w:r>
      </w:hyperlink>
      <w:r w:rsidRPr="00653F7F">
        <w:rPr>
          <w:rFonts w:ascii="Arial" w:hAnsi="Arial" w:cs="Arial"/>
        </w:rPr>
        <w:t>. (Accessed: 15 October  25)</w:t>
      </w:r>
      <w:r w:rsidRPr="00653F7F">
        <w:rPr>
          <w:rFonts w:ascii="Arial" w:hAnsi="Arial" w:cs="Arial"/>
          <w:i/>
          <w:iCs/>
        </w:rPr>
        <w:t>.</w:t>
      </w:r>
      <w:r w:rsidRPr="00653F7F">
        <w:rPr>
          <w:rFonts w:ascii="Arial" w:hAnsi="Arial" w:cs="Arial"/>
        </w:rPr>
        <w:br/>
        <w:t xml:space="preserve">Sachs, J.D., Karim, S.S.A., Aknin, L., Allen, J., Brosbøl, K., Colombo, F., Cuevas Barron, G., Espinosa, M.F., Gaspar, V., Gaviria, A., Haines, A., Hotez, P.J., </w:t>
      </w:r>
      <w:proofErr w:type="spellStart"/>
      <w:r w:rsidRPr="00653F7F">
        <w:rPr>
          <w:rFonts w:ascii="Arial" w:hAnsi="Arial" w:cs="Arial"/>
        </w:rPr>
        <w:t>Koundouri</w:t>
      </w:r>
      <w:proofErr w:type="spellEnd"/>
      <w:r w:rsidRPr="00653F7F">
        <w:rPr>
          <w:rFonts w:ascii="Arial" w:hAnsi="Arial" w:cs="Arial"/>
        </w:rPr>
        <w:t xml:space="preserve">, P., Larraín Bascuñán, F., Lee, J.-K., Pate, M.A., Ramos, G., Reddy, K.S., Serageldin, I., Thwaites, J., </w:t>
      </w:r>
      <w:proofErr w:type="spellStart"/>
      <w:r w:rsidRPr="00653F7F">
        <w:rPr>
          <w:rFonts w:ascii="Arial" w:hAnsi="Arial" w:cs="Arial"/>
        </w:rPr>
        <w:t>Vike-Freiberga</w:t>
      </w:r>
      <w:proofErr w:type="spellEnd"/>
      <w:r w:rsidRPr="00653F7F">
        <w:rPr>
          <w:rFonts w:ascii="Arial" w:hAnsi="Arial" w:cs="Arial"/>
        </w:rPr>
        <w:t xml:space="preserve">, V., Wang, C., Were, M.K., Xue, L., Bahadur, C., Bottazzi, M.E., Bullen, C., Laryea-Adjei, G., Ben Amor, Y., Karadag Caman, O., Lafortune, G., Torres, E., Barredo, L., Bartels, J.G.E., Joshi, N., Hellard, M., Huynh, U.K., Khandelwal, S., Lazarus, J.V. and Michie, S. (2022) ‘The Lancet Commission on lessons for the future from the COVID-19 pandemic’, </w:t>
      </w:r>
      <w:r w:rsidRPr="00653F7F">
        <w:rPr>
          <w:rFonts w:ascii="Arial" w:hAnsi="Arial" w:cs="Arial"/>
          <w:i/>
          <w:iCs/>
        </w:rPr>
        <w:t>The Lancet</w:t>
      </w:r>
      <w:r w:rsidRPr="00653F7F">
        <w:rPr>
          <w:rFonts w:ascii="Arial" w:hAnsi="Arial" w:cs="Arial"/>
        </w:rPr>
        <w:t xml:space="preserve">, 400(10359), pp. 1224–1280. Available at: </w:t>
      </w:r>
      <w:hyperlink r:id="rId70" w:history="1">
        <w:r w:rsidRPr="00653F7F">
          <w:rPr>
            <w:rStyle w:val="Hyperlink"/>
            <w:rFonts w:ascii="Arial" w:hAnsi="Arial" w:cs="Arial"/>
          </w:rPr>
          <w:t>https://www.thelancet.com/journals/lancet/article/PIIS0140-6736(22)01585-9/fulltext?s=07</w:t>
        </w:r>
      </w:hyperlink>
      <w:r w:rsidRPr="00653F7F">
        <w:rPr>
          <w:rFonts w:ascii="Arial" w:hAnsi="Arial" w:cs="Arial"/>
        </w:rPr>
        <w:t>. (Accessed 21 September 2025).</w:t>
      </w:r>
    </w:p>
    <w:p w14:paraId="05B1192D" w14:textId="03CB70A0" w:rsidR="00721EE0" w:rsidRPr="00115056" w:rsidRDefault="00721EE0" w:rsidP="00721EE0">
      <w:pPr>
        <w:spacing w:line="360" w:lineRule="auto"/>
        <w:rPr>
          <w:rFonts w:ascii="Arial" w:hAnsi="Arial" w:cs="Arial"/>
        </w:rPr>
      </w:pPr>
      <w:r w:rsidRPr="00115056">
        <w:rPr>
          <w:rFonts w:ascii="Arial" w:hAnsi="Arial" w:cs="Arial"/>
          <w:lang w:val="en-US"/>
        </w:rPr>
        <w:t>Relias.</w:t>
      </w:r>
      <w:r w:rsidRPr="00721EE0">
        <w:rPr>
          <w:rFonts w:ascii="Arial" w:hAnsi="Arial" w:cs="Arial"/>
          <w:lang w:val="en-US"/>
        </w:rPr>
        <w:t xml:space="preserve"> </w:t>
      </w:r>
      <w:r w:rsidRPr="00115056">
        <w:rPr>
          <w:rFonts w:ascii="Arial" w:hAnsi="Arial" w:cs="Arial"/>
          <w:lang w:val="en-US"/>
        </w:rPr>
        <w:t>(</w:t>
      </w:r>
      <w:proofErr w:type="gramStart"/>
      <w:r w:rsidR="00B02A27" w:rsidRPr="00115056">
        <w:rPr>
          <w:rFonts w:ascii="Arial" w:hAnsi="Arial" w:cs="Arial"/>
          <w:lang w:val="en-US"/>
        </w:rPr>
        <w:t xml:space="preserve">2023) </w:t>
      </w:r>
      <w:r w:rsidR="00B02A27">
        <w:rPr>
          <w:rFonts w:ascii="Arial" w:hAnsi="Arial" w:cs="Arial"/>
          <w:lang w:val="en-US"/>
        </w:rPr>
        <w:t>‘</w:t>
      </w:r>
      <w:proofErr w:type="gramEnd"/>
      <w:r w:rsidRPr="00115056">
        <w:rPr>
          <w:rFonts w:ascii="Arial" w:hAnsi="Arial" w:cs="Arial"/>
          <w:lang w:val="en-US"/>
        </w:rPr>
        <w:t>7 Leadership Styles in Nursing — Which Is Yours</w:t>
      </w:r>
      <w:r w:rsidRPr="00721EE0">
        <w:rPr>
          <w:rFonts w:ascii="Arial" w:hAnsi="Arial" w:cs="Arial"/>
          <w:lang w:val="en-US"/>
        </w:rPr>
        <w:t>?’.</w:t>
      </w:r>
      <w:r w:rsidRPr="00115056">
        <w:rPr>
          <w:rFonts w:ascii="Arial" w:hAnsi="Arial" w:cs="Arial"/>
          <w:lang w:val="en-US"/>
        </w:rPr>
        <w:t xml:space="preserve"> Available at: </w:t>
      </w:r>
      <w:hyperlink r:id="rId71" w:history="1">
        <w:r w:rsidRPr="00115056">
          <w:rPr>
            <w:rStyle w:val="Hyperlink"/>
            <w:rFonts w:ascii="Arial" w:hAnsi="Arial" w:cs="Arial"/>
            <w:lang w:val="en-US"/>
          </w:rPr>
          <w:t>https://www.relias.com/blog/7-leadership-styles-in-nursing</w:t>
        </w:r>
      </w:hyperlink>
      <w:r w:rsidRPr="00721EE0">
        <w:rPr>
          <w:rFonts w:ascii="Arial" w:hAnsi="Arial" w:cs="Arial"/>
          <w:lang w:val="en-US"/>
        </w:rPr>
        <w:t>. (</w:t>
      </w:r>
      <w:r w:rsidRPr="00115056">
        <w:rPr>
          <w:rFonts w:ascii="Arial" w:hAnsi="Arial" w:cs="Arial"/>
          <w:lang w:val="en-US"/>
        </w:rPr>
        <w:t xml:space="preserve">Accessed 22 </w:t>
      </w:r>
      <w:r w:rsidRPr="00721EE0">
        <w:rPr>
          <w:rFonts w:ascii="Arial" w:hAnsi="Arial" w:cs="Arial"/>
          <w:lang w:val="en-US"/>
        </w:rPr>
        <w:t xml:space="preserve">October </w:t>
      </w:r>
      <w:r w:rsidRPr="00115056">
        <w:rPr>
          <w:rFonts w:ascii="Arial" w:hAnsi="Arial" w:cs="Arial"/>
          <w:lang w:val="en-US"/>
        </w:rPr>
        <w:t xml:space="preserve"> 2025].</w:t>
      </w:r>
    </w:p>
    <w:p w14:paraId="761F7EBA" w14:textId="77777777" w:rsidR="00721EE0" w:rsidRPr="00721EE0" w:rsidRDefault="00721EE0" w:rsidP="00721EE0">
      <w:pPr>
        <w:spacing w:line="360" w:lineRule="auto"/>
        <w:rPr>
          <w:rFonts w:ascii="Arial" w:hAnsi="Arial" w:cs="Arial"/>
        </w:rPr>
      </w:pPr>
      <w:r w:rsidRPr="00721EE0">
        <w:rPr>
          <w:rFonts w:ascii="Arial" w:hAnsi="Arial" w:cs="Arial"/>
        </w:rPr>
        <w:lastRenderedPageBreak/>
        <w:t xml:space="preserve">Rogers, E  (2020) ‘From MERS to COVID-19: The South Korean Journey.’ </w:t>
      </w:r>
      <w:r w:rsidRPr="00721EE0">
        <w:rPr>
          <w:rFonts w:ascii="Arial" w:hAnsi="Arial" w:cs="Arial"/>
          <w:i/>
          <w:iCs/>
        </w:rPr>
        <w:t>Munk School of Global Affairs.</w:t>
      </w:r>
      <w:r w:rsidRPr="00721EE0">
        <w:rPr>
          <w:rFonts w:ascii="Arial" w:hAnsi="Arial" w:cs="Arial"/>
        </w:rPr>
        <w:t xml:space="preserve"> Available at: </w:t>
      </w:r>
      <w:hyperlink r:id="rId72" w:history="1">
        <w:r w:rsidRPr="00721EE0">
          <w:rPr>
            <w:rStyle w:val="Hyperlink"/>
            <w:rFonts w:ascii="Arial" w:hAnsi="Arial" w:cs="Arial"/>
          </w:rPr>
          <w:t>https://munkschool.utoronto.ca/research/mers-covid-19-south-korean-journey</w:t>
        </w:r>
      </w:hyperlink>
      <w:r w:rsidRPr="00721EE0">
        <w:rPr>
          <w:rFonts w:ascii="Arial" w:hAnsi="Arial" w:cs="Arial"/>
        </w:rPr>
        <w:t>. (Accessed: 20 October 2025).</w:t>
      </w:r>
    </w:p>
    <w:p w14:paraId="0BD78381" w14:textId="77777777" w:rsidR="00721EE0" w:rsidRPr="00721EE0" w:rsidRDefault="00721EE0" w:rsidP="00721EE0">
      <w:pPr>
        <w:spacing w:line="360" w:lineRule="auto"/>
        <w:rPr>
          <w:rFonts w:ascii="Arial" w:hAnsi="Arial" w:cs="Arial"/>
        </w:rPr>
      </w:pPr>
      <w:r w:rsidRPr="005657C9">
        <w:rPr>
          <w:rFonts w:ascii="Arial" w:hAnsi="Arial" w:cs="Arial"/>
        </w:rPr>
        <w:t xml:space="preserve">Saltman, R.B., </w:t>
      </w:r>
      <w:proofErr w:type="spellStart"/>
      <w:r w:rsidRPr="005657C9">
        <w:rPr>
          <w:rFonts w:ascii="Arial" w:hAnsi="Arial" w:cs="Arial"/>
        </w:rPr>
        <w:t>Bankauskaite</w:t>
      </w:r>
      <w:proofErr w:type="spellEnd"/>
      <w:r w:rsidRPr="005657C9">
        <w:rPr>
          <w:rFonts w:ascii="Arial" w:hAnsi="Arial" w:cs="Arial"/>
        </w:rPr>
        <w:t xml:space="preserve">, V. and Vrangbæk, K. (2007) ‘Decentralization in health care: strategies and outcomes.’ Maidenhead: </w:t>
      </w:r>
      <w:r w:rsidRPr="005657C9">
        <w:rPr>
          <w:rFonts w:ascii="Arial" w:hAnsi="Arial" w:cs="Arial"/>
          <w:i/>
          <w:iCs/>
        </w:rPr>
        <w:t>Open University Press</w:t>
      </w:r>
      <w:r w:rsidRPr="005657C9">
        <w:rPr>
          <w:rFonts w:ascii="Arial" w:hAnsi="Arial" w:cs="Arial"/>
        </w:rPr>
        <w:t xml:space="preserve">. Available at: </w:t>
      </w:r>
      <w:hyperlink r:id="rId73" w:history="1">
        <w:r w:rsidRPr="005657C9">
          <w:rPr>
            <w:rStyle w:val="Hyperlink"/>
            <w:rFonts w:ascii="Arial" w:hAnsi="Arial" w:cs="Arial"/>
          </w:rPr>
          <w:t>https://www.mheducation.co.uk/open-university-press</w:t>
        </w:r>
      </w:hyperlink>
      <w:r w:rsidRPr="005657C9">
        <w:rPr>
          <w:rFonts w:ascii="Arial" w:hAnsi="Arial" w:cs="Arial"/>
        </w:rPr>
        <w:t>. (Accessed: 21 October 2025).</w:t>
      </w:r>
    </w:p>
    <w:p w14:paraId="65DC9F90" w14:textId="77777777" w:rsidR="00721EE0" w:rsidRPr="00653F7F" w:rsidRDefault="00721EE0" w:rsidP="0060041E">
      <w:pPr>
        <w:spacing w:line="360" w:lineRule="auto"/>
        <w:rPr>
          <w:rFonts w:ascii="Arial" w:hAnsi="Arial" w:cs="Arial"/>
        </w:rPr>
      </w:pPr>
      <w:r w:rsidRPr="00653F7F">
        <w:rPr>
          <w:rFonts w:ascii="Arial" w:hAnsi="Arial" w:cs="Arial"/>
        </w:rPr>
        <w:t xml:space="preserve">Seijts, G., de </w:t>
      </w:r>
      <w:proofErr w:type="spellStart"/>
      <w:r w:rsidRPr="00653F7F">
        <w:rPr>
          <w:rFonts w:ascii="Arial" w:hAnsi="Arial" w:cs="Arial"/>
        </w:rPr>
        <w:t>Clercy</w:t>
      </w:r>
      <w:proofErr w:type="spellEnd"/>
      <w:r w:rsidRPr="00653F7F">
        <w:rPr>
          <w:rFonts w:ascii="Arial" w:hAnsi="Arial" w:cs="Arial"/>
        </w:rPr>
        <w:t xml:space="preserve">, C. and Miller, R (2023) </w:t>
      </w:r>
      <w:r>
        <w:rPr>
          <w:rFonts w:ascii="Arial" w:hAnsi="Arial" w:cs="Arial"/>
        </w:rPr>
        <w:t>‘</w:t>
      </w:r>
      <w:r w:rsidRPr="00653F7F">
        <w:rPr>
          <w:rFonts w:ascii="Arial" w:hAnsi="Arial" w:cs="Arial"/>
        </w:rPr>
        <w:t>Character and trust in crisis leadership: Probing the relationships among character, identification-based trust, and perceptions of effectiveness in political leadership during the COVID-19 pandemic.</w:t>
      </w:r>
      <w:r>
        <w:rPr>
          <w:rFonts w:ascii="Arial" w:hAnsi="Arial" w:cs="Arial"/>
        </w:rPr>
        <w:t>’</w:t>
      </w:r>
      <w:r w:rsidRPr="00653F7F">
        <w:rPr>
          <w:rFonts w:ascii="Arial" w:hAnsi="Arial" w:cs="Arial"/>
        </w:rPr>
        <w:t xml:space="preserve"> </w:t>
      </w:r>
      <w:r w:rsidRPr="00653F7F">
        <w:rPr>
          <w:rFonts w:ascii="Arial" w:hAnsi="Arial" w:cs="Arial"/>
          <w:i/>
          <w:iCs/>
        </w:rPr>
        <w:t xml:space="preserve">The Journal of Applied </w:t>
      </w:r>
      <w:proofErr w:type="spellStart"/>
      <w:r w:rsidRPr="00653F7F">
        <w:rPr>
          <w:rFonts w:ascii="Arial" w:hAnsi="Arial" w:cs="Arial"/>
          <w:i/>
          <w:iCs/>
        </w:rPr>
        <w:t>Behavioral</w:t>
      </w:r>
      <w:proofErr w:type="spellEnd"/>
      <w:r w:rsidRPr="00653F7F">
        <w:rPr>
          <w:rFonts w:ascii="Arial" w:hAnsi="Arial" w:cs="Arial"/>
          <w:i/>
          <w:iCs/>
        </w:rPr>
        <w:t xml:space="preserve"> Science, </w:t>
      </w:r>
      <w:r w:rsidRPr="00653F7F">
        <w:rPr>
          <w:rFonts w:ascii="Arial" w:hAnsi="Arial" w:cs="Arial"/>
        </w:rPr>
        <w:t xml:space="preserve">59(1), pp.127-154. Available at: </w:t>
      </w:r>
      <w:hyperlink r:id="rId74" w:history="1">
        <w:r w:rsidRPr="00653F7F">
          <w:rPr>
            <w:rStyle w:val="Hyperlink"/>
            <w:rFonts w:ascii="Arial" w:hAnsi="Arial" w:cs="Arial"/>
          </w:rPr>
          <w:t>https://doi.org/10.1177/00218863221110627</w:t>
        </w:r>
      </w:hyperlink>
      <w:r w:rsidRPr="00653F7F">
        <w:rPr>
          <w:rFonts w:ascii="Arial" w:hAnsi="Arial" w:cs="Arial"/>
        </w:rPr>
        <w:t xml:space="preserve">.  </w:t>
      </w:r>
    </w:p>
    <w:p w14:paraId="5BE23DE3" w14:textId="77777777" w:rsidR="00721EE0" w:rsidRPr="00653F7F" w:rsidRDefault="00721EE0" w:rsidP="0060041E">
      <w:pPr>
        <w:spacing w:line="360" w:lineRule="auto"/>
        <w:rPr>
          <w:rFonts w:ascii="Arial" w:hAnsi="Arial" w:cs="Arial"/>
        </w:rPr>
      </w:pPr>
      <w:r w:rsidRPr="00653F7F">
        <w:rPr>
          <w:rFonts w:ascii="Arial" w:hAnsi="Arial" w:cs="Arial"/>
        </w:rPr>
        <w:t xml:space="preserve">Sterman, (2000) ‘The model was elaborated with the Systems Dynamics methodology’ Available at:  </w:t>
      </w:r>
      <w:hyperlink r:id="rId75" w:history="1">
        <w:r w:rsidRPr="00653F7F">
          <w:rPr>
            <w:rStyle w:val="Hyperlink"/>
            <w:rFonts w:ascii="Arial" w:hAnsi="Arial" w:cs="Arial"/>
          </w:rPr>
          <w:t xml:space="preserve">Lockdown, one, two, none, or smart. </w:t>
        </w:r>
        <w:proofErr w:type="spellStart"/>
        <w:r w:rsidRPr="00653F7F">
          <w:rPr>
            <w:rStyle w:val="Hyperlink"/>
            <w:rFonts w:ascii="Arial" w:hAnsi="Arial" w:cs="Arial"/>
          </w:rPr>
          <w:t>Modeling</w:t>
        </w:r>
        <w:proofErr w:type="spellEnd"/>
        <w:r w:rsidRPr="00653F7F">
          <w:rPr>
            <w:rStyle w:val="Hyperlink"/>
            <w:rFonts w:ascii="Arial" w:hAnsi="Arial" w:cs="Arial"/>
          </w:rPr>
          <w:t xml:space="preserve"> containing covid-19 infection. A conceptual model - ScienceDirect</w:t>
        </w:r>
      </w:hyperlink>
      <w:r w:rsidRPr="00653F7F">
        <w:rPr>
          <w:rFonts w:ascii="Arial" w:hAnsi="Arial" w:cs="Arial"/>
        </w:rPr>
        <w:t>. (Accessed: 19 September 2025).</w:t>
      </w:r>
    </w:p>
    <w:p w14:paraId="116D20DC" w14:textId="77777777" w:rsidR="00721EE0" w:rsidRPr="00721EE0" w:rsidRDefault="00721EE0" w:rsidP="00721EE0">
      <w:pPr>
        <w:spacing w:line="360" w:lineRule="auto"/>
        <w:rPr>
          <w:rFonts w:ascii="Arial" w:hAnsi="Arial" w:cs="Arial"/>
        </w:rPr>
      </w:pPr>
      <w:proofErr w:type="spellStart"/>
      <w:r w:rsidRPr="00721EE0">
        <w:rPr>
          <w:rFonts w:ascii="Arial" w:hAnsi="Arial" w:cs="Arial"/>
        </w:rPr>
        <w:t>Trichard</w:t>
      </w:r>
      <w:proofErr w:type="spellEnd"/>
      <w:r w:rsidRPr="00721EE0">
        <w:rPr>
          <w:rFonts w:ascii="Arial" w:hAnsi="Arial" w:cs="Arial"/>
        </w:rPr>
        <w:t xml:space="preserve">, F. (2022) ‘Health policy reforms in South Korea between 2015–2020 and their impact on the COVID-19 crisis.’ </w:t>
      </w:r>
      <w:r w:rsidRPr="00721EE0">
        <w:rPr>
          <w:rFonts w:ascii="Arial" w:hAnsi="Arial" w:cs="Arial"/>
          <w:i/>
          <w:iCs/>
        </w:rPr>
        <w:t>Leiden University</w:t>
      </w:r>
      <w:r w:rsidRPr="00721EE0">
        <w:rPr>
          <w:rFonts w:ascii="Arial" w:hAnsi="Arial" w:cs="Arial"/>
        </w:rPr>
        <w:t xml:space="preserve">. Available at: </w:t>
      </w:r>
      <w:hyperlink r:id="rId76" w:history="1">
        <w:r w:rsidRPr="00721EE0">
          <w:rPr>
            <w:rStyle w:val="Hyperlink"/>
            <w:rFonts w:ascii="Arial" w:hAnsi="Arial" w:cs="Arial"/>
          </w:rPr>
          <w:t>https://openaccess.leidenuniv.nl/handle/1887/345678</w:t>
        </w:r>
      </w:hyperlink>
      <w:r w:rsidRPr="00721EE0">
        <w:rPr>
          <w:rFonts w:ascii="Arial" w:hAnsi="Arial" w:cs="Arial"/>
        </w:rPr>
        <w:t>. (Accessed 21 October 2025).</w:t>
      </w:r>
    </w:p>
    <w:p w14:paraId="229240E9" w14:textId="77777777" w:rsidR="00721EE0" w:rsidRPr="00115056" w:rsidRDefault="00721EE0" w:rsidP="00115056">
      <w:pPr>
        <w:spacing w:line="360" w:lineRule="auto"/>
        <w:jc w:val="both"/>
      </w:pPr>
      <w:proofErr w:type="spellStart"/>
      <w:proofErr w:type="gramStart"/>
      <w:r w:rsidRPr="00115056">
        <w:rPr>
          <w:lang w:val="en-US"/>
        </w:rPr>
        <w:t>Verywell</w:t>
      </w:r>
      <w:proofErr w:type="spellEnd"/>
      <w:proofErr w:type="gramEnd"/>
      <w:r w:rsidRPr="00115056">
        <w:rPr>
          <w:lang w:val="en-US"/>
        </w:rPr>
        <w:t xml:space="preserve"> Mind. (2024)</w:t>
      </w:r>
      <w:r>
        <w:rPr>
          <w:lang w:val="en-US"/>
        </w:rPr>
        <w:t xml:space="preserve"> </w:t>
      </w:r>
      <w:r w:rsidRPr="00115056">
        <w:rPr>
          <w:lang w:val="en-US"/>
        </w:rPr>
        <w:t xml:space="preserve"> </w:t>
      </w:r>
      <w:r>
        <w:rPr>
          <w:lang w:val="en-US"/>
        </w:rPr>
        <w:t>‘</w:t>
      </w:r>
      <w:r w:rsidRPr="00115056">
        <w:rPr>
          <w:lang w:val="en-US"/>
        </w:rPr>
        <w:t>Laissez-Faire Leadership: Examples and Advantages.</w:t>
      </w:r>
      <w:r>
        <w:rPr>
          <w:lang w:val="en-US"/>
        </w:rPr>
        <w:t>’</w:t>
      </w:r>
      <w:r w:rsidRPr="00115056">
        <w:rPr>
          <w:lang w:val="en-US"/>
        </w:rPr>
        <w:t xml:space="preserve"> Available at:</w:t>
      </w:r>
      <w:hyperlink r:id="rId77" w:history="1">
        <w:r w:rsidRPr="00115056">
          <w:rPr>
            <w:rStyle w:val="Hyperlink"/>
            <w:lang w:val="en-US"/>
          </w:rPr>
          <w:t>https://www.verywellmind.com/what-is-laissez-faire-leadership-2795316</w:t>
        </w:r>
      </w:hyperlink>
      <w:r>
        <w:t>.</w:t>
      </w:r>
      <w:r w:rsidRPr="00115056">
        <w:rPr>
          <w:lang w:val="en-US"/>
        </w:rPr>
        <w:t xml:space="preserve"> </w:t>
      </w:r>
      <w:r>
        <w:rPr>
          <w:lang w:val="en-US"/>
        </w:rPr>
        <w:t>(</w:t>
      </w:r>
      <w:r w:rsidRPr="00115056">
        <w:rPr>
          <w:lang w:val="en-US"/>
        </w:rPr>
        <w:t xml:space="preserve">Accessed 22 </w:t>
      </w:r>
      <w:r>
        <w:rPr>
          <w:lang w:val="en-US"/>
        </w:rPr>
        <w:t xml:space="preserve">October </w:t>
      </w:r>
      <w:r w:rsidRPr="00115056">
        <w:rPr>
          <w:lang w:val="en-US"/>
        </w:rPr>
        <w:t>2025</w:t>
      </w:r>
      <w:r>
        <w:rPr>
          <w:lang w:val="en-US"/>
        </w:rPr>
        <w:t>)</w:t>
      </w:r>
      <w:r w:rsidRPr="00115056">
        <w:rPr>
          <w:lang w:val="en-US"/>
        </w:rPr>
        <w:t>.</w:t>
      </w:r>
    </w:p>
    <w:p w14:paraId="5FD0EBD5" w14:textId="77777777" w:rsidR="00721EE0" w:rsidRPr="00752182" w:rsidRDefault="00721EE0" w:rsidP="00721EE0">
      <w:pPr>
        <w:spacing w:line="360" w:lineRule="auto"/>
        <w:rPr>
          <w:rFonts w:ascii="Arial" w:hAnsi="Arial" w:cs="Arial"/>
        </w:rPr>
      </w:pPr>
      <w:r w:rsidRPr="00752182">
        <w:rPr>
          <w:rFonts w:ascii="Arial" w:hAnsi="Arial" w:cs="Arial"/>
        </w:rPr>
        <w:t>Wikipedia (2024) ‘COVID-19 pandemic in Spain.</w:t>
      </w:r>
      <w:r w:rsidRPr="00752182">
        <w:rPr>
          <w:rFonts w:ascii="Arial" w:hAnsi="Arial" w:cs="Arial"/>
          <w:i/>
          <w:iCs/>
        </w:rPr>
        <w:t>’</w:t>
      </w:r>
      <w:r w:rsidRPr="00752182">
        <w:rPr>
          <w:rFonts w:ascii="Arial" w:hAnsi="Arial" w:cs="Arial"/>
        </w:rPr>
        <w:t xml:space="preserve"> </w:t>
      </w:r>
      <w:r w:rsidRPr="00752182">
        <w:rPr>
          <w:rFonts w:ascii="Arial" w:hAnsi="Arial" w:cs="Arial"/>
          <w:i/>
          <w:iCs/>
        </w:rPr>
        <w:t>Wikipedia</w:t>
      </w:r>
      <w:r w:rsidRPr="00752182">
        <w:rPr>
          <w:rFonts w:ascii="Arial" w:hAnsi="Arial" w:cs="Arial"/>
        </w:rPr>
        <w:t xml:space="preserve">. Available at: </w:t>
      </w:r>
      <w:hyperlink r:id="rId78" w:history="1">
        <w:r w:rsidRPr="00752182">
          <w:rPr>
            <w:rStyle w:val="Hyperlink"/>
            <w:rFonts w:ascii="Arial" w:hAnsi="Arial" w:cs="Arial"/>
          </w:rPr>
          <w:t>https://en.wikipedia.org/wiki/COVID-19_pandemic_in_Spain</w:t>
        </w:r>
      </w:hyperlink>
      <w:r w:rsidRPr="00752182">
        <w:rPr>
          <w:rFonts w:ascii="Arial" w:hAnsi="Arial" w:cs="Arial"/>
        </w:rPr>
        <w:t>. (Accessed: 21 October 2025).</w:t>
      </w:r>
    </w:p>
    <w:p w14:paraId="6CF42544" w14:textId="77777777" w:rsidR="00721EE0" w:rsidRPr="00F45228" w:rsidRDefault="00721EE0" w:rsidP="00721EE0">
      <w:pPr>
        <w:spacing w:line="360" w:lineRule="auto"/>
        <w:rPr>
          <w:rFonts w:ascii="Arial" w:hAnsi="Arial" w:cs="Arial"/>
        </w:rPr>
      </w:pPr>
      <w:r w:rsidRPr="00F45228">
        <w:rPr>
          <w:rFonts w:ascii="Arial" w:hAnsi="Arial" w:cs="Arial"/>
        </w:rPr>
        <w:t>World Health Organization (2023) ‘Coronavirus disease (COVID-19) – Key facts.</w:t>
      </w:r>
      <w:r w:rsidRPr="00F45228">
        <w:rPr>
          <w:rFonts w:ascii="Arial" w:hAnsi="Arial" w:cs="Arial"/>
          <w:i/>
          <w:iCs/>
        </w:rPr>
        <w:t xml:space="preserve">’ World Health Organization. </w:t>
      </w:r>
      <w:r w:rsidRPr="00F45228">
        <w:rPr>
          <w:rFonts w:ascii="Arial" w:hAnsi="Arial" w:cs="Arial"/>
        </w:rPr>
        <w:t xml:space="preserve">Available at: </w:t>
      </w:r>
      <w:hyperlink r:id="rId79" w:history="1">
        <w:r w:rsidRPr="00F45228">
          <w:rPr>
            <w:rStyle w:val="Hyperlink"/>
            <w:rFonts w:ascii="Arial" w:hAnsi="Arial" w:cs="Arial"/>
          </w:rPr>
          <w:t>https://www.who.int/news-room/fact-sheets/detail/coronavirus-disease-%28covid-19%29</w:t>
        </w:r>
      </w:hyperlink>
      <w:r w:rsidRPr="00F45228">
        <w:rPr>
          <w:rFonts w:ascii="Arial" w:hAnsi="Arial" w:cs="Arial"/>
        </w:rPr>
        <w:t>. (Accessed: 21 October 2025).</w:t>
      </w:r>
    </w:p>
    <w:p w14:paraId="6D468834" w14:textId="77777777" w:rsidR="00721EE0" w:rsidRPr="00653F7F" w:rsidRDefault="00721EE0" w:rsidP="0060041E">
      <w:pPr>
        <w:spacing w:line="360" w:lineRule="auto"/>
        <w:rPr>
          <w:rFonts w:ascii="Arial" w:hAnsi="Arial" w:cs="Arial"/>
        </w:rPr>
      </w:pPr>
      <w:r w:rsidRPr="00653F7F">
        <w:rPr>
          <w:rFonts w:ascii="Arial" w:hAnsi="Arial" w:cs="Arial"/>
        </w:rPr>
        <w:t xml:space="preserve">World Health Organization (2023) ‘WHO Coronavirus (COVID-19) Dashboard.’ Available at: </w:t>
      </w:r>
      <w:hyperlink r:id="rId80" w:history="1">
        <w:r w:rsidRPr="00653F7F">
          <w:rPr>
            <w:rStyle w:val="Hyperlink"/>
            <w:rFonts w:ascii="Arial" w:hAnsi="Arial" w:cs="Arial"/>
          </w:rPr>
          <w:t>https://covid19.who.int</w:t>
        </w:r>
      </w:hyperlink>
      <w:r w:rsidRPr="00653F7F">
        <w:rPr>
          <w:rFonts w:ascii="Arial" w:hAnsi="Arial" w:cs="Arial"/>
        </w:rPr>
        <w:t>.  (Accessed: 25 September 2025).</w:t>
      </w:r>
    </w:p>
    <w:p w14:paraId="45E41F50" w14:textId="77777777" w:rsidR="00721EE0" w:rsidRPr="002C6B3A" w:rsidRDefault="00721EE0" w:rsidP="002C6B3A">
      <w:pPr>
        <w:spacing w:line="360" w:lineRule="auto"/>
        <w:rPr>
          <w:rFonts w:ascii="Arial" w:hAnsi="Arial" w:cs="Arial"/>
        </w:rPr>
      </w:pPr>
      <w:r w:rsidRPr="00653F7F">
        <w:rPr>
          <w:rFonts w:ascii="Arial" w:hAnsi="Arial" w:cs="Arial"/>
        </w:rPr>
        <w:lastRenderedPageBreak/>
        <w:t xml:space="preserve">World Health Organization (2025) ‘COVID-19  Global Situation. 28 May.’ Available at: </w:t>
      </w:r>
      <w:hyperlink r:id="rId81" w:history="1">
        <w:r w:rsidRPr="00653F7F">
          <w:rPr>
            <w:rStyle w:val="Hyperlink"/>
            <w:rFonts w:ascii="Arial" w:hAnsi="Arial" w:cs="Arial"/>
          </w:rPr>
          <w:t>https://www.who.int/emergencies/disease-outbreak-news/item/2025-DON572</w:t>
        </w:r>
      </w:hyperlink>
      <w:r w:rsidRPr="00653F7F">
        <w:rPr>
          <w:rFonts w:ascii="Arial" w:hAnsi="Arial" w:cs="Arial"/>
        </w:rPr>
        <w:t>.  (Accessed: 25 September 2025).</w:t>
      </w:r>
    </w:p>
    <w:p w14:paraId="5B92139B" w14:textId="77777777" w:rsidR="00721EE0" w:rsidRPr="00721EE0" w:rsidRDefault="00721EE0" w:rsidP="00721EE0">
      <w:pPr>
        <w:spacing w:line="360" w:lineRule="auto"/>
        <w:rPr>
          <w:rFonts w:ascii="Arial" w:hAnsi="Arial" w:cs="Arial"/>
        </w:rPr>
      </w:pPr>
      <w:proofErr w:type="spellStart"/>
      <w:r w:rsidRPr="00B46AF1">
        <w:rPr>
          <w:rFonts w:ascii="Arial" w:hAnsi="Arial" w:cs="Arial"/>
        </w:rPr>
        <w:t>Worldometer</w:t>
      </w:r>
      <w:proofErr w:type="spellEnd"/>
      <w:r w:rsidRPr="00B46AF1">
        <w:rPr>
          <w:rFonts w:ascii="Arial" w:hAnsi="Arial" w:cs="Arial"/>
        </w:rPr>
        <w:t xml:space="preserve"> (2024) ‘COVID-19 Coronavirus Pandemic – South Korea.</w:t>
      </w:r>
      <w:r w:rsidRPr="00B46AF1">
        <w:rPr>
          <w:rFonts w:ascii="Arial" w:hAnsi="Arial" w:cs="Arial"/>
          <w:i/>
          <w:iCs/>
        </w:rPr>
        <w:t xml:space="preserve">’ </w:t>
      </w:r>
      <w:proofErr w:type="spellStart"/>
      <w:r w:rsidRPr="00B46AF1">
        <w:rPr>
          <w:rFonts w:ascii="Arial" w:hAnsi="Arial" w:cs="Arial"/>
          <w:i/>
          <w:iCs/>
        </w:rPr>
        <w:t>Worldometer</w:t>
      </w:r>
      <w:proofErr w:type="spellEnd"/>
      <w:r w:rsidRPr="00B46AF1">
        <w:rPr>
          <w:rFonts w:ascii="Arial" w:hAnsi="Arial" w:cs="Arial"/>
          <w:i/>
          <w:iCs/>
        </w:rPr>
        <w:t xml:space="preserve">. </w:t>
      </w:r>
      <w:r w:rsidRPr="00B46AF1">
        <w:rPr>
          <w:rFonts w:ascii="Arial" w:hAnsi="Arial" w:cs="Arial"/>
        </w:rPr>
        <w:t xml:space="preserve">Available at: </w:t>
      </w:r>
      <w:hyperlink r:id="rId82" w:history="1">
        <w:r w:rsidRPr="00B46AF1">
          <w:rPr>
            <w:rStyle w:val="Hyperlink"/>
            <w:rFonts w:ascii="Arial" w:hAnsi="Arial" w:cs="Arial"/>
          </w:rPr>
          <w:t>https://www.worldometers.info/coronavirus/country/south-korea/</w:t>
        </w:r>
      </w:hyperlink>
      <w:r w:rsidRPr="00B46AF1">
        <w:rPr>
          <w:rFonts w:ascii="Arial" w:hAnsi="Arial" w:cs="Arial"/>
        </w:rPr>
        <w:t>. (Accessed: 21 October 2025).</w:t>
      </w:r>
    </w:p>
    <w:p w14:paraId="0E070F75" w14:textId="77777777" w:rsidR="00721EE0" w:rsidRPr="00752182" w:rsidRDefault="00721EE0" w:rsidP="00721EE0">
      <w:pPr>
        <w:spacing w:line="360" w:lineRule="auto"/>
        <w:rPr>
          <w:rFonts w:ascii="Arial" w:hAnsi="Arial" w:cs="Arial"/>
        </w:rPr>
      </w:pPr>
      <w:proofErr w:type="spellStart"/>
      <w:r w:rsidRPr="00752182">
        <w:rPr>
          <w:rFonts w:ascii="Arial" w:hAnsi="Arial" w:cs="Arial"/>
        </w:rPr>
        <w:t>Worldometer</w:t>
      </w:r>
      <w:proofErr w:type="spellEnd"/>
      <w:r w:rsidRPr="00752182">
        <w:rPr>
          <w:rFonts w:ascii="Arial" w:hAnsi="Arial" w:cs="Arial"/>
        </w:rPr>
        <w:t xml:space="preserve"> (2024) ‘COVID-19 Coronavirus Pandemic – Spain.</w:t>
      </w:r>
      <w:r w:rsidRPr="00752182">
        <w:rPr>
          <w:rFonts w:ascii="Arial" w:hAnsi="Arial" w:cs="Arial"/>
          <w:i/>
          <w:iCs/>
        </w:rPr>
        <w:t xml:space="preserve">’ </w:t>
      </w:r>
      <w:proofErr w:type="spellStart"/>
      <w:r w:rsidRPr="00752182">
        <w:rPr>
          <w:rFonts w:ascii="Arial" w:hAnsi="Arial" w:cs="Arial"/>
          <w:i/>
          <w:iCs/>
        </w:rPr>
        <w:t>Worldometer</w:t>
      </w:r>
      <w:proofErr w:type="spellEnd"/>
      <w:r w:rsidRPr="00752182">
        <w:rPr>
          <w:rFonts w:ascii="Arial" w:hAnsi="Arial" w:cs="Arial"/>
        </w:rPr>
        <w:t xml:space="preserve">. Available at: </w:t>
      </w:r>
      <w:hyperlink r:id="rId83" w:history="1">
        <w:r w:rsidRPr="00752182">
          <w:rPr>
            <w:rStyle w:val="Hyperlink"/>
            <w:rFonts w:ascii="Arial" w:hAnsi="Arial" w:cs="Arial"/>
          </w:rPr>
          <w:t>https://www.worldometers.info/coronavirus/country/spain/</w:t>
        </w:r>
      </w:hyperlink>
      <w:r w:rsidRPr="00752182">
        <w:rPr>
          <w:rFonts w:ascii="Arial" w:hAnsi="Arial" w:cs="Arial"/>
        </w:rPr>
        <w:t>. (Accessed: 21 October 2025).</w:t>
      </w:r>
    </w:p>
    <w:p w14:paraId="74669992" w14:textId="77777777" w:rsidR="00B06AB3" w:rsidRPr="00FA6B23" w:rsidRDefault="00B06AB3" w:rsidP="00721EE0">
      <w:pPr>
        <w:spacing w:line="360" w:lineRule="auto"/>
        <w:rPr>
          <w:rFonts w:ascii="Arial" w:hAnsi="Arial" w:cs="Arial"/>
        </w:rPr>
      </w:pPr>
    </w:p>
    <w:p w14:paraId="402940A8" w14:textId="7A75C6DF" w:rsidR="00051437" w:rsidRPr="00051437" w:rsidRDefault="00051437" w:rsidP="00721EE0">
      <w:pPr>
        <w:spacing w:line="360" w:lineRule="auto"/>
        <w:rPr>
          <w:rFonts w:ascii="Arial" w:hAnsi="Arial" w:cs="Arial"/>
        </w:rPr>
      </w:pPr>
    </w:p>
    <w:p w14:paraId="481B943D" w14:textId="08B4233F" w:rsidR="0008472C" w:rsidRPr="00721EE0" w:rsidRDefault="0008472C" w:rsidP="00721EE0">
      <w:pPr>
        <w:spacing w:line="360" w:lineRule="auto"/>
        <w:rPr>
          <w:rFonts w:ascii="Arial" w:hAnsi="Arial" w:cs="Arial"/>
        </w:rPr>
      </w:pPr>
    </w:p>
    <w:sectPr w:rsidR="0008472C" w:rsidRPr="00721EE0">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4B220" w14:textId="77777777" w:rsidR="003E4355" w:rsidRDefault="003E4355" w:rsidP="00CF5D34">
      <w:pPr>
        <w:spacing w:after="0" w:line="240" w:lineRule="auto"/>
      </w:pPr>
      <w:r>
        <w:separator/>
      </w:r>
    </w:p>
  </w:endnote>
  <w:endnote w:type="continuationSeparator" w:id="0">
    <w:p w14:paraId="192302C6" w14:textId="77777777" w:rsidR="003E4355" w:rsidRDefault="003E4355" w:rsidP="00CF5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6017274"/>
      <w:docPartObj>
        <w:docPartGallery w:val="Page Numbers (Bottom of Page)"/>
        <w:docPartUnique/>
      </w:docPartObj>
    </w:sdtPr>
    <w:sdtEndPr>
      <w:rPr>
        <w:noProof/>
      </w:rPr>
    </w:sdtEndPr>
    <w:sdtContent>
      <w:p w14:paraId="29123FF3" w14:textId="09D76E79" w:rsidR="00CF5D34" w:rsidRDefault="00CF5D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2311A2" w14:textId="77777777" w:rsidR="00CF5D34" w:rsidRDefault="00CF5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99E20" w14:textId="77777777" w:rsidR="003E4355" w:rsidRDefault="003E4355" w:rsidP="00CF5D34">
      <w:pPr>
        <w:spacing w:after="0" w:line="240" w:lineRule="auto"/>
      </w:pPr>
      <w:r>
        <w:separator/>
      </w:r>
    </w:p>
  </w:footnote>
  <w:footnote w:type="continuationSeparator" w:id="0">
    <w:p w14:paraId="348CA3E4" w14:textId="77777777" w:rsidR="003E4355" w:rsidRDefault="003E4355" w:rsidP="00CF5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871"/>
    <w:multiLevelType w:val="hybridMultilevel"/>
    <w:tmpl w:val="F2DEE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630F2"/>
    <w:multiLevelType w:val="hybridMultilevel"/>
    <w:tmpl w:val="AFB8CB5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01D792B"/>
    <w:multiLevelType w:val="hybridMultilevel"/>
    <w:tmpl w:val="7E9E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C34E9"/>
    <w:multiLevelType w:val="hybridMultilevel"/>
    <w:tmpl w:val="714AB358"/>
    <w:lvl w:ilvl="0" w:tplc="AFA0357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10EBC"/>
    <w:multiLevelType w:val="hybridMultilevel"/>
    <w:tmpl w:val="CE56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B7F8E"/>
    <w:multiLevelType w:val="hybridMultilevel"/>
    <w:tmpl w:val="63FC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05BD1"/>
    <w:multiLevelType w:val="hybridMultilevel"/>
    <w:tmpl w:val="339C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592903">
    <w:abstractNumId w:val="5"/>
  </w:num>
  <w:num w:numId="2" w16cid:durableId="920067035">
    <w:abstractNumId w:val="3"/>
  </w:num>
  <w:num w:numId="3" w16cid:durableId="524637391">
    <w:abstractNumId w:val="6"/>
  </w:num>
  <w:num w:numId="4" w16cid:durableId="1743334518">
    <w:abstractNumId w:val="1"/>
  </w:num>
  <w:num w:numId="5" w16cid:durableId="1061363664">
    <w:abstractNumId w:val="2"/>
  </w:num>
  <w:num w:numId="6" w16cid:durableId="1187869218">
    <w:abstractNumId w:val="4"/>
  </w:num>
  <w:num w:numId="7" w16cid:durableId="1728645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58"/>
    <w:rsid w:val="00000034"/>
    <w:rsid w:val="000033FF"/>
    <w:rsid w:val="00005921"/>
    <w:rsid w:val="00015CF5"/>
    <w:rsid w:val="000240B8"/>
    <w:rsid w:val="00031586"/>
    <w:rsid w:val="00041BA5"/>
    <w:rsid w:val="00047C96"/>
    <w:rsid w:val="00051437"/>
    <w:rsid w:val="0005577C"/>
    <w:rsid w:val="00071378"/>
    <w:rsid w:val="000778D2"/>
    <w:rsid w:val="0008472C"/>
    <w:rsid w:val="000B186F"/>
    <w:rsid w:val="000D33AF"/>
    <w:rsid w:val="000E0440"/>
    <w:rsid w:val="00110BB5"/>
    <w:rsid w:val="00115056"/>
    <w:rsid w:val="00126C03"/>
    <w:rsid w:val="00145B09"/>
    <w:rsid w:val="00153971"/>
    <w:rsid w:val="001567DD"/>
    <w:rsid w:val="0016542A"/>
    <w:rsid w:val="00172CB7"/>
    <w:rsid w:val="0018347B"/>
    <w:rsid w:val="00192BD0"/>
    <w:rsid w:val="001A58B2"/>
    <w:rsid w:val="001C0658"/>
    <w:rsid w:val="001C23A2"/>
    <w:rsid w:val="001C373F"/>
    <w:rsid w:val="001E3BCC"/>
    <w:rsid w:val="001E723A"/>
    <w:rsid w:val="001F332C"/>
    <w:rsid w:val="002033D6"/>
    <w:rsid w:val="00204709"/>
    <w:rsid w:val="002410EC"/>
    <w:rsid w:val="00244196"/>
    <w:rsid w:val="00250B70"/>
    <w:rsid w:val="00265810"/>
    <w:rsid w:val="002734F9"/>
    <w:rsid w:val="0027375D"/>
    <w:rsid w:val="0028468E"/>
    <w:rsid w:val="002A223C"/>
    <w:rsid w:val="002C2914"/>
    <w:rsid w:val="002C6B3A"/>
    <w:rsid w:val="002C71F9"/>
    <w:rsid w:val="002C7FD0"/>
    <w:rsid w:val="002D6D53"/>
    <w:rsid w:val="002E078F"/>
    <w:rsid w:val="002E4F83"/>
    <w:rsid w:val="003079FC"/>
    <w:rsid w:val="003120DC"/>
    <w:rsid w:val="00327FB5"/>
    <w:rsid w:val="003306DB"/>
    <w:rsid w:val="00336836"/>
    <w:rsid w:val="00344FC8"/>
    <w:rsid w:val="00362823"/>
    <w:rsid w:val="00366A97"/>
    <w:rsid w:val="0037577F"/>
    <w:rsid w:val="00380145"/>
    <w:rsid w:val="00390313"/>
    <w:rsid w:val="003B5338"/>
    <w:rsid w:val="003C0268"/>
    <w:rsid w:val="003C2C9F"/>
    <w:rsid w:val="003C3BF5"/>
    <w:rsid w:val="003E4355"/>
    <w:rsid w:val="004038A6"/>
    <w:rsid w:val="004113CB"/>
    <w:rsid w:val="00422799"/>
    <w:rsid w:val="00441417"/>
    <w:rsid w:val="00462042"/>
    <w:rsid w:val="00472207"/>
    <w:rsid w:val="00475EA7"/>
    <w:rsid w:val="00486F66"/>
    <w:rsid w:val="004A5623"/>
    <w:rsid w:val="004A79BB"/>
    <w:rsid w:val="004C210D"/>
    <w:rsid w:val="004C7534"/>
    <w:rsid w:val="004D2799"/>
    <w:rsid w:val="004D4772"/>
    <w:rsid w:val="004D59A9"/>
    <w:rsid w:val="004E02E1"/>
    <w:rsid w:val="004F5EDD"/>
    <w:rsid w:val="004F6BCE"/>
    <w:rsid w:val="004F6E40"/>
    <w:rsid w:val="0050408D"/>
    <w:rsid w:val="0051167E"/>
    <w:rsid w:val="005213CB"/>
    <w:rsid w:val="00544231"/>
    <w:rsid w:val="00552CC3"/>
    <w:rsid w:val="00554E7C"/>
    <w:rsid w:val="005657C9"/>
    <w:rsid w:val="00570430"/>
    <w:rsid w:val="00570DD1"/>
    <w:rsid w:val="00572E37"/>
    <w:rsid w:val="00581E24"/>
    <w:rsid w:val="0058307E"/>
    <w:rsid w:val="00595A70"/>
    <w:rsid w:val="005B6110"/>
    <w:rsid w:val="005D0E11"/>
    <w:rsid w:val="005E0AD4"/>
    <w:rsid w:val="005E451E"/>
    <w:rsid w:val="005F2E03"/>
    <w:rsid w:val="0060041E"/>
    <w:rsid w:val="00601D71"/>
    <w:rsid w:val="006211DF"/>
    <w:rsid w:val="00631175"/>
    <w:rsid w:val="00637D0D"/>
    <w:rsid w:val="006460A8"/>
    <w:rsid w:val="006528BF"/>
    <w:rsid w:val="00653F7F"/>
    <w:rsid w:val="00660C93"/>
    <w:rsid w:val="006649A3"/>
    <w:rsid w:val="006835E5"/>
    <w:rsid w:val="0069663C"/>
    <w:rsid w:val="00697514"/>
    <w:rsid w:val="00697C0B"/>
    <w:rsid w:val="006A4C58"/>
    <w:rsid w:val="006B0B51"/>
    <w:rsid w:val="006C0EF0"/>
    <w:rsid w:val="006D406C"/>
    <w:rsid w:val="00701556"/>
    <w:rsid w:val="00701AAC"/>
    <w:rsid w:val="0071212F"/>
    <w:rsid w:val="00721EE0"/>
    <w:rsid w:val="00724E5E"/>
    <w:rsid w:val="007406A5"/>
    <w:rsid w:val="0074088E"/>
    <w:rsid w:val="007410B5"/>
    <w:rsid w:val="00752182"/>
    <w:rsid w:val="00766CB1"/>
    <w:rsid w:val="0077500C"/>
    <w:rsid w:val="007803CC"/>
    <w:rsid w:val="00787138"/>
    <w:rsid w:val="00794172"/>
    <w:rsid w:val="007C3F21"/>
    <w:rsid w:val="007C7B30"/>
    <w:rsid w:val="007E4332"/>
    <w:rsid w:val="00817F7A"/>
    <w:rsid w:val="00820497"/>
    <w:rsid w:val="00825A55"/>
    <w:rsid w:val="00826EE7"/>
    <w:rsid w:val="00857F97"/>
    <w:rsid w:val="00875358"/>
    <w:rsid w:val="00891536"/>
    <w:rsid w:val="008A2DD1"/>
    <w:rsid w:val="008A5512"/>
    <w:rsid w:val="008B27CF"/>
    <w:rsid w:val="008B2D37"/>
    <w:rsid w:val="008B7E38"/>
    <w:rsid w:val="008C6B8E"/>
    <w:rsid w:val="008D2E06"/>
    <w:rsid w:val="008F5B64"/>
    <w:rsid w:val="00915AB0"/>
    <w:rsid w:val="0091788B"/>
    <w:rsid w:val="0093376E"/>
    <w:rsid w:val="00935314"/>
    <w:rsid w:val="00945AD4"/>
    <w:rsid w:val="009873A9"/>
    <w:rsid w:val="00990304"/>
    <w:rsid w:val="00994329"/>
    <w:rsid w:val="009A3706"/>
    <w:rsid w:val="009A386B"/>
    <w:rsid w:val="009A573E"/>
    <w:rsid w:val="009B39F7"/>
    <w:rsid w:val="009B3FB0"/>
    <w:rsid w:val="009C5E6D"/>
    <w:rsid w:val="009D258F"/>
    <w:rsid w:val="009E3876"/>
    <w:rsid w:val="009F3EE7"/>
    <w:rsid w:val="009F73D8"/>
    <w:rsid w:val="00A1079C"/>
    <w:rsid w:val="00A70983"/>
    <w:rsid w:val="00A813B5"/>
    <w:rsid w:val="00A833C2"/>
    <w:rsid w:val="00AA142E"/>
    <w:rsid w:val="00AD78DC"/>
    <w:rsid w:val="00AE3E51"/>
    <w:rsid w:val="00AE514F"/>
    <w:rsid w:val="00AF1C74"/>
    <w:rsid w:val="00B012CC"/>
    <w:rsid w:val="00B02A27"/>
    <w:rsid w:val="00B06AB3"/>
    <w:rsid w:val="00B079C5"/>
    <w:rsid w:val="00B32EC2"/>
    <w:rsid w:val="00B33CB1"/>
    <w:rsid w:val="00B46AF1"/>
    <w:rsid w:val="00B7079D"/>
    <w:rsid w:val="00B7281A"/>
    <w:rsid w:val="00B919AA"/>
    <w:rsid w:val="00BA1016"/>
    <w:rsid w:val="00BB44B5"/>
    <w:rsid w:val="00BB454E"/>
    <w:rsid w:val="00BC2DD6"/>
    <w:rsid w:val="00BC446E"/>
    <w:rsid w:val="00BD4BD4"/>
    <w:rsid w:val="00BE2935"/>
    <w:rsid w:val="00BF0022"/>
    <w:rsid w:val="00BF01CE"/>
    <w:rsid w:val="00C40C62"/>
    <w:rsid w:val="00C40E68"/>
    <w:rsid w:val="00C445A2"/>
    <w:rsid w:val="00C57194"/>
    <w:rsid w:val="00C61D18"/>
    <w:rsid w:val="00C63C91"/>
    <w:rsid w:val="00C7754D"/>
    <w:rsid w:val="00C802E2"/>
    <w:rsid w:val="00C85920"/>
    <w:rsid w:val="00C956C1"/>
    <w:rsid w:val="00C95D08"/>
    <w:rsid w:val="00CA1B03"/>
    <w:rsid w:val="00CA363D"/>
    <w:rsid w:val="00CA3D5F"/>
    <w:rsid w:val="00CB6757"/>
    <w:rsid w:val="00CE1C0E"/>
    <w:rsid w:val="00CF2BD8"/>
    <w:rsid w:val="00CF5D34"/>
    <w:rsid w:val="00D00176"/>
    <w:rsid w:val="00D00328"/>
    <w:rsid w:val="00D13249"/>
    <w:rsid w:val="00D343DB"/>
    <w:rsid w:val="00D35107"/>
    <w:rsid w:val="00D420A5"/>
    <w:rsid w:val="00D45AFE"/>
    <w:rsid w:val="00D51E18"/>
    <w:rsid w:val="00D66457"/>
    <w:rsid w:val="00D7584A"/>
    <w:rsid w:val="00D958C5"/>
    <w:rsid w:val="00DB7AB0"/>
    <w:rsid w:val="00DC24B7"/>
    <w:rsid w:val="00DD15A1"/>
    <w:rsid w:val="00DD52BB"/>
    <w:rsid w:val="00DE21A3"/>
    <w:rsid w:val="00E22C54"/>
    <w:rsid w:val="00E244F7"/>
    <w:rsid w:val="00E32F1A"/>
    <w:rsid w:val="00E50D9C"/>
    <w:rsid w:val="00E81AD1"/>
    <w:rsid w:val="00E84C91"/>
    <w:rsid w:val="00E857C8"/>
    <w:rsid w:val="00E86106"/>
    <w:rsid w:val="00E94648"/>
    <w:rsid w:val="00E97B02"/>
    <w:rsid w:val="00EB56FC"/>
    <w:rsid w:val="00EC174A"/>
    <w:rsid w:val="00EC4FE6"/>
    <w:rsid w:val="00ED0A20"/>
    <w:rsid w:val="00ED244B"/>
    <w:rsid w:val="00ED47B9"/>
    <w:rsid w:val="00EF7872"/>
    <w:rsid w:val="00F26511"/>
    <w:rsid w:val="00F45228"/>
    <w:rsid w:val="00F54A3C"/>
    <w:rsid w:val="00F66322"/>
    <w:rsid w:val="00F8670F"/>
    <w:rsid w:val="00F90B46"/>
    <w:rsid w:val="00F917C5"/>
    <w:rsid w:val="00F92A00"/>
    <w:rsid w:val="00F948D4"/>
    <w:rsid w:val="00FA6B23"/>
    <w:rsid w:val="00FC7E88"/>
    <w:rsid w:val="00FD111F"/>
    <w:rsid w:val="00FE7737"/>
    <w:rsid w:val="00FF0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FF06"/>
  <w15:chartTrackingRefBased/>
  <w15:docId w15:val="{DEA226FC-B151-4521-A345-07988472B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AB3"/>
  </w:style>
  <w:style w:type="paragraph" w:styleId="Heading1">
    <w:name w:val="heading 1"/>
    <w:basedOn w:val="Normal"/>
    <w:next w:val="Normal"/>
    <w:link w:val="Heading1Char"/>
    <w:uiPriority w:val="9"/>
    <w:qFormat/>
    <w:rsid w:val="006A4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4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4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C58"/>
    <w:rPr>
      <w:rFonts w:eastAsiaTheme="majorEastAsia" w:cstheme="majorBidi"/>
      <w:color w:val="272727" w:themeColor="text1" w:themeTint="D8"/>
    </w:rPr>
  </w:style>
  <w:style w:type="paragraph" w:styleId="Title">
    <w:name w:val="Title"/>
    <w:basedOn w:val="Normal"/>
    <w:next w:val="Normal"/>
    <w:link w:val="TitleChar"/>
    <w:uiPriority w:val="10"/>
    <w:qFormat/>
    <w:rsid w:val="006A4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C58"/>
    <w:pPr>
      <w:spacing w:before="160"/>
      <w:jc w:val="center"/>
    </w:pPr>
    <w:rPr>
      <w:i/>
      <w:iCs/>
      <w:color w:val="404040" w:themeColor="text1" w:themeTint="BF"/>
    </w:rPr>
  </w:style>
  <w:style w:type="character" w:customStyle="1" w:styleId="QuoteChar">
    <w:name w:val="Quote Char"/>
    <w:basedOn w:val="DefaultParagraphFont"/>
    <w:link w:val="Quote"/>
    <w:uiPriority w:val="29"/>
    <w:rsid w:val="006A4C58"/>
    <w:rPr>
      <w:i/>
      <w:iCs/>
      <w:color w:val="404040" w:themeColor="text1" w:themeTint="BF"/>
    </w:rPr>
  </w:style>
  <w:style w:type="paragraph" w:styleId="ListParagraph">
    <w:name w:val="List Paragraph"/>
    <w:basedOn w:val="Normal"/>
    <w:uiPriority w:val="34"/>
    <w:qFormat/>
    <w:rsid w:val="006A4C58"/>
    <w:pPr>
      <w:ind w:left="720"/>
      <w:contextualSpacing/>
    </w:pPr>
  </w:style>
  <w:style w:type="character" w:styleId="IntenseEmphasis">
    <w:name w:val="Intense Emphasis"/>
    <w:basedOn w:val="DefaultParagraphFont"/>
    <w:uiPriority w:val="21"/>
    <w:qFormat/>
    <w:rsid w:val="006A4C58"/>
    <w:rPr>
      <w:i/>
      <w:iCs/>
      <w:color w:val="0F4761" w:themeColor="accent1" w:themeShade="BF"/>
    </w:rPr>
  </w:style>
  <w:style w:type="paragraph" w:styleId="IntenseQuote">
    <w:name w:val="Intense Quote"/>
    <w:basedOn w:val="Normal"/>
    <w:next w:val="Normal"/>
    <w:link w:val="IntenseQuoteChar"/>
    <w:uiPriority w:val="30"/>
    <w:qFormat/>
    <w:rsid w:val="006A4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C58"/>
    <w:rPr>
      <w:i/>
      <w:iCs/>
      <w:color w:val="0F4761" w:themeColor="accent1" w:themeShade="BF"/>
    </w:rPr>
  </w:style>
  <w:style w:type="character" w:styleId="IntenseReference">
    <w:name w:val="Intense Reference"/>
    <w:basedOn w:val="DefaultParagraphFont"/>
    <w:uiPriority w:val="32"/>
    <w:qFormat/>
    <w:rsid w:val="006A4C58"/>
    <w:rPr>
      <w:b/>
      <w:bCs/>
      <w:smallCaps/>
      <w:color w:val="0F4761" w:themeColor="accent1" w:themeShade="BF"/>
      <w:spacing w:val="5"/>
    </w:rPr>
  </w:style>
  <w:style w:type="character" w:styleId="Hyperlink">
    <w:name w:val="Hyperlink"/>
    <w:basedOn w:val="DefaultParagraphFont"/>
    <w:uiPriority w:val="99"/>
    <w:unhideWhenUsed/>
    <w:rsid w:val="0008472C"/>
    <w:rPr>
      <w:color w:val="467886" w:themeColor="hyperlink"/>
      <w:u w:val="single"/>
    </w:rPr>
  </w:style>
  <w:style w:type="character" w:styleId="UnresolvedMention">
    <w:name w:val="Unresolved Mention"/>
    <w:basedOn w:val="DefaultParagraphFont"/>
    <w:uiPriority w:val="99"/>
    <w:semiHidden/>
    <w:unhideWhenUsed/>
    <w:rsid w:val="0008472C"/>
    <w:rPr>
      <w:color w:val="605E5C"/>
      <w:shd w:val="clear" w:color="auto" w:fill="E1DFDD"/>
    </w:rPr>
  </w:style>
  <w:style w:type="character" w:styleId="FollowedHyperlink">
    <w:name w:val="FollowedHyperlink"/>
    <w:basedOn w:val="DefaultParagraphFont"/>
    <w:uiPriority w:val="99"/>
    <w:semiHidden/>
    <w:unhideWhenUsed/>
    <w:rsid w:val="00C61D18"/>
    <w:rPr>
      <w:color w:val="96607D" w:themeColor="followedHyperlink"/>
      <w:u w:val="single"/>
    </w:rPr>
  </w:style>
  <w:style w:type="character" w:styleId="SubtleEmphasis">
    <w:name w:val="Subtle Emphasis"/>
    <w:basedOn w:val="DefaultParagraphFont"/>
    <w:uiPriority w:val="19"/>
    <w:qFormat/>
    <w:rsid w:val="00BF0022"/>
    <w:rPr>
      <w:i/>
      <w:iCs/>
      <w:color w:val="404040" w:themeColor="text1" w:themeTint="BF"/>
    </w:rPr>
  </w:style>
  <w:style w:type="paragraph" w:styleId="Header">
    <w:name w:val="header"/>
    <w:basedOn w:val="Normal"/>
    <w:link w:val="HeaderChar"/>
    <w:uiPriority w:val="99"/>
    <w:unhideWhenUsed/>
    <w:rsid w:val="00CF5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D34"/>
  </w:style>
  <w:style w:type="paragraph" w:styleId="Footer">
    <w:name w:val="footer"/>
    <w:basedOn w:val="Normal"/>
    <w:link w:val="FooterChar"/>
    <w:uiPriority w:val="99"/>
    <w:unhideWhenUsed/>
    <w:rsid w:val="00CF5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D34"/>
  </w:style>
  <w:style w:type="character" w:styleId="Emphasis">
    <w:name w:val="Emphasis"/>
    <w:basedOn w:val="DefaultParagraphFont"/>
    <w:uiPriority w:val="20"/>
    <w:qFormat/>
    <w:rsid w:val="000E0440"/>
    <w:rPr>
      <w:i/>
      <w:iCs/>
    </w:rPr>
  </w:style>
  <w:style w:type="paragraph" w:styleId="NoSpacing">
    <w:name w:val="No Spacing"/>
    <w:uiPriority w:val="1"/>
    <w:qFormat/>
    <w:rsid w:val="005F2E03"/>
    <w:pPr>
      <w:spacing w:after="0" w:line="240" w:lineRule="auto"/>
    </w:pPr>
  </w:style>
  <w:style w:type="paragraph" w:styleId="TOCHeading">
    <w:name w:val="TOC Heading"/>
    <w:basedOn w:val="Heading1"/>
    <w:next w:val="Normal"/>
    <w:uiPriority w:val="39"/>
    <w:unhideWhenUsed/>
    <w:qFormat/>
    <w:rsid w:val="008D2E0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D2E06"/>
    <w:pPr>
      <w:spacing w:after="100"/>
      <w:ind w:left="240"/>
    </w:pPr>
  </w:style>
  <w:style w:type="paragraph" w:styleId="TOC1">
    <w:name w:val="toc 1"/>
    <w:basedOn w:val="Normal"/>
    <w:next w:val="Normal"/>
    <w:autoRedefine/>
    <w:uiPriority w:val="39"/>
    <w:unhideWhenUsed/>
    <w:rsid w:val="008D2E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customXml" Target="ink/ink1.xml"/><Relationship Id="rId42" Type="http://schemas.openxmlformats.org/officeDocument/2006/relationships/hyperlink" Target="https://www.jhiblog.org/2020/05/04/history-mers-south-korea-covid19-response" TargetMode="External"/><Relationship Id="rId47" Type="http://schemas.openxmlformats.org/officeDocument/2006/relationships/hyperlink" Target="https://doi.org/10.1093/publius/pjad002" TargetMode="External"/><Relationship Id="rId63" Type="http://schemas.openxmlformats.org/officeDocument/2006/relationships/hyperlink" Target="https://doi.org/10.1080/00343404.2021.1983164" TargetMode="External"/><Relationship Id="rId68" Type="http://schemas.openxmlformats.org/officeDocument/2006/relationships/hyperlink" Target="https://ourworldindata.org/coronavirus/country/spain" TargetMode="External"/><Relationship Id="rId84" Type="http://schemas.openxmlformats.org/officeDocument/2006/relationships/footer" Target="footer1.xm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hyperlink" Target="https://doi.org/10.1016/0090-2616(90)90061-S" TargetMode="External"/><Relationship Id="rId37" Type="http://schemas.openxmlformats.org/officeDocument/2006/relationships/hyperlink" Target="https://doi.org/10.1002/jls.20022" TargetMode="External"/><Relationship Id="rId53" Type="http://schemas.openxmlformats.org/officeDocument/2006/relationships/hyperlink" Target="https://doi.org/10.4000/irpp.3716" TargetMode="External"/><Relationship Id="rId58" Type="http://schemas.openxmlformats.org/officeDocument/2006/relationships/hyperlink" Target="https://doi.org/10.1017/S1744133121000220" TargetMode="External"/><Relationship Id="rId74" Type="http://schemas.openxmlformats.org/officeDocument/2006/relationships/hyperlink" Target="https://doi.org/10.1177/00218863221110627" TargetMode="External"/><Relationship Id="rId79" Type="http://schemas.openxmlformats.org/officeDocument/2006/relationships/hyperlink" Target="https://www.who.int/news-room/fact-sheets/detail/coronavirus-disease-%28covid-19%29" TargetMode="External"/><Relationship Id="rId5" Type="http://schemas.openxmlformats.org/officeDocument/2006/relationships/numbering" Target="numbering.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hyperlink" Target="https://gh.bmj.com/content/10/2/e018124" TargetMode="External"/><Relationship Id="rId35" Type="http://schemas.openxmlformats.org/officeDocument/2006/relationships/hyperlink" Target="https://doi.org/10.1080/21622671.2022.2101513" TargetMode="External"/><Relationship Id="rId43" Type="http://schemas.openxmlformats.org/officeDocument/2006/relationships/hyperlink" Target="https://commission.europa.eu/strategy-and-policy/coronavirus-response/public-health/eu-vaccines-strategy_en" TargetMode="External"/><Relationship Id="rId48" Type="http://schemas.openxmlformats.org/officeDocument/2006/relationships/hyperlink" Target="https://doi.org/10.5465/amj.1969.19201155" TargetMode="External"/><Relationship Id="rId56" Type="http://schemas.openxmlformats.org/officeDocument/2006/relationships/hyperlink" Target="https://www.covinform.eu/wp-content/uploads/sites/39/2023/10/COVINFORM-Brochure-A4-Policy-Brief-04-STRUCTURES-INSTITUTIONS-AND-ACTORS-IN-THE-RESPONSE-TO-THE-COVID-19-CRISIS-IN-SPAIN-Challenges-dilemmas-and-proposals.-1.0.pdf" TargetMode="External"/><Relationship Id="rId64" Type="http://schemas.openxmlformats.org/officeDocument/2006/relationships/hyperlink" Target="https://www.oecd.org/en/publications/health-at-a-glance-2023_7a7afb35-en/full-report/integrated-care_5ffd491c.html" TargetMode="External"/><Relationship Id="rId69" Type="http://schemas.openxmlformats.org/officeDocument/2006/relationships/hyperlink" Target="https://summit.sfu.ca/item/35749" TargetMode="External"/><Relationship Id="rId77" Type="http://schemas.openxmlformats.org/officeDocument/2006/relationships/hyperlink" Target="https://www.verywellmind.com/what-is-laissez-faire-leadership-2795316" TargetMode="External"/><Relationship Id="rId8" Type="http://schemas.openxmlformats.org/officeDocument/2006/relationships/webSettings" Target="webSettings.xml"/><Relationship Id="rId51" Type="http://schemas.openxmlformats.org/officeDocument/2006/relationships/hyperlink" Target="https://www.icnl.org/covid19tracker/south-korea/" TargetMode="External"/><Relationship Id="rId72" Type="http://schemas.openxmlformats.org/officeDocument/2006/relationships/hyperlink" Target="https://munkschool.utoronto.ca/research/mers-covid-19-south-korean-journey" TargetMode="External"/><Relationship Id="rId80" Type="http://schemas.openxmlformats.org/officeDocument/2006/relationships/hyperlink" Target="https://covid19.who.int"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customXml" Target="ink/ink3.xml"/><Relationship Id="rId33" Type="http://schemas.openxmlformats.org/officeDocument/2006/relationships/hyperlink" Target="https://doi.org/10.1017/S1744133121000220" TargetMode="External"/><Relationship Id="rId38" Type="http://schemas.openxmlformats.org/officeDocument/2006/relationships/hyperlink" Target="https://doi.org/10.3389/fpubh.2024.1361046" TargetMode="External"/><Relationship Id="rId46" Type="http://schemas.openxmlformats.org/officeDocument/2006/relationships/hyperlink" Target="https://books.google.co.uk/books?hl=en&amp;lr=&amp;id=BQIsBQAAQBAJ&amp;oi=fnd&amp;pg=PT31&amp;dq=Greenleaf,+R.K.+(1977)+%E2%80%98Servant+Leadership:+A+Journey+into+the+Nature+of+Legitimate+Power+and+Greatness.%E2%80%99+New+York:+Paulist+Press.+&amp;ots=jNzCnpej3V&amp;sig=8gh9A17H6LlTqICYIi8-txDUqug" TargetMode="External"/><Relationship Id="rId59" Type="http://schemas.openxmlformats.org/officeDocument/2006/relationships/hyperlink" Target="https://doi.org/10.1111/rsp3.12435" TargetMode="External"/><Relationship Id="rId67" Type="http://schemas.openxmlformats.org/officeDocument/2006/relationships/hyperlink" Target="https://www.oecd.org/health/health-at-a-glance.htm" TargetMode="External"/><Relationship Id="rId20" Type="http://schemas.openxmlformats.org/officeDocument/2006/relationships/image" Target="media/image10.png"/><Relationship Id="rId41" Type="http://schemas.openxmlformats.org/officeDocument/2006/relationships/hyperlink" Target="https://doi.org/10.1080/13501763.2022.2064900" TargetMode="External"/><Relationship Id="rId54" Type="http://schemas.openxmlformats.org/officeDocument/2006/relationships/hyperlink" Target="https://www.korea.net/Government/Briefing-Room/Press-Releases/view?articleId=7975&amp;type=O&amp;insttCode=A110445" TargetMode="External"/><Relationship Id="rId62" Type="http://schemas.openxmlformats.org/officeDocument/2006/relationships/hyperlink" Target="https://collegepublishing.sagepub.com/products/leadership-9-270138" TargetMode="External"/><Relationship Id="rId70" Type="http://schemas.openxmlformats.org/officeDocument/2006/relationships/hyperlink" Target="https://www.thelancet.com/journals/lancet/article/PIIS0140-6736(22)01585-9/fulltext?s=07" TargetMode="External"/><Relationship Id="rId75" Type="http://schemas.openxmlformats.org/officeDocument/2006/relationships/hyperlink" Target="https://www.sciencedirect.com/science/article/pii/S0048969720324347" TargetMode="External"/><Relationship Id="rId83" Type="http://schemas.openxmlformats.org/officeDocument/2006/relationships/hyperlink" Target="https://www.worldometers.info/coronavirus/country/spai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customXml" Target="ink/ink2.xml"/><Relationship Id="rId28" Type="http://schemas.openxmlformats.org/officeDocument/2006/relationships/hyperlink" Target="https://doi.org/10.1017/S1744133121000220" TargetMode="External"/><Relationship Id="rId36" Type="http://schemas.openxmlformats.org/officeDocument/2006/relationships/hyperlink" Target="https://doi.org/10.1136/bmj-2023-075665" TargetMode="External"/><Relationship Id="rId49" Type="http://schemas.openxmlformats.org/officeDocument/2006/relationships/hyperlink" Target="https://doi.org/10.5465/amj.1969.19201155" TargetMode="External"/><Relationship Id="rId57" Type="http://schemas.openxmlformats.org/officeDocument/2006/relationships/hyperlink" Target="https://equityhealthj.biomedcentral.com/articles/10.1186/s12939-023-02045-8" TargetMode="External"/><Relationship Id="rId10" Type="http://schemas.openxmlformats.org/officeDocument/2006/relationships/endnotes" Target="endnotes.xml"/><Relationship Id="rId31" Type="http://schemas.openxmlformats.org/officeDocument/2006/relationships/hyperlink" Target="https://www.scirp.org/reference/referencespapers?referenceid=1871417" TargetMode="External"/><Relationship Id="rId44" Type="http://schemas.openxmlformats.org/officeDocument/2006/relationships/hyperlink" Target="https://scholar.google.co.uk/scholar?hl=en&amp;as_sdt=0%2C5&amp;q=Burns%2C+J.+M.+%281978%29+Leadership.+New+York%3A+Harper+%26+Row.&amp;btnG=" TargetMode="External"/><Relationship Id="rId52" Type="http://schemas.openxmlformats.org/officeDocument/2006/relationships/hyperlink" Target="https://jogh.org/10.7189/jogh.10.010389" TargetMode="External"/><Relationship Id="rId60" Type="http://schemas.openxmlformats.org/officeDocument/2006/relationships/hyperlink" Target="https://doi.org/10.1016/j.ijid.2020.01.042" TargetMode="External"/><Relationship Id="rId65" Type="http://schemas.openxmlformats.org/officeDocument/2006/relationships/hyperlink" Target="https://chat.openai.com/" TargetMode="External"/><Relationship Id="rId73" Type="http://schemas.openxmlformats.org/officeDocument/2006/relationships/hyperlink" Target="https://www.mheducation.co.uk/open-university-press" TargetMode="External"/><Relationship Id="rId78" Type="http://schemas.openxmlformats.org/officeDocument/2006/relationships/hyperlink" Target="https://en.wikipedia.org/wiki/COVID-19_pandemic_in_Spain" TargetMode="External"/><Relationship Id="rId81" Type="http://schemas.openxmlformats.org/officeDocument/2006/relationships/hyperlink" Target="https://www.who.int/emergencies/disease-outbreak-news/item/2025-DON572"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realinstitutoelcano.org/wp-content/uploads/2021/10/wp01-2021-chislett-challenges-and-opportunities-for-spain-in-times-of-covid-19.pdf" TargetMode="External"/><Relationship Id="rId34" Type="http://schemas.openxmlformats.org/officeDocument/2006/relationships/hyperlink" Target="https://bmjopen.bmj.com/content/12/5/e054847" TargetMode="External"/><Relationship Id="rId50" Type="http://schemas.openxmlformats.org/officeDocument/2006/relationships/hyperlink" Target="https://bmcpublichealth.biomedcentral.com/articles/10.1186/s12889-024-19655-8" TargetMode="External"/><Relationship Id="rId55" Type="http://schemas.openxmlformats.org/officeDocument/2006/relationships/hyperlink" Target="https://link.springer.com/article/10.1007/s10997-022-09647-4" TargetMode="External"/><Relationship Id="rId76" Type="http://schemas.openxmlformats.org/officeDocument/2006/relationships/hyperlink" Target="https://openaccess.leidenuniv.nl/handle/1887/345678" TargetMode="External"/><Relationship Id="rId7" Type="http://schemas.openxmlformats.org/officeDocument/2006/relationships/settings" Target="settings.xml"/><Relationship Id="rId71" Type="http://schemas.openxmlformats.org/officeDocument/2006/relationships/hyperlink" Target="https://www.relias.com/blog/7-leadership-styles-in-nursing" TargetMode="External"/><Relationship Id="rId2" Type="http://schemas.openxmlformats.org/officeDocument/2006/relationships/customXml" Target="../customXml/item2.xml"/><Relationship Id="rId29" Type="http://schemas.openxmlformats.org/officeDocument/2006/relationships/hyperlink" Target="https://doi.org/10.1093/publius/pjad002" TargetMode="External"/><Relationship Id="rId24" Type="http://schemas.openxmlformats.org/officeDocument/2006/relationships/image" Target="media/image12.png"/><Relationship Id="rId40" Type="http://schemas.openxmlformats.org/officeDocument/2006/relationships/hyperlink" Target="https://bmjopen.bmj.com/content/12/5/e054847" TargetMode="External"/><Relationship Id="rId45" Type="http://schemas.openxmlformats.org/officeDocument/2006/relationships/hyperlink" Target="https://doi.org/10.1016/S2468-2667(20)30208-5" TargetMode="External"/><Relationship Id="rId66" Type="http://schemas.openxmlformats.org/officeDocument/2006/relationships/hyperlink" Target="https://www.oecd.org/health/health-at-a-glance/" TargetMode="External"/><Relationship Id="rId61" Type="http://schemas.openxmlformats.org/officeDocument/2006/relationships/hyperlink" Target="https://doi.org/10.1080/03003930.2022.2042683" TargetMode="External"/><Relationship Id="rId82" Type="http://schemas.openxmlformats.org/officeDocument/2006/relationships/hyperlink" Target="https://www.worldometers.info/coronavirus/country/south-korea/"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07:00:20.083"/>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07:00:14.492"/>
    </inkml:context>
    <inkml:brush xml:id="br0">
      <inkml:brushProperty name="width" value="0.05" units="cm"/>
      <inkml:brushProperty name="height" value="0.05" units="cm"/>
    </inkml:brush>
  </inkml:definitions>
  <inkml:trace contextRef="#ctx0" brushRef="#br0">0 1 24575,'0'2'0,"1"-1"0,-1 1 0,1 0 0,0 0 0,0 0 0,0-1 0,0 1 0,0 0 0,0-1 0,0 1 0,0-1 0,0 1 0,1-1 0,-1 0 0,1 1 0,-1-1 0,1 0 0,2 2 0,36 18 0,-34-18 0,-2-1 0,0 1 0,-1-1 0,1 0 0,0 1 0,-1 0 0,0 0 0,0 0 0,0 0 0,0 0 0,0 1 0,-1 0 0,1-1 0,-1 1 0,0 0 0,0 0 0,0 0 0,-1 0 0,2 7 0,0 5 0,0 0 0,-2 1 0,0 29 0,-1-29 0,0 0 0,5 27 0,7 8 0,-6-29 0,-1 0 0,-1 1 0,-1 0 0,0 24 0,-3-40 0,-1 0 0,0 0 0,0 0 0,-1-1 0,1 1 0,-2-1 0,1 1 0,-1-1 0,-1 0 0,1 0 0,-1 0 0,0 0 0,-1-1 0,1 1 0,-1-1 0,-9 8 0,-52 59 0,66-72-25,0-1 1,0 1-1,-1-1 0,1 0 0,0 1 0,0-1 0,-1 1 1,1-1-1,0 0 0,-1 1 0,1-1 0,-1 0 1,1 1-1,-1-1 0,1 0 0,0 0 0,-1 1 0,1-1 1,-1 0-1,1 0 0,-1 0 0,1 0 0,-1 1 0,1-1 1,-1 0-1,0 0 0,1 0 0,-1 0 0,1 0 1,-1-1-1,1 1 0,-1 0 0,1 0 0,-1 0 0,1 0 1,-1 0-1,1-1 0,0 1 0,-1 0 0,1 0 0,-1-1 1,1 1-1,-1 0 0,1-1 0,0 1 0,-1-1 1,1 1-1,0 0 0,-1-1 0,1 1 0,0-1 0,0 1 1,-1-1-1,1 0 0,-3-9-6801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07:00:06.430"/>
    </inkml:context>
    <inkml:brush xml:id="br0">
      <inkml:brushProperty name="width" value="0.05" units="cm"/>
      <inkml:brushProperty name="height" value="0.05" units="cm"/>
    </inkml:brush>
  </inkml:definitions>
  <inkml:trace contextRef="#ctx0" brushRef="#br0">126 1 24575,'-4'0'0,"0"0"0,0 1 0,0 0 0,0 0 0,1 0 0,-1 0 0,0 1 0,1 0 0,-1-1 0,1 1 0,-1 1 0,1-1 0,0 0 0,0 1 0,0-1 0,0 1 0,0 0 0,1 0 0,-1 0 0,1 0 0,0 1 0,-4 6 0,1 1 0,0 0 0,0 1 0,1-1 0,0 1 0,1 0 0,-1 14 0,-4 16 0,5-29 0,0 1 0,1-1 0,0 28 0,3-36 0,-1 0 0,1 0 0,0 0 0,0 0 0,1-1 0,-1 1 0,1 0 0,0-1 0,1 1 0,-1-1 0,1 0 0,-1 0 0,1 0 0,7 7 0,-1 0 0,-1 0 0,0 0 0,-1 1 0,0-1 0,-1 2 0,0-1 0,-1 1 0,-1 0 0,0 0 0,3 16 0,16 46 0,-21-72-76,-1 1 1,1-1-1,0 0 0,0 0 0,0 0 0,0 0 0,0 0 0,0 0 1,1 0-1,0-1 0,-1 1 0,1-1 0,0 0 0,0 0 1,0 0-1,1 0 0,3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45afefa3a063e365b889fd1562f139f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b315f332d06f04be559a98571ac28ced"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68713F-0C37-46A1-A685-084E64AF9C2D}">
  <ds:schemaRefs>
    <ds:schemaRef ds:uri="http://schemas.openxmlformats.org/officeDocument/2006/bibliography"/>
  </ds:schemaRefs>
</ds:datastoreItem>
</file>

<file path=customXml/itemProps2.xml><?xml version="1.0" encoding="utf-8"?>
<ds:datastoreItem xmlns:ds="http://schemas.openxmlformats.org/officeDocument/2006/customXml" ds:itemID="{4A934A19-916F-4CF4-B9A9-A7F7A2E6538D}">
  <ds:schemaRefs>
    <ds:schemaRef ds:uri="http://schemas.microsoft.com/office/2006/metadata/properties"/>
    <ds:schemaRef ds:uri="http://schemas.openxmlformats.org/package/2006/metadata/core-properties"/>
    <ds:schemaRef ds:uri="http://schemas.microsoft.com/office/2006/documentManagement/types"/>
    <ds:schemaRef ds:uri="http://purl.org/dc/elements/1.1/"/>
    <ds:schemaRef ds:uri="http://www.w3.org/XML/1998/namespace"/>
    <ds:schemaRef ds:uri="http://purl.org/dc/dcmitype/"/>
    <ds:schemaRef ds:uri="http://purl.org/dc/terms/"/>
    <ds:schemaRef ds:uri="http://schemas.microsoft.com/office/infopath/2007/PartnerControls"/>
    <ds:schemaRef ds:uri="461f81f1-dbc4-4122-adb0-1c0e154b8134"/>
    <ds:schemaRef ds:uri="a450a3cc-050d-4aca-8a4e-543025a63de0"/>
  </ds:schemaRefs>
</ds:datastoreItem>
</file>

<file path=customXml/itemProps3.xml><?xml version="1.0" encoding="utf-8"?>
<ds:datastoreItem xmlns:ds="http://schemas.openxmlformats.org/officeDocument/2006/customXml" ds:itemID="{5542A40B-1BE4-4186-ADD9-7A51DCEEDBB6}">
  <ds:schemaRefs>
    <ds:schemaRef ds:uri="http://schemas.microsoft.com/sharepoint/v3/contenttype/forms"/>
  </ds:schemaRefs>
</ds:datastoreItem>
</file>

<file path=customXml/itemProps4.xml><?xml version="1.0" encoding="utf-8"?>
<ds:datastoreItem xmlns:ds="http://schemas.openxmlformats.org/officeDocument/2006/customXml" ds:itemID="{E1BBE7CC-0563-4740-B807-60604FB8DD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7766</Words>
  <Characters>55763</Characters>
  <Application>Microsoft Office Word</Application>
  <DocSecurity>0</DocSecurity>
  <Lines>1138</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Rosena Lucy (2210256)</dc:creator>
  <cp:keywords/>
  <dc:description/>
  <cp:lastModifiedBy>Rosena Lucy (2210256)</cp:lastModifiedBy>
  <cp:revision>2</cp:revision>
  <dcterms:created xsi:type="dcterms:W3CDTF">2025-11-11T10:48:00Z</dcterms:created>
  <dcterms:modified xsi:type="dcterms:W3CDTF">2025-11-11T10:48:00Z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