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CFC4EE2" w14:textId="4B561CB3" w:rsidR="009871F3" w:rsidRDefault="004A24B3" w:rsidP="009871F3">
      <w:pPr>
        <w:spacing w:before="240"/>
        <w:jc w:val="center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 xml:space="preserve">NAME: </w:t>
      </w:r>
      <w:r w:rsidR="009871F3">
        <w:rPr>
          <w:rFonts w:ascii="Arial" w:hAnsi="Arial" w:cs="Arial"/>
          <w:b/>
          <w:bCs/>
          <w:sz w:val="22"/>
          <w:szCs w:val="22"/>
          <w:lang w:val="en-GB"/>
        </w:rPr>
        <w:t>MARGET ABENA KWAW</w:t>
      </w:r>
    </w:p>
    <w:p w14:paraId="78CC554D" w14:textId="0060D1CC" w:rsidR="009871F3" w:rsidRDefault="009871F3" w:rsidP="009871F3">
      <w:pPr>
        <w:spacing w:before="240"/>
        <w:jc w:val="center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STUDENT NUMBER: 2441376</w:t>
      </w:r>
    </w:p>
    <w:p w14:paraId="7E85F1D3" w14:textId="0DEF479B" w:rsidR="00B05D69" w:rsidRDefault="00B05D69" w:rsidP="009871F3">
      <w:pPr>
        <w:spacing w:before="240"/>
        <w:jc w:val="center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Subject: Component 1</w:t>
      </w:r>
      <w:r w:rsidR="00F23784">
        <w:rPr>
          <w:rFonts w:ascii="Arial" w:hAnsi="Arial" w:cs="Arial"/>
          <w:b/>
          <w:bCs/>
          <w:sz w:val="22"/>
          <w:szCs w:val="22"/>
          <w:lang w:val="en-GB"/>
        </w:rPr>
        <w:t xml:space="preserve"> (</w:t>
      </w:r>
      <w:r w:rsidR="002436A8">
        <w:rPr>
          <w:rFonts w:ascii="Arial" w:hAnsi="Arial" w:cs="Arial"/>
          <w:b/>
          <w:bCs/>
          <w:sz w:val="22"/>
          <w:szCs w:val="22"/>
          <w:lang w:val="en-GB"/>
        </w:rPr>
        <w:t>BMHP50</w:t>
      </w:r>
      <w:r w:rsidR="005B590F">
        <w:rPr>
          <w:rFonts w:ascii="Arial" w:hAnsi="Arial" w:cs="Arial"/>
          <w:b/>
          <w:bCs/>
          <w:sz w:val="22"/>
          <w:szCs w:val="22"/>
          <w:lang w:val="en-GB"/>
        </w:rPr>
        <w:t>21</w:t>
      </w:r>
      <w:r w:rsidR="002436A8">
        <w:rPr>
          <w:rFonts w:ascii="Arial" w:hAnsi="Arial" w:cs="Arial"/>
          <w:b/>
          <w:bCs/>
          <w:sz w:val="22"/>
          <w:szCs w:val="22"/>
          <w:lang w:val="en-GB"/>
        </w:rPr>
        <w:t>)</w:t>
      </w:r>
    </w:p>
    <w:p w14:paraId="169E01E7" w14:textId="38BC7B6A" w:rsidR="009255CE" w:rsidRPr="009255CE" w:rsidRDefault="009255CE" w:rsidP="009255CE">
      <w:pPr>
        <w:spacing w:before="240"/>
        <w:jc w:val="center"/>
        <w:rPr>
          <w:rFonts w:ascii="Arial" w:hAnsi="Arial" w:cs="Arial"/>
          <w:b/>
          <w:bCs/>
          <w:sz w:val="22"/>
          <w:szCs w:val="22"/>
          <w:lang w:val="en-GB"/>
        </w:rPr>
      </w:pPr>
      <w:r w:rsidRPr="009255CE">
        <w:rPr>
          <w:rFonts w:ascii="Arial" w:hAnsi="Arial" w:cs="Arial"/>
          <w:b/>
          <w:bCs/>
          <w:sz w:val="22"/>
          <w:szCs w:val="22"/>
          <w:lang w:val="en-GB"/>
        </w:rPr>
        <w:t>CASE 2: CHILD F: CHILD SAFEGUARDING PRACTICE REVIEW: OVERVIEW REPORT: CHILD F</w:t>
      </w:r>
    </w:p>
    <w:p w14:paraId="269AE8DE" w14:textId="6EB83E39" w:rsidR="009255CE" w:rsidRPr="009255CE" w:rsidRDefault="009255CE" w:rsidP="009255CE">
      <w:pPr>
        <w:spacing w:before="240"/>
        <w:jc w:val="center"/>
        <w:rPr>
          <w:rFonts w:ascii="Arial" w:hAnsi="Arial" w:cs="Arial"/>
          <w:b/>
          <w:bCs/>
          <w:sz w:val="22"/>
          <w:szCs w:val="22"/>
          <w:lang w:val="en-GB"/>
        </w:rPr>
      </w:pPr>
      <w:r w:rsidRPr="009255CE">
        <w:rPr>
          <w:rFonts w:ascii="Arial" w:hAnsi="Arial" w:cs="Arial"/>
          <w:b/>
          <w:bCs/>
          <w:sz w:val="22"/>
          <w:szCs w:val="22"/>
          <w:lang w:val="en-GB"/>
        </w:rPr>
        <w:t>DRAFT REFERENCE LIST</w:t>
      </w:r>
    </w:p>
    <w:p w14:paraId="1FE452C9" w14:textId="4D1FE6B0" w:rsidR="009255CE" w:rsidRPr="009255CE" w:rsidRDefault="009255CE" w:rsidP="009255CE">
      <w:pPr>
        <w:spacing w:line="276" w:lineRule="auto"/>
        <w:rPr>
          <w:rFonts w:ascii="Arial" w:hAnsi="Arial" w:cs="Arial"/>
          <w:sz w:val="22"/>
          <w:szCs w:val="22"/>
          <w:lang w:val="en-GB"/>
        </w:rPr>
      </w:pPr>
      <w:r w:rsidRPr="009255CE">
        <w:rPr>
          <w:rFonts w:ascii="Arial" w:hAnsi="Arial" w:cs="Arial"/>
          <w:sz w:val="22"/>
          <w:szCs w:val="22"/>
          <w:lang w:val="en-GB"/>
        </w:rPr>
        <w:t>Baidawi, S., Sheehan, R., &amp; Flynn, C. (2020)</w:t>
      </w:r>
      <w:r w:rsidR="00566A4C">
        <w:rPr>
          <w:rFonts w:ascii="Arial" w:hAnsi="Arial" w:cs="Arial"/>
          <w:sz w:val="22"/>
          <w:szCs w:val="22"/>
          <w:lang w:val="en-GB"/>
        </w:rPr>
        <w:t xml:space="preserve"> ‘</w:t>
      </w:r>
      <w:r w:rsidRPr="009255CE">
        <w:rPr>
          <w:rFonts w:ascii="Arial" w:hAnsi="Arial" w:cs="Arial"/>
          <w:sz w:val="22"/>
          <w:szCs w:val="22"/>
          <w:lang w:val="en-GB"/>
        </w:rPr>
        <w:t xml:space="preserve"> Criminal exploitation of child protection-involved youth</w:t>
      </w:r>
      <w:r w:rsidR="00566A4C">
        <w:rPr>
          <w:rFonts w:ascii="Arial" w:hAnsi="Arial" w:cs="Arial"/>
          <w:sz w:val="22"/>
          <w:szCs w:val="22"/>
          <w:lang w:val="en-GB"/>
        </w:rPr>
        <w:t>’,</w:t>
      </w:r>
      <w:r w:rsidRPr="009255CE">
        <w:rPr>
          <w:rFonts w:ascii="Arial" w:hAnsi="Arial" w:cs="Arial"/>
          <w:sz w:val="22"/>
          <w:szCs w:val="22"/>
          <w:lang w:val="en-GB"/>
        </w:rPr>
        <w:t xml:space="preserve"> </w:t>
      </w:r>
      <w:r w:rsidRPr="00566A4C">
        <w:rPr>
          <w:rFonts w:ascii="Arial" w:hAnsi="Arial" w:cs="Arial"/>
          <w:i/>
          <w:iCs/>
          <w:sz w:val="22"/>
          <w:szCs w:val="22"/>
          <w:lang w:val="en-GB"/>
        </w:rPr>
        <w:t>Children and Youth Services Review,</w:t>
      </w:r>
      <w:r w:rsidRPr="009255CE">
        <w:rPr>
          <w:rFonts w:ascii="Arial" w:hAnsi="Arial" w:cs="Arial"/>
          <w:sz w:val="22"/>
          <w:szCs w:val="22"/>
          <w:lang w:val="en-GB"/>
        </w:rPr>
        <w:t xml:space="preserve"> 118, 105396.</w:t>
      </w:r>
      <w:r w:rsidRPr="009255CE">
        <w:rPr>
          <w:rFonts w:ascii="Arial" w:hAnsi="Arial" w:cs="Arial"/>
          <w:sz w:val="22"/>
          <w:szCs w:val="22"/>
        </w:rPr>
        <w:t xml:space="preserve"> </w:t>
      </w:r>
      <w:r w:rsidR="00566A4C">
        <w:rPr>
          <w:rFonts w:ascii="Arial" w:hAnsi="Arial" w:cs="Arial"/>
          <w:sz w:val="22"/>
          <w:szCs w:val="22"/>
        </w:rPr>
        <w:t xml:space="preserve">Available at: </w:t>
      </w:r>
      <w:hyperlink r:id="rId6" w:history="1">
        <w:r w:rsidR="00566A4C" w:rsidRPr="00701DE0">
          <w:rPr>
            <w:rStyle w:val="Hyperlink"/>
            <w:rFonts w:ascii="Arial" w:hAnsi="Arial" w:cs="Arial"/>
            <w:sz w:val="22"/>
            <w:szCs w:val="22"/>
            <w:lang w:val="en-GB"/>
          </w:rPr>
          <w:t>https://doi.org/10.1016/j.childyouth.2020.105396</w:t>
        </w:r>
      </w:hyperlink>
    </w:p>
    <w:p w14:paraId="1DBF84C7" w14:textId="010AA18B" w:rsidR="009255CE" w:rsidRPr="009255CE" w:rsidRDefault="009255CE" w:rsidP="009255CE">
      <w:pPr>
        <w:spacing w:line="276" w:lineRule="auto"/>
        <w:rPr>
          <w:rFonts w:ascii="Arial" w:hAnsi="Arial" w:cs="Arial"/>
          <w:sz w:val="22"/>
          <w:szCs w:val="22"/>
          <w:lang w:val="en-GB"/>
        </w:rPr>
      </w:pPr>
      <w:r w:rsidRPr="009255CE">
        <w:rPr>
          <w:rFonts w:ascii="Arial" w:hAnsi="Arial" w:cs="Arial"/>
          <w:sz w:val="22"/>
          <w:szCs w:val="22"/>
          <w:lang w:val="en-GB"/>
        </w:rPr>
        <w:t>Child Safeguarding Practice Review Panel (</w:t>
      </w:r>
      <w:r w:rsidR="00566A4C" w:rsidRPr="009255CE">
        <w:rPr>
          <w:rFonts w:ascii="Arial" w:hAnsi="Arial" w:cs="Arial"/>
          <w:sz w:val="22"/>
          <w:szCs w:val="22"/>
          <w:lang w:val="en-GB"/>
        </w:rPr>
        <w:t>March</w:t>
      </w:r>
      <w:r w:rsidRPr="009255CE">
        <w:rPr>
          <w:rFonts w:ascii="Arial" w:hAnsi="Arial" w:cs="Arial"/>
          <w:sz w:val="22"/>
          <w:szCs w:val="22"/>
          <w:lang w:val="en-GB"/>
        </w:rPr>
        <w:t xml:space="preserve"> 2020)</w:t>
      </w:r>
      <w:r w:rsidR="00566A4C">
        <w:rPr>
          <w:rFonts w:ascii="Arial" w:hAnsi="Arial" w:cs="Arial"/>
          <w:sz w:val="22"/>
          <w:szCs w:val="22"/>
          <w:lang w:val="en-GB"/>
        </w:rPr>
        <w:t xml:space="preserve"> It was hard to escape: </w:t>
      </w:r>
      <w:r w:rsidRPr="009255CE">
        <w:rPr>
          <w:rFonts w:ascii="Arial" w:hAnsi="Arial" w:cs="Arial"/>
          <w:sz w:val="22"/>
          <w:szCs w:val="22"/>
          <w:lang w:val="en-GB"/>
        </w:rPr>
        <w:t xml:space="preserve">Safeguarding children at risk from criminal exploitation. Available at: </w:t>
      </w:r>
      <w:hyperlink r:id="rId7" w:history="1">
        <w:r w:rsidRPr="009255CE">
          <w:rPr>
            <w:rStyle w:val="Hyperlink"/>
            <w:rFonts w:ascii="Arial" w:hAnsi="Arial" w:cs="Arial"/>
            <w:sz w:val="22"/>
            <w:szCs w:val="22"/>
            <w:lang w:val="en-GB"/>
          </w:rPr>
          <w:t>https://assets.publishing.service.gov.uk/media/5e5e7f47e90e077e3385cb44/Safeguarding_children_at_risk_from_criminal_exploitation_review.pdf</w:t>
        </w:r>
      </w:hyperlink>
    </w:p>
    <w:p w14:paraId="1BC90A23" w14:textId="77777777" w:rsidR="009255CE" w:rsidRDefault="009255CE" w:rsidP="009255CE">
      <w:pPr>
        <w:spacing w:line="276" w:lineRule="auto"/>
        <w:rPr>
          <w:rFonts w:ascii="Arial" w:hAnsi="Arial" w:cs="Arial"/>
          <w:sz w:val="22"/>
          <w:szCs w:val="22"/>
          <w:lang w:val="en-GB"/>
        </w:rPr>
      </w:pPr>
      <w:r w:rsidRPr="009255CE">
        <w:rPr>
          <w:rFonts w:ascii="Arial" w:hAnsi="Arial" w:cs="Arial"/>
          <w:sz w:val="22"/>
          <w:szCs w:val="22"/>
          <w:lang w:val="en-GB"/>
        </w:rPr>
        <w:t xml:space="preserve">Children Act 1989, c.41. Available at: </w:t>
      </w:r>
      <w:hyperlink r:id="rId8" w:history="1">
        <w:r w:rsidRPr="009255CE">
          <w:rPr>
            <w:rStyle w:val="Hyperlink"/>
            <w:rFonts w:ascii="Arial" w:hAnsi="Arial" w:cs="Arial"/>
            <w:sz w:val="22"/>
            <w:szCs w:val="22"/>
            <w:lang w:val="en-GB"/>
          </w:rPr>
          <w:t>https://www.legislation.gov.uk/ukpga/1989/41/data.xht?wrap=true</w:t>
        </w:r>
      </w:hyperlink>
      <w:r w:rsidRPr="009255CE">
        <w:rPr>
          <w:rFonts w:ascii="Arial" w:hAnsi="Arial" w:cs="Arial"/>
          <w:sz w:val="22"/>
          <w:szCs w:val="22"/>
          <w:lang w:val="en-GB"/>
        </w:rPr>
        <w:t xml:space="preserve"> (Accessed 7 October 2026).</w:t>
      </w:r>
    </w:p>
    <w:p w14:paraId="57557EB6" w14:textId="7EC9B8F2" w:rsidR="009255CE" w:rsidRPr="009255CE" w:rsidRDefault="009255CE" w:rsidP="009255CE">
      <w:pPr>
        <w:spacing w:line="276" w:lineRule="auto"/>
        <w:rPr>
          <w:rFonts w:ascii="Arial" w:hAnsi="Arial" w:cs="Arial"/>
          <w:sz w:val="22"/>
          <w:szCs w:val="22"/>
          <w:lang w:val="en-GB"/>
        </w:rPr>
      </w:pPr>
      <w:r w:rsidRPr="009255CE">
        <w:rPr>
          <w:rFonts w:ascii="Arial" w:hAnsi="Arial" w:cs="Arial"/>
          <w:sz w:val="22"/>
          <w:szCs w:val="22"/>
          <w:lang w:val="en-GB"/>
        </w:rPr>
        <w:br/>
        <w:t xml:space="preserve">Children Act 2004.c. 31 London. Available at: </w:t>
      </w:r>
      <w:hyperlink r:id="rId9" w:history="1">
        <w:r w:rsidRPr="009255CE">
          <w:rPr>
            <w:rStyle w:val="Hyperlink"/>
            <w:rFonts w:ascii="Arial" w:hAnsi="Arial" w:cs="Arial"/>
            <w:sz w:val="22"/>
            <w:szCs w:val="22"/>
            <w:lang w:val="en-GB"/>
          </w:rPr>
          <w:t>https://www.legislation.gov.uk/ukpga/2004/31/pdfs/ukpga_20040031_en.pdf</w:t>
        </w:r>
      </w:hyperlink>
      <w:r w:rsidRPr="009255CE">
        <w:rPr>
          <w:rFonts w:ascii="Arial" w:hAnsi="Arial" w:cs="Arial"/>
          <w:sz w:val="22"/>
          <w:szCs w:val="22"/>
          <w:lang w:val="en-GB"/>
        </w:rPr>
        <w:t xml:space="preserve"> (Accessed 7 October 2026).</w:t>
      </w:r>
    </w:p>
    <w:p w14:paraId="05EB03B5" w14:textId="77777777" w:rsidR="009255CE" w:rsidRPr="009255CE" w:rsidRDefault="009255CE" w:rsidP="009255CE">
      <w:pPr>
        <w:spacing w:line="276" w:lineRule="auto"/>
        <w:rPr>
          <w:rFonts w:ascii="Arial" w:hAnsi="Arial" w:cs="Arial"/>
          <w:sz w:val="22"/>
          <w:szCs w:val="22"/>
          <w:lang w:val="en-GB"/>
        </w:rPr>
      </w:pPr>
      <w:r w:rsidRPr="009255CE">
        <w:rPr>
          <w:rFonts w:ascii="Arial" w:hAnsi="Arial" w:cs="Arial"/>
          <w:sz w:val="22"/>
          <w:szCs w:val="22"/>
          <w:lang w:val="en-GB"/>
        </w:rPr>
        <w:t xml:space="preserve">Children and Family Act 2014. c6. Available at: </w:t>
      </w:r>
      <w:hyperlink r:id="rId10" w:history="1">
        <w:r w:rsidRPr="009255CE">
          <w:rPr>
            <w:rStyle w:val="Hyperlink"/>
            <w:rFonts w:ascii="Arial" w:hAnsi="Arial" w:cs="Arial"/>
            <w:sz w:val="22"/>
            <w:szCs w:val="22"/>
            <w:lang w:val="en-GB"/>
          </w:rPr>
          <w:t>https://www.legislation.gov.uk/ukpga/2014/6/pdfs/ukpga_20140006_en.pdf</w:t>
        </w:r>
      </w:hyperlink>
      <w:r w:rsidRPr="009255CE">
        <w:rPr>
          <w:rFonts w:ascii="Arial" w:hAnsi="Arial" w:cs="Arial"/>
          <w:sz w:val="22"/>
          <w:szCs w:val="22"/>
          <w:lang w:val="en-GB"/>
        </w:rPr>
        <w:t xml:space="preserve"> (Accessed 10 October 2026).</w:t>
      </w:r>
    </w:p>
    <w:p w14:paraId="23F9E656" w14:textId="77777777" w:rsidR="009255CE" w:rsidRPr="009255CE" w:rsidRDefault="009255CE" w:rsidP="009255CE">
      <w:pPr>
        <w:spacing w:line="276" w:lineRule="auto"/>
        <w:rPr>
          <w:rFonts w:ascii="Arial" w:hAnsi="Arial" w:cs="Arial"/>
          <w:sz w:val="22"/>
          <w:szCs w:val="22"/>
          <w:lang w:val="en-GB"/>
        </w:rPr>
      </w:pPr>
      <w:r w:rsidRPr="009255CE">
        <w:rPr>
          <w:rFonts w:ascii="Arial" w:hAnsi="Arial" w:cs="Arial"/>
          <w:sz w:val="22"/>
          <w:szCs w:val="22"/>
          <w:lang w:val="en-GB"/>
        </w:rPr>
        <w:t>Children and Social Work Act 2017, c. 16.</w:t>
      </w:r>
      <w:r w:rsidRPr="009255CE">
        <w:rPr>
          <w:rFonts w:ascii="Arial" w:hAnsi="Arial" w:cs="Arial"/>
          <w:sz w:val="22"/>
          <w:szCs w:val="22"/>
        </w:rPr>
        <w:t xml:space="preserve"> Available at: </w:t>
      </w:r>
      <w:hyperlink r:id="rId11" w:history="1">
        <w:r w:rsidRPr="009255CE">
          <w:rPr>
            <w:rStyle w:val="Hyperlink"/>
            <w:rFonts w:ascii="Arial" w:hAnsi="Arial" w:cs="Arial"/>
            <w:sz w:val="22"/>
            <w:szCs w:val="22"/>
            <w:lang w:val="en-GB"/>
          </w:rPr>
          <w:t>https://www.legislation.gov.uk/ukpga/2017/16/section/16</w:t>
        </w:r>
      </w:hyperlink>
      <w:r w:rsidRPr="009255CE">
        <w:rPr>
          <w:rFonts w:ascii="Arial" w:hAnsi="Arial" w:cs="Arial"/>
          <w:sz w:val="22"/>
          <w:szCs w:val="22"/>
          <w:lang w:val="en-GB"/>
        </w:rPr>
        <w:t xml:space="preserve"> (Accessed 10 October 2026).</w:t>
      </w:r>
    </w:p>
    <w:p w14:paraId="450631D5" w14:textId="77777777" w:rsidR="009255CE" w:rsidRPr="009255CE" w:rsidRDefault="009255CE" w:rsidP="009255CE">
      <w:pPr>
        <w:spacing w:line="276" w:lineRule="auto"/>
        <w:rPr>
          <w:rFonts w:ascii="Arial" w:hAnsi="Arial" w:cs="Arial"/>
          <w:sz w:val="22"/>
          <w:szCs w:val="22"/>
          <w:lang w:val="en-GB"/>
        </w:rPr>
      </w:pPr>
      <w:r w:rsidRPr="009255CE">
        <w:rPr>
          <w:rFonts w:ascii="Arial" w:hAnsi="Arial" w:cs="Arial"/>
          <w:sz w:val="22"/>
          <w:szCs w:val="22"/>
          <w:lang w:val="en-GB"/>
        </w:rPr>
        <w:t xml:space="preserve">Data Protection Act 2018, c. 12. Available at: </w:t>
      </w:r>
      <w:hyperlink r:id="rId12" w:history="1">
        <w:r w:rsidRPr="009255CE">
          <w:rPr>
            <w:rStyle w:val="Hyperlink"/>
            <w:rFonts w:ascii="Arial" w:hAnsi="Arial" w:cs="Arial"/>
            <w:sz w:val="22"/>
            <w:szCs w:val="22"/>
            <w:lang w:val="en-GB"/>
          </w:rPr>
          <w:t>https://www.legislation.gov.uk/ukpga/2018/12/enacted/data.xht?view=snippet&amp;wrap=true</w:t>
        </w:r>
      </w:hyperlink>
      <w:r w:rsidRPr="009255CE">
        <w:rPr>
          <w:rFonts w:ascii="Arial" w:hAnsi="Arial" w:cs="Arial"/>
          <w:sz w:val="22"/>
          <w:szCs w:val="22"/>
          <w:lang w:val="en-GB"/>
        </w:rPr>
        <w:t xml:space="preserve"> (Accessed 7 October 2026).</w:t>
      </w:r>
    </w:p>
    <w:p w14:paraId="702D9C35" w14:textId="77777777" w:rsidR="009255CE" w:rsidRPr="009255CE" w:rsidRDefault="009255CE" w:rsidP="009255CE">
      <w:pPr>
        <w:spacing w:line="276" w:lineRule="auto"/>
        <w:jc w:val="both"/>
        <w:rPr>
          <w:rFonts w:ascii="Arial" w:hAnsi="Arial" w:cs="Arial"/>
          <w:sz w:val="22"/>
          <w:szCs w:val="22"/>
          <w:lang w:val="en-GB"/>
        </w:rPr>
      </w:pPr>
      <w:r w:rsidRPr="009255CE">
        <w:rPr>
          <w:rFonts w:ascii="Arial" w:hAnsi="Arial" w:cs="Arial"/>
          <w:sz w:val="22"/>
          <w:szCs w:val="22"/>
          <w:lang w:val="en-GB"/>
        </w:rPr>
        <w:t xml:space="preserve">Equality Act 2010. C15 London. Available at: </w:t>
      </w:r>
      <w:hyperlink r:id="rId13" w:history="1">
        <w:r w:rsidRPr="009255CE">
          <w:rPr>
            <w:rStyle w:val="Hyperlink"/>
            <w:rFonts w:ascii="Arial" w:hAnsi="Arial" w:cs="Arial"/>
            <w:sz w:val="22"/>
            <w:szCs w:val="22"/>
            <w:lang w:val="en-GB"/>
          </w:rPr>
          <w:t>https://www.legislation.gov.uk/ukpga/2010/15</w:t>
        </w:r>
      </w:hyperlink>
      <w:r w:rsidRPr="009255CE">
        <w:rPr>
          <w:rFonts w:ascii="Arial" w:hAnsi="Arial" w:cs="Arial"/>
          <w:sz w:val="22"/>
          <w:szCs w:val="22"/>
          <w:lang w:val="en-GB"/>
        </w:rPr>
        <w:t xml:space="preserve"> (Accessed 10 October 2026).</w:t>
      </w:r>
    </w:p>
    <w:p w14:paraId="20CE86AE" w14:textId="5A80F997" w:rsidR="009255CE" w:rsidRPr="009255CE" w:rsidRDefault="009255CE" w:rsidP="009255CE">
      <w:pPr>
        <w:spacing w:line="276" w:lineRule="auto"/>
        <w:jc w:val="both"/>
        <w:rPr>
          <w:rFonts w:ascii="Arial" w:hAnsi="Arial" w:cs="Arial"/>
          <w:sz w:val="22"/>
          <w:szCs w:val="22"/>
          <w:lang w:val="en-GB"/>
        </w:rPr>
      </w:pPr>
      <w:r w:rsidRPr="009255CE">
        <w:rPr>
          <w:rFonts w:ascii="Arial" w:hAnsi="Arial" w:cs="Arial"/>
          <w:sz w:val="22"/>
          <w:szCs w:val="22"/>
          <w:lang w:val="en-GB"/>
        </w:rPr>
        <w:t xml:space="preserve">Firmin, C., </w:t>
      </w:r>
      <w:r w:rsidR="00566A4C">
        <w:rPr>
          <w:rFonts w:ascii="Arial" w:hAnsi="Arial" w:cs="Arial"/>
          <w:sz w:val="22"/>
          <w:szCs w:val="22"/>
          <w:lang w:val="en-GB"/>
        </w:rPr>
        <w:t>(</w:t>
      </w:r>
      <w:r w:rsidRPr="009255CE">
        <w:rPr>
          <w:rFonts w:ascii="Arial" w:hAnsi="Arial" w:cs="Arial"/>
          <w:sz w:val="22"/>
          <w:szCs w:val="22"/>
          <w:lang w:val="en-GB"/>
        </w:rPr>
        <w:t>2018</w:t>
      </w:r>
      <w:r w:rsidR="00566A4C">
        <w:rPr>
          <w:rFonts w:ascii="Arial" w:hAnsi="Arial" w:cs="Arial"/>
          <w:sz w:val="22"/>
          <w:szCs w:val="22"/>
          <w:lang w:val="en-GB"/>
        </w:rPr>
        <w:t>)</w:t>
      </w:r>
      <w:r w:rsidRPr="009255CE">
        <w:rPr>
          <w:rFonts w:ascii="Arial" w:hAnsi="Arial" w:cs="Arial"/>
          <w:sz w:val="22"/>
          <w:szCs w:val="22"/>
          <w:lang w:val="en-GB"/>
        </w:rPr>
        <w:t xml:space="preserve"> </w:t>
      </w:r>
      <w:r w:rsidR="00566A4C">
        <w:rPr>
          <w:rFonts w:ascii="Arial" w:hAnsi="Arial" w:cs="Arial"/>
          <w:sz w:val="22"/>
          <w:szCs w:val="22"/>
          <w:lang w:val="en-GB"/>
        </w:rPr>
        <w:t>‘</w:t>
      </w:r>
      <w:r w:rsidRPr="009255CE">
        <w:rPr>
          <w:rFonts w:ascii="Arial" w:hAnsi="Arial" w:cs="Arial"/>
          <w:sz w:val="22"/>
          <w:szCs w:val="22"/>
          <w:lang w:val="en-GB"/>
        </w:rPr>
        <w:t>Contextual risk, individualised responses: An assessment of safeguarding responses to nine cases of peer</w:t>
      </w:r>
      <w:r w:rsidRPr="009255CE">
        <w:rPr>
          <w:rFonts w:ascii="Cambria Math" w:hAnsi="Cambria Math" w:cs="Cambria Math"/>
          <w:sz w:val="22"/>
          <w:szCs w:val="22"/>
          <w:lang w:val="en-GB"/>
        </w:rPr>
        <w:t>‐</w:t>
      </w:r>
      <w:r w:rsidRPr="009255CE">
        <w:rPr>
          <w:rFonts w:ascii="Arial" w:hAnsi="Arial" w:cs="Arial"/>
          <w:sz w:val="22"/>
          <w:szCs w:val="22"/>
          <w:lang w:val="en-GB"/>
        </w:rPr>
        <w:t>on</w:t>
      </w:r>
      <w:r w:rsidRPr="009255CE">
        <w:rPr>
          <w:rFonts w:ascii="Cambria Math" w:hAnsi="Cambria Math" w:cs="Cambria Math"/>
          <w:sz w:val="22"/>
          <w:szCs w:val="22"/>
          <w:lang w:val="en-GB"/>
        </w:rPr>
        <w:t>‐</w:t>
      </w:r>
      <w:r w:rsidRPr="009255CE">
        <w:rPr>
          <w:rFonts w:ascii="Arial" w:hAnsi="Arial" w:cs="Arial"/>
          <w:sz w:val="22"/>
          <w:szCs w:val="22"/>
          <w:lang w:val="en-GB"/>
        </w:rPr>
        <w:t>peer abuse</w:t>
      </w:r>
      <w:r w:rsidR="00566A4C">
        <w:rPr>
          <w:rFonts w:ascii="Arial" w:hAnsi="Arial" w:cs="Arial"/>
          <w:sz w:val="22"/>
          <w:szCs w:val="22"/>
          <w:lang w:val="en-GB"/>
        </w:rPr>
        <w:t>’,</w:t>
      </w:r>
      <w:r w:rsidRPr="009255CE">
        <w:rPr>
          <w:rFonts w:ascii="Arial" w:hAnsi="Arial" w:cs="Arial"/>
          <w:sz w:val="22"/>
          <w:szCs w:val="22"/>
          <w:lang w:val="en-GB"/>
        </w:rPr>
        <w:t xml:space="preserve"> </w:t>
      </w:r>
      <w:r w:rsidRPr="00566A4C">
        <w:rPr>
          <w:rFonts w:ascii="Arial" w:hAnsi="Arial" w:cs="Arial"/>
          <w:i/>
          <w:iCs/>
          <w:sz w:val="22"/>
          <w:szCs w:val="22"/>
          <w:lang w:val="en-GB"/>
        </w:rPr>
        <w:t>Child Abuse Review</w:t>
      </w:r>
      <w:r w:rsidRPr="009255CE">
        <w:rPr>
          <w:rFonts w:ascii="Arial" w:hAnsi="Arial" w:cs="Arial"/>
          <w:sz w:val="22"/>
          <w:szCs w:val="22"/>
          <w:lang w:val="en-GB"/>
        </w:rPr>
        <w:t xml:space="preserve">, 27(1), pp.42-57. </w:t>
      </w:r>
      <w:r w:rsidR="00566A4C">
        <w:rPr>
          <w:rFonts w:ascii="Arial" w:hAnsi="Arial" w:cs="Arial"/>
          <w:sz w:val="22"/>
          <w:szCs w:val="22"/>
        </w:rPr>
        <w:t xml:space="preserve">Available at: </w:t>
      </w:r>
      <w:hyperlink r:id="rId14" w:history="1">
        <w:r w:rsidRPr="009255CE">
          <w:rPr>
            <w:rStyle w:val="Hyperlink"/>
            <w:rFonts w:ascii="Arial" w:hAnsi="Arial" w:cs="Arial"/>
            <w:sz w:val="22"/>
            <w:szCs w:val="22"/>
            <w:lang w:val="en-GB"/>
          </w:rPr>
          <w:t>https://doi.org/10.1002/car.2449</w:t>
        </w:r>
      </w:hyperlink>
    </w:p>
    <w:p w14:paraId="2E118A91" w14:textId="2D1B7998" w:rsidR="009255CE" w:rsidRPr="009255CE" w:rsidRDefault="009255CE" w:rsidP="009255CE">
      <w:pPr>
        <w:spacing w:line="276" w:lineRule="auto"/>
        <w:jc w:val="both"/>
        <w:rPr>
          <w:rFonts w:ascii="Arial" w:hAnsi="Arial" w:cs="Arial"/>
          <w:sz w:val="22"/>
          <w:szCs w:val="22"/>
          <w:lang w:val="en-GB"/>
        </w:rPr>
      </w:pPr>
      <w:r w:rsidRPr="009255CE">
        <w:rPr>
          <w:rFonts w:ascii="Arial" w:hAnsi="Arial" w:cs="Arial"/>
          <w:sz w:val="22"/>
          <w:szCs w:val="22"/>
          <w:lang w:val="en-GB"/>
        </w:rPr>
        <w:t>Lloyd, J., Manister, M. and Wroe, L.</w:t>
      </w:r>
      <w:r w:rsidR="00566A4C">
        <w:rPr>
          <w:rFonts w:ascii="Arial" w:hAnsi="Arial" w:cs="Arial"/>
          <w:sz w:val="22"/>
          <w:szCs w:val="22"/>
          <w:lang w:val="en-GB"/>
        </w:rPr>
        <w:t xml:space="preserve"> (2023) ‘</w:t>
      </w:r>
      <w:r w:rsidRPr="009255CE">
        <w:rPr>
          <w:rFonts w:ascii="Arial" w:hAnsi="Arial" w:cs="Arial"/>
          <w:sz w:val="22"/>
          <w:szCs w:val="22"/>
          <w:lang w:val="en-GB"/>
        </w:rPr>
        <w:t>Social care responses to children who experience criminal exploitation and violence: The conditions for a welfare response</w:t>
      </w:r>
      <w:r w:rsidR="00566A4C">
        <w:rPr>
          <w:rFonts w:ascii="Arial" w:hAnsi="Arial" w:cs="Arial"/>
          <w:sz w:val="22"/>
          <w:szCs w:val="22"/>
          <w:lang w:val="en-GB"/>
        </w:rPr>
        <w:t>’,</w:t>
      </w:r>
      <w:r w:rsidRPr="009255CE">
        <w:rPr>
          <w:rFonts w:ascii="Arial" w:hAnsi="Arial" w:cs="Arial"/>
          <w:sz w:val="22"/>
          <w:szCs w:val="22"/>
          <w:lang w:val="en-GB"/>
        </w:rPr>
        <w:t xml:space="preserve"> </w:t>
      </w:r>
      <w:r w:rsidRPr="00566A4C">
        <w:rPr>
          <w:rFonts w:ascii="Arial" w:hAnsi="Arial" w:cs="Arial"/>
          <w:i/>
          <w:iCs/>
          <w:sz w:val="22"/>
          <w:szCs w:val="22"/>
          <w:lang w:val="en-GB"/>
        </w:rPr>
        <w:t>The British Journal of Social Work</w:t>
      </w:r>
      <w:r w:rsidRPr="009255CE">
        <w:rPr>
          <w:rFonts w:ascii="Arial" w:hAnsi="Arial" w:cs="Arial"/>
          <w:sz w:val="22"/>
          <w:szCs w:val="22"/>
          <w:lang w:val="en-GB"/>
        </w:rPr>
        <w:t>, 53(8), pp.3725-3743.</w:t>
      </w:r>
      <w:r w:rsidR="00566A4C" w:rsidRPr="009255CE">
        <w:rPr>
          <w:rFonts w:ascii="Arial" w:hAnsi="Arial" w:cs="Arial"/>
          <w:sz w:val="22"/>
          <w:szCs w:val="22"/>
        </w:rPr>
        <w:t xml:space="preserve"> </w:t>
      </w:r>
      <w:r w:rsidR="00566A4C">
        <w:rPr>
          <w:rFonts w:ascii="Arial" w:hAnsi="Arial" w:cs="Arial"/>
          <w:sz w:val="22"/>
          <w:szCs w:val="22"/>
        </w:rPr>
        <w:t xml:space="preserve">Available at: </w:t>
      </w:r>
      <w:r w:rsidRPr="009255CE">
        <w:rPr>
          <w:rFonts w:ascii="Arial" w:hAnsi="Arial" w:cs="Arial"/>
          <w:sz w:val="22"/>
          <w:szCs w:val="22"/>
        </w:rPr>
        <w:t xml:space="preserve"> </w:t>
      </w:r>
      <w:hyperlink r:id="rId15" w:history="1">
        <w:r w:rsidRPr="009255CE">
          <w:rPr>
            <w:rStyle w:val="Hyperlink"/>
            <w:rFonts w:ascii="Arial" w:hAnsi="Arial" w:cs="Arial"/>
            <w:sz w:val="22"/>
            <w:szCs w:val="22"/>
            <w:lang w:val="en-GB"/>
          </w:rPr>
          <w:t>https://doi.org/10.1093/bjsw/bcad145</w:t>
        </w:r>
      </w:hyperlink>
      <w:r w:rsidRPr="009255CE">
        <w:rPr>
          <w:rFonts w:ascii="Arial" w:hAnsi="Arial" w:cs="Arial"/>
          <w:sz w:val="22"/>
          <w:szCs w:val="22"/>
          <w:lang w:val="en-GB"/>
        </w:rPr>
        <w:t xml:space="preserve"> </w:t>
      </w:r>
    </w:p>
    <w:p w14:paraId="71FDAFD8" w14:textId="7BB771CA" w:rsidR="009255CE" w:rsidRPr="009255CE" w:rsidRDefault="009255CE" w:rsidP="009255CE">
      <w:pPr>
        <w:spacing w:line="276" w:lineRule="auto"/>
        <w:jc w:val="both"/>
        <w:rPr>
          <w:rFonts w:ascii="Arial" w:hAnsi="Arial" w:cs="Arial"/>
          <w:sz w:val="22"/>
          <w:szCs w:val="22"/>
          <w:lang w:val="en-GB"/>
        </w:rPr>
      </w:pPr>
      <w:r w:rsidRPr="009255CE">
        <w:rPr>
          <w:rFonts w:ascii="Arial" w:hAnsi="Arial" w:cs="Arial"/>
          <w:sz w:val="22"/>
          <w:szCs w:val="22"/>
          <w:lang w:val="en-GB"/>
        </w:rPr>
        <w:t xml:space="preserve">Malvaso, C. G., Cale, J., Whitten, T., Day, A., Singh, S., Hackett, L., ... &amp; Ross, S. (2022) </w:t>
      </w:r>
      <w:r w:rsidR="00566A4C">
        <w:rPr>
          <w:rFonts w:ascii="Arial" w:hAnsi="Arial" w:cs="Arial"/>
          <w:sz w:val="22"/>
          <w:szCs w:val="22"/>
          <w:lang w:val="en-GB"/>
        </w:rPr>
        <w:t>‘</w:t>
      </w:r>
      <w:r w:rsidRPr="009255CE">
        <w:rPr>
          <w:rFonts w:ascii="Arial" w:hAnsi="Arial" w:cs="Arial"/>
          <w:sz w:val="22"/>
          <w:szCs w:val="22"/>
          <w:lang w:val="en-GB"/>
        </w:rPr>
        <w:t>Associations between adverse childhood experiences and trauma among young people who offend: A systematic literature review</w:t>
      </w:r>
      <w:r w:rsidR="00566A4C">
        <w:rPr>
          <w:rFonts w:ascii="Arial" w:hAnsi="Arial" w:cs="Arial"/>
          <w:sz w:val="22"/>
          <w:szCs w:val="22"/>
          <w:lang w:val="en-GB"/>
        </w:rPr>
        <w:t>’,</w:t>
      </w:r>
      <w:r w:rsidRPr="009255CE">
        <w:rPr>
          <w:rFonts w:ascii="Arial" w:hAnsi="Arial" w:cs="Arial"/>
          <w:sz w:val="22"/>
          <w:szCs w:val="22"/>
          <w:lang w:val="en-GB"/>
        </w:rPr>
        <w:t xml:space="preserve"> </w:t>
      </w:r>
      <w:r w:rsidRPr="00566A4C">
        <w:rPr>
          <w:rFonts w:ascii="Arial" w:hAnsi="Arial" w:cs="Arial"/>
          <w:i/>
          <w:iCs/>
          <w:sz w:val="22"/>
          <w:szCs w:val="22"/>
          <w:lang w:val="en-GB"/>
        </w:rPr>
        <w:t>Trauma, Violence, &amp; Abuse</w:t>
      </w:r>
      <w:r w:rsidRPr="009255CE">
        <w:rPr>
          <w:rFonts w:ascii="Arial" w:hAnsi="Arial" w:cs="Arial"/>
          <w:sz w:val="22"/>
          <w:szCs w:val="22"/>
          <w:lang w:val="en-GB"/>
        </w:rPr>
        <w:t xml:space="preserve">, 23(5), 1677-1694. </w:t>
      </w:r>
      <w:hyperlink r:id="rId16" w:history="1">
        <w:r w:rsidRPr="009255CE">
          <w:rPr>
            <w:rStyle w:val="Hyperlink"/>
            <w:rFonts w:ascii="Arial" w:hAnsi="Arial" w:cs="Arial"/>
            <w:sz w:val="22"/>
            <w:szCs w:val="22"/>
            <w:lang w:val="en-GB"/>
          </w:rPr>
          <w:t>https://doi.org/10.1177/15248380211013132</w:t>
        </w:r>
      </w:hyperlink>
      <w:r w:rsidRPr="009255CE">
        <w:rPr>
          <w:rFonts w:ascii="Arial" w:hAnsi="Arial" w:cs="Arial"/>
          <w:sz w:val="22"/>
          <w:szCs w:val="22"/>
          <w:lang w:val="en-GB"/>
        </w:rPr>
        <w:t xml:space="preserve"> </w:t>
      </w:r>
    </w:p>
    <w:p w14:paraId="2C4FE323" w14:textId="6D12A9D3" w:rsidR="009255CE" w:rsidRPr="009255CE" w:rsidRDefault="009255CE" w:rsidP="009255CE">
      <w:pPr>
        <w:spacing w:line="276" w:lineRule="auto"/>
        <w:jc w:val="both"/>
        <w:rPr>
          <w:rFonts w:ascii="Arial" w:hAnsi="Arial" w:cs="Arial"/>
          <w:sz w:val="22"/>
          <w:szCs w:val="22"/>
          <w:lang w:val="en-GB"/>
        </w:rPr>
      </w:pPr>
      <w:r w:rsidRPr="009255CE">
        <w:rPr>
          <w:rFonts w:ascii="Arial" w:hAnsi="Arial" w:cs="Arial"/>
          <w:sz w:val="22"/>
          <w:szCs w:val="22"/>
          <w:lang w:val="en-GB"/>
        </w:rPr>
        <w:t>McGovern, W. and McGovern, R.</w:t>
      </w:r>
      <w:r w:rsidR="00566A4C">
        <w:rPr>
          <w:rFonts w:ascii="Arial" w:hAnsi="Arial" w:cs="Arial"/>
          <w:sz w:val="22"/>
          <w:szCs w:val="22"/>
          <w:lang w:val="en-GB"/>
        </w:rPr>
        <w:t xml:space="preserve"> (</w:t>
      </w:r>
      <w:r w:rsidRPr="009255CE">
        <w:rPr>
          <w:rFonts w:ascii="Arial" w:hAnsi="Arial" w:cs="Arial"/>
          <w:sz w:val="22"/>
          <w:szCs w:val="22"/>
          <w:lang w:val="en-GB"/>
        </w:rPr>
        <w:t>2021</w:t>
      </w:r>
      <w:r w:rsidR="00566A4C">
        <w:rPr>
          <w:rFonts w:ascii="Arial" w:hAnsi="Arial" w:cs="Arial"/>
          <w:sz w:val="22"/>
          <w:szCs w:val="22"/>
          <w:lang w:val="en-GB"/>
        </w:rPr>
        <w:t>)</w:t>
      </w:r>
      <w:r w:rsidRPr="009255CE">
        <w:rPr>
          <w:rFonts w:ascii="Arial" w:hAnsi="Arial" w:cs="Arial"/>
          <w:sz w:val="22"/>
          <w:szCs w:val="22"/>
          <w:lang w:val="en-GB"/>
        </w:rPr>
        <w:t xml:space="preserve"> </w:t>
      </w:r>
      <w:r w:rsidR="00566A4C">
        <w:rPr>
          <w:rFonts w:ascii="Arial" w:hAnsi="Arial" w:cs="Arial"/>
          <w:sz w:val="22"/>
          <w:szCs w:val="22"/>
          <w:lang w:val="en-GB"/>
        </w:rPr>
        <w:t>‘</w:t>
      </w:r>
      <w:r w:rsidRPr="009255CE">
        <w:rPr>
          <w:rFonts w:ascii="Arial" w:hAnsi="Arial" w:cs="Arial"/>
          <w:sz w:val="22"/>
          <w:szCs w:val="22"/>
          <w:lang w:val="en-GB"/>
        </w:rPr>
        <w:t>Understanding and responding to basic safeguarding concerns and processes in schools</w:t>
      </w:r>
      <w:r w:rsidR="00566A4C">
        <w:rPr>
          <w:rFonts w:ascii="Arial" w:hAnsi="Arial" w:cs="Arial"/>
          <w:sz w:val="22"/>
          <w:szCs w:val="22"/>
          <w:lang w:val="en-GB"/>
        </w:rPr>
        <w:t>’</w:t>
      </w:r>
      <w:r w:rsidRPr="009255CE">
        <w:rPr>
          <w:rFonts w:ascii="Arial" w:hAnsi="Arial" w:cs="Arial"/>
          <w:sz w:val="22"/>
          <w:szCs w:val="22"/>
        </w:rPr>
        <w:t xml:space="preserve"> </w:t>
      </w:r>
      <w:hyperlink r:id="rId17" w:history="1">
        <w:r w:rsidRPr="009255CE">
          <w:rPr>
            <w:rStyle w:val="Hyperlink"/>
            <w:rFonts w:ascii="Arial" w:hAnsi="Arial" w:cs="Arial"/>
            <w:sz w:val="22"/>
            <w:szCs w:val="22"/>
            <w:lang w:val="en-GB"/>
          </w:rPr>
          <w:t>https://doi.org/10.1108/978-1-83982-584-220211027</w:t>
        </w:r>
      </w:hyperlink>
    </w:p>
    <w:p w14:paraId="0FC97E53" w14:textId="77777777" w:rsidR="009255CE" w:rsidRPr="009255CE" w:rsidRDefault="009255CE" w:rsidP="00566A4C">
      <w:pPr>
        <w:spacing w:line="276" w:lineRule="auto"/>
        <w:rPr>
          <w:rFonts w:ascii="Arial" w:hAnsi="Arial" w:cs="Arial"/>
          <w:sz w:val="22"/>
          <w:szCs w:val="22"/>
          <w:lang w:val="en-GB"/>
        </w:rPr>
      </w:pPr>
      <w:r w:rsidRPr="009255CE">
        <w:rPr>
          <w:rFonts w:ascii="Arial" w:hAnsi="Arial" w:cs="Arial"/>
          <w:sz w:val="22"/>
          <w:szCs w:val="22"/>
          <w:lang w:val="en-GB"/>
        </w:rPr>
        <w:t xml:space="preserve">Modern Slavery Act, 2015.c 30. Available at: </w:t>
      </w:r>
      <w:hyperlink r:id="rId18" w:history="1">
        <w:r w:rsidRPr="009255CE">
          <w:rPr>
            <w:rStyle w:val="Hyperlink"/>
            <w:rFonts w:ascii="Arial" w:hAnsi="Arial" w:cs="Arial"/>
            <w:sz w:val="22"/>
            <w:szCs w:val="22"/>
            <w:lang w:val="en-GB"/>
          </w:rPr>
          <w:t>https://www.legislation.gov.uk/ukpga/2015/30/section/30</w:t>
        </w:r>
      </w:hyperlink>
      <w:r w:rsidRPr="009255CE">
        <w:rPr>
          <w:rFonts w:ascii="Arial" w:hAnsi="Arial" w:cs="Arial"/>
          <w:sz w:val="22"/>
          <w:szCs w:val="22"/>
          <w:lang w:val="en-GB"/>
        </w:rPr>
        <w:t xml:space="preserve"> (Accessed 10 October 2026). </w:t>
      </w:r>
    </w:p>
    <w:p w14:paraId="3FFFEA01" w14:textId="70BDF670" w:rsidR="009255CE" w:rsidRPr="009255CE" w:rsidRDefault="009255CE" w:rsidP="009255CE">
      <w:pPr>
        <w:spacing w:line="276" w:lineRule="auto"/>
        <w:jc w:val="both"/>
        <w:rPr>
          <w:rFonts w:ascii="Arial" w:hAnsi="Arial" w:cs="Arial"/>
          <w:sz w:val="22"/>
          <w:szCs w:val="22"/>
          <w:lang w:val="en-GB"/>
        </w:rPr>
      </w:pPr>
      <w:r w:rsidRPr="009255CE">
        <w:rPr>
          <w:rFonts w:ascii="Arial" w:hAnsi="Arial" w:cs="Arial"/>
          <w:sz w:val="22"/>
          <w:szCs w:val="22"/>
          <w:lang w:val="en-GB"/>
        </w:rPr>
        <w:t>Trejos, R. F., &amp; Kirby, R. S. (2026)</w:t>
      </w:r>
      <w:r w:rsidR="00566A4C">
        <w:rPr>
          <w:rFonts w:ascii="Arial" w:hAnsi="Arial" w:cs="Arial"/>
          <w:sz w:val="22"/>
          <w:szCs w:val="22"/>
          <w:lang w:val="en-GB"/>
        </w:rPr>
        <w:t xml:space="preserve"> ‘</w:t>
      </w:r>
      <w:r w:rsidRPr="009255CE">
        <w:rPr>
          <w:rFonts w:ascii="Arial" w:hAnsi="Arial" w:cs="Arial"/>
          <w:sz w:val="22"/>
          <w:szCs w:val="22"/>
          <w:lang w:val="en-GB"/>
        </w:rPr>
        <w:t>Adverse Childhood Experiences (ACEs): What Have We Learned and What's Next?</w:t>
      </w:r>
      <w:r w:rsidR="00566A4C">
        <w:rPr>
          <w:rFonts w:ascii="Arial" w:hAnsi="Arial" w:cs="Arial"/>
          <w:sz w:val="22"/>
          <w:szCs w:val="22"/>
          <w:lang w:val="en-GB"/>
        </w:rPr>
        <w:t>’,</w:t>
      </w:r>
      <w:r w:rsidRPr="009255CE">
        <w:rPr>
          <w:rFonts w:ascii="Arial" w:hAnsi="Arial" w:cs="Arial"/>
          <w:sz w:val="22"/>
          <w:szCs w:val="22"/>
          <w:lang w:val="en-GB"/>
        </w:rPr>
        <w:t xml:space="preserve"> </w:t>
      </w:r>
      <w:r w:rsidRPr="00566A4C">
        <w:rPr>
          <w:rFonts w:ascii="Arial" w:hAnsi="Arial" w:cs="Arial"/>
          <w:i/>
          <w:iCs/>
          <w:sz w:val="22"/>
          <w:szCs w:val="22"/>
          <w:lang w:val="en-GB"/>
        </w:rPr>
        <w:t>Annual Review of Public Health,</w:t>
      </w:r>
      <w:r w:rsidRPr="009255CE">
        <w:rPr>
          <w:rFonts w:ascii="Arial" w:hAnsi="Arial" w:cs="Arial"/>
          <w:sz w:val="22"/>
          <w:szCs w:val="22"/>
          <w:lang w:val="en-GB"/>
        </w:rPr>
        <w:t xml:space="preserve"> 47(1), 115-133.</w:t>
      </w:r>
      <w:r w:rsidRPr="009255CE">
        <w:rPr>
          <w:rFonts w:ascii="Arial" w:hAnsi="Arial" w:cs="Arial"/>
          <w:sz w:val="22"/>
          <w:szCs w:val="22"/>
        </w:rPr>
        <w:t xml:space="preserve"> </w:t>
      </w:r>
      <w:r w:rsidR="00566A4C">
        <w:rPr>
          <w:rFonts w:ascii="Arial" w:hAnsi="Arial" w:cs="Arial"/>
          <w:sz w:val="22"/>
          <w:szCs w:val="22"/>
        </w:rPr>
        <w:t xml:space="preserve">Available at: </w:t>
      </w:r>
      <w:hyperlink r:id="rId19" w:history="1">
        <w:r w:rsidRPr="009255CE">
          <w:rPr>
            <w:rStyle w:val="Hyperlink"/>
            <w:rFonts w:ascii="Arial" w:hAnsi="Arial" w:cs="Arial"/>
            <w:sz w:val="22"/>
            <w:szCs w:val="22"/>
            <w:lang w:val="en-GB"/>
          </w:rPr>
          <w:t>https://doi.org/10.1146/annurev-publhealth-071723-011207</w:t>
        </w:r>
      </w:hyperlink>
      <w:r w:rsidRPr="009255CE">
        <w:rPr>
          <w:rFonts w:ascii="Arial" w:hAnsi="Arial" w:cs="Arial"/>
          <w:sz w:val="22"/>
          <w:szCs w:val="22"/>
          <w:lang w:val="en-GB"/>
        </w:rPr>
        <w:t xml:space="preserve"> </w:t>
      </w:r>
    </w:p>
    <w:p w14:paraId="57C0F683" w14:textId="3A9382F8" w:rsidR="009255CE" w:rsidRPr="009255CE" w:rsidRDefault="009255CE" w:rsidP="009255CE">
      <w:pPr>
        <w:spacing w:line="276" w:lineRule="auto"/>
        <w:jc w:val="both"/>
        <w:rPr>
          <w:rFonts w:ascii="Arial" w:hAnsi="Arial" w:cs="Arial"/>
          <w:sz w:val="22"/>
          <w:szCs w:val="22"/>
          <w:lang w:val="en-GB"/>
        </w:rPr>
      </w:pPr>
      <w:r w:rsidRPr="009255CE">
        <w:rPr>
          <w:rFonts w:ascii="Arial" w:hAnsi="Arial" w:cs="Arial"/>
          <w:sz w:val="22"/>
          <w:szCs w:val="22"/>
          <w:lang w:val="en-GB"/>
        </w:rPr>
        <w:t xml:space="preserve">Wroe, L. E., &amp; Manister, M. (2024) </w:t>
      </w:r>
      <w:r w:rsidR="00566A4C">
        <w:rPr>
          <w:rFonts w:ascii="Arial" w:hAnsi="Arial" w:cs="Arial"/>
          <w:sz w:val="22"/>
          <w:szCs w:val="22"/>
          <w:lang w:val="en-GB"/>
        </w:rPr>
        <w:t>‘</w:t>
      </w:r>
      <w:r w:rsidRPr="009255CE">
        <w:rPr>
          <w:rFonts w:ascii="Arial" w:hAnsi="Arial" w:cs="Arial"/>
          <w:sz w:val="22"/>
          <w:szCs w:val="22"/>
          <w:lang w:val="en-GB"/>
        </w:rPr>
        <w:t>Relationship of trust and surveillance in the first national piloting of Contextual Safeguarding in England and Wales</w:t>
      </w:r>
      <w:r w:rsidR="00566A4C">
        <w:rPr>
          <w:rFonts w:ascii="Arial" w:hAnsi="Arial" w:cs="Arial"/>
          <w:sz w:val="22"/>
          <w:szCs w:val="22"/>
          <w:lang w:val="en-GB"/>
        </w:rPr>
        <w:t>’,</w:t>
      </w:r>
      <w:r w:rsidRPr="009255CE">
        <w:rPr>
          <w:rFonts w:ascii="Arial" w:hAnsi="Arial" w:cs="Arial"/>
          <w:sz w:val="22"/>
          <w:szCs w:val="22"/>
          <w:lang w:val="en-GB"/>
        </w:rPr>
        <w:t xml:space="preserve"> </w:t>
      </w:r>
      <w:r w:rsidRPr="00566A4C">
        <w:rPr>
          <w:rFonts w:ascii="Arial" w:hAnsi="Arial" w:cs="Arial"/>
          <w:i/>
          <w:iCs/>
          <w:sz w:val="22"/>
          <w:szCs w:val="22"/>
          <w:lang w:val="en-GB"/>
        </w:rPr>
        <w:t>Critical and Radical Social Work</w:t>
      </w:r>
      <w:r w:rsidR="00566A4C">
        <w:rPr>
          <w:rFonts w:ascii="Arial" w:hAnsi="Arial" w:cs="Arial"/>
          <w:sz w:val="22"/>
          <w:szCs w:val="22"/>
          <w:lang w:val="en-GB"/>
        </w:rPr>
        <w:t>,</w:t>
      </w:r>
      <w:r w:rsidRPr="009255CE">
        <w:rPr>
          <w:rFonts w:ascii="Arial" w:hAnsi="Arial" w:cs="Arial"/>
          <w:sz w:val="22"/>
          <w:szCs w:val="22"/>
          <w:lang w:val="en-GB"/>
        </w:rPr>
        <w:t xml:space="preserve"> 12(2), 205-229. </w:t>
      </w:r>
      <w:r w:rsidR="00566A4C">
        <w:rPr>
          <w:rFonts w:ascii="Arial" w:hAnsi="Arial" w:cs="Arial"/>
          <w:sz w:val="22"/>
          <w:szCs w:val="22"/>
        </w:rPr>
        <w:t xml:space="preserve">Available at:  </w:t>
      </w:r>
      <w:hyperlink r:id="rId20" w:history="1">
        <w:r w:rsidR="00566A4C" w:rsidRPr="00701DE0">
          <w:rPr>
            <w:rStyle w:val="Hyperlink"/>
            <w:rFonts w:ascii="Arial" w:hAnsi="Arial" w:cs="Arial"/>
            <w:sz w:val="22"/>
            <w:szCs w:val="22"/>
            <w:lang w:val="en-GB"/>
          </w:rPr>
          <w:t>https://doi.org/10.1332/20498608Y2023D000000014</w:t>
        </w:r>
      </w:hyperlink>
    </w:p>
    <w:p w14:paraId="20BDEABD" w14:textId="05893F26" w:rsidR="009255CE" w:rsidRPr="009255CE" w:rsidRDefault="009255CE" w:rsidP="009255CE">
      <w:pPr>
        <w:spacing w:line="276" w:lineRule="auto"/>
        <w:jc w:val="both"/>
        <w:rPr>
          <w:rFonts w:ascii="Arial" w:hAnsi="Arial" w:cs="Arial"/>
          <w:sz w:val="22"/>
          <w:szCs w:val="22"/>
          <w:lang w:val="en-GB"/>
        </w:rPr>
      </w:pPr>
      <w:r w:rsidRPr="009255CE">
        <w:rPr>
          <w:rFonts w:ascii="Arial" w:hAnsi="Arial" w:cs="Arial"/>
          <w:sz w:val="22"/>
          <w:szCs w:val="22"/>
          <w:lang w:val="en-GB"/>
        </w:rPr>
        <w:t>Wroe, L. E., Owens, R., Lloyd, J., &amp; Firmin, C. (2025)</w:t>
      </w:r>
      <w:r w:rsidR="00566A4C">
        <w:rPr>
          <w:rFonts w:ascii="Arial" w:hAnsi="Arial" w:cs="Arial"/>
          <w:sz w:val="22"/>
          <w:szCs w:val="22"/>
          <w:lang w:val="en-GB"/>
        </w:rPr>
        <w:t xml:space="preserve"> ‘</w:t>
      </w:r>
      <w:r w:rsidRPr="009255CE">
        <w:rPr>
          <w:rFonts w:ascii="Arial" w:hAnsi="Arial" w:cs="Arial"/>
          <w:sz w:val="22"/>
          <w:szCs w:val="22"/>
          <w:lang w:val="en-GB"/>
        </w:rPr>
        <w:t>From ‘risky choices’ to ‘risky contexts? The state of play of UK child welfare responses to adolescent ‘extra-familial harm’. National and international implications</w:t>
      </w:r>
      <w:r w:rsidR="00566A4C">
        <w:rPr>
          <w:rFonts w:ascii="Arial" w:hAnsi="Arial" w:cs="Arial"/>
          <w:i/>
          <w:iCs/>
          <w:sz w:val="22"/>
          <w:szCs w:val="22"/>
          <w:lang w:val="en-GB"/>
        </w:rPr>
        <w:t>’,</w:t>
      </w:r>
      <w:r w:rsidRPr="00566A4C">
        <w:rPr>
          <w:rFonts w:ascii="Arial" w:hAnsi="Arial" w:cs="Arial"/>
          <w:i/>
          <w:iCs/>
          <w:sz w:val="22"/>
          <w:szCs w:val="22"/>
          <w:lang w:val="en-GB"/>
        </w:rPr>
        <w:t xml:space="preserve"> The British Journal of Social Work,</w:t>
      </w:r>
      <w:r w:rsidRPr="009255CE">
        <w:rPr>
          <w:rFonts w:ascii="Arial" w:hAnsi="Arial" w:cs="Arial"/>
          <w:sz w:val="22"/>
          <w:szCs w:val="22"/>
          <w:lang w:val="en-GB"/>
        </w:rPr>
        <w:t xml:space="preserve"> 55(7), 3414-3434. </w:t>
      </w:r>
      <w:r w:rsidR="00566A4C">
        <w:rPr>
          <w:rFonts w:ascii="Arial" w:hAnsi="Arial" w:cs="Arial"/>
          <w:sz w:val="22"/>
          <w:szCs w:val="22"/>
        </w:rPr>
        <w:t xml:space="preserve">Available at: </w:t>
      </w:r>
      <w:hyperlink r:id="rId21" w:history="1">
        <w:r w:rsidRPr="009255CE">
          <w:rPr>
            <w:rStyle w:val="Hyperlink"/>
            <w:rFonts w:ascii="Arial" w:hAnsi="Arial" w:cs="Arial"/>
            <w:sz w:val="22"/>
            <w:szCs w:val="22"/>
            <w:lang w:val="en-GB"/>
          </w:rPr>
          <w:t>https://doi.org/10.1093/bjsw/bcaf148</w:t>
        </w:r>
      </w:hyperlink>
      <w:r w:rsidRPr="009255CE">
        <w:rPr>
          <w:rFonts w:ascii="Arial" w:hAnsi="Arial" w:cs="Arial"/>
          <w:sz w:val="22"/>
          <w:szCs w:val="22"/>
          <w:lang w:val="en-GB"/>
        </w:rPr>
        <w:t xml:space="preserve"> </w:t>
      </w:r>
    </w:p>
    <w:sectPr w:rsidR="009255CE" w:rsidRPr="009255CE">
      <w:footerReference w:type="even" r:id="rId22"/>
      <w:footerReference w:type="default" r:id="rId23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D60C075" w14:textId="77777777" w:rsidR="001051B4" w:rsidRDefault="001051B4" w:rsidP="009255CE">
      <w:pPr>
        <w:spacing w:after="0" w:line="240" w:lineRule="auto"/>
      </w:pPr>
      <w:r>
        <w:separator/>
      </w:r>
    </w:p>
  </w:endnote>
  <w:endnote w:type="continuationSeparator" w:id="0">
    <w:p w14:paraId="44E24D1A" w14:textId="77777777" w:rsidR="001051B4" w:rsidRDefault="001051B4" w:rsidP="009255C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1999023461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45F481AC" w14:textId="6088484F" w:rsidR="009255CE" w:rsidRDefault="009255CE" w:rsidP="00701DE0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</w:rPr>
          <w:fldChar w:fldCharType="end"/>
        </w:r>
      </w:p>
    </w:sdtContent>
  </w:sdt>
  <w:p w14:paraId="7DF89EE4" w14:textId="77777777" w:rsidR="009255CE" w:rsidRDefault="009255C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1218092921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25FC9306" w14:textId="225E6026" w:rsidR="009255CE" w:rsidRDefault="009255CE" w:rsidP="00701DE0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26585689" w14:textId="77777777" w:rsidR="009255CE" w:rsidRDefault="009255C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9D15A2D" w14:textId="77777777" w:rsidR="001051B4" w:rsidRDefault="001051B4" w:rsidP="009255CE">
      <w:pPr>
        <w:spacing w:after="0" w:line="240" w:lineRule="auto"/>
      </w:pPr>
      <w:r>
        <w:separator/>
      </w:r>
    </w:p>
  </w:footnote>
  <w:footnote w:type="continuationSeparator" w:id="0">
    <w:p w14:paraId="7590D9BA" w14:textId="77777777" w:rsidR="001051B4" w:rsidRDefault="001051B4" w:rsidP="009255C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45"/>
  <w:revisionView w:inkAnnotation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36C5A"/>
    <w:rsid w:val="00036C5A"/>
    <w:rsid w:val="000E0E0A"/>
    <w:rsid w:val="001051B4"/>
    <w:rsid w:val="002436A8"/>
    <w:rsid w:val="00267A92"/>
    <w:rsid w:val="00383D36"/>
    <w:rsid w:val="004101D9"/>
    <w:rsid w:val="004A24B3"/>
    <w:rsid w:val="00566A4C"/>
    <w:rsid w:val="005B590F"/>
    <w:rsid w:val="00686F0B"/>
    <w:rsid w:val="00777E86"/>
    <w:rsid w:val="00804FA3"/>
    <w:rsid w:val="008D2323"/>
    <w:rsid w:val="009255CE"/>
    <w:rsid w:val="009871F3"/>
    <w:rsid w:val="00B05D69"/>
    <w:rsid w:val="00C76848"/>
    <w:rsid w:val="00D8747F"/>
    <w:rsid w:val="00E80E6A"/>
    <w:rsid w:val="00F23784"/>
    <w:rsid w:val="00FD5F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C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CBB72D5"/>
  <w15:chartTrackingRefBased/>
  <w15:docId w15:val="{088E498A-9231-E14F-99B7-8899941B86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CA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36C5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36C5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36C5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36C5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36C5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36C5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36C5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36C5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36C5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383D36"/>
    <w:pPr>
      <w:spacing w:after="0" w:line="240" w:lineRule="auto"/>
    </w:pPr>
    <w:rPr>
      <w:rFonts w:ascii="Arial" w:hAnsi="Arial"/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383D36"/>
    <w:rPr>
      <w:rFonts w:ascii="Arial" w:hAnsi="Arial"/>
      <w:sz w:val="20"/>
      <w:szCs w:val="20"/>
    </w:rPr>
  </w:style>
  <w:style w:type="character" w:customStyle="1" w:styleId="Heading1Char">
    <w:name w:val="Heading 1 Char"/>
    <w:basedOn w:val="DefaultParagraphFont"/>
    <w:link w:val="Heading1"/>
    <w:uiPriority w:val="9"/>
    <w:rsid w:val="00036C5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36C5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36C5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36C5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36C5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36C5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36C5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36C5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36C5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36C5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36C5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36C5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36C5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36C5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36C5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36C5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36C5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36C5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36C5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36C5A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36C5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36C5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86F0B"/>
    <w:rPr>
      <w:color w:val="96607D" w:themeColor="followedHyperlink"/>
      <w:u w:val="single"/>
    </w:rPr>
  </w:style>
  <w:style w:type="paragraph" w:styleId="Footer">
    <w:name w:val="footer"/>
    <w:basedOn w:val="Normal"/>
    <w:link w:val="FooterChar"/>
    <w:uiPriority w:val="99"/>
    <w:unhideWhenUsed/>
    <w:rsid w:val="009255C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255CE"/>
  </w:style>
  <w:style w:type="character" w:styleId="PageNumber">
    <w:name w:val="page number"/>
    <w:basedOn w:val="DefaultParagraphFont"/>
    <w:uiPriority w:val="99"/>
    <w:semiHidden/>
    <w:unhideWhenUsed/>
    <w:rsid w:val="009255C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egislation.gov.uk/ukpga/1989/41/data.xht?wrap=true" TargetMode="External" /><Relationship Id="rId13" Type="http://schemas.openxmlformats.org/officeDocument/2006/relationships/hyperlink" Target="https://www.legislation.gov.uk/ukpga/2010/15" TargetMode="External" /><Relationship Id="rId18" Type="http://schemas.openxmlformats.org/officeDocument/2006/relationships/hyperlink" Target="https://www.legislation.gov.uk/ukpga/2015/30/section/30" TargetMode="External" /><Relationship Id="rId3" Type="http://schemas.openxmlformats.org/officeDocument/2006/relationships/webSettings" Target="webSettings.xml" /><Relationship Id="rId21" Type="http://schemas.openxmlformats.org/officeDocument/2006/relationships/hyperlink" Target="https://doi.org/10.1093/bjsw/bcaf148" TargetMode="External" /><Relationship Id="rId7" Type="http://schemas.openxmlformats.org/officeDocument/2006/relationships/hyperlink" Target="https://assets.publishing.service.gov.uk/media/5e5e7f47e90e077e3385cb44/Safeguarding_children_at_risk_from_criminal_exploitation_review.pdf" TargetMode="External" /><Relationship Id="rId12" Type="http://schemas.openxmlformats.org/officeDocument/2006/relationships/hyperlink" Target="https://www.legislation.gov.uk/ukpga/2018/12/enacted/data.xht?view=snippet&amp;wrap=true" TargetMode="External" /><Relationship Id="rId17" Type="http://schemas.openxmlformats.org/officeDocument/2006/relationships/hyperlink" Target="https://doi.org/10.1108/978-1-83982-584-220211027" TargetMode="External" /><Relationship Id="rId25" Type="http://schemas.openxmlformats.org/officeDocument/2006/relationships/theme" Target="theme/theme1.xml" /><Relationship Id="rId2" Type="http://schemas.openxmlformats.org/officeDocument/2006/relationships/settings" Target="settings.xml" /><Relationship Id="rId16" Type="http://schemas.openxmlformats.org/officeDocument/2006/relationships/hyperlink" Target="https://doi.org/10.1177/15248380211013132" TargetMode="External" /><Relationship Id="rId20" Type="http://schemas.openxmlformats.org/officeDocument/2006/relationships/hyperlink" Target="https://doi.org/10.1332/20498608Y2023D000000014" TargetMode="External" /><Relationship Id="rId1" Type="http://schemas.openxmlformats.org/officeDocument/2006/relationships/styles" Target="styles.xml" /><Relationship Id="rId6" Type="http://schemas.openxmlformats.org/officeDocument/2006/relationships/hyperlink" Target="https://doi.org/10.1016/j.childyouth.2020.105396" TargetMode="External" /><Relationship Id="rId11" Type="http://schemas.openxmlformats.org/officeDocument/2006/relationships/hyperlink" Target="https://www.legislation.gov.uk/ukpga/2017/16/section/16" TargetMode="External" /><Relationship Id="rId24" Type="http://schemas.openxmlformats.org/officeDocument/2006/relationships/fontTable" Target="fontTable.xml" /><Relationship Id="rId5" Type="http://schemas.openxmlformats.org/officeDocument/2006/relationships/endnotes" Target="endnotes.xml" /><Relationship Id="rId15" Type="http://schemas.openxmlformats.org/officeDocument/2006/relationships/hyperlink" Target="https://doi.org/10.1093/bjsw/bcad145" TargetMode="External" /><Relationship Id="rId23" Type="http://schemas.openxmlformats.org/officeDocument/2006/relationships/footer" Target="footer2.xml" /><Relationship Id="rId10" Type="http://schemas.openxmlformats.org/officeDocument/2006/relationships/hyperlink" Target="https://www.legislation.gov.uk/ukpga/2014/6/pdfs/ukpga_20140006_en.pdf" TargetMode="External" /><Relationship Id="rId19" Type="http://schemas.openxmlformats.org/officeDocument/2006/relationships/hyperlink" Target="https://doi.org/10.1146/annurev-publhealth-071723-011207" TargetMode="External" /><Relationship Id="rId4" Type="http://schemas.openxmlformats.org/officeDocument/2006/relationships/footnotes" Target="footnotes.xml" /><Relationship Id="rId9" Type="http://schemas.openxmlformats.org/officeDocument/2006/relationships/hyperlink" Target="https://www.legislation.gov.uk/ukpga/2004/31/pdfs/ukpga_20040031_en.pdf" TargetMode="External" /><Relationship Id="rId14" Type="http://schemas.openxmlformats.org/officeDocument/2006/relationships/hyperlink" Target="https://doi.org/10.1002/car.2449" TargetMode="External" /><Relationship Id="rId22" Type="http://schemas.openxmlformats.org/officeDocument/2006/relationships/footer" Target="footer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695</Words>
  <Characters>3966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4652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Office</dc:creator>
  <cp:keywords/>
  <dc:description/>
  <cp:lastModifiedBy>margaret Kwaw</cp:lastModifiedBy>
  <cp:revision>2</cp:revision>
  <dcterms:created xsi:type="dcterms:W3CDTF">2026-10-18T12:40:00Z</dcterms:created>
  <dcterms:modified xsi:type="dcterms:W3CDTF">2026-10-18T12:40:00Z</dcterms:modified>
  <cp:category/>
</cp:coreProperties>
</file>