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1D969E" w14:textId="63399999" w:rsidR="003961D9" w:rsidRPr="00F10EE0" w:rsidRDefault="003961D9" w:rsidP="003961D9">
      <w:pPr>
        <w:rPr>
          <w:rFonts w:cstheme="minorHAnsi"/>
          <w:sz w:val="28"/>
          <w:szCs w:val="28"/>
          <w:u w:val="single"/>
        </w:rPr>
      </w:pPr>
      <w:r w:rsidRPr="00F10EE0">
        <w:rPr>
          <w:rFonts w:cstheme="minorHAnsi"/>
          <w:sz w:val="28"/>
          <w:szCs w:val="28"/>
          <w:u w:val="single"/>
        </w:rPr>
        <w:t xml:space="preserve">Ella Cosgrave Academic Skills HPFY3010 </w:t>
      </w:r>
    </w:p>
    <w:p w14:paraId="33C67BAB" w14:textId="608316FA" w:rsidR="003961D9" w:rsidRDefault="003961D9" w:rsidP="003961D9">
      <w:pPr>
        <w:rPr>
          <w:rFonts w:cstheme="minorHAnsi"/>
          <w:sz w:val="28"/>
          <w:szCs w:val="28"/>
        </w:rPr>
      </w:pPr>
    </w:p>
    <w:p w14:paraId="20155614" w14:textId="7208CD66" w:rsidR="003961D9" w:rsidRPr="003961D9" w:rsidRDefault="003961D9" w:rsidP="003961D9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 have chosen th</w:t>
      </w:r>
      <w:r w:rsidR="00A6613C">
        <w:rPr>
          <w:rFonts w:cstheme="minorHAnsi"/>
          <w:sz w:val="28"/>
          <w:szCs w:val="28"/>
        </w:rPr>
        <w:t>e</w:t>
      </w:r>
      <w:r>
        <w:rPr>
          <w:rFonts w:cstheme="minorHAnsi"/>
          <w:sz w:val="28"/>
          <w:szCs w:val="28"/>
        </w:rPr>
        <w:t xml:space="preserve"> source</w:t>
      </w:r>
      <w:r w:rsidR="00A6613C">
        <w:rPr>
          <w:rFonts w:cstheme="minorHAnsi"/>
          <w:sz w:val="28"/>
          <w:szCs w:val="28"/>
        </w:rPr>
        <w:t xml:space="preserve"> </w:t>
      </w:r>
      <w:r w:rsidR="00A6613C">
        <w:rPr>
          <w:rFonts w:cstheme="minorHAnsi"/>
          <w:i/>
          <w:iCs/>
          <w:sz w:val="28"/>
          <w:szCs w:val="28"/>
        </w:rPr>
        <w:t>Merlin and the Pendragon: King Arthur’s “Draconarius"</w:t>
      </w:r>
      <w:r>
        <w:rPr>
          <w:rFonts w:cstheme="minorHAnsi"/>
          <w:sz w:val="28"/>
          <w:szCs w:val="28"/>
        </w:rPr>
        <w:t xml:space="preserve"> for my topic of Merlin because it is an academic, peer-reviewed journal article that explores the various roles that Merlin has been assigned in different retellings of the Arthurian legends.</w:t>
      </w:r>
      <w:r w:rsidR="00B57726">
        <w:rPr>
          <w:rFonts w:cstheme="minorHAnsi"/>
          <w:sz w:val="28"/>
          <w:szCs w:val="28"/>
        </w:rPr>
        <w:t xml:space="preserve"> “Modern readers are generally more familiar with his [Merlin’s] various incarnations in contemporary Arthurian novels than they are with his original legends.”</w:t>
      </w:r>
      <w:r w:rsidR="00C57566">
        <w:rPr>
          <w:rStyle w:val="FootnoteReference"/>
          <w:rFonts w:cstheme="minorHAnsi"/>
          <w:sz w:val="28"/>
          <w:szCs w:val="28"/>
        </w:rPr>
        <w:footnoteReference w:id="1"/>
      </w:r>
      <w:r>
        <w:rPr>
          <w:rFonts w:cstheme="minorHAnsi"/>
          <w:sz w:val="28"/>
          <w:szCs w:val="28"/>
        </w:rPr>
        <w:t xml:space="preserve"> I chose an </w:t>
      </w:r>
      <w:r>
        <w:rPr>
          <w:rFonts w:cstheme="minorHAnsi"/>
          <w:i/>
          <w:iCs/>
          <w:sz w:val="28"/>
          <w:szCs w:val="28"/>
        </w:rPr>
        <w:t xml:space="preserve">Ancient History Encyclopedia </w:t>
      </w:r>
      <w:r>
        <w:rPr>
          <w:rFonts w:cstheme="minorHAnsi"/>
          <w:sz w:val="28"/>
          <w:szCs w:val="28"/>
        </w:rPr>
        <w:t>webpage as my internet source because i</w:t>
      </w:r>
      <w:r w:rsidR="00A6613C">
        <w:rPr>
          <w:rFonts w:cstheme="minorHAnsi"/>
          <w:sz w:val="28"/>
          <w:szCs w:val="28"/>
        </w:rPr>
        <w:t>t is a website that</w:t>
      </w:r>
      <w:r>
        <w:rPr>
          <w:rFonts w:cstheme="minorHAnsi"/>
          <w:sz w:val="28"/>
          <w:szCs w:val="28"/>
        </w:rPr>
        <w:t xml:space="preserve"> </w:t>
      </w:r>
      <w:r w:rsidR="00A6613C">
        <w:rPr>
          <w:rFonts w:cstheme="minorHAnsi"/>
          <w:sz w:val="28"/>
          <w:szCs w:val="28"/>
        </w:rPr>
        <w:t>values academic research and is trusted by various educational organisations.</w:t>
      </w:r>
      <w:r w:rsidR="00C57566">
        <w:rPr>
          <w:rStyle w:val="FootnoteReference"/>
          <w:rFonts w:cstheme="minorHAnsi"/>
          <w:sz w:val="28"/>
          <w:szCs w:val="28"/>
        </w:rPr>
        <w:footnoteReference w:id="2"/>
      </w:r>
      <w:r w:rsidR="00A6613C">
        <w:rPr>
          <w:rFonts w:cstheme="minorHAnsi"/>
          <w:sz w:val="28"/>
          <w:szCs w:val="28"/>
        </w:rPr>
        <w:t xml:space="preserve"> The webpage I have chosen covers the literary origins of the character of Merlin</w:t>
      </w:r>
      <w:r w:rsidR="00F10EE0">
        <w:rPr>
          <w:rFonts w:cstheme="minorHAnsi"/>
          <w:sz w:val="28"/>
          <w:szCs w:val="28"/>
        </w:rPr>
        <w:t>:</w:t>
      </w:r>
      <w:r w:rsidR="00A6613C">
        <w:rPr>
          <w:rFonts w:cstheme="minorHAnsi"/>
          <w:sz w:val="28"/>
          <w:szCs w:val="28"/>
        </w:rPr>
        <w:t xml:space="preserve"> </w:t>
      </w:r>
      <w:r w:rsidR="00F10EE0">
        <w:rPr>
          <w:rFonts w:cstheme="minorHAnsi"/>
          <w:sz w:val="28"/>
          <w:szCs w:val="28"/>
        </w:rPr>
        <w:t>“From his earliest appearance in medieval literature, Merlin has remained among the most popular characters in the legends.”</w:t>
      </w:r>
      <w:r w:rsidR="00F10EE0">
        <w:rPr>
          <w:rStyle w:val="FootnoteReference"/>
          <w:rFonts w:cstheme="minorHAnsi"/>
          <w:sz w:val="28"/>
          <w:szCs w:val="28"/>
        </w:rPr>
        <w:footnoteReference w:id="3"/>
      </w:r>
      <w:r w:rsidR="00F10EE0">
        <w:rPr>
          <w:rFonts w:cstheme="minorHAnsi"/>
          <w:sz w:val="28"/>
          <w:szCs w:val="28"/>
        </w:rPr>
        <w:t xml:space="preserve"> It</w:t>
      </w:r>
      <w:r w:rsidR="00A6613C">
        <w:rPr>
          <w:rFonts w:cstheme="minorHAnsi"/>
          <w:sz w:val="28"/>
          <w:szCs w:val="28"/>
        </w:rPr>
        <w:t xml:space="preserve"> is</w:t>
      </w:r>
      <w:r w:rsidR="00F10EE0">
        <w:rPr>
          <w:rFonts w:cstheme="minorHAnsi"/>
          <w:sz w:val="28"/>
          <w:szCs w:val="28"/>
        </w:rPr>
        <w:t xml:space="preserve"> also</w:t>
      </w:r>
      <w:r w:rsidR="00A6613C">
        <w:rPr>
          <w:rFonts w:cstheme="minorHAnsi"/>
          <w:sz w:val="28"/>
          <w:szCs w:val="28"/>
        </w:rPr>
        <w:t xml:space="preserve"> presented in a very accessible way.</w:t>
      </w:r>
    </w:p>
    <w:p w14:paraId="6AD118AD" w14:textId="77777777" w:rsidR="003961D9" w:rsidRDefault="003961D9" w:rsidP="003961D9">
      <w:pPr>
        <w:rPr>
          <w:rFonts w:cstheme="minorHAnsi"/>
          <w:sz w:val="28"/>
          <w:szCs w:val="28"/>
        </w:rPr>
      </w:pPr>
    </w:p>
    <w:p w14:paraId="6330C1E2" w14:textId="6FF24859" w:rsidR="003961D9" w:rsidRPr="003961D9" w:rsidRDefault="003961D9" w:rsidP="003961D9">
      <w:pPr>
        <w:rPr>
          <w:rFonts w:cstheme="minorHAnsi"/>
          <w:sz w:val="28"/>
          <w:szCs w:val="28"/>
          <w:u w:val="single"/>
        </w:rPr>
      </w:pPr>
      <w:r w:rsidRPr="003961D9">
        <w:rPr>
          <w:rFonts w:cstheme="minorHAnsi"/>
          <w:sz w:val="28"/>
          <w:szCs w:val="28"/>
          <w:u w:val="single"/>
        </w:rPr>
        <w:t>Reference List</w:t>
      </w:r>
    </w:p>
    <w:p w14:paraId="6380699A" w14:textId="72AC9DDB" w:rsidR="003961D9" w:rsidRPr="003961D9" w:rsidRDefault="003961D9" w:rsidP="003961D9">
      <w:pPr>
        <w:rPr>
          <w:rFonts w:cstheme="minorHAnsi"/>
          <w:sz w:val="28"/>
          <w:szCs w:val="28"/>
        </w:rPr>
      </w:pPr>
      <w:proofErr w:type="spellStart"/>
      <w:r w:rsidRPr="003961D9">
        <w:rPr>
          <w:rFonts w:cstheme="minorHAnsi"/>
          <w:sz w:val="28"/>
          <w:szCs w:val="28"/>
        </w:rPr>
        <w:t>Malcor</w:t>
      </w:r>
      <w:proofErr w:type="spellEnd"/>
      <w:r w:rsidRPr="003961D9">
        <w:rPr>
          <w:rFonts w:cstheme="minorHAnsi"/>
          <w:sz w:val="28"/>
          <w:szCs w:val="28"/>
        </w:rPr>
        <w:t xml:space="preserve">, L.A., 2000. Merlin and the Pendragon: King Arthur's "Draconarius". Arthuriana (Dallas, Tex.), 10(1), </w:t>
      </w:r>
      <w:proofErr w:type="spellStart"/>
      <w:r w:rsidRPr="003961D9">
        <w:rPr>
          <w:rFonts w:cstheme="minorHAnsi"/>
          <w:sz w:val="28"/>
          <w:szCs w:val="28"/>
        </w:rPr>
        <w:t>pp.3</w:t>
      </w:r>
      <w:proofErr w:type="spellEnd"/>
      <w:r w:rsidRPr="003961D9">
        <w:rPr>
          <w:rFonts w:cstheme="minorHAnsi"/>
          <w:sz w:val="28"/>
          <w:szCs w:val="28"/>
        </w:rPr>
        <w:t xml:space="preserve">–13. </w:t>
      </w:r>
    </w:p>
    <w:p w14:paraId="37059A32" w14:textId="77777777" w:rsidR="003961D9" w:rsidRPr="003961D9" w:rsidRDefault="003961D9" w:rsidP="003961D9">
      <w:pPr>
        <w:shd w:val="clear" w:color="auto" w:fill="FFFFFF"/>
        <w:spacing w:before="120" w:after="120" w:line="312" w:lineRule="atLeast"/>
        <w:ind w:right="240"/>
        <w:rPr>
          <w:rFonts w:eastAsia="Times New Roman" w:cstheme="minorHAnsi"/>
          <w:color w:val="333333"/>
          <w:sz w:val="28"/>
          <w:szCs w:val="28"/>
          <w:lang w:eastAsia="en-GB"/>
        </w:rPr>
      </w:pPr>
      <w:r w:rsidRPr="003961D9">
        <w:rPr>
          <w:rFonts w:eastAsia="Times New Roman" w:cstheme="minorHAnsi"/>
          <w:color w:val="333333"/>
          <w:sz w:val="28"/>
          <w:szCs w:val="28"/>
          <w:lang w:eastAsia="en-GB"/>
        </w:rPr>
        <w:t>Mark, J. J. (2019, April 24). </w:t>
      </w:r>
      <w:hyperlink r:id="rId7" w:history="1">
        <w:r w:rsidRPr="003961D9">
          <w:rPr>
            <w:rFonts w:eastAsia="Times New Roman" w:cstheme="minorHAnsi"/>
            <w:i/>
            <w:iCs/>
            <w:sz w:val="28"/>
            <w:szCs w:val="28"/>
            <w:lang w:eastAsia="en-GB"/>
          </w:rPr>
          <w:t>Merlin</w:t>
        </w:r>
      </w:hyperlink>
      <w:r w:rsidRPr="003961D9">
        <w:rPr>
          <w:rFonts w:eastAsia="Times New Roman" w:cstheme="minorHAnsi"/>
          <w:color w:val="333333"/>
          <w:sz w:val="28"/>
          <w:szCs w:val="28"/>
          <w:lang w:eastAsia="en-GB"/>
        </w:rPr>
        <w:t>. </w:t>
      </w:r>
      <w:r w:rsidRPr="003961D9">
        <w:rPr>
          <w:rFonts w:eastAsia="Times New Roman" w:cstheme="minorHAnsi"/>
          <w:i/>
          <w:iCs/>
          <w:color w:val="333333"/>
          <w:sz w:val="28"/>
          <w:szCs w:val="28"/>
          <w:lang w:eastAsia="en-GB"/>
        </w:rPr>
        <w:t>Ancient History Encyclopedia</w:t>
      </w:r>
      <w:r w:rsidRPr="003961D9">
        <w:rPr>
          <w:rFonts w:eastAsia="Times New Roman" w:cstheme="minorHAnsi"/>
          <w:color w:val="333333"/>
          <w:sz w:val="28"/>
          <w:szCs w:val="28"/>
          <w:lang w:eastAsia="en-GB"/>
        </w:rPr>
        <w:t>, viewed 15</w:t>
      </w:r>
      <w:r w:rsidRPr="003961D9">
        <w:rPr>
          <w:rFonts w:eastAsia="Times New Roman" w:cstheme="minorHAnsi"/>
          <w:color w:val="333333"/>
          <w:sz w:val="28"/>
          <w:szCs w:val="28"/>
          <w:vertAlign w:val="superscript"/>
          <w:lang w:eastAsia="en-GB"/>
        </w:rPr>
        <w:t>th</w:t>
      </w:r>
      <w:r w:rsidRPr="003961D9">
        <w:rPr>
          <w:rFonts w:eastAsia="Times New Roman" w:cstheme="minorHAnsi"/>
          <w:color w:val="333333"/>
          <w:sz w:val="28"/>
          <w:szCs w:val="28"/>
          <w:lang w:eastAsia="en-GB"/>
        </w:rPr>
        <w:t xml:space="preserve"> October 2020, &lt;https://www.ancient.eu/Merlin/&gt;</w:t>
      </w:r>
    </w:p>
    <w:p w14:paraId="1387FB46" w14:textId="77777777" w:rsidR="00813462" w:rsidRDefault="00813462"/>
    <w:sectPr w:rsidR="008134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F1D444" w14:textId="77777777" w:rsidR="00CE444E" w:rsidRDefault="00CE444E" w:rsidP="00C57566">
      <w:pPr>
        <w:spacing w:after="0" w:line="240" w:lineRule="auto"/>
      </w:pPr>
      <w:r>
        <w:separator/>
      </w:r>
    </w:p>
  </w:endnote>
  <w:endnote w:type="continuationSeparator" w:id="0">
    <w:p w14:paraId="13041754" w14:textId="77777777" w:rsidR="00CE444E" w:rsidRDefault="00CE444E" w:rsidP="00C575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A2C3AD4" w14:textId="77777777" w:rsidR="00CE444E" w:rsidRDefault="00CE444E" w:rsidP="00C57566">
      <w:pPr>
        <w:spacing w:after="0" w:line="240" w:lineRule="auto"/>
      </w:pPr>
      <w:r>
        <w:separator/>
      </w:r>
    </w:p>
  </w:footnote>
  <w:footnote w:type="continuationSeparator" w:id="0">
    <w:p w14:paraId="216B89DD" w14:textId="77777777" w:rsidR="00CE444E" w:rsidRDefault="00CE444E" w:rsidP="00C57566">
      <w:pPr>
        <w:spacing w:after="0" w:line="240" w:lineRule="auto"/>
      </w:pPr>
      <w:r>
        <w:continuationSeparator/>
      </w:r>
    </w:p>
  </w:footnote>
  <w:footnote w:id="1">
    <w:p w14:paraId="5EB95DF2" w14:textId="72AE0580" w:rsidR="00C57566" w:rsidRPr="003961D9" w:rsidRDefault="00C57566" w:rsidP="00C57566">
      <w:pPr>
        <w:rPr>
          <w:rFonts w:cstheme="minorHAnsi"/>
          <w:sz w:val="28"/>
          <w:szCs w:val="28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C57566">
        <w:rPr>
          <w:rFonts w:cstheme="minorHAnsi"/>
          <w:sz w:val="24"/>
          <w:szCs w:val="24"/>
        </w:rPr>
        <w:t>Malcor</w:t>
      </w:r>
      <w:proofErr w:type="spellEnd"/>
      <w:r w:rsidRPr="00C57566">
        <w:rPr>
          <w:rFonts w:cstheme="minorHAnsi"/>
          <w:sz w:val="24"/>
          <w:szCs w:val="24"/>
        </w:rPr>
        <w:t xml:space="preserve">, L.A., 2000. Merlin and the Pendragon: King Arthur's "Draconarius". Arthuriana (Dallas, Tex.), 10(1), </w:t>
      </w:r>
      <w:proofErr w:type="spellStart"/>
      <w:r w:rsidRPr="00C57566">
        <w:rPr>
          <w:rFonts w:cstheme="minorHAnsi"/>
          <w:sz w:val="24"/>
          <w:szCs w:val="24"/>
        </w:rPr>
        <w:t>pp.</w:t>
      </w:r>
      <w:r w:rsidR="00B57726">
        <w:rPr>
          <w:rFonts w:cstheme="minorHAnsi"/>
          <w:sz w:val="24"/>
          <w:szCs w:val="24"/>
        </w:rPr>
        <w:t>3</w:t>
      </w:r>
      <w:proofErr w:type="spellEnd"/>
    </w:p>
    <w:p w14:paraId="3A9C2883" w14:textId="0855F392" w:rsidR="00C57566" w:rsidRDefault="00C57566">
      <w:pPr>
        <w:pStyle w:val="FootnoteText"/>
      </w:pPr>
    </w:p>
  </w:footnote>
  <w:footnote w:id="2">
    <w:p w14:paraId="02F39244" w14:textId="1A4768DA" w:rsidR="00C57566" w:rsidRDefault="00C57566" w:rsidP="00F10EE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Style w:val="FootnoteReference"/>
        </w:rPr>
        <w:footnoteRef/>
      </w:r>
      <w:r>
        <w:t xml:space="preserve"> </w:t>
      </w:r>
      <w:r w:rsidRPr="00C57566">
        <w:rPr>
          <w:rFonts w:ascii="Calibri" w:hAnsi="Calibri" w:cs="Calibri"/>
          <w:color w:val="000000"/>
        </w:rPr>
        <w:t>Ancient.eu. (2017). </w:t>
      </w:r>
      <w:r w:rsidRPr="00C57566">
        <w:rPr>
          <w:rFonts w:ascii="Calibri" w:hAnsi="Calibri" w:cs="Calibri"/>
          <w:i/>
          <w:iCs/>
          <w:color w:val="000000"/>
        </w:rPr>
        <w:t>About Us - Ancient History Encyclopedia</w:t>
      </w:r>
      <w:r w:rsidRPr="00C57566">
        <w:rPr>
          <w:rFonts w:ascii="Calibri" w:hAnsi="Calibri" w:cs="Calibri"/>
          <w:color w:val="000000"/>
        </w:rPr>
        <w:t xml:space="preserve">. [online] Available at: </w:t>
      </w:r>
      <w:hyperlink r:id="rId1" w:history="1">
        <w:r w:rsidRPr="00A069E7">
          <w:rPr>
            <w:rStyle w:val="Hyperlink"/>
            <w:rFonts w:ascii="Calibri" w:hAnsi="Calibri" w:cs="Calibri"/>
          </w:rPr>
          <w:t>https://www.ancient.eu/static/about/</w:t>
        </w:r>
      </w:hyperlink>
      <w:r w:rsidRPr="00C57566">
        <w:rPr>
          <w:rFonts w:ascii="Calibri" w:hAnsi="Calibri" w:cs="Calibri"/>
          <w:color w:val="000000"/>
        </w:rPr>
        <w:t>.</w:t>
      </w:r>
      <w:r>
        <w:rPr>
          <w:rFonts w:ascii="Calibri" w:hAnsi="Calibri" w:cs="Calibri"/>
          <w:color w:val="000000"/>
        </w:rPr>
        <w:t xml:space="preserve"> [viewed 22</w:t>
      </w:r>
      <w:r w:rsidRPr="00C57566">
        <w:rPr>
          <w:rFonts w:ascii="Calibri" w:hAnsi="Calibri" w:cs="Calibri"/>
          <w:color w:val="000000"/>
          <w:vertAlign w:val="superscript"/>
        </w:rPr>
        <w:t>nd</w:t>
      </w:r>
      <w:r>
        <w:rPr>
          <w:rFonts w:ascii="Calibri" w:hAnsi="Calibri" w:cs="Calibri"/>
          <w:color w:val="000000"/>
        </w:rPr>
        <w:t xml:space="preserve"> October 2020]</w:t>
      </w:r>
    </w:p>
    <w:p w14:paraId="2CD4BB82" w14:textId="553EFCB7" w:rsidR="00C57566" w:rsidRDefault="00C57566">
      <w:pPr>
        <w:pStyle w:val="FootnoteText"/>
      </w:pPr>
    </w:p>
  </w:footnote>
  <w:footnote w:id="3">
    <w:p w14:paraId="30CDBE14" w14:textId="77777777" w:rsidR="00F10EE0" w:rsidRPr="00F10EE0" w:rsidRDefault="00F10EE0" w:rsidP="00F10EE0">
      <w:pPr>
        <w:shd w:val="clear" w:color="auto" w:fill="FFFFFF"/>
        <w:spacing w:before="120" w:after="120" w:line="312" w:lineRule="atLeast"/>
        <w:ind w:right="240"/>
        <w:rPr>
          <w:rFonts w:eastAsia="Times New Roman" w:cstheme="minorHAnsi"/>
          <w:color w:val="333333"/>
          <w:sz w:val="24"/>
          <w:szCs w:val="24"/>
          <w:lang w:eastAsia="en-GB"/>
        </w:rPr>
      </w:pPr>
      <w:r>
        <w:rPr>
          <w:rStyle w:val="FootnoteReference"/>
        </w:rPr>
        <w:footnoteRef/>
      </w:r>
      <w:r>
        <w:t xml:space="preserve"> </w:t>
      </w:r>
      <w:r w:rsidRPr="00F10EE0">
        <w:rPr>
          <w:rFonts w:eastAsia="Times New Roman" w:cstheme="minorHAnsi"/>
          <w:color w:val="333333"/>
          <w:sz w:val="24"/>
          <w:szCs w:val="24"/>
          <w:lang w:eastAsia="en-GB"/>
        </w:rPr>
        <w:t>Mark, J. J. (2019, April 24). </w:t>
      </w:r>
      <w:hyperlink r:id="rId2" w:history="1">
        <w:r w:rsidRPr="00F10EE0">
          <w:rPr>
            <w:rFonts w:eastAsia="Times New Roman" w:cstheme="minorHAnsi"/>
            <w:i/>
            <w:iCs/>
            <w:sz w:val="24"/>
            <w:szCs w:val="24"/>
            <w:lang w:eastAsia="en-GB"/>
          </w:rPr>
          <w:t>Merlin</w:t>
        </w:r>
      </w:hyperlink>
      <w:r w:rsidRPr="00F10EE0">
        <w:rPr>
          <w:rFonts w:eastAsia="Times New Roman" w:cstheme="minorHAnsi"/>
          <w:color w:val="333333"/>
          <w:sz w:val="24"/>
          <w:szCs w:val="24"/>
          <w:lang w:eastAsia="en-GB"/>
        </w:rPr>
        <w:t>. </w:t>
      </w:r>
      <w:r w:rsidRPr="00F10EE0">
        <w:rPr>
          <w:rFonts w:eastAsia="Times New Roman" w:cstheme="minorHAnsi"/>
          <w:i/>
          <w:iCs/>
          <w:color w:val="333333"/>
          <w:sz w:val="24"/>
          <w:szCs w:val="24"/>
          <w:lang w:eastAsia="en-GB"/>
        </w:rPr>
        <w:t>Ancient History Encyclopedia</w:t>
      </w:r>
      <w:r w:rsidRPr="00F10EE0">
        <w:rPr>
          <w:rFonts w:eastAsia="Times New Roman" w:cstheme="minorHAnsi"/>
          <w:color w:val="333333"/>
          <w:sz w:val="24"/>
          <w:szCs w:val="24"/>
          <w:lang w:eastAsia="en-GB"/>
        </w:rPr>
        <w:t>, viewed 15</w:t>
      </w:r>
      <w:r w:rsidRPr="00F10EE0">
        <w:rPr>
          <w:rFonts w:eastAsia="Times New Roman" w:cstheme="minorHAnsi"/>
          <w:color w:val="333333"/>
          <w:sz w:val="24"/>
          <w:szCs w:val="24"/>
          <w:vertAlign w:val="superscript"/>
          <w:lang w:eastAsia="en-GB"/>
        </w:rPr>
        <w:t>th</w:t>
      </w:r>
      <w:r w:rsidRPr="00F10EE0">
        <w:rPr>
          <w:rFonts w:eastAsia="Times New Roman" w:cstheme="minorHAnsi"/>
          <w:color w:val="333333"/>
          <w:sz w:val="24"/>
          <w:szCs w:val="24"/>
          <w:lang w:eastAsia="en-GB"/>
        </w:rPr>
        <w:t xml:space="preserve"> October 2020, &lt;https://www.ancient.eu/Merlin/&gt;</w:t>
      </w:r>
    </w:p>
    <w:p w14:paraId="56BCB346" w14:textId="6001D19E" w:rsidR="00F10EE0" w:rsidRDefault="00F10EE0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1D9"/>
    <w:rsid w:val="003961D9"/>
    <w:rsid w:val="00813462"/>
    <w:rsid w:val="00A6613C"/>
    <w:rsid w:val="00AD69AF"/>
    <w:rsid w:val="00B57726"/>
    <w:rsid w:val="00C57566"/>
    <w:rsid w:val="00CE444E"/>
    <w:rsid w:val="00F10E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FA5E2"/>
  <w15:chartTrackingRefBased/>
  <w15:docId w15:val="{118DDEC8-8E92-4F45-BCB1-D382C85453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61D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C5756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5756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57566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C5756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575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75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1832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ancient.eu/Merlin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ancient.eu/Merlin/" TargetMode="External"/><Relationship Id="rId1" Type="http://schemas.openxmlformats.org/officeDocument/2006/relationships/hyperlink" Target="https://www.ancient.eu/static/abou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GostName.XSL" StyleName="GOST - Name Sort" Version="2003"/>
</file>

<file path=customXml/itemProps1.xml><?xml version="1.0" encoding="utf-8"?>
<ds:datastoreItem xmlns:ds="http://schemas.openxmlformats.org/officeDocument/2006/customXml" ds:itemID="{3AD253A7-2ECF-4A94-9888-19B65AB18F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181</Words>
  <Characters>1035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Cosgrave</dc:creator>
  <cp:keywords/>
  <dc:description/>
  <cp:lastModifiedBy>Ella Cosgrave</cp:lastModifiedBy>
  <cp:revision>2</cp:revision>
  <dcterms:created xsi:type="dcterms:W3CDTF">2020-10-22T10:25:00Z</dcterms:created>
  <dcterms:modified xsi:type="dcterms:W3CDTF">2020-10-23T09:44:00Z</dcterms:modified>
</cp:coreProperties>
</file>