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44252" w14:textId="156B340F" w:rsidR="00116E9E" w:rsidRPr="00FE72BD" w:rsidRDefault="00C53524" w:rsidP="00797AF5">
      <w:pPr>
        <w:ind w:firstLine="0"/>
        <w:rPr>
          <w:b/>
          <w:bCs/>
          <w:sz w:val="28"/>
          <w:szCs w:val="28"/>
        </w:rPr>
      </w:pPr>
      <w:r w:rsidRPr="00FE72BD">
        <w:rPr>
          <w:b/>
          <w:bCs/>
          <w:sz w:val="28"/>
          <w:szCs w:val="28"/>
        </w:rPr>
        <w:t>Title of the Work:</w:t>
      </w:r>
    </w:p>
    <w:p w14:paraId="5B494D53" w14:textId="428FE4C9" w:rsidR="00FA6069" w:rsidRPr="00FA6069" w:rsidRDefault="00FA6069" w:rsidP="00FA6069">
      <w:r w:rsidRPr="00FA6069">
        <w:t>“</w:t>
      </w:r>
      <w:r w:rsidRPr="00FA6069">
        <w:t>Building Empire: How Roman Concrete Constructed Ideology</w:t>
      </w:r>
      <w:r w:rsidRPr="00FA6069">
        <w:t>”</w:t>
      </w:r>
    </w:p>
    <w:p w14:paraId="487F2D8F" w14:textId="77777777" w:rsidR="00C53524" w:rsidRPr="00C53524" w:rsidRDefault="00C53524" w:rsidP="00797AF5">
      <w:pPr>
        <w:ind w:firstLine="0"/>
      </w:pPr>
    </w:p>
    <w:p w14:paraId="6DC049BC" w14:textId="145A70AE" w:rsidR="00C53524" w:rsidRPr="00FE72BD" w:rsidRDefault="00C53524" w:rsidP="00797AF5">
      <w:pPr>
        <w:ind w:firstLine="0"/>
        <w:rPr>
          <w:b/>
          <w:bCs/>
          <w:sz w:val="28"/>
          <w:szCs w:val="28"/>
        </w:rPr>
      </w:pPr>
      <w:r w:rsidRPr="00FE72BD">
        <w:rPr>
          <w:b/>
          <w:bCs/>
          <w:sz w:val="28"/>
          <w:szCs w:val="28"/>
        </w:rPr>
        <w:t>Introduct</w:t>
      </w:r>
      <w:r w:rsidR="00E05EEE" w:rsidRPr="00FE72BD">
        <w:rPr>
          <w:b/>
          <w:bCs/>
          <w:sz w:val="28"/>
          <w:szCs w:val="28"/>
        </w:rPr>
        <w:t>ion</w:t>
      </w:r>
      <w:r w:rsidRPr="00FE72BD">
        <w:rPr>
          <w:b/>
          <w:bCs/>
          <w:sz w:val="28"/>
          <w:szCs w:val="28"/>
        </w:rPr>
        <w:t xml:space="preserve"> Notes/Thesis</w:t>
      </w:r>
      <w:r w:rsidR="00BA7177" w:rsidRPr="00FE72BD">
        <w:rPr>
          <w:b/>
          <w:bCs/>
          <w:sz w:val="28"/>
          <w:szCs w:val="28"/>
        </w:rPr>
        <w:t xml:space="preserve"> (219 words no</w:t>
      </w:r>
      <w:r w:rsidR="006C5A57">
        <w:rPr>
          <w:b/>
          <w:bCs/>
          <w:sz w:val="28"/>
          <w:szCs w:val="28"/>
        </w:rPr>
        <w:t>t</w:t>
      </w:r>
      <w:r w:rsidR="00BA7177" w:rsidRPr="00FE72BD">
        <w:rPr>
          <w:b/>
          <w:bCs/>
          <w:sz w:val="28"/>
          <w:szCs w:val="28"/>
        </w:rPr>
        <w:t xml:space="preserve"> included in assignment total)</w:t>
      </w:r>
      <w:r w:rsidR="006C5A57">
        <w:rPr>
          <w:b/>
          <w:bCs/>
          <w:sz w:val="28"/>
          <w:szCs w:val="28"/>
        </w:rPr>
        <w:t>:</w:t>
      </w:r>
    </w:p>
    <w:p w14:paraId="7412825B" w14:textId="72BE265A" w:rsidR="00C53524" w:rsidRPr="00C53524" w:rsidRDefault="00C53524" w:rsidP="00FA6069">
      <w:pPr>
        <w:rPr>
          <w:color w:val="000000" w:themeColor="text1"/>
        </w:rPr>
      </w:pPr>
      <w:r w:rsidRPr="00C53524">
        <w:rPr>
          <w:color w:val="000000" w:themeColor="text1"/>
        </w:rPr>
        <w:t xml:space="preserve">In the </w:t>
      </w:r>
      <w:r w:rsidRPr="00C53524">
        <w:rPr>
          <w:color w:val="000000" w:themeColor="text1"/>
        </w:rPr>
        <w:t>933-page</w:t>
      </w:r>
      <w:r w:rsidRPr="00C53524">
        <w:rPr>
          <w:color w:val="000000" w:themeColor="text1"/>
        </w:rPr>
        <w:t xml:space="preserve"> tome of </w:t>
      </w:r>
      <w:r w:rsidRPr="00C53524">
        <w:rPr>
          <w:i/>
          <w:iCs/>
          <w:color w:val="000000" w:themeColor="text1"/>
        </w:rPr>
        <w:t>Roman Urbanism</w:t>
      </w:r>
      <w:r w:rsidRPr="00C53524">
        <w:rPr>
          <w:color w:val="000000" w:themeColor="text1"/>
        </w:rPr>
        <w:t xml:space="preserve"> that has become a seminal work in the studies of ancient architecture and urban planning, authors </w:t>
      </w:r>
      <w:proofErr w:type="spellStart"/>
      <w:r w:rsidRPr="00C53524">
        <w:rPr>
          <w:color w:val="000000" w:themeColor="text1"/>
        </w:rPr>
        <w:t>Yegül</w:t>
      </w:r>
      <w:proofErr w:type="spellEnd"/>
      <w:r w:rsidRPr="00C53524">
        <w:rPr>
          <w:color w:val="000000" w:themeColor="text1"/>
        </w:rPr>
        <w:t xml:space="preserve"> and Favro use the term “monumental” 161 times. This is used as an adjective when describing staircases and roads, but also to describe the epitome of Roman architecture as a whole. Romans begin with ideas of monumentality in their building planning from the size and scale, possible through the advent of concrete, to the raised platforms of their administrative and religious buildings to create a dominating presence. The Romans valued roman-ness or </w:t>
      </w:r>
      <w:r w:rsidRPr="00C53524">
        <w:rPr>
          <w:i/>
          <w:iCs/>
          <w:color w:val="000000" w:themeColor="text1"/>
        </w:rPr>
        <w:t>romanitas</w:t>
      </w:r>
      <w:r w:rsidRPr="00C53524">
        <w:rPr>
          <w:color w:val="000000" w:themeColor="text1"/>
        </w:rPr>
        <w:t xml:space="preserve"> and sought to impose this concept on everyone who entered their cities or became part of the later Empire.</w:t>
      </w:r>
    </w:p>
    <w:p w14:paraId="051FD2D7" w14:textId="25A073F7" w:rsidR="00C53524" w:rsidRPr="00C53524" w:rsidRDefault="00C53524" w:rsidP="00FA6069">
      <w:pPr>
        <w:rPr>
          <w:color w:val="000000" w:themeColor="text1"/>
        </w:rPr>
      </w:pPr>
      <w:r w:rsidRPr="00C53524">
        <w:rPr>
          <w:color w:val="000000" w:themeColor="text1"/>
        </w:rPr>
        <w:t xml:space="preserve">Enter </w:t>
      </w:r>
      <w:r w:rsidRPr="00C53524">
        <w:rPr>
          <w:color w:val="000000" w:themeColor="text1"/>
        </w:rPr>
        <w:t>Henri Lefebvre</w:t>
      </w:r>
      <w:r w:rsidRPr="00C53524">
        <w:rPr>
          <w:color w:val="000000" w:themeColor="text1"/>
        </w:rPr>
        <w:t xml:space="preserve"> born 2,000 years later, the French Marxist philosopher and thinker wrote </w:t>
      </w:r>
      <w:r w:rsidRPr="00C53524">
        <w:rPr>
          <w:i/>
          <w:iCs/>
          <w:color w:val="000000" w:themeColor="text1"/>
        </w:rPr>
        <w:t xml:space="preserve">The Production of Space. </w:t>
      </w:r>
      <w:r w:rsidRPr="00C53524">
        <w:rPr>
          <w:color w:val="000000" w:themeColor="text1"/>
        </w:rPr>
        <w:t xml:space="preserve">This book, a collection of his work across 60 years, is a reconciliation of his ideas of the physical spaces we live in with the mental space. This bridge from the practical to the theoretical is more than applicable as we journey back through time. </w:t>
      </w:r>
    </w:p>
    <w:p w14:paraId="30E83B21" w14:textId="77777777" w:rsidR="00C53524" w:rsidRPr="00C53524" w:rsidRDefault="00C53524" w:rsidP="00FA6069">
      <w:pPr>
        <w:rPr>
          <w:color w:val="000000" w:themeColor="text1"/>
        </w:rPr>
      </w:pPr>
      <w:r w:rsidRPr="00C53524">
        <w:rPr>
          <w:color w:val="000000" w:themeColor="text1"/>
        </w:rPr>
        <w:t>By examining these connections between Lefebvre's ideas on the production of space and ancient Roman urbanism, we gain a deeper understanding of how spatial arrangements reflect and reinforce social structures, ancient power dynamics, and ideological agendas across different historical contexts.</w:t>
      </w:r>
    </w:p>
    <w:p w14:paraId="0693EDB2" w14:textId="77777777" w:rsidR="00C53524" w:rsidRDefault="00C53524" w:rsidP="00797AF5">
      <w:pPr>
        <w:ind w:firstLine="0"/>
        <w:rPr>
          <w:b/>
          <w:bCs/>
        </w:rPr>
      </w:pPr>
    </w:p>
    <w:p w14:paraId="1F1899F0" w14:textId="00D531CC" w:rsidR="00C53524" w:rsidRPr="00FE72BD" w:rsidRDefault="00C53524" w:rsidP="00797AF5">
      <w:pPr>
        <w:ind w:firstLine="0"/>
        <w:rPr>
          <w:b/>
          <w:bCs/>
          <w:sz w:val="28"/>
          <w:szCs w:val="28"/>
        </w:rPr>
      </w:pPr>
      <w:r w:rsidRPr="00FE72BD">
        <w:rPr>
          <w:b/>
          <w:bCs/>
          <w:sz w:val="28"/>
          <w:szCs w:val="28"/>
        </w:rPr>
        <w:t>Abstract</w:t>
      </w:r>
      <w:r w:rsidR="00BA54EA" w:rsidRPr="00FE72BD">
        <w:rPr>
          <w:b/>
          <w:bCs/>
          <w:sz w:val="28"/>
          <w:szCs w:val="28"/>
        </w:rPr>
        <w:t xml:space="preserve"> (156 words)</w:t>
      </w:r>
      <w:r w:rsidR="006C5A57">
        <w:rPr>
          <w:b/>
          <w:bCs/>
          <w:sz w:val="28"/>
          <w:szCs w:val="28"/>
        </w:rPr>
        <w:t>:</w:t>
      </w:r>
    </w:p>
    <w:p w14:paraId="12EB245B" w14:textId="5A513566" w:rsidR="00C53524" w:rsidRDefault="00FA6069" w:rsidP="00FA6069">
      <w:r w:rsidRPr="00FA6069">
        <w:t>Roman concrete didn't just build structures</w:t>
      </w:r>
      <w:r>
        <w:t xml:space="preserve">, </w:t>
      </w:r>
      <w:r w:rsidRPr="00FA6069">
        <w:t>it built ideology. This paper examines how the material and spatial innovations of Roman urbanism functioned as instruments of imperial power, using Henri Lefebvre's </w:t>
      </w:r>
      <w:r w:rsidRPr="00DD0A69">
        <w:rPr>
          <w:i/>
          <w:iCs/>
        </w:rPr>
        <w:t>The Production of Space</w:t>
      </w:r>
      <w:r w:rsidRPr="00FA6069">
        <w:t> as a critical lens. The relentless monumentality documented throughout Roman cities</w:t>
      </w:r>
      <w:r>
        <w:t xml:space="preserve"> such as </w:t>
      </w:r>
      <w:r w:rsidRPr="00FA6069">
        <w:t>massive staircases, dominating platforms, and architecturally imposing civic spaces</w:t>
      </w:r>
      <w:r>
        <w:t xml:space="preserve">, </w:t>
      </w:r>
      <w:r w:rsidRPr="00FA6069">
        <w:t xml:space="preserve">reveals a deliberate strategy of spatial control designed to manufacture and enforce </w:t>
      </w:r>
      <w:r w:rsidRPr="00DD0A69">
        <w:rPr>
          <w:i/>
          <w:iCs/>
        </w:rPr>
        <w:t>romanitas</w:t>
      </w:r>
      <w:r w:rsidRPr="00FA6069">
        <w:t xml:space="preserve">. By applying Lefebvre's framework to ancient urbanism, this study exposes how Romans weaponized architecture, transforming physical space into political statement and social hierarchy into concrete reality. The elevated temples and forums didn't simply house </w:t>
      </w:r>
      <w:r w:rsidR="00DD0A69" w:rsidRPr="00FA6069">
        <w:t>power</w:t>
      </w:r>
      <w:r w:rsidR="00DD0A69">
        <w:t>;</w:t>
      </w:r>
      <w:r>
        <w:t xml:space="preserve"> </w:t>
      </w:r>
      <w:r w:rsidRPr="00FA6069">
        <w:t>they performed it</w:t>
      </w:r>
      <w:r>
        <w:t xml:space="preserve"> </w:t>
      </w:r>
      <w:r w:rsidRPr="00FA6069">
        <w:t>forcing subjects and citizens alike to physically experience their subordination through the built environment. This analysis demonstrates that Roman urban planning was fundamentally a project of ideological construction, where every monumental staircase and grand plaza served as both celebration and warning: this is Rome, and you are within it.</w:t>
      </w:r>
    </w:p>
    <w:p w14:paraId="7E54A4B0" w14:textId="77777777" w:rsidR="003F2325" w:rsidRDefault="003F2325" w:rsidP="003F2325">
      <w:pPr>
        <w:ind w:firstLine="0"/>
      </w:pPr>
    </w:p>
    <w:p w14:paraId="5A231B15" w14:textId="5472475A" w:rsidR="003F2325" w:rsidRPr="00FE72BD" w:rsidRDefault="003F2325" w:rsidP="003F2325">
      <w:pPr>
        <w:ind w:firstLine="0"/>
        <w:rPr>
          <w:b/>
          <w:bCs/>
          <w:sz w:val="28"/>
          <w:szCs w:val="28"/>
        </w:rPr>
      </w:pPr>
      <w:r w:rsidRPr="00FE72BD">
        <w:rPr>
          <w:b/>
          <w:bCs/>
          <w:sz w:val="28"/>
          <w:szCs w:val="28"/>
        </w:rPr>
        <w:t>Annotated Bibliography:</w:t>
      </w:r>
    </w:p>
    <w:p w14:paraId="661960A2" w14:textId="77777777" w:rsidR="003F2325" w:rsidRDefault="003F2325" w:rsidP="003F2325">
      <w:pPr>
        <w:autoSpaceDE w:val="0"/>
        <w:autoSpaceDN w:val="0"/>
        <w:adjustRightInd w:val="0"/>
        <w:ind w:firstLine="0"/>
        <w:rPr>
          <w:color w:val="000000" w:themeColor="text1"/>
          <w:kern w:val="0"/>
        </w:rPr>
      </w:pPr>
    </w:p>
    <w:p w14:paraId="1EC47C5E" w14:textId="4E24F570" w:rsidR="003F2325" w:rsidRDefault="003F2325" w:rsidP="003F2325">
      <w:pPr>
        <w:autoSpaceDE w:val="0"/>
        <w:autoSpaceDN w:val="0"/>
        <w:adjustRightInd w:val="0"/>
        <w:ind w:firstLine="0"/>
        <w:rPr>
          <w:color w:val="000000" w:themeColor="text1"/>
          <w:kern w:val="0"/>
        </w:rPr>
      </w:pPr>
      <w:r w:rsidRPr="0019274A">
        <w:rPr>
          <w:color w:val="000000" w:themeColor="text1"/>
          <w:kern w:val="0"/>
        </w:rPr>
        <w:t xml:space="preserve">Elden, Stuart. </w:t>
      </w:r>
      <w:r w:rsidRPr="0019274A">
        <w:rPr>
          <w:i/>
          <w:iCs/>
          <w:color w:val="000000" w:themeColor="text1"/>
          <w:kern w:val="0"/>
        </w:rPr>
        <w:t>Understanding Henri Lefebvre: Theory and the Possible</w:t>
      </w:r>
      <w:r w:rsidRPr="0019274A">
        <w:rPr>
          <w:color w:val="000000" w:themeColor="text1"/>
          <w:kern w:val="0"/>
        </w:rPr>
        <w:t>. London: Continuum,</w:t>
      </w:r>
      <w:r w:rsidRPr="0019274A">
        <w:rPr>
          <w:color w:val="000000" w:themeColor="text1"/>
          <w:kern w:val="0"/>
        </w:rPr>
        <w:tab/>
        <w:t>2004.</w:t>
      </w:r>
    </w:p>
    <w:p w14:paraId="7D24983D" w14:textId="77777777" w:rsidR="00F1775C" w:rsidRDefault="003F2325" w:rsidP="003F2325">
      <w:pPr>
        <w:autoSpaceDE w:val="0"/>
        <w:autoSpaceDN w:val="0"/>
        <w:adjustRightInd w:val="0"/>
        <w:ind w:firstLine="0"/>
        <w:rPr>
          <w:b/>
          <w:bCs/>
          <w:color w:val="000000" w:themeColor="text1"/>
          <w:kern w:val="0"/>
        </w:rPr>
      </w:pPr>
      <w:r w:rsidRPr="003F2325">
        <w:rPr>
          <w:b/>
          <w:bCs/>
          <w:color w:val="000000" w:themeColor="text1"/>
          <w:kern w:val="0"/>
        </w:rPr>
        <w:t>Notes:</w:t>
      </w:r>
      <w:r w:rsidR="00F1775C">
        <w:rPr>
          <w:b/>
          <w:bCs/>
          <w:color w:val="000000" w:themeColor="text1"/>
          <w:kern w:val="0"/>
        </w:rPr>
        <w:t xml:space="preserve"> </w:t>
      </w:r>
    </w:p>
    <w:p w14:paraId="05719B74" w14:textId="0B2DF535" w:rsidR="003F2325" w:rsidRPr="00F1775C" w:rsidRDefault="00F1775C" w:rsidP="00F1775C">
      <w:pPr>
        <w:autoSpaceDE w:val="0"/>
        <w:autoSpaceDN w:val="0"/>
        <w:adjustRightInd w:val="0"/>
      </w:pPr>
      <w:r w:rsidRPr="00F1775C">
        <w:t>Elden provides one of the most comprehensive and accessible introductions to Henri Lefebvre's complex philosophical corpus, tracing the evolution of his thought from early Marxist writings through his mature spatial theory. The work is particularly valuable for its contextualization of </w:t>
      </w:r>
      <w:r w:rsidRPr="00F1775C">
        <w:rPr>
          <w:i/>
          <w:iCs/>
        </w:rPr>
        <w:t>The Production of Space</w:t>
      </w:r>
      <w:r w:rsidRPr="00F1775C">
        <w:t xml:space="preserve"> within Lefebvre's broader intellectual project, demonstrating how his spatial turn emerged from decades of engagement with dialectical </w:t>
      </w:r>
      <w:r w:rsidRPr="00F1775C">
        <w:lastRenderedPageBreak/>
        <w:t>materialism, everyday life, and urban sociology. Elden carefully unpacks Lefebvre's notoriously difficult conceptual triad of spatial practice, representations of space, and representational spaces, making these concepts operational for empirical analysis. For this paper, Elden serves as an essential interpretive guide, offering clarity on how to apply Lefebvre's abstract theoretical framework to concrete historical cases like Roman urbanism. His discussion of Lefebvre's concept of "abstract space"—space produced by state power and capitalism that erases difference—provides a particularly useful lens for understanding Roman spatial homogenization across the empire. The book's main limitation is its focus on modern capitalist space, requiring some conceptual translation when applying these ideas to ancient contexts. However, Elden's rigorous exposition of Lefebvre's methodology enables precisely this kind of transhistorical analysis. His work is indispensable for anyone seeking to move beyond superficial invocations of Lefebvre and engage seriously with spatial theory's analytical potential.</w:t>
      </w:r>
    </w:p>
    <w:p w14:paraId="02115183" w14:textId="77777777" w:rsidR="006C5A57" w:rsidRPr="00F1775C" w:rsidRDefault="006C5A57" w:rsidP="006C5A57">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476AA15E" w14:textId="77777777" w:rsidR="00F1775C" w:rsidRDefault="00F1775C" w:rsidP="003F2325">
      <w:pPr>
        <w:autoSpaceDE w:val="0"/>
        <w:autoSpaceDN w:val="0"/>
        <w:adjustRightInd w:val="0"/>
        <w:ind w:firstLine="0"/>
        <w:rPr>
          <w:color w:val="000000" w:themeColor="text1"/>
          <w:kern w:val="0"/>
        </w:rPr>
      </w:pPr>
    </w:p>
    <w:p w14:paraId="72E3DBFE" w14:textId="1484D84C" w:rsidR="003F2325" w:rsidRDefault="003F2325" w:rsidP="003F2325">
      <w:pPr>
        <w:autoSpaceDE w:val="0"/>
        <w:autoSpaceDN w:val="0"/>
        <w:adjustRightInd w:val="0"/>
        <w:ind w:firstLine="0"/>
        <w:rPr>
          <w:color w:val="000000" w:themeColor="text1"/>
          <w:kern w:val="0"/>
        </w:rPr>
      </w:pPr>
      <w:r w:rsidRPr="009C7CF0">
        <w:rPr>
          <w:color w:val="000000" w:themeColor="text1"/>
          <w:kern w:val="0"/>
        </w:rPr>
        <w:t xml:space="preserve">Laurence, Ray. "Deviant </w:t>
      </w:r>
      <w:proofErr w:type="spellStart"/>
      <w:r w:rsidRPr="009C7CF0">
        <w:rPr>
          <w:color w:val="000000" w:themeColor="text1"/>
          <w:kern w:val="0"/>
        </w:rPr>
        <w:t>Behaviour</w:t>
      </w:r>
      <w:proofErr w:type="spellEnd"/>
      <w:r w:rsidRPr="009C7CF0">
        <w:rPr>
          <w:color w:val="000000" w:themeColor="text1"/>
          <w:kern w:val="0"/>
        </w:rPr>
        <w:t xml:space="preserve">." In </w:t>
      </w:r>
      <w:r w:rsidRPr="009C7CF0">
        <w:rPr>
          <w:i/>
          <w:iCs/>
          <w:color w:val="000000" w:themeColor="text1"/>
          <w:kern w:val="0"/>
        </w:rPr>
        <w:t>Roman Pompeii: Space and Society</w:t>
      </w:r>
      <w:r w:rsidRPr="009C7CF0">
        <w:rPr>
          <w:color w:val="000000" w:themeColor="text1"/>
          <w:kern w:val="0"/>
        </w:rPr>
        <w:t>, 82-101. London:</w:t>
      </w:r>
      <w:r>
        <w:rPr>
          <w:color w:val="000000" w:themeColor="text1"/>
          <w:kern w:val="0"/>
        </w:rPr>
        <w:tab/>
      </w:r>
      <w:r>
        <w:rPr>
          <w:color w:val="000000" w:themeColor="text1"/>
          <w:kern w:val="0"/>
        </w:rPr>
        <w:tab/>
      </w:r>
      <w:r w:rsidRPr="009C7CF0">
        <w:rPr>
          <w:color w:val="000000" w:themeColor="text1"/>
          <w:kern w:val="0"/>
        </w:rPr>
        <w:t>Routledge, 2006.</w:t>
      </w:r>
    </w:p>
    <w:p w14:paraId="25FFE0A7" w14:textId="3D41EAE6" w:rsidR="003F2325" w:rsidRDefault="003F2325" w:rsidP="003F2325">
      <w:pPr>
        <w:autoSpaceDE w:val="0"/>
        <w:autoSpaceDN w:val="0"/>
        <w:adjustRightInd w:val="0"/>
        <w:ind w:firstLine="0"/>
        <w:rPr>
          <w:b/>
          <w:bCs/>
          <w:color w:val="000000" w:themeColor="text1"/>
          <w:kern w:val="0"/>
        </w:rPr>
      </w:pPr>
      <w:r>
        <w:rPr>
          <w:b/>
          <w:bCs/>
          <w:color w:val="000000" w:themeColor="text1"/>
          <w:kern w:val="0"/>
        </w:rPr>
        <w:t>Notes:</w:t>
      </w:r>
    </w:p>
    <w:p w14:paraId="1482598C" w14:textId="77777777" w:rsidR="00F1775C" w:rsidRDefault="00F1775C" w:rsidP="00F1775C">
      <w:r w:rsidRPr="00F1775C">
        <w:t xml:space="preserve">Laurence's chapter examines how Roman urban spatial organization both reflected and produced social norms by analyzing behaviors considered "deviant" in Pompeii—prostitution, drunkenness, gambling, and public urination. By mapping where these activities occurred and how they were spatially contained or controlled, Laurence demonstrates that Roman cities were not merely backdrops for social life but active agents in defining acceptable behavior. His analysis reveals how architectural features, street layouts, and building functions created zones of tolerance and prohibition, effectively spatializing moral boundaries. This </w:t>
      </w:r>
      <w:proofErr w:type="spellStart"/>
      <w:r w:rsidRPr="00F1775C">
        <w:t>microhistorical</w:t>
      </w:r>
      <w:proofErr w:type="spellEnd"/>
      <w:r w:rsidRPr="00F1775C">
        <w:t xml:space="preserve"> approach provides concrete evidence for the </w:t>
      </w:r>
      <w:proofErr w:type="spellStart"/>
      <w:r w:rsidRPr="00F1775C">
        <w:t>Lefebvrian</w:t>
      </w:r>
      <w:proofErr w:type="spellEnd"/>
      <w:r w:rsidRPr="00F1775C">
        <w:t xml:space="preserve"> concept that space is socially produced while simultaneously producing social relations. For this paper, Laurence offers valuable empirical grounding for abstract theoretical claims about spatial control. His focus on a single, well-preserved city allows for detailed analysis of how monumental public spaces contrasted with marginal zones, demonstrating how Roman urbanism created hierarchies not just through grand architecture but through the systematic organization of everyday life. The chapter's limitation is its specificity—Pompeii's preservation is exceptional, and generalizing from it requires caution. Nevertheless, Laurence's methodological approach of reading architecture as social text exemplifies how to operationalize Lefebvre in ancient contexts, making it an invaluable model for analyzing spatial power elsewhere in the Roman world.</w:t>
      </w:r>
    </w:p>
    <w:p w14:paraId="33C68573" w14:textId="77777777" w:rsidR="00F1775C" w:rsidRDefault="00F1775C" w:rsidP="00F1775C"/>
    <w:p w14:paraId="560944F1" w14:textId="64A1C39D" w:rsidR="00F1775C" w:rsidRPr="00F1775C" w:rsidRDefault="00F1775C" w:rsidP="00F1775C">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5C0C266B" w14:textId="77777777" w:rsidR="00F1775C" w:rsidRDefault="00F1775C" w:rsidP="00F1775C"/>
    <w:p w14:paraId="2A7B81CE" w14:textId="2CDA4F67" w:rsidR="003F2325" w:rsidRPr="00F1775C" w:rsidRDefault="003F2325" w:rsidP="00F1775C">
      <w:pPr>
        <w:ind w:firstLine="0"/>
        <w:rPr>
          <w:rStyle w:val="apple-converted-space"/>
        </w:rPr>
      </w:pPr>
      <w:r w:rsidRPr="0019274A">
        <w:rPr>
          <w:color w:val="000000" w:themeColor="text1"/>
        </w:rPr>
        <w:t>Lefebvre, Henri, and Donald Nicholson-Smith.</w:t>
      </w:r>
      <w:r w:rsidRPr="0019274A">
        <w:rPr>
          <w:rStyle w:val="apple-converted-space"/>
          <w:rFonts w:eastAsiaTheme="majorEastAsia"/>
          <w:color w:val="000000" w:themeColor="text1"/>
        </w:rPr>
        <w:t> </w:t>
      </w:r>
      <w:r w:rsidRPr="0019274A">
        <w:rPr>
          <w:i/>
          <w:iCs/>
          <w:color w:val="000000" w:themeColor="text1"/>
        </w:rPr>
        <w:t>The Production of Space</w:t>
      </w:r>
      <w:r w:rsidRPr="0019274A">
        <w:rPr>
          <w:color w:val="000000" w:themeColor="text1"/>
        </w:rPr>
        <w:t xml:space="preserve">. Malden, MA: </w:t>
      </w:r>
      <w:r w:rsidR="00F1775C">
        <w:rPr>
          <w:color w:val="000000" w:themeColor="text1"/>
        </w:rPr>
        <w:tab/>
      </w:r>
      <w:r w:rsidRPr="0019274A">
        <w:rPr>
          <w:color w:val="000000" w:themeColor="text1"/>
        </w:rPr>
        <w:t>Blackwell, 2009.</w:t>
      </w:r>
      <w:r w:rsidRPr="0019274A">
        <w:rPr>
          <w:rStyle w:val="apple-converted-space"/>
          <w:rFonts w:eastAsiaTheme="majorEastAsia"/>
          <w:color w:val="000000" w:themeColor="text1"/>
        </w:rPr>
        <w:t> </w:t>
      </w:r>
    </w:p>
    <w:p w14:paraId="6530811A" w14:textId="77777777" w:rsidR="00F1775C" w:rsidRDefault="003F2325" w:rsidP="00F1775C">
      <w:pPr>
        <w:ind w:firstLine="0"/>
      </w:pPr>
      <w:r w:rsidRPr="00F1775C">
        <w:rPr>
          <w:b/>
          <w:bCs/>
        </w:rPr>
        <w:t>Notes</w:t>
      </w:r>
      <w:r w:rsidRPr="00F1775C">
        <w:t>:</w:t>
      </w:r>
      <w:r w:rsidR="00F1775C" w:rsidRPr="00F1775C">
        <w:t xml:space="preserve"> </w:t>
      </w:r>
    </w:p>
    <w:p w14:paraId="577696A6" w14:textId="1D446DAE" w:rsidR="003F2325" w:rsidRPr="00F1775C" w:rsidRDefault="00F1775C" w:rsidP="00F1775C">
      <w:r w:rsidRPr="00F1775C">
        <w:t xml:space="preserve">Lefebvre's magnum opus revolutionized spatial theory by arguing that space is not an empty container for social relations but is itself socially produced and productive of social life. Synthesizing six decades of work in Marxist philosophy, urban sociology, and critical theory, Lefebvre presents space as simultaneously physical (spatial practice), mental (representations of space), and lived (representational spaces). His central insight—that every society produces its own space as a fundamental mode of reproduction—provides the theoretical foundation for this </w:t>
      </w:r>
      <w:r w:rsidRPr="00F1775C">
        <w:lastRenderedPageBreak/>
        <w:t>entire paper. Lefebvre's concept of "abstract space," space homogenized by state power and stripped of local particularity, is particularly relevant for understanding Roman imperial urbanism's standardizing impulse. His discussion of monuments as crystallizations of time into space offers a framework for analyzing Roman architectural monumentality as ideological performance. The work's density and philosophical complexity present challenges; Nicholson-Smith's translation occasionally obscures Lefebvre's meaning, and the text assumes familiarity with French Marxist debates. However, these difficulties are offset by the work's profound insights into how power operates through spatial arrangements. For analyzing Roman urbanism, Lefebvre enables us to see beyond aesthetic or functional explanations and recognize architecture as political practice. His theory transforms our understanding of Roman concrete, forums, and temples from impressive engineering achievements into instruments of social control and ideological reproduction, making this text the conceptual cornerstone of the paper's argument.</w:t>
      </w:r>
    </w:p>
    <w:p w14:paraId="24D991B2" w14:textId="77777777" w:rsidR="00F1775C" w:rsidRDefault="00F1775C" w:rsidP="003F2325">
      <w:pPr>
        <w:autoSpaceDE w:val="0"/>
        <w:autoSpaceDN w:val="0"/>
        <w:adjustRightInd w:val="0"/>
        <w:ind w:firstLine="0"/>
        <w:rPr>
          <w:color w:val="000000" w:themeColor="text1"/>
          <w:kern w:val="0"/>
        </w:rPr>
      </w:pPr>
    </w:p>
    <w:p w14:paraId="10519ACD" w14:textId="6CA7E62C" w:rsidR="00F1775C" w:rsidRDefault="00F1775C" w:rsidP="003F2325">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63FB5E26" w14:textId="77777777" w:rsidR="00F1775C" w:rsidRDefault="00F1775C" w:rsidP="003F2325">
      <w:pPr>
        <w:autoSpaceDE w:val="0"/>
        <w:autoSpaceDN w:val="0"/>
        <w:adjustRightInd w:val="0"/>
        <w:ind w:firstLine="0"/>
        <w:rPr>
          <w:color w:val="000000" w:themeColor="text1"/>
          <w:kern w:val="0"/>
        </w:rPr>
      </w:pPr>
    </w:p>
    <w:p w14:paraId="5F2F9047" w14:textId="25AC746E" w:rsidR="003F2325" w:rsidRPr="0019274A" w:rsidRDefault="003F2325" w:rsidP="003F2325">
      <w:pPr>
        <w:autoSpaceDE w:val="0"/>
        <w:autoSpaceDN w:val="0"/>
        <w:adjustRightInd w:val="0"/>
        <w:ind w:firstLine="0"/>
        <w:rPr>
          <w:color w:val="000000" w:themeColor="text1"/>
          <w:kern w:val="0"/>
        </w:rPr>
      </w:pPr>
      <w:r w:rsidRPr="0019274A">
        <w:rPr>
          <w:color w:val="000000" w:themeColor="text1"/>
          <w:kern w:val="0"/>
        </w:rPr>
        <w:t xml:space="preserve">Luley, Benjamin P. "Colonialism, Dining, and Changing Strategies of Power: The Example of </w:t>
      </w:r>
    </w:p>
    <w:p w14:paraId="3EBEE8D5" w14:textId="77777777" w:rsidR="003F2325" w:rsidRPr="0019274A" w:rsidRDefault="003F2325" w:rsidP="003F2325">
      <w:pPr>
        <w:autoSpaceDE w:val="0"/>
        <w:autoSpaceDN w:val="0"/>
        <w:adjustRightInd w:val="0"/>
        <w:rPr>
          <w:color w:val="000000" w:themeColor="text1"/>
          <w:kern w:val="0"/>
        </w:rPr>
      </w:pPr>
      <w:r w:rsidRPr="0019274A">
        <w:rPr>
          <w:color w:val="000000" w:themeColor="text1"/>
          <w:kern w:val="0"/>
        </w:rPr>
        <w:t xml:space="preserve">Iron Age and Roman Mediterranean France at </w:t>
      </w:r>
      <w:proofErr w:type="spellStart"/>
      <w:r w:rsidRPr="0019274A">
        <w:rPr>
          <w:color w:val="000000" w:themeColor="text1"/>
          <w:kern w:val="0"/>
        </w:rPr>
        <w:t>Lattara</w:t>
      </w:r>
      <w:proofErr w:type="spellEnd"/>
      <w:r w:rsidRPr="0019274A">
        <w:rPr>
          <w:color w:val="000000" w:themeColor="text1"/>
          <w:kern w:val="0"/>
        </w:rPr>
        <w:t xml:space="preserve"> (Ca 150 BC-AD 50)." Journal of</w:t>
      </w:r>
    </w:p>
    <w:p w14:paraId="3CF70294" w14:textId="77777777" w:rsidR="003F2325" w:rsidRDefault="003F2325" w:rsidP="003F2325">
      <w:pPr>
        <w:autoSpaceDE w:val="0"/>
        <w:autoSpaceDN w:val="0"/>
        <w:adjustRightInd w:val="0"/>
        <w:rPr>
          <w:color w:val="000000" w:themeColor="text1"/>
          <w:kern w:val="0"/>
        </w:rPr>
      </w:pPr>
      <w:r w:rsidRPr="0019274A">
        <w:rPr>
          <w:color w:val="000000" w:themeColor="text1"/>
          <w:kern w:val="0"/>
        </w:rPr>
        <w:t>Archaeological Method and Theory 21, no. 4 (2014): 750-780.</w:t>
      </w:r>
    </w:p>
    <w:p w14:paraId="575A3D0A" w14:textId="77777777" w:rsidR="003F2325" w:rsidRDefault="003F2325" w:rsidP="003F2325">
      <w:pPr>
        <w:autoSpaceDE w:val="0"/>
        <w:autoSpaceDN w:val="0"/>
        <w:adjustRightInd w:val="0"/>
        <w:ind w:firstLine="0"/>
        <w:rPr>
          <w:color w:val="000000" w:themeColor="text1"/>
          <w:kern w:val="0"/>
        </w:rPr>
      </w:pPr>
    </w:p>
    <w:p w14:paraId="4BD52671" w14:textId="2D6A18F9" w:rsidR="003F2325" w:rsidRPr="003F2325" w:rsidRDefault="003F2325" w:rsidP="003F2325">
      <w:pPr>
        <w:autoSpaceDE w:val="0"/>
        <w:autoSpaceDN w:val="0"/>
        <w:adjustRightInd w:val="0"/>
        <w:ind w:firstLine="0"/>
        <w:rPr>
          <w:b/>
          <w:bCs/>
          <w:color w:val="000000" w:themeColor="text1"/>
          <w:kern w:val="0"/>
        </w:rPr>
      </w:pPr>
      <w:r>
        <w:rPr>
          <w:b/>
          <w:bCs/>
          <w:color w:val="000000" w:themeColor="text1"/>
          <w:kern w:val="0"/>
        </w:rPr>
        <w:t>Notes:</w:t>
      </w:r>
    </w:p>
    <w:p w14:paraId="6B2AC161" w14:textId="2D8BE816" w:rsidR="003F2325" w:rsidRPr="00F1775C" w:rsidRDefault="00F1775C" w:rsidP="00F1775C">
      <w:r w:rsidRPr="00F1775C">
        <w:t xml:space="preserve">Luley's archaeological study examines material culture and spatial organization at </w:t>
      </w:r>
      <w:proofErr w:type="spellStart"/>
      <w:r w:rsidRPr="00F1775C">
        <w:t>Lattara</w:t>
      </w:r>
      <w:proofErr w:type="spellEnd"/>
      <w:r w:rsidRPr="00F1775C">
        <w:t xml:space="preserve"> (modern Lattes, France) during the transition from Iron Age independence to Roman colonization, focusing specifically on dining practices and domestic architecture. Through detailed analysis of ceramics, architectural remains, and spatial layouts, he demonstrates how Roman colonial power operated not through overt force but through the subtle transformation of everyday practices—particularly communal dining, which shifted from indigenous patterns to Romanized convivial forms. This </w:t>
      </w:r>
      <w:proofErr w:type="spellStart"/>
      <w:r w:rsidRPr="00F1775C">
        <w:t>microhistorical</w:t>
      </w:r>
      <w:proofErr w:type="spellEnd"/>
      <w:r w:rsidRPr="00F1775C">
        <w:t xml:space="preserve"> approach reveals colonization as a process of spatial and social reordering, where new architectural forms (courtyards, triclinia) and material culture (Roman pottery, wine amphorae) reshaped social relationships and identities. For this paper, Luley provides crucial evidence of how Roman spatial production functioned as colonization mechanism, operating at the intimate scale of domestic life rather than solely through monumental public architecture. His work demonstrates that romanitas was constructed through multiple spatial scales simultaneously—the grand forum and the humble dining room alike participated in ideological reproduction. The article's theoretical engagement with practice theory and colonialism studies makes it particularly compatible with </w:t>
      </w:r>
      <w:proofErr w:type="spellStart"/>
      <w:r w:rsidRPr="00F1775C">
        <w:t>Lefebvrian</w:t>
      </w:r>
      <w:proofErr w:type="spellEnd"/>
      <w:r w:rsidRPr="00F1775C">
        <w:t xml:space="preserve"> analysis. Its limitation is geographic and temporal specificity—southern Gaul during early colonization may not represent universal Roman patterns. However, Luley's demonstration that spatial transformation preceded and enabled political domination strongly supports the paper's central argument that Roman architecture actively produced imperial power rather than merely expressing it.</w:t>
      </w:r>
    </w:p>
    <w:p w14:paraId="38EDCAFA" w14:textId="77777777" w:rsidR="00F1775C" w:rsidRDefault="00F1775C" w:rsidP="003F2325">
      <w:pPr>
        <w:autoSpaceDE w:val="0"/>
        <w:autoSpaceDN w:val="0"/>
        <w:adjustRightInd w:val="0"/>
        <w:ind w:firstLine="0"/>
        <w:rPr>
          <w:color w:val="000000" w:themeColor="text1"/>
          <w:kern w:val="0"/>
        </w:rPr>
      </w:pPr>
    </w:p>
    <w:p w14:paraId="6B36FC8C" w14:textId="6F7B7D6B" w:rsidR="00F1775C" w:rsidRDefault="00F1775C" w:rsidP="003F2325">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46C55D54" w14:textId="77777777" w:rsidR="00F1775C" w:rsidRPr="0019274A" w:rsidRDefault="00F1775C" w:rsidP="003F2325">
      <w:pPr>
        <w:autoSpaceDE w:val="0"/>
        <w:autoSpaceDN w:val="0"/>
        <w:adjustRightInd w:val="0"/>
        <w:ind w:firstLine="0"/>
        <w:rPr>
          <w:color w:val="000000" w:themeColor="text1"/>
          <w:kern w:val="0"/>
        </w:rPr>
      </w:pPr>
    </w:p>
    <w:p w14:paraId="6249895E" w14:textId="77777777" w:rsidR="003F2325" w:rsidRPr="0019274A" w:rsidRDefault="003F2325" w:rsidP="003F2325">
      <w:pPr>
        <w:autoSpaceDE w:val="0"/>
        <w:autoSpaceDN w:val="0"/>
        <w:adjustRightInd w:val="0"/>
        <w:ind w:firstLine="0"/>
        <w:rPr>
          <w:i/>
          <w:iCs/>
          <w:color w:val="000000" w:themeColor="text1"/>
          <w:kern w:val="0"/>
        </w:rPr>
      </w:pPr>
      <w:r w:rsidRPr="0019274A">
        <w:rPr>
          <w:color w:val="000000" w:themeColor="text1"/>
          <w:kern w:val="0"/>
        </w:rPr>
        <w:t xml:space="preserve">Omrani, Bijan. </w:t>
      </w:r>
      <w:r w:rsidRPr="0019274A">
        <w:rPr>
          <w:i/>
          <w:iCs/>
          <w:color w:val="000000" w:themeColor="text1"/>
          <w:kern w:val="0"/>
        </w:rPr>
        <w:t>Caesar's Footprints: A Cultural Excursion to Ancient France: Journeys through</w:t>
      </w:r>
    </w:p>
    <w:p w14:paraId="3A27C0FA" w14:textId="77777777" w:rsidR="003F2325" w:rsidRDefault="003F2325" w:rsidP="003F2325">
      <w:pPr>
        <w:autoSpaceDE w:val="0"/>
        <w:autoSpaceDN w:val="0"/>
        <w:adjustRightInd w:val="0"/>
        <w:rPr>
          <w:color w:val="000000" w:themeColor="text1"/>
          <w:kern w:val="0"/>
        </w:rPr>
      </w:pPr>
      <w:r w:rsidRPr="0019274A">
        <w:rPr>
          <w:i/>
          <w:iCs/>
          <w:color w:val="000000" w:themeColor="text1"/>
          <w:kern w:val="0"/>
        </w:rPr>
        <w:t>Roman Gaul.</w:t>
      </w:r>
      <w:r w:rsidRPr="0019274A">
        <w:rPr>
          <w:color w:val="000000" w:themeColor="text1"/>
          <w:kern w:val="0"/>
        </w:rPr>
        <w:t xml:space="preserve"> First Pegasus Books hardcover ed. New York: Pegasus Books, 2017.</w:t>
      </w:r>
    </w:p>
    <w:p w14:paraId="6A285262" w14:textId="77777777" w:rsidR="003F2325" w:rsidRDefault="003F2325" w:rsidP="003F2325">
      <w:pPr>
        <w:autoSpaceDE w:val="0"/>
        <w:autoSpaceDN w:val="0"/>
        <w:adjustRightInd w:val="0"/>
        <w:ind w:firstLine="0"/>
        <w:rPr>
          <w:color w:val="000000" w:themeColor="text1"/>
          <w:kern w:val="0"/>
        </w:rPr>
      </w:pPr>
    </w:p>
    <w:p w14:paraId="5813F74C" w14:textId="34309B61" w:rsidR="003F2325" w:rsidRDefault="003F2325" w:rsidP="003F2325">
      <w:pPr>
        <w:autoSpaceDE w:val="0"/>
        <w:autoSpaceDN w:val="0"/>
        <w:adjustRightInd w:val="0"/>
        <w:ind w:firstLine="0"/>
        <w:rPr>
          <w:b/>
          <w:bCs/>
          <w:color w:val="000000" w:themeColor="text1"/>
          <w:kern w:val="0"/>
        </w:rPr>
      </w:pPr>
      <w:r>
        <w:rPr>
          <w:b/>
          <w:bCs/>
          <w:color w:val="000000" w:themeColor="text1"/>
          <w:kern w:val="0"/>
        </w:rPr>
        <w:lastRenderedPageBreak/>
        <w:t>Notes:</w:t>
      </w:r>
    </w:p>
    <w:p w14:paraId="12F3635A" w14:textId="77777777" w:rsidR="00F1775C" w:rsidRDefault="00F1775C" w:rsidP="00F1775C">
      <w:r w:rsidRPr="00F1775C">
        <w:t>Omrani offers a travel narrative retracing Caesar's Gallic campaigns while examining the archaeological and cultural legacy of Roman occupation in modern France. Blending personal travelogue with historical analysis, the book surveys major Roman sites—Nîmes, Arles, Lyon, Orange—documenting how Roman urbanism physically transformed the Gallic landscape. While accessible and engagingly written, the work is aimed at general audiences rather than academic specialists, prioritizing vivid description over theoretical sophistication. For this paper, Omrani serves primarily as a source of descriptive material about specific monuments and their contemporary contexts, particularly useful for illustrating how Roman monumental architecture persists in the modern landscape. His discussions of aqueducts, amphitheaters, and triumphal arches provide concrete examples of the "monumental" architecture central to the paper's argument. However, the book's analytical limitations are significant. Omrani largely accepts traditional narratives of Roman "civilization" bringing order to "barbarous" Gaul, rarely questioning the imperial ideology embedded in these spatial transformations. His lack of engagement with critical theory means he cannot serve as a primary analytical source. The work's value lies instead in its detailed site descriptions and its inadvertent demonstration of how monumental Roman architecture continues to shape spatial imagination—the fact that these structures remain tourist destinations two millennia later testifies to their ideological effectiveness. Use Omrani for illustrative material and specific site details, but pair him with more critical sources for theoretical interpretation.</w:t>
      </w:r>
    </w:p>
    <w:p w14:paraId="453DBD78" w14:textId="77777777" w:rsidR="00F1775C" w:rsidRDefault="00F1775C" w:rsidP="00F1775C">
      <w:pPr>
        <w:ind w:firstLine="0"/>
      </w:pPr>
    </w:p>
    <w:p w14:paraId="7E3636E4" w14:textId="3A23E148" w:rsidR="00F1775C" w:rsidRPr="00F1775C" w:rsidRDefault="00F1775C" w:rsidP="00F1775C">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60A2B073" w14:textId="77777777" w:rsidR="00F1775C" w:rsidRDefault="00F1775C" w:rsidP="00F1775C">
      <w:pPr>
        <w:ind w:firstLine="0"/>
      </w:pPr>
    </w:p>
    <w:p w14:paraId="22230AE4" w14:textId="00E4B28E" w:rsidR="003F2325" w:rsidRPr="00F1775C" w:rsidRDefault="003F2325" w:rsidP="00F1775C">
      <w:pPr>
        <w:ind w:firstLine="0"/>
      </w:pPr>
      <w:r w:rsidRPr="0019274A">
        <w:rPr>
          <w:color w:val="000000" w:themeColor="text1"/>
        </w:rPr>
        <w:t>Parkins, Helen.</w:t>
      </w:r>
      <w:r w:rsidRPr="0019274A">
        <w:rPr>
          <w:rStyle w:val="apple-converted-space"/>
          <w:rFonts w:eastAsiaTheme="majorEastAsia"/>
          <w:color w:val="000000" w:themeColor="text1"/>
        </w:rPr>
        <w:t> </w:t>
      </w:r>
      <w:r w:rsidRPr="0019274A">
        <w:rPr>
          <w:i/>
          <w:iCs/>
          <w:color w:val="000000" w:themeColor="text1"/>
        </w:rPr>
        <w:t>Roman Urbanism: Beyond the Consumer City</w:t>
      </w:r>
      <w:r w:rsidRPr="0019274A">
        <w:rPr>
          <w:color w:val="000000" w:themeColor="text1"/>
        </w:rPr>
        <w:t>. London, UK: Routledge, 2011.</w:t>
      </w:r>
    </w:p>
    <w:p w14:paraId="523B3CDE" w14:textId="107792C6" w:rsidR="003F2325" w:rsidRPr="00F1775C" w:rsidRDefault="003F2325" w:rsidP="00F1775C">
      <w:pPr>
        <w:ind w:firstLine="0"/>
        <w:rPr>
          <w:b/>
          <w:bCs/>
        </w:rPr>
      </w:pPr>
      <w:r w:rsidRPr="00F1775C">
        <w:rPr>
          <w:b/>
          <w:bCs/>
        </w:rPr>
        <w:t>Notes:</w:t>
      </w:r>
    </w:p>
    <w:p w14:paraId="771BAA1E" w14:textId="10FDED99" w:rsidR="00F1775C" w:rsidRPr="00F1775C" w:rsidRDefault="00F1775C" w:rsidP="00F1775C">
      <w:r w:rsidRPr="00F1775C">
        <w:t xml:space="preserve">Parkins challenges the influential "consumer city" model of Roman urbanism, which characterizes ancient cities primarily as centers of elite consumption supported by agricultural surplus extraction. Through case studies examining production, trade, and economic complexity in Roman cities, she argues for a more nuanced understanding that recognizes urban centers as sites of diverse economic activities, social negotiations, and cultural production. The edited volume brings together archaeological and historical evidence demonstrating that Roman cities were not simply parasitic drains on rural hinterlands but complex economic and social systems with their own productive dynamics. For this paper, Parkins provides important correctives to overly simplistic models of Roman urban function, revealing cities as multifaceted spaces where various social groups negotiated power and identity. Her emphasis on economic and social diversity within urban spaces aligns well with </w:t>
      </w:r>
      <w:proofErr w:type="spellStart"/>
      <w:r w:rsidRPr="00F1775C">
        <w:t>Lefebvrian</w:t>
      </w:r>
      <w:proofErr w:type="spellEnd"/>
      <w:r w:rsidRPr="00F1775C">
        <w:t xml:space="preserve"> attention to how different social groups experience and contest the same physical spaces. The volume's focus on economic agency and spatial practice helps balance potentially overdetermined readings of Roman urbanism as purely top-down imperial imposition. However, Parkins' economic focus means she engages less directly with questions of monumentality and ideological spatial production central to this paper. The work is most valuable for establishing that Roman urban spaces were sites of contestation and multiple rationalities, preventing reductive readings of spatial production as unidirectional. Use Parkins to complicate and enrich the analysis, demonstrating that even as monumental architecture projected imperial power, urban spaces remained socially complex and never fully controlled by elite intentions.</w:t>
      </w:r>
    </w:p>
    <w:p w14:paraId="400D0C70" w14:textId="77777777" w:rsidR="00F1775C" w:rsidRPr="00F1775C" w:rsidRDefault="00F1775C" w:rsidP="00F1775C">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4FA2EBCB" w14:textId="77777777" w:rsidR="00F1775C" w:rsidRDefault="00F1775C" w:rsidP="00F1775C">
      <w:pPr>
        <w:ind w:firstLine="0"/>
      </w:pPr>
    </w:p>
    <w:p w14:paraId="4D94F5D1" w14:textId="77777777" w:rsidR="00F1775C" w:rsidRPr="003F2325" w:rsidRDefault="00F1775C" w:rsidP="003F2325">
      <w:pPr>
        <w:pStyle w:val="NormalWeb"/>
        <w:ind w:left="567" w:hanging="567"/>
        <w:rPr>
          <w:b/>
          <w:bCs/>
          <w:color w:val="000000" w:themeColor="text1"/>
        </w:rPr>
      </w:pPr>
    </w:p>
    <w:p w14:paraId="35659F07" w14:textId="77777777" w:rsidR="003F2325" w:rsidRPr="0019274A" w:rsidRDefault="003F2325" w:rsidP="003F2325">
      <w:pPr>
        <w:ind w:firstLine="0"/>
        <w:rPr>
          <w:color w:val="000000" w:themeColor="text1"/>
        </w:rPr>
      </w:pPr>
      <w:proofErr w:type="spellStart"/>
      <w:r w:rsidRPr="0019274A">
        <w:rPr>
          <w:color w:val="000000" w:themeColor="text1"/>
        </w:rPr>
        <w:t>Terrenato</w:t>
      </w:r>
      <w:proofErr w:type="spellEnd"/>
      <w:r w:rsidRPr="0019274A">
        <w:rPr>
          <w:color w:val="000000" w:themeColor="text1"/>
        </w:rPr>
        <w:t xml:space="preserve">, Nicola. "Romanization and the City: Creation, Transformations, and Failures in the </w:t>
      </w:r>
    </w:p>
    <w:p w14:paraId="16928CFD" w14:textId="77777777" w:rsidR="003F2325" w:rsidRDefault="003F2325" w:rsidP="003F2325">
      <w:pPr>
        <w:rPr>
          <w:rStyle w:val="apple-converted-space"/>
          <w:rFonts w:eastAsiaTheme="majorEastAsia"/>
          <w:color w:val="000000" w:themeColor="text1"/>
        </w:rPr>
      </w:pPr>
      <w:r w:rsidRPr="0019274A">
        <w:rPr>
          <w:color w:val="000000" w:themeColor="text1"/>
        </w:rPr>
        <w:t xml:space="preserve">Greek East and Latin West." </w:t>
      </w:r>
      <w:r w:rsidRPr="0019274A">
        <w:rPr>
          <w:i/>
          <w:iCs/>
          <w:color w:val="000000" w:themeColor="text1"/>
        </w:rPr>
        <w:t>Historical Archaeology</w:t>
      </w:r>
      <w:r w:rsidRPr="0019274A">
        <w:rPr>
          <w:color w:val="000000" w:themeColor="text1"/>
        </w:rPr>
        <w:t xml:space="preserve"> 36, no. 3 (2002): 44-58.</w:t>
      </w:r>
      <w:r w:rsidRPr="0019274A">
        <w:rPr>
          <w:rStyle w:val="apple-converted-space"/>
          <w:rFonts w:eastAsiaTheme="majorEastAsia"/>
          <w:color w:val="000000" w:themeColor="text1"/>
        </w:rPr>
        <w:t> </w:t>
      </w:r>
    </w:p>
    <w:p w14:paraId="5D7DA300" w14:textId="77777777" w:rsidR="003F2325" w:rsidRDefault="003F2325" w:rsidP="003F2325">
      <w:pPr>
        <w:ind w:firstLine="0"/>
        <w:rPr>
          <w:rStyle w:val="apple-converted-space"/>
          <w:rFonts w:eastAsiaTheme="majorEastAsia"/>
          <w:color w:val="000000" w:themeColor="text1"/>
        </w:rPr>
      </w:pPr>
    </w:p>
    <w:p w14:paraId="1DB65205" w14:textId="1F8241C4" w:rsidR="003F2325" w:rsidRDefault="003F2325" w:rsidP="003F2325">
      <w:pPr>
        <w:ind w:firstLine="0"/>
        <w:rPr>
          <w:rStyle w:val="apple-converted-space"/>
          <w:rFonts w:eastAsiaTheme="majorEastAsia"/>
          <w:b/>
          <w:bCs/>
          <w:color w:val="000000" w:themeColor="text1"/>
        </w:rPr>
      </w:pPr>
      <w:r>
        <w:rPr>
          <w:rStyle w:val="apple-converted-space"/>
          <w:rFonts w:eastAsiaTheme="majorEastAsia"/>
          <w:b/>
          <w:bCs/>
          <w:color w:val="000000" w:themeColor="text1"/>
        </w:rPr>
        <w:t>Notes:</w:t>
      </w:r>
    </w:p>
    <w:p w14:paraId="0BADA735" w14:textId="73A7BD73" w:rsidR="00F1775C" w:rsidRPr="00F1775C" w:rsidRDefault="00F1775C" w:rsidP="00F1775C">
      <w:proofErr w:type="spellStart"/>
      <w:r w:rsidRPr="00F1775C">
        <w:t>Terrenato's</w:t>
      </w:r>
      <w:proofErr w:type="spellEnd"/>
      <w:r w:rsidRPr="00F1775C">
        <w:t xml:space="preserve"> article critically examines the concept of "Romanization," long a dominant paradigm in Roman archaeology, and proposes a more nuanced understanding of cultural change in Roman-controlled territories. He argues that the spread of Roman urban forms and material culture cannot be adequately explained as simple cultural imperialism or one-way diffusion but must be understood as complex negotiations between Roman power and local agency. By comparing urban development in the Greek East (where sophisticated urban traditions predated Roman conquest) with the Latin West (where Rome more directly shaped urban emergence), </w:t>
      </w:r>
      <w:proofErr w:type="spellStart"/>
      <w:r w:rsidRPr="00F1775C">
        <w:t>Terrenato</w:t>
      </w:r>
      <w:proofErr w:type="spellEnd"/>
      <w:r w:rsidRPr="00F1775C">
        <w:t xml:space="preserve"> demonstrates that Roman urbanism was neither monolithic nor uniformly imposed. His emphasis on local variation, elite negotiation, and the strategic adoption of Roman forms for indigenous purposes provides essential nuance for understanding spatial production in the empire. For this paper, </w:t>
      </w:r>
      <w:proofErr w:type="spellStart"/>
      <w:r w:rsidRPr="00F1775C">
        <w:t>Terrenato</w:t>
      </w:r>
      <w:proofErr w:type="spellEnd"/>
      <w:r w:rsidRPr="00F1775C">
        <w:t xml:space="preserve"> serves as a crucial counterweight to overly deterministic readings of Roman spatial control. While </w:t>
      </w:r>
      <w:proofErr w:type="spellStart"/>
      <w:r w:rsidRPr="00F1775C">
        <w:t>Lefebvrian</w:t>
      </w:r>
      <w:proofErr w:type="spellEnd"/>
      <w:r w:rsidRPr="00F1775C">
        <w:t xml:space="preserve"> analysis emphasizes how dominant powers produce space to serve their interests, </w:t>
      </w:r>
      <w:proofErr w:type="spellStart"/>
      <w:r w:rsidRPr="00F1775C">
        <w:t>Terrenato</w:t>
      </w:r>
      <w:proofErr w:type="spellEnd"/>
      <w:r w:rsidRPr="00F1775C">
        <w:t xml:space="preserve"> reminds us that this production was contested, negotiated, and sometimes resisted. His work enables a more sophisticated argument: Roman monumental urbanism represented an attempt at ideological domination through space, but its success varied and required active participation (willing or coerced) from local populations. The article's limitation is its relatively brief treatment of complex processes—his arguments deserve book-length development. Nevertheless, </w:t>
      </w:r>
      <w:proofErr w:type="spellStart"/>
      <w:r w:rsidRPr="00F1775C">
        <w:t>Terrenato's</w:t>
      </w:r>
      <w:proofErr w:type="spellEnd"/>
      <w:r w:rsidRPr="00F1775C">
        <w:t xml:space="preserve"> insistence on agency and negotiation prevents the paper from flattening Roman spatial production into simple oppression narrative, instead revealing it as a dynamic, contested process.</w:t>
      </w:r>
    </w:p>
    <w:p w14:paraId="7C1C19A9" w14:textId="77777777" w:rsidR="00F1775C" w:rsidRPr="003F2325" w:rsidRDefault="00F1775C" w:rsidP="003F2325">
      <w:pPr>
        <w:ind w:firstLine="0"/>
        <w:rPr>
          <w:b/>
          <w:bCs/>
          <w:color w:val="000000" w:themeColor="text1"/>
        </w:rPr>
      </w:pPr>
    </w:p>
    <w:p w14:paraId="3468E711" w14:textId="77777777" w:rsidR="00F1775C" w:rsidRPr="00F1775C" w:rsidRDefault="00F1775C" w:rsidP="00F1775C">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6CA9427F" w14:textId="77777777" w:rsidR="00F1775C" w:rsidRPr="0019274A" w:rsidRDefault="00F1775C" w:rsidP="003F2325">
      <w:pPr>
        <w:autoSpaceDE w:val="0"/>
        <w:autoSpaceDN w:val="0"/>
        <w:adjustRightInd w:val="0"/>
        <w:ind w:firstLine="0"/>
        <w:rPr>
          <w:color w:val="000000" w:themeColor="text1"/>
          <w:kern w:val="0"/>
        </w:rPr>
      </w:pPr>
    </w:p>
    <w:p w14:paraId="5DE82042" w14:textId="77777777" w:rsidR="003F2325" w:rsidRPr="0019274A" w:rsidRDefault="003F2325" w:rsidP="003F2325">
      <w:pPr>
        <w:autoSpaceDE w:val="0"/>
        <w:autoSpaceDN w:val="0"/>
        <w:adjustRightInd w:val="0"/>
        <w:ind w:firstLine="0"/>
        <w:rPr>
          <w:i/>
          <w:iCs/>
          <w:color w:val="000000" w:themeColor="text1"/>
          <w:kern w:val="0"/>
        </w:rPr>
      </w:pPr>
      <w:r w:rsidRPr="0019274A">
        <w:rPr>
          <w:color w:val="000000" w:themeColor="text1"/>
          <w:kern w:val="0"/>
        </w:rPr>
        <w:t xml:space="preserve">Thomas, Michael L., Gretchen E. Meyers, and Ingrid E. M. Edlund-Berry. </w:t>
      </w:r>
      <w:r w:rsidRPr="0019274A">
        <w:rPr>
          <w:i/>
          <w:iCs/>
          <w:color w:val="000000" w:themeColor="text1"/>
          <w:kern w:val="0"/>
        </w:rPr>
        <w:t>Monumentality in</w:t>
      </w:r>
    </w:p>
    <w:p w14:paraId="2D2A5DAB" w14:textId="77777777" w:rsidR="003F2325" w:rsidRDefault="003F2325" w:rsidP="003F2325">
      <w:pPr>
        <w:autoSpaceDE w:val="0"/>
        <w:autoSpaceDN w:val="0"/>
        <w:adjustRightInd w:val="0"/>
        <w:ind w:left="720" w:firstLine="0"/>
        <w:rPr>
          <w:color w:val="000000" w:themeColor="text1"/>
          <w:kern w:val="0"/>
        </w:rPr>
      </w:pPr>
      <w:r w:rsidRPr="0019274A">
        <w:rPr>
          <w:i/>
          <w:iCs/>
          <w:color w:val="000000" w:themeColor="text1"/>
          <w:kern w:val="0"/>
        </w:rPr>
        <w:t>Etruscan and Early Roman Architecture: Ideology and Innovation</w:t>
      </w:r>
      <w:r w:rsidRPr="0019274A">
        <w:rPr>
          <w:color w:val="000000" w:themeColor="text1"/>
          <w:kern w:val="0"/>
        </w:rPr>
        <w:t>. Austin: University of Texas Press, 2012.</w:t>
      </w:r>
    </w:p>
    <w:p w14:paraId="1E7E0AA5" w14:textId="77777777" w:rsidR="003F2325" w:rsidRDefault="003F2325" w:rsidP="003F2325">
      <w:pPr>
        <w:autoSpaceDE w:val="0"/>
        <w:autoSpaceDN w:val="0"/>
        <w:adjustRightInd w:val="0"/>
        <w:ind w:firstLine="0"/>
        <w:rPr>
          <w:color w:val="000000" w:themeColor="text1"/>
          <w:kern w:val="0"/>
        </w:rPr>
      </w:pPr>
    </w:p>
    <w:p w14:paraId="7120638E" w14:textId="1FA54DB0" w:rsidR="003F2325" w:rsidRDefault="003F2325" w:rsidP="003F2325">
      <w:pPr>
        <w:autoSpaceDE w:val="0"/>
        <w:autoSpaceDN w:val="0"/>
        <w:adjustRightInd w:val="0"/>
        <w:ind w:firstLine="0"/>
        <w:rPr>
          <w:b/>
          <w:bCs/>
          <w:color w:val="000000" w:themeColor="text1"/>
          <w:kern w:val="0"/>
        </w:rPr>
      </w:pPr>
      <w:r>
        <w:rPr>
          <w:b/>
          <w:bCs/>
          <w:color w:val="000000" w:themeColor="text1"/>
          <w:kern w:val="0"/>
        </w:rPr>
        <w:t>Notes:</w:t>
      </w:r>
    </w:p>
    <w:p w14:paraId="28CEEDDA" w14:textId="7E4693B9" w:rsidR="00F1775C" w:rsidRPr="00F1775C" w:rsidRDefault="00F1775C" w:rsidP="00F1775C">
      <w:r w:rsidRPr="00F1775C">
        <w:t xml:space="preserve">This edited volume examines the emergence of monumental architecture in pre-Roman Italy and early Republican Rome, tracing how monumentality functioned as both technological achievement and ideological statement. The contributors analyze how Etruscan innovations in temple architecture, urban planning, and infrastructural engineering influenced and were transformed by Roman builders, demonstrating that Roman monumentality did not emerge ex nihilo but developed from earlier Italic traditions. The work is particularly valuable for its sustained attention to the relationship between architectural scale, material innovation, and political ideology—precisely the concerns central to this paper. Several chapters explicitly theorize monumentality as communicative medium, examining how massive scale, costly materials, and impressive engineering served to project power, define sacred space, and create </w:t>
      </w:r>
      <w:r w:rsidRPr="00F1775C">
        <w:lastRenderedPageBreak/>
        <w:t xml:space="preserve">civic identity. For this paper, Thomas et al. provide essential background on how Roman monumental traditions developed and what cultural work they performed. Their analysis of early Roman temples, city walls, and public buildings demonstrates that monumentality was not merely aesthetic preference but deliberate ideological strategy from Rome's earliest periods. The volume's archaeological focus provides concrete material evidence for abstract claims about spatial production. Its main limitation is temporal—focusing on archaic and republican periods, it provides less coverage of the imperial monumentality most relevant to </w:t>
      </w:r>
      <w:proofErr w:type="spellStart"/>
      <w:r w:rsidRPr="00F1775C">
        <w:t>Lefebvrian</w:t>
      </w:r>
      <w:proofErr w:type="spellEnd"/>
      <w:r w:rsidRPr="00F1775C">
        <w:t xml:space="preserve"> analysis of state-produced abstract space. However, this earlier focus is actually valuable for demonstrating that Roman monumentality predated empire, suggesting continuities in spatial ideology that intensified under imperial conditions. Use Thomas et al. to establish the deep roots of Roman monumental ideology and to show how material innovations (concrete, the arch) enabled new scales of ideological spatial production.</w:t>
      </w:r>
    </w:p>
    <w:p w14:paraId="4D582CDB" w14:textId="77777777" w:rsidR="003F2325" w:rsidRDefault="003F2325" w:rsidP="003F2325">
      <w:pPr>
        <w:autoSpaceDE w:val="0"/>
        <w:autoSpaceDN w:val="0"/>
        <w:adjustRightInd w:val="0"/>
        <w:ind w:firstLine="0"/>
        <w:rPr>
          <w:color w:val="000000" w:themeColor="text1"/>
          <w:kern w:val="0"/>
        </w:rPr>
      </w:pPr>
    </w:p>
    <w:p w14:paraId="0EA9B878" w14:textId="0DFCC798" w:rsidR="00F1775C" w:rsidRDefault="00F1775C" w:rsidP="003F2325">
      <w:pPr>
        <w:autoSpaceDE w:val="0"/>
        <w:autoSpaceDN w:val="0"/>
        <w:adjustRightInd w:val="0"/>
        <w:ind w:firstLine="0"/>
        <w:rPr>
          <w:color w:val="000000" w:themeColor="text1"/>
          <w:kern w:val="0"/>
        </w:rPr>
      </w:pPr>
      <w:r>
        <w:rPr>
          <w:color w:val="000000" w:themeColor="text1"/>
          <w:kern w:val="0"/>
        </w:rPr>
        <w:t>______________________________________________________________________________</w:t>
      </w:r>
    </w:p>
    <w:p w14:paraId="199C427C" w14:textId="77777777" w:rsidR="00F1775C" w:rsidRPr="0019274A" w:rsidRDefault="00F1775C" w:rsidP="003F2325">
      <w:pPr>
        <w:autoSpaceDE w:val="0"/>
        <w:autoSpaceDN w:val="0"/>
        <w:adjustRightInd w:val="0"/>
        <w:ind w:firstLine="0"/>
        <w:rPr>
          <w:color w:val="000000" w:themeColor="text1"/>
          <w:kern w:val="0"/>
        </w:rPr>
      </w:pPr>
    </w:p>
    <w:p w14:paraId="4ABDAF31" w14:textId="77777777" w:rsidR="003F2325" w:rsidRPr="0019274A" w:rsidRDefault="003F2325" w:rsidP="003F2325">
      <w:pPr>
        <w:autoSpaceDE w:val="0"/>
        <w:autoSpaceDN w:val="0"/>
        <w:adjustRightInd w:val="0"/>
        <w:ind w:firstLine="0"/>
        <w:rPr>
          <w:i/>
          <w:iCs/>
          <w:color w:val="000000" w:themeColor="text1"/>
          <w:kern w:val="0"/>
        </w:rPr>
      </w:pPr>
      <w:proofErr w:type="spellStart"/>
      <w:r w:rsidRPr="0019274A">
        <w:rPr>
          <w:color w:val="000000" w:themeColor="text1"/>
          <w:kern w:val="0"/>
        </w:rPr>
        <w:t>Yegül</w:t>
      </w:r>
      <w:proofErr w:type="spellEnd"/>
      <w:r w:rsidRPr="0019274A">
        <w:rPr>
          <w:color w:val="000000" w:themeColor="text1"/>
          <w:kern w:val="0"/>
        </w:rPr>
        <w:t xml:space="preserve">, Fikret and Diane Favro. </w:t>
      </w:r>
      <w:r w:rsidRPr="0019274A">
        <w:rPr>
          <w:i/>
          <w:iCs/>
          <w:color w:val="000000" w:themeColor="text1"/>
          <w:kern w:val="0"/>
        </w:rPr>
        <w:t>Roman Architecture and Urbanism: From the Origins to Late</w:t>
      </w:r>
    </w:p>
    <w:p w14:paraId="69F6B846" w14:textId="77777777" w:rsidR="003F2325" w:rsidRPr="0019274A" w:rsidRDefault="003F2325" w:rsidP="003F2325">
      <w:pPr>
        <w:autoSpaceDE w:val="0"/>
        <w:autoSpaceDN w:val="0"/>
        <w:adjustRightInd w:val="0"/>
        <w:rPr>
          <w:color w:val="000000" w:themeColor="text1"/>
          <w:kern w:val="0"/>
        </w:rPr>
      </w:pPr>
      <w:r w:rsidRPr="0019274A">
        <w:rPr>
          <w:i/>
          <w:iCs/>
          <w:color w:val="000000" w:themeColor="text1"/>
          <w:kern w:val="0"/>
        </w:rPr>
        <w:t>Antiquity</w:t>
      </w:r>
      <w:r w:rsidRPr="0019274A">
        <w:rPr>
          <w:color w:val="000000" w:themeColor="text1"/>
          <w:kern w:val="0"/>
        </w:rPr>
        <w:t>. Cambridge, United Kingdom: Cambridge University Press, 2019.</w:t>
      </w:r>
    </w:p>
    <w:p w14:paraId="39084E97" w14:textId="77777777" w:rsidR="003F2325" w:rsidRPr="0019274A" w:rsidRDefault="003F2325" w:rsidP="003F2325">
      <w:pPr>
        <w:rPr>
          <w:color w:val="000000" w:themeColor="text1"/>
          <w:sz w:val="20"/>
          <w:szCs w:val="20"/>
        </w:rPr>
      </w:pPr>
      <w:r w:rsidRPr="0019274A">
        <w:rPr>
          <w:color w:val="000000" w:themeColor="text1"/>
          <w:kern w:val="0"/>
        </w:rPr>
        <w:t>doi:10.1017/9780511979743.</w:t>
      </w:r>
    </w:p>
    <w:p w14:paraId="05360CEF" w14:textId="77777777" w:rsidR="003F2325" w:rsidRDefault="003F2325" w:rsidP="003F2325">
      <w:pPr>
        <w:ind w:firstLine="0"/>
      </w:pPr>
    </w:p>
    <w:p w14:paraId="1C5B3DD1" w14:textId="326345C2" w:rsidR="003F2325" w:rsidRDefault="003F2325" w:rsidP="003F2325">
      <w:pPr>
        <w:ind w:firstLine="0"/>
        <w:rPr>
          <w:b/>
          <w:bCs/>
        </w:rPr>
      </w:pPr>
      <w:r w:rsidRPr="003F2325">
        <w:rPr>
          <w:b/>
          <w:bCs/>
        </w:rPr>
        <w:t>Notes:</w:t>
      </w:r>
    </w:p>
    <w:p w14:paraId="21F73BD0" w14:textId="7A838ADF" w:rsidR="00F1775C" w:rsidRPr="00F1775C" w:rsidRDefault="00F1775C" w:rsidP="00F1775C">
      <w:proofErr w:type="spellStart"/>
      <w:r w:rsidRPr="00F1775C">
        <w:t>Yegül</w:t>
      </w:r>
      <w:proofErr w:type="spellEnd"/>
      <w:r w:rsidRPr="00F1775C">
        <w:t xml:space="preserve"> and Favro's comprehensive survey represents current scholarly consensus on Roman architectural and urban development across the empire's thousand-year span. The 933-page tome systematically examines building types (temples, basilicas, baths, theaters), construction technologies (concrete, vaulting, engineering), and urban planning principles, providing unparalleled breadth of coverage. The authors' repeated use of "monumental" (161 times) to describe Roman architecture—the observation that sparked this paper—reveals how deeply monumentality permeates scholarly understanding of Roman building. Their approach is primarily descriptive and art-historical, emphasizing technological innovation, aesthetic achievement, and functional typologies rather than critical spatial theory. For this paper, </w:t>
      </w:r>
      <w:proofErr w:type="spellStart"/>
      <w:r w:rsidRPr="00F1775C">
        <w:t>Yegül</w:t>
      </w:r>
      <w:proofErr w:type="spellEnd"/>
      <w:r w:rsidRPr="00F1775C">
        <w:t xml:space="preserve"> and Favro serve as the essential foundation of empirical evidence about Roman urbanism. Their detailed descriptions of forums, temples, basilicas, and infrastructure provide the raw material for </w:t>
      </w:r>
      <w:proofErr w:type="spellStart"/>
      <w:r w:rsidRPr="00F1775C">
        <w:t>Lefebvrian</w:t>
      </w:r>
      <w:proofErr w:type="spellEnd"/>
      <w:r w:rsidRPr="00F1775C">
        <w:t xml:space="preserve"> theoretical analysis. The book's comprehensiveness means it can support claims about empire-wide patterns in spatial production. However, the work's limitations are equally significant: its largely uncritical celebration of Roman achievement rarely interrogates the ideological work performed by monumental architecture or considers how spatial arrangements encoded and enforced power relations. This makes it a perfect foil—by taking </w:t>
      </w:r>
      <w:proofErr w:type="spellStart"/>
      <w:r w:rsidRPr="00F1775C">
        <w:t>Yegül</w:t>
      </w:r>
      <w:proofErr w:type="spellEnd"/>
      <w:r w:rsidRPr="00F1775C">
        <w:t xml:space="preserve"> and Favro's extensive evidence and reinterpreting it through Lefebvre, the paper can demonstrate how theoretical frameworks transform our understanding of familiar material. Their emphasis on monumentality as defining feature of Roman architecture becomes, under </w:t>
      </w:r>
      <w:proofErr w:type="spellStart"/>
      <w:r w:rsidRPr="00F1775C">
        <w:t>Lefebvrian</w:t>
      </w:r>
      <w:proofErr w:type="spellEnd"/>
      <w:r w:rsidRPr="00F1775C">
        <w:t xml:space="preserve"> analysis, evidence of systematic spatial production serving imperial ideology.</w:t>
      </w:r>
    </w:p>
    <w:p w14:paraId="02C5D193" w14:textId="77777777" w:rsidR="003F2325" w:rsidRDefault="003F2325" w:rsidP="003F2325">
      <w:pPr>
        <w:ind w:firstLine="0"/>
        <w:rPr>
          <w:b/>
          <w:bCs/>
        </w:rPr>
      </w:pPr>
    </w:p>
    <w:p w14:paraId="66924B08" w14:textId="47D82F72" w:rsidR="003F2325" w:rsidRDefault="003F2325" w:rsidP="003F2325">
      <w:pPr>
        <w:ind w:firstLine="0"/>
        <w:rPr>
          <w:b/>
          <w:bCs/>
          <w:sz w:val="28"/>
          <w:szCs w:val="28"/>
        </w:rPr>
      </w:pPr>
      <w:r w:rsidRPr="00FE72BD">
        <w:rPr>
          <w:b/>
          <w:bCs/>
          <w:sz w:val="28"/>
          <w:szCs w:val="28"/>
        </w:rPr>
        <w:t>Primary Sources:</w:t>
      </w:r>
    </w:p>
    <w:p w14:paraId="7F54B2DC" w14:textId="379D3105" w:rsidR="00313C81" w:rsidRPr="00313C81" w:rsidRDefault="00313C81" w:rsidP="00313C81">
      <w:pPr>
        <w:ind w:firstLine="0"/>
        <w:jc w:val="center"/>
        <w:rPr>
          <w:color w:val="EE0000"/>
        </w:rPr>
      </w:pPr>
      <w:r w:rsidRPr="00313C81">
        <w:rPr>
          <w:color w:val="EE0000"/>
        </w:rPr>
        <w:t>Declaration of AI Use: Claude.ai was used to find these resources</w:t>
      </w:r>
      <w:r>
        <w:rPr>
          <w:color w:val="EE0000"/>
        </w:rPr>
        <w:t xml:space="preserve"> and clarify which editions of these texts would be most beneficial to use in this academic setting!</w:t>
      </w:r>
    </w:p>
    <w:p w14:paraId="2C466690" w14:textId="311DCB84" w:rsidR="00FE72BD" w:rsidRDefault="00FE72BD" w:rsidP="00FE72BD">
      <w:pPr>
        <w:pStyle w:val="font-claude-response-body"/>
        <w:rPr>
          <w:color w:val="000000"/>
        </w:rPr>
      </w:pPr>
      <w:r>
        <w:rPr>
          <w:color w:val="000000"/>
        </w:rPr>
        <w:lastRenderedPageBreak/>
        <w:t>Augustus.</w:t>
      </w:r>
      <w:r>
        <w:rPr>
          <w:rStyle w:val="apple-converted-space"/>
          <w:rFonts w:eastAsiaTheme="majorEastAsia"/>
          <w:color w:val="000000"/>
        </w:rPr>
        <w:t> </w:t>
      </w:r>
      <w:r>
        <w:rPr>
          <w:rStyle w:val="Emphasis"/>
          <w:rFonts w:eastAsiaTheme="majorEastAsia"/>
          <w:color w:val="000000"/>
        </w:rPr>
        <w:t>Res Gestae Divi Augusti</w:t>
      </w:r>
      <w:r>
        <w:rPr>
          <w:color w:val="000000"/>
        </w:rPr>
        <w:t xml:space="preserve">. Translated by Frederick W. Shipley. Loeb Classical Library </w:t>
      </w:r>
      <w:r>
        <w:rPr>
          <w:color w:val="000000"/>
        </w:rPr>
        <w:tab/>
      </w:r>
      <w:r>
        <w:rPr>
          <w:color w:val="000000"/>
        </w:rPr>
        <w:t>152. Cambridge, MA: Harvard University Press, 1924.</w:t>
      </w:r>
    </w:p>
    <w:p w14:paraId="72E6BEB4" w14:textId="2920AC65" w:rsidR="00FE72BD" w:rsidRPr="00FE72BD" w:rsidRDefault="00F1775C" w:rsidP="00FE72BD">
      <w:pPr>
        <w:pStyle w:val="font-claude-response-body"/>
      </w:pPr>
      <w:r>
        <w:rPr>
          <w:b/>
          <w:bCs/>
          <w:color w:val="000000"/>
        </w:rPr>
        <w:t xml:space="preserve">Quick </w:t>
      </w:r>
      <w:r w:rsidR="00FE72BD">
        <w:rPr>
          <w:b/>
          <w:bCs/>
          <w:color w:val="000000"/>
        </w:rPr>
        <w:t xml:space="preserve">Notes: </w:t>
      </w:r>
      <w:r w:rsidR="00FE72BD" w:rsidRPr="00FE72BD">
        <w:rPr>
          <w:rFonts w:eastAsiaTheme="majorEastAsia"/>
        </w:rPr>
        <w:t>Deeds of the Divine Augustus</w:t>
      </w:r>
      <w:r w:rsidR="00FE72BD">
        <w:rPr>
          <w:rFonts w:eastAsiaTheme="majorEastAsia"/>
        </w:rPr>
        <w:t>.</w:t>
      </w:r>
      <w:r w:rsidR="00FE72BD" w:rsidRPr="00FE72BD">
        <w:rPr>
          <w:rFonts w:eastAsiaTheme="majorEastAsia"/>
        </w:rPr>
        <w:t> </w:t>
      </w:r>
      <w:r w:rsidR="00FE72BD" w:rsidRPr="00FE72BD">
        <w:t>Augustus's own account of his building program—propaganda, yes, but that's exactly the point for your argument about constructed ideology.</w:t>
      </w:r>
    </w:p>
    <w:p w14:paraId="23D96BD2" w14:textId="5F156536" w:rsidR="00FE72BD" w:rsidRDefault="00FE72BD" w:rsidP="00FE72BD">
      <w:pPr>
        <w:pStyle w:val="font-claude-response-body"/>
        <w:rPr>
          <w:color w:val="000000"/>
        </w:rPr>
      </w:pPr>
      <w:r>
        <w:rPr>
          <w:color w:val="000000"/>
        </w:rPr>
        <w:t>Frontinus, Sextus Julius.</w:t>
      </w:r>
      <w:r>
        <w:rPr>
          <w:rStyle w:val="apple-converted-space"/>
          <w:rFonts w:eastAsiaTheme="majorEastAsia"/>
          <w:color w:val="000000"/>
        </w:rPr>
        <w:t> </w:t>
      </w:r>
      <w:r>
        <w:rPr>
          <w:rStyle w:val="Emphasis"/>
          <w:rFonts w:eastAsiaTheme="majorEastAsia"/>
          <w:color w:val="000000"/>
        </w:rPr>
        <w:t xml:space="preserve">The Aqueducts of Rome (De </w:t>
      </w:r>
      <w:proofErr w:type="spellStart"/>
      <w:r>
        <w:rPr>
          <w:rStyle w:val="Emphasis"/>
          <w:rFonts w:eastAsiaTheme="majorEastAsia"/>
          <w:color w:val="000000"/>
        </w:rPr>
        <w:t>aquaeductu</w:t>
      </w:r>
      <w:proofErr w:type="spellEnd"/>
      <w:r>
        <w:rPr>
          <w:rStyle w:val="Emphasis"/>
          <w:rFonts w:eastAsiaTheme="majorEastAsia"/>
          <w:color w:val="000000"/>
        </w:rPr>
        <w:t>)</w:t>
      </w:r>
      <w:r>
        <w:rPr>
          <w:color w:val="000000"/>
        </w:rPr>
        <w:t xml:space="preserve">. Translated by Charles E. </w:t>
      </w:r>
      <w:r>
        <w:rPr>
          <w:color w:val="000000"/>
        </w:rPr>
        <w:tab/>
      </w:r>
      <w:r>
        <w:rPr>
          <w:color w:val="000000"/>
        </w:rPr>
        <w:t>Bennett. Loeb Classical Library 174. Cambridge, MA: Harvard University Press, 1925.</w:t>
      </w:r>
    </w:p>
    <w:p w14:paraId="68F104CE" w14:textId="1D75E2B4" w:rsidR="00FE72BD" w:rsidRPr="00FE72BD" w:rsidRDefault="00F1775C" w:rsidP="00FE72BD">
      <w:pPr>
        <w:pStyle w:val="font-claude-response-body"/>
      </w:pPr>
      <w:r>
        <w:rPr>
          <w:b/>
          <w:bCs/>
          <w:color w:val="000000"/>
        </w:rPr>
        <w:t xml:space="preserve">Quick </w:t>
      </w:r>
      <w:r w:rsidR="00FE72BD">
        <w:rPr>
          <w:b/>
          <w:bCs/>
          <w:color w:val="000000"/>
        </w:rPr>
        <w:t xml:space="preserve">Notes: </w:t>
      </w:r>
      <w:r w:rsidR="00FE72BD" w:rsidRPr="00FE72BD">
        <w:t>Shows Roman pride in infrastructure and how they viewed engineering achievements as expressions of superiority and civilization.</w:t>
      </w:r>
    </w:p>
    <w:p w14:paraId="670A1208" w14:textId="4F3ABAFC" w:rsidR="00FE72BD" w:rsidRDefault="00FE72BD" w:rsidP="00FE72BD">
      <w:pPr>
        <w:pStyle w:val="font-claude-response-body"/>
        <w:rPr>
          <w:color w:val="000000"/>
        </w:rPr>
      </w:pPr>
      <w:r>
        <w:rPr>
          <w:color w:val="000000"/>
        </w:rPr>
        <w:t>Pliny the Elder.</w:t>
      </w:r>
      <w:r>
        <w:rPr>
          <w:rStyle w:val="apple-converted-space"/>
          <w:rFonts w:eastAsiaTheme="majorEastAsia"/>
          <w:color w:val="000000"/>
        </w:rPr>
        <w:t> </w:t>
      </w:r>
      <w:r>
        <w:rPr>
          <w:rStyle w:val="Emphasis"/>
          <w:rFonts w:eastAsiaTheme="majorEastAsia"/>
          <w:color w:val="000000"/>
        </w:rPr>
        <w:t>Natural History</w:t>
      </w:r>
      <w:r>
        <w:rPr>
          <w:color w:val="000000"/>
        </w:rPr>
        <w:t xml:space="preserve">. 10 vols. Translated by H. Rackham, W. H. S. Jones, and D. E. </w:t>
      </w:r>
      <w:r>
        <w:rPr>
          <w:color w:val="000000"/>
        </w:rPr>
        <w:tab/>
      </w:r>
      <w:r>
        <w:rPr>
          <w:color w:val="000000"/>
        </w:rPr>
        <w:t>Eichholz. Loeb Classical Library. Cambridge, MA: Harvard University Press, 1938</w:t>
      </w:r>
      <w:r>
        <w:rPr>
          <w:color w:val="000000"/>
        </w:rPr>
        <w:t>-63.</w:t>
      </w:r>
    </w:p>
    <w:p w14:paraId="18DDEE2A" w14:textId="165B837F" w:rsidR="00FE72BD" w:rsidRPr="00FE72BD" w:rsidRDefault="00F1775C" w:rsidP="00FE72BD">
      <w:pPr>
        <w:pStyle w:val="font-claude-response-body"/>
      </w:pPr>
      <w:r>
        <w:rPr>
          <w:b/>
          <w:bCs/>
          <w:color w:val="000000"/>
        </w:rPr>
        <w:t xml:space="preserve">Quick </w:t>
      </w:r>
      <w:r w:rsidR="00FE72BD">
        <w:rPr>
          <w:b/>
          <w:bCs/>
          <w:color w:val="000000"/>
        </w:rPr>
        <w:t>Notes:</w:t>
      </w:r>
      <w:r w:rsidR="00FE72BD">
        <w:rPr>
          <w:color w:val="000000"/>
        </w:rPr>
        <w:t xml:space="preserve"> </w:t>
      </w:r>
      <w:r w:rsidR="00FE72BD" w:rsidRPr="00FE72BD">
        <w:t xml:space="preserve">Focusing on </w:t>
      </w:r>
      <w:r w:rsidR="00FE72BD" w:rsidRPr="00FE72BD">
        <w:rPr>
          <w:rFonts w:eastAsiaTheme="majorEastAsia"/>
        </w:rPr>
        <w:t>Books 33-36</w:t>
      </w:r>
      <w:r w:rsidR="00FE72BD" w:rsidRPr="00FE72BD">
        <w:rPr>
          <w:rFonts w:eastAsiaTheme="majorEastAsia"/>
        </w:rPr>
        <w:t>.</w:t>
      </w:r>
      <w:r w:rsidR="00FE72BD" w:rsidRPr="00FE72BD">
        <w:rPr>
          <w:rFonts w:eastAsiaTheme="majorEastAsia"/>
        </w:rPr>
        <w:t> </w:t>
      </w:r>
      <w:r w:rsidR="00FE72BD" w:rsidRPr="00FE72BD">
        <w:t>Contains extensive passages on Roman building materials, including concrete, marble quarrying, and monumental construction. He also discusses the ideological significance of public works.</w:t>
      </w:r>
    </w:p>
    <w:p w14:paraId="0862A656" w14:textId="1B2435C2" w:rsidR="00FE72BD" w:rsidRDefault="00FE72BD" w:rsidP="00FE72BD">
      <w:pPr>
        <w:pStyle w:val="font-claude-response-body"/>
        <w:rPr>
          <w:color w:val="000000"/>
        </w:rPr>
      </w:pPr>
      <w:r>
        <w:rPr>
          <w:color w:val="000000"/>
        </w:rPr>
        <w:t>Suetonius.</w:t>
      </w:r>
      <w:r>
        <w:rPr>
          <w:rStyle w:val="apple-converted-space"/>
          <w:rFonts w:eastAsiaTheme="majorEastAsia"/>
          <w:color w:val="000000"/>
        </w:rPr>
        <w:t> </w:t>
      </w:r>
      <w:r>
        <w:rPr>
          <w:rStyle w:val="Emphasis"/>
          <w:rFonts w:eastAsiaTheme="majorEastAsia"/>
          <w:color w:val="000000"/>
        </w:rPr>
        <w:t>Lives of the Caesars</w:t>
      </w:r>
      <w:r>
        <w:rPr>
          <w:color w:val="000000"/>
        </w:rPr>
        <w:t xml:space="preserve">. Translated by J. C. Rolfe. Revised by Donna W. Hurley. 2 vols. </w:t>
      </w:r>
      <w:r>
        <w:rPr>
          <w:color w:val="000000"/>
        </w:rPr>
        <w:tab/>
      </w:r>
      <w:r>
        <w:rPr>
          <w:color w:val="000000"/>
        </w:rPr>
        <w:t>Loeb Classical Library. Cambridge, MA: Harvard University Press, 1914.</w:t>
      </w:r>
    </w:p>
    <w:p w14:paraId="7B66048A" w14:textId="6D583CF8" w:rsidR="00FE72BD" w:rsidRPr="00FE72BD" w:rsidRDefault="00F1775C" w:rsidP="00FE72BD">
      <w:pPr>
        <w:pStyle w:val="font-claude-response-body"/>
      </w:pPr>
      <w:r>
        <w:rPr>
          <w:b/>
          <w:bCs/>
          <w:color w:val="000000"/>
        </w:rPr>
        <w:t xml:space="preserve">Quick </w:t>
      </w:r>
      <w:r w:rsidR="00FE72BD">
        <w:rPr>
          <w:b/>
          <w:bCs/>
          <w:color w:val="000000"/>
        </w:rPr>
        <w:t>Notes:</w:t>
      </w:r>
      <w:r w:rsidR="00FE72BD">
        <w:rPr>
          <w:color w:val="000000"/>
        </w:rPr>
        <w:t xml:space="preserve"> </w:t>
      </w:r>
      <w:r w:rsidR="00FE72BD" w:rsidRPr="00FE72BD">
        <w:t>Numerous passages about emperors' building programs and how they used monumental architecture to project power (especially Augustus, Nero, and Vespasian).</w:t>
      </w:r>
    </w:p>
    <w:p w14:paraId="4B93D429" w14:textId="572F0FA5" w:rsidR="00FE72BD" w:rsidRDefault="00FE72BD" w:rsidP="00FE72BD">
      <w:pPr>
        <w:pStyle w:val="font-claude-response-body"/>
        <w:rPr>
          <w:color w:val="000000"/>
        </w:rPr>
      </w:pPr>
      <w:r>
        <w:rPr>
          <w:color w:val="000000"/>
        </w:rPr>
        <w:t>Tacitus, Cornelius.</w:t>
      </w:r>
      <w:r>
        <w:rPr>
          <w:rStyle w:val="apple-converted-space"/>
          <w:rFonts w:eastAsiaTheme="majorEastAsia"/>
          <w:color w:val="000000"/>
        </w:rPr>
        <w:t> </w:t>
      </w:r>
      <w:r>
        <w:rPr>
          <w:rStyle w:val="Emphasis"/>
          <w:rFonts w:eastAsiaTheme="majorEastAsia"/>
          <w:color w:val="000000"/>
        </w:rPr>
        <w:t>Agricola</w:t>
      </w:r>
      <w:r>
        <w:rPr>
          <w:color w:val="000000"/>
        </w:rPr>
        <w:t xml:space="preserve">. Translated by M. Hutton. Revised by R. M. Ogilvie. Loeb Classical </w:t>
      </w:r>
      <w:r>
        <w:rPr>
          <w:color w:val="000000"/>
        </w:rPr>
        <w:tab/>
      </w:r>
      <w:r>
        <w:rPr>
          <w:color w:val="000000"/>
        </w:rPr>
        <w:t>Library 35. Cambridge, MA: Harvard University Press, 1970.</w:t>
      </w:r>
    </w:p>
    <w:p w14:paraId="4392E4E1" w14:textId="5E87A8D1" w:rsidR="00FE72BD" w:rsidRPr="00FE72BD" w:rsidRDefault="00F1775C" w:rsidP="00FE72BD">
      <w:pPr>
        <w:pStyle w:val="font-claude-response-body"/>
      </w:pPr>
      <w:r>
        <w:rPr>
          <w:b/>
          <w:bCs/>
          <w:color w:val="000000"/>
        </w:rPr>
        <w:t xml:space="preserve">Quick </w:t>
      </w:r>
      <w:r w:rsidR="00FE72BD">
        <w:rPr>
          <w:b/>
          <w:bCs/>
          <w:color w:val="000000"/>
        </w:rPr>
        <w:t xml:space="preserve">Notes: </w:t>
      </w:r>
      <w:r w:rsidR="00FE72BD" w:rsidRPr="00FE72BD">
        <w:t>Particularly</w:t>
      </w:r>
      <w:r w:rsidR="00FE72BD" w:rsidRPr="00FE72BD">
        <w:rPr>
          <w:rFonts w:eastAsiaTheme="majorEastAsia"/>
        </w:rPr>
        <w:t> Agricola </w:t>
      </w:r>
      <w:r w:rsidR="00FE72BD" w:rsidRPr="00FE72BD">
        <w:t>(</w:t>
      </w:r>
      <w:r w:rsidR="00FE72BD" w:rsidRPr="00FE72BD">
        <w:t>C</w:t>
      </w:r>
      <w:r w:rsidR="00FE72BD" w:rsidRPr="00FE72BD">
        <w:t xml:space="preserve">hapters 19-21) where he explicitly discusses Romanization through urbanization: "temples, forums, and houses" as tools of conquest. </w:t>
      </w:r>
      <w:r w:rsidR="00FE72BD" w:rsidRPr="00FE72BD">
        <w:t>Directly</w:t>
      </w:r>
      <w:r w:rsidR="00FE72BD" w:rsidRPr="00FE72BD">
        <w:t xml:space="preserve"> supports </w:t>
      </w:r>
      <w:r w:rsidR="00FE72BD" w:rsidRPr="00FE72BD">
        <w:t>the</w:t>
      </w:r>
      <w:r w:rsidR="00FE72BD" w:rsidRPr="00FE72BD">
        <w:t xml:space="preserve"> argument about spatial imperialism.</w:t>
      </w:r>
    </w:p>
    <w:p w14:paraId="674D8F81" w14:textId="6DD721C4" w:rsidR="00FE72BD" w:rsidRDefault="00FE72BD" w:rsidP="00FE72BD">
      <w:pPr>
        <w:pStyle w:val="font-claude-response-body"/>
        <w:rPr>
          <w:color w:val="000000"/>
        </w:rPr>
      </w:pPr>
      <w:r>
        <w:rPr>
          <w:color w:val="000000"/>
        </w:rPr>
        <w:t>Vitruvius.</w:t>
      </w:r>
      <w:r>
        <w:rPr>
          <w:rStyle w:val="apple-converted-space"/>
          <w:rFonts w:eastAsiaTheme="majorEastAsia"/>
          <w:color w:val="000000"/>
        </w:rPr>
        <w:t> </w:t>
      </w:r>
      <w:r>
        <w:rPr>
          <w:rStyle w:val="Emphasis"/>
          <w:rFonts w:eastAsiaTheme="majorEastAsia"/>
          <w:color w:val="000000"/>
        </w:rPr>
        <w:t xml:space="preserve">On Architecture (De </w:t>
      </w:r>
      <w:proofErr w:type="spellStart"/>
      <w:r>
        <w:rPr>
          <w:rStyle w:val="Emphasis"/>
          <w:rFonts w:eastAsiaTheme="majorEastAsia"/>
          <w:color w:val="000000"/>
        </w:rPr>
        <w:t>architectura</w:t>
      </w:r>
      <w:proofErr w:type="spellEnd"/>
      <w:r>
        <w:rPr>
          <w:rStyle w:val="Emphasis"/>
          <w:rFonts w:eastAsiaTheme="majorEastAsia"/>
          <w:color w:val="000000"/>
        </w:rPr>
        <w:t>)</w:t>
      </w:r>
      <w:r>
        <w:rPr>
          <w:color w:val="000000"/>
        </w:rPr>
        <w:t xml:space="preserve">. Translated by Frank Granger. 2 vols. Loeb </w:t>
      </w:r>
      <w:r>
        <w:rPr>
          <w:color w:val="000000"/>
        </w:rPr>
        <w:tab/>
      </w:r>
      <w:r>
        <w:rPr>
          <w:color w:val="000000"/>
        </w:rPr>
        <w:t>Classical Library. Cambridge, MA: Harvard University Press, 1931–1934.</w:t>
      </w:r>
    </w:p>
    <w:p w14:paraId="3BA1BE34" w14:textId="5984F117" w:rsidR="00FE72BD" w:rsidRPr="00FE72BD" w:rsidRDefault="00F1775C" w:rsidP="00FE72BD">
      <w:pPr>
        <w:pStyle w:val="font-claude-response-body"/>
      </w:pPr>
      <w:r>
        <w:rPr>
          <w:b/>
          <w:bCs/>
          <w:color w:val="000000"/>
        </w:rPr>
        <w:t xml:space="preserve">Quick </w:t>
      </w:r>
      <w:r w:rsidR="00FE72BD">
        <w:rPr>
          <w:b/>
          <w:bCs/>
          <w:color w:val="000000"/>
        </w:rPr>
        <w:t xml:space="preserve">Notes: </w:t>
      </w:r>
      <w:r w:rsidR="00FE72BD" w:rsidRPr="00FE72BD">
        <w:t>This is THE foundational text on Roman architecture and urban planning. Vitruvius discusses proportion, monumentality, public buildings, and the relationship between architecture and civic identity. Perfect for understanding Roman intentionality in spatial design.</w:t>
      </w:r>
    </w:p>
    <w:p w14:paraId="0F967477" w14:textId="77777777" w:rsidR="00FE72BD" w:rsidRPr="003F2325" w:rsidRDefault="00FE72BD" w:rsidP="003F2325">
      <w:pPr>
        <w:ind w:firstLine="0"/>
      </w:pPr>
    </w:p>
    <w:sectPr w:rsidR="00FE72BD" w:rsidRPr="003F2325" w:rsidSect="0067725D">
      <w:headerReference w:type="default" r:id="rId7"/>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C0668" w14:textId="77777777" w:rsidR="004F12A6" w:rsidRDefault="004F12A6" w:rsidP="00797AF5">
      <w:r>
        <w:separator/>
      </w:r>
    </w:p>
  </w:endnote>
  <w:endnote w:type="continuationSeparator" w:id="0">
    <w:p w14:paraId="1EB93455" w14:textId="77777777" w:rsidR="004F12A6" w:rsidRDefault="004F12A6" w:rsidP="00797A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DF22D" w14:textId="77777777" w:rsidR="004F12A6" w:rsidRDefault="004F12A6" w:rsidP="00797AF5">
      <w:r>
        <w:separator/>
      </w:r>
    </w:p>
  </w:footnote>
  <w:footnote w:type="continuationSeparator" w:id="0">
    <w:p w14:paraId="1CE9A4A1" w14:textId="77777777" w:rsidR="004F12A6" w:rsidRDefault="004F12A6" w:rsidP="00797A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1BC5EE" w14:textId="578F3786" w:rsidR="00797AF5" w:rsidRDefault="00797AF5" w:rsidP="00797AF5">
    <w:pPr>
      <w:pStyle w:val="Header"/>
      <w:ind w:firstLine="0"/>
      <w:jc w:val="both"/>
    </w:pPr>
    <w:r>
      <w:t xml:space="preserve">HPAH 7011 Fall 2025                </w:t>
    </w:r>
    <w:r w:rsidR="006562C4">
      <w:t>Annotated Bibliography &amp; Abstract</w:t>
    </w:r>
    <w:r>
      <w:t xml:space="preserve">    </w:t>
    </w:r>
    <w:r>
      <w:tab/>
      <w:t>Jolie Voss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226E8"/>
    <w:multiLevelType w:val="multilevel"/>
    <w:tmpl w:val="7C74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5208F8"/>
    <w:multiLevelType w:val="hybridMultilevel"/>
    <w:tmpl w:val="602CD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2B3ACF"/>
    <w:multiLevelType w:val="multilevel"/>
    <w:tmpl w:val="A2E6B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1293699">
    <w:abstractNumId w:val="2"/>
  </w:num>
  <w:num w:numId="2" w16cid:durableId="1965574656">
    <w:abstractNumId w:val="0"/>
  </w:num>
  <w:num w:numId="3" w16cid:durableId="1898587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AF5"/>
    <w:rsid w:val="0005669D"/>
    <w:rsid w:val="00116E9E"/>
    <w:rsid w:val="00130281"/>
    <w:rsid w:val="00307484"/>
    <w:rsid w:val="00313C81"/>
    <w:rsid w:val="003B4DAB"/>
    <w:rsid w:val="003F2325"/>
    <w:rsid w:val="004476EB"/>
    <w:rsid w:val="00476A84"/>
    <w:rsid w:val="004B329A"/>
    <w:rsid w:val="004F12A6"/>
    <w:rsid w:val="006562C4"/>
    <w:rsid w:val="00664FCA"/>
    <w:rsid w:val="0067725D"/>
    <w:rsid w:val="006C5A57"/>
    <w:rsid w:val="00797AF5"/>
    <w:rsid w:val="007C136A"/>
    <w:rsid w:val="00846F8A"/>
    <w:rsid w:val="00865217"/>
    <w:rsid w:val="00876393"/>
    <w:rsid w:val="008F0288"/>
    <w:rsid w:val="009737E0"/>
    <w:rsid w:val="00BA54EA"/>
    <w:rsid w:val="00BA7177"/>
    <w:rsid w:val="00C24888"/>
    <w:rsid w:val="00C53524"/>
    <w:rsid w:val="00CF7EB3"/>
    <w:rsid w:val="00D71316"/>
    <w:rsid w:val="00DD0A69"/>
    <w:rsid w:val="00E05EEE"/>
    <w:rsid w:val="00E22338"/>
    <w:rsid w:val="00F1775C"/>
    <w:rsid w:val="00FA6069"/>
    <w:rsid w:val="00FE72BD"/>
    <w:rsid w:val="00FF4A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1506453"/>
  <w15:chartTrackingRefBased/>
  <w15:docId w15:val="{5AAAB186-C073-7849-A45E-0B78747F9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A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AF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AF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97AF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97AF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97AF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97AF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97AF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A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AF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AF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97AF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97AF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97AF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97AF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97AF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97A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AF5"/>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AF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97A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7AF5"/>
    <w:rPr>
      <w:i/>
      <w:iCs/>
      <w:color w:val="404040" w:themeColor="text1" w:themeTint="BF"/>
    </w:rPr>
  </w:style>
  <w:style w:type="paragraph" w:styleId="ListParagraph">
    <w:name w:val="List Paragraph"/>
    <w:basedOn w:val="Normal"/>
    <w:uiPriority w:val="34"/>
    <w:qFormat/>
    <w:rsid w:val="00797AF5"/>
    <w:pPr>
      <w:ind w:left="720"/>
      <w:contextualSpacing/>
    </w:pPr>
  </w:style>
  <w:style w:type="character" w:styleId="IntenseEmphasis">
    <w:name w:val="Intense Emphasis"/>
    <w:basedOn w:val="DefaultParagraphFont"/>
    <w:uiPriority w:val="21"/>
    <w:qFormat/>
    <w:rsid w:val="00797AF5"/>
    <w:rPr>
      <w:i/>
      <w:iCs/>
      <w:color w:val="0F4761" w:themeColor="accent1" w:themeShade="BF"/>
    </w:rPr>
  </w:style>
  <w:style w:type="paragraph" w:styleId="IntenseQuote">
    <w:name w:val="Intense Quote"/>
    <w:basedOn w:val="Normal"/>
    <w:next w:val="Normal"/>
    <w:link w:val="IntenseQuoteChar"/>
    <w:uiPriority w:val="30"/>
    <w:qFormat/>
    <w:rsid w:val="00797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AF5"/>
    <w:rPr>
      <w:i/>
      <w:iCs/>
      <w:color w:val="0F4761" w:themeColor="accent1" w:themeShade="BF"/>
    </w:rPr>
  </w:style>
  <w:style w:type="character" w:styleId="IntenseReference">
    <w:name w:val="Intense Reference"/>
    <w:basedOn w:val="DefaultParagraphFont"/>
    <w:uiPriority w:val="32"/>
    <w:qFormat/>
    <w:rsid w:val="00797AF5"/>
    <w:rPr>
      <w:b/>
      <w:bCs/>
      <w:smallCaps/>
      <w:color w:val="0F4761" w:themeColor="accent1" w:themeShade="BF"/>
      <w:spacing w:val="5"/>
    </w:rPr>
  </w:style>
  <w:style w:type="paragraph" w:styleId="Header">
    <w:name w:val="header"/>
    <w:basedOn w:val="Normal"/>
    <w:link w:val="HeaderChar"/>
    <w:uiPriority w:val="99"/>
    <w:unhideWhenUsed/>
    <w:rsid w:val="00797AF5"/>
    <w:pPr>
      <w:tabs>
        <w:tab w:val="center" w:pos="4680"/>
        <w:tab w:val="right" w:pos="9360"/>
      </w:tabs>
    </w:pPr>
  </w:style>
  <w:style w:type="character" w:customStyle="1" w:styleId="HeaderChar">
    <w:name w:val="Header Char"/>
    <w:basedOn w:val="DefaultParagraphFont"/>
    <w:link w:val="Header"/>
    <w:uiPriority w:val="99"/>
    <w:rsid w:val="00797AF5"/>
  </w:style>
  <w:style w:type="paragraph" w:styleId="Footer">
    <w:name w:val="footer"/>
    <w:basedOn w:val="Normal"/>
    <w:link w:val="FooterChar"/>
    <w:uiPriority w:val="99"/>
    <w:unhideWhenUsed/>
    <w:rsid w:val="00797AF5"/>
    <w:pPr>
      <w:tabs>
        <w:tab w:val="center" w:pos="4680"/>
        <w:tab w:val="right" w:pos="9360"/>
      </w:tabs>
    </w:pPr>
  </w:style>
  <w:style w:type="character" w:customStyle="1" w:styleId="FooterChar">
    <w:name w:val="Footer Char"/>
    <w:basedOn w:val="DefaultParagraphFont"/>
    <w:link w:val="Footer"/>
    <w:uiPriority w:val="99"/>
    <w:rsid w:val="00797AF5"/>
  </w:style>
  <w:style w:type="character" w:styleId="Strong">
    <w:name w:val="Strong"/>
    <w:basedOn w:val="DefaultParagraphFont"/>
    <w:uiPriority w:val="22"/>
    <w:qFormat/>
    <w:rsid w:val="00116E9E"/>
    <w:rPr>
      <w:b/>
      <w:bCs/>
    </w:rPr>
  </w:style>
  <w:style w:type="character" w:customStyle="1" w:styleId="apple-converted-space">
    <w:name w:val="apple-converted-space"/>
    <w:basedOn w:val="DefaultParagraphFont"/>
    <w:rsid w:val="00116E9E"/>
  </w:style>
  <w:style w:type="character" w:styleId="Emphasis">
    <w:name w:val="Emphasis"/>
    <w:basedOn w:val="DefaultParagraphFont"/>
    <w:uiPriority w:val="20"/>
    <w:qFormat/>
    <w:rsid w:val="00C53524"/>
    <w:rPr>
      <w:i/>
      <w:iCs/>
    </w:rPr>
  </w:style>
  <w:style w:type="paragraph" w:styleId="NormalWeb">
    <w:name w:val="Normal (Web)"/>
    <w:basedOn w:val="Normal"/>
    <w:uiPriority w:val="99"/>
    <w:unhideWhenUsed/>
    <w:rsid w:val="003F2325"/>
    <w:pPr>
      <w:spacing w:before="100" w:beforeAutospacing="1" w:after="100" w:afterAutospacing="1"/>
      <w:ind w:firstLine="0"/>
    </w:pPr>
    <w:rPr>
      <w:rFonts w:eastAsia="Times New Roman"/>
      <w:kern w:val="0"/>
      <w14:ligatures w14:val="none"/>
    </w:rPr>
  </w:style>
  <w:style w:type="paragraph" w:customStyle="1" w:styleId="font-claude-response-body">
    <w:name w:val="font-claude-response-body"/>
    <w:basedOn w:val="Normal"/>
    <w:rsid w:val="00FE72BD"/>
    <w:pPr>
      <w:spacing w:before="100" w:beforeAutospacing="1" w:after="100" w:afterAutospacing="1"/>
      <w:ind w:firstLine="0"/>
    </w:pPr>
    <w:rPr>
      <w:rFonts w:eastAsia="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3406</Words>
  <Characters>19419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Jolie Voss</dc:creator>
  <cp:keywords/>
  <dc:description/>
  <cp:lastModifiedBy>Jolie Voss</cp:lastModifiedBy>
  <cp:revision>13</cp:revision>
  <dcterms:created xsi:type="dcterms:W3CDTF">2025-11-25T22:15:00Z</dcterms:created>
  <dcterms:modified xsi:type="dcterms:W3CDTF">2025-11-25T22:52:00Z</dcterms:modified>
</cp:coreProperties>
</file>