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9D09C1" w14:textId="77777777" w:rsidR="00404C23" w:rsidRDefault="00C227C2" w:rsidP="00404C23">
      <w:pPr>
        <w:spacing w:after="0" w:line="480" w:lineRule="auto"/>
        <w:jc w:val="both"/>
        <w:rPr>
          <w:b/>
          <w:bCs/>
        </w:rPr>
      </w:pPr>
      <w:r w:rsidRPr="00404C23">
        <w:rPr>
          <w:b/>
          <w:bCs/>
        </w:rPr>
        <w:t>Evolution and Impact of NHS Dentistry Services</w:t>
      </w:r>
    </w:p>
    <w:p w14:paraId="29A4E289" w14:textId="77777777" w:rsidR="00404C23" w:rsidRDefault="00C227C2" w:rsidP="00404C23">
      <w:pPr>
        <w:spacing w:after="0" w:line="480" w:lineRule="auto"/>
        <w:jc w:val="both"/>
      </w:pPr>
      <w:r w:rsidRPr="00404C23">
        <w:rPr>
          <w:b/>
          <w:bCs/>
        </w:rPr>
        <w:t>Introduction</w:t>
      </w:r>
      <w:r w:rsidRPr="00C227C2">
        <w:br/>
        <w:t>Dental care rarely commands the political attention given to hospital waiting lists, yet its absence can be utterly debilitating. The story of British dentistry within the NHS is a narrative shaped by the collision between post-war idealism and finite resources (Fejerskov, Uribe and Mariño, 2018). This essay examines the origins of NHS dentistry, the legislative framework that shaped it, the partnerships on which it depends, and most importantly, what its decline means for those who rely on it.</w:t>
      </w:r>
    </w:p>
    <w:p w14:paraId="71BB523A" w14:textId="77777777" w:rsidR="00404C23" w:rsidRDefault="00404C23" w:rsidP="00404C23">
      <w:pPr>
        <w:spacing w:after="0" w:line="240" w:lineRule="auto"/>
        <w:jc w:val="both"/>
      </w:pPr>
    </w:p>
    <w:p w14:paraId="531A3B49" w14:textId="35935F49" w:rsidR="00404C23" w:rsidRDefault="00C227C2" w:rsidP="00404C23">
      <w:pPr>
        <w:spacing w:after="0" w:line="480" w:lineRule="auto"/>
        <w:jc w:val="both"/>
        <w:rPr>
          <w:b/>
          <w:bCs/>
        </w:rPr>
      </w:pPr>
      <w:r w:rsidRPr="00404C23">
        <w:rPr>
          <w:b/>
          <w:bCs/>
        </w:rPr>
        <w:t>Origins and Historical Context</w:t>
      </w:r>
    </w:p>
    <w:p w14:paraId="41F72589" w14:textId="792894DD" w:rsidR="00404C23" w:rsidRDefault="00C227C2" w:rsidP="00404C23">
      <w:pPr>
        <w:spacing w:after="0" w:line="480" w:lineRule="auto"/>
        <w:jc w:val="both"/>
      </w:pPr>
      <w:r w:rsidRPr="00C227C2">
        <w:t>The pivot point was the 1945 election. The electorate's rejection of Churchill in favour of Attlee signalled a nation no longer willing to tolerate means-tested healthcare (Webster, 2002). When the NHS launched in July 1948, dental services were included free of charge.</w:t>
      </w:r>
      <w:r w:rsidRPr="00C227C2">
        <w:br/>
        <w:t>The problem was that nobody had grasped the sheer scale of unmet need. Working-class communities had carried a hidden burden of decay for decades; with</w:t>
      </w:r>
      <w:r w:rsidR="00CB0802">
        <w:t xml:space="preserve"> the</w:t>
      </w:r>
      <w:r w:rsidRPr="00C227C2">
        <w:t xml:space="preserve"> financial barrier removed a 'dash for dentures' was unleashed, that pushed the new service towards financial crisis (Deal, 2018). In the first year alone, NHS dentists extracted over 33 million teeth (Bedi, 2025). By 1951, the Treasury forced through patient charges, a move Aneurin Bevan considered such a betrayal that he resigned (Timmins, 2017). Dentistry never quite fitted the NHS model after that.</w:t>
      </w:r>
    </w:p>
    <w:p w14:paraId="44417C4A" w14:textId="77777777" w:rsidR="00404C23" w:rsidRDefault="00404C23" w:rsidP="00404C23">
      <w:pPr>
        <w:spacing w:after="0" w:line="240" w:lineRule="auto"/>
        <w:jc w:val="both"/>
      </w:pPr>
    </w:p>
    <w:p w14:paraId="40F67CC0" w14:textId="4167C01A" w:rsidR="00404C23" w:rsidRDefault="00C227C2" w:rsidP="00404C23">
      <w:pPr>
        <w:spacing w:after="0" w:line="480" w:lineRule="auto"/>
        <w:jc w:val="both"/>
        <w:rPr>
          <w:b/>
          <w:bCs/>
        </w:rPr>
      </w:pPr>
      <w:r w:rsidRPr="00404C23">
        <w:rPr>
          <w:b/>
          <w:bCs/>
        </w:rPr>
        <w:t>Legislative Framework</w:t>
      </w:r>
    </w:p>
    <w:p w14:paraId="1F6F4AE7" w14:textId="77777777" w:rsidR="00404C23" w:rsidRDefault="00C227C2" w:rsidP="00404C23">
      <w:pPr>
        <w:spacing w:after="0" w:line="480" w:lineRule="auto"/>
        <w:jc w:val="both"/>
      </w:pPr>
      <w:r w:rsidRPr="00C227C2">
        <w:t xml:space="preserve">The NHS Act 1946 established the statutory duty to provide dental care. Market-oriented reforms since the Health and Social Care Act 2012 have exacerbated structural problems, producing a system marked by 'drift and lack of strategic overhaul' (Lunt and </w:t>
      </w:r>
      <w:r w:rsidRPr="00C227C2">
        <w:lastRenderedPageBreak/>
        <w:t>Exworthy, 2024, p. 10). The Health and Care Act 2022 drew dentistry into Integrated Care Systems, acknowledging that oral health cannot be disentangled from general health (Newdick, 2014).</w:t>
      </w:r>
    </w:p>
    <w:p w14:paraId="13352EC0" w14:textId="77777777" w:rsidR="00404C23" w:rsidRDefault="00404C23" w:rsidP="00404C23">
      <w:pPr>
        <w:spacing w:after="0" w:line="240" w:lineRule="auto"/>
        <w:jc w:val="both"/>
      </w:pPr>
    </w:p>
    <w:p w14:paraId="06F272EA" w14:textId="0B994D3F" w:rsidR="00404C23" w:rsidRPr="00404C23" w:rsidRDefault="00C227C2" w:rsidP="00404C23">
      <w:pPr>
        <w:spacing w:after="0" w:line="480" w:lineRule="auto"/>
        <w:jc w:val="both"/>
        <w:rPr>
          <w:b/>
          <w:bCs/>
        </w:rPr>
      </w:pPr>
      <w:r w:rsidRPr="00404C23">
        <w:rPr>
          <w:b/>
          <w:bCs/>
        </w:rPr>
        <w:t>Partnership Working</w:t>
      </w:r>
    </w:p>
    <w:p w14:paraId="72DCEE67" w14:textId="77777777" w:rsidR="00404C23" w:rsidRDefault="00C227C2" w:rsidP="00404C23">
      <w:pPr>
        <w:spacing w:after="0" w:line="480" w:lineRule="auto"/>
        <w:jc w:val="both"/>
      </w:pPr>
      <w:r w:rsidRPr="00C227C2">
        <w:t>Dentistry does not function in isolation. A dentist who spots signs of undiagnosed diabetes and refers to a GP performs a function beyond filling cavities (Fejerskov, Uribe and Mariño, 2018). Health visitors have a crucial role in early childhood, while community pharmacists are often the first port of call for someone unable to secure an NHS appointment (Glasby, 2012). This exemplifies the partnership working central to this module: a dentist referring a patient with suspected diabetes (Glasby &amp; Dickinson, 2014) demonstrates that oral health is integral to whole-person care, not a siloed issue.</w:t>
      </w:r>
    </w:p>
    <w:p w14:paraId="2352814D" w14:textId="20B2E73C" w:rsidR="00404C23" w:rsidRDefault="00404C23" w:rsidP="00404C23">
      <w:pPr>
        <w:spacing w:after="0" w:line="240" w:lineRule="auto"/>
        <w:jc w:val="both"/>
        <w:rPr>
          <w:b/>
          <w:bCs/>
        </w:rPr>
      </w:pPr>
    </w:p>
    <w:p w14:paraId="03BC6831" w14:textId="249FD8F2" w:rsidR="00404C23" w:rsidRPr="00404C23" w:rsidRDefault="00C227C2" w:rsidP="00404C23">
      <w:pPr>
        <w:spacing w:after="0" w:line="480" w:lineRule="auto"/>
        <w:jc w:val="both"/>
        <w:rPr>
          <w:b/>
          <w:bCs/>
        </w:rPr>
      </w:pPr>
      <w:r w:rsidRPr="00404C23">
        <w:rPr>
          <w:b/>
          <w:bCs/>
        </w:rPr>
        <w:t>Critical Evaluation</w:t>
      </w:r>
    </w:p>
    <w:p w14:paraId="5586744C" w14:textId="77777777" w:rsidR="00404C23" w:rsidRDefault="00C227C2" w:rsidP="00404C23">
      <w:pPr>
        <w:spacing w:after="0" w:line="480" w:lineRule="auto"/>
        <w:jc w:val="both"/>
      </w:pPr>
      <w:r w:rsidRPr="00C227C2">
        <w:t>The root problem lies partly in the 2006 contract introducing Units of Dental Activity. A dentist is paid the same for a simple filling as for a complex root canal; the rational response is to avoid complex NHS work (British Dental Association, 2024). Clinicians speak of being trapped on a "treadmill," prioritising volume over quality.</w:t>
      </w:r>
    </w:p>
    <w:p w14:paraId="00C51AC0" w14:textId="77777777" w:rsidR="00404C23" w:rsidRDefault="00404C23" w:rsidP="00404C23">
      <w:pPr>
        <w:spacing w:after="0" w:line="240" w:lineRule="auto"/>
        <w:jc w:val="both"/>
      </w:pPr>
    </w:p>
    <w:p w14:paraId="4CEBADA6" w14:textId="22285802" w:rsidR="00404C23" w:rsidRDefault="00C227C2" w:rsidP="00404C23">
      <w:pPr>
        <w:spacing w:after="0" w:line="480" w:lineRule="auto"/>
        <w:jc w:val="both"/>
      </w:pPr>
      <w:r w:rsidRPr="00C227C2">
        <w:t>Nearly 97% of adults seeking an NHS dental appointment cannot secure one; for new patients, NHS dentistry has "effectively ceased to exist" (British Dental Association, 2024). In "dental deserts," no practices accept new NHS patients. Those who can afford it go private; others resort to DIY dentistry or present at A&amp;E. Contract changes due in April 2026 introduce fixed-fee tariffs for complex care, yet as Pabary (2026) notes, these reforms "won't go far enough."</w:t>
      </w:r>
    </w:p>
    <w:p w14:paraId="564A6844" w14:textId="77777777" w:rsidR="00404C23" w:rsidRPr="00404C23" w:rsidRDefault="00C227C2" w:rsidP="00404C23">
      <w:pPr>
        <w:spacing w:after="0" w:line="480" w:lineRule="auto"/>
        <w:jc w:val="both"/>
        <w:rPr>
          <w:b/>
          <w:bCs/>
        </w:rPr>
      </w:pPr>
      <w:r w:rsidRPr="00C227C2">
        <w:lastRenderedPageBreak/>
        <w:br/>
      </w:r>
      <w:r w:rsidRPr="00404C23">
        <w:rPr>
          <w:b/>
          <w:bCs/>
        </w:rPr>
        <w:t>Significance for Quality of Life</w:t>
      </w:r>
    </w:p>
    <w:p w14:paraId="4D010963" w14:textId="262B0826" w:rsidR="00404C23" w:rsidRDefault="00C227C2" w:rsidP="00404C23">
      <w:pPr>
        <w:spacing w:after="0" w:line="480" w:lineRule="auto"/>
        <w:jc w:val="both"/>
      </w:pPr>
      <w:r w:rsidRPr="00C227C2">
        <w:t>Biologically, untreated dental disease means chronic pain and systemic links to cardiovascular disease. But the human costs are harder to quantify. Visible tooth decay can mean withdrawing from social situations or avoiding job interviews. The "dental divide" becomes a marker of inequality (Deal, 2018). For vulnerable groups</w:t>
      </w:r>
      <w:r w:rsidR="00F4611C">
        <w:t xml:space="preserve"> such as</w:t>
      </w:r>
      <w:r w:rsidRPr="00C227C2">
        <w:t xml:space="preserve"> prisoners, those experiencing homelessness, people with dementia, the stakes are higher. Jones (2001) described an "inverse dental care law": those with greatest need are least likely to receive treatment.</w:t>
      </w:r>
    </w:p>
    <w:p w14:paraId="00BA93BC" w14:textId="77777777" w:rsidR="00404C23" w:rsidRDefault="00404C23" w:rsidP="00404C23">
      <w:pPr>
        <w:spacing w:after="0" w:line="240" w:lineRule="auto"/>
        <w:jc w:val="both"/>
      </w:pPr>
    </w:p>
    <w:p w14:paraId="1B91A6D2" w14:textId="3BD1F541" w:rsidR="00404C23" w:rsidRDefault="00C227C2" w:rsidP="00404C23">
      <w:pPr>
        <w:spacing w:after="0" w:line="480" w:lineRule="auto"/>
        <w:jc w:val="both"/>
      </w:pPr>
      <w:r w:rsidRPr="00404C23">
        <w:rPr>
          <w:b/>
          <w:bCs/>
        </w:rPr>
        <w:t>Conclusion</w:t>
      </w:r>
      <w:r w:rsidRPr="00404C23">
        <w:rPr>
          <w:b/>
          <w:bCs/>
        </w:rPr>
        <w:br/>
      </w:r>
      <w:r w:rsidRPr="00C227C2">
        <w:t>The trajectory from 1948 to today reflects a tension between universal ideals and economic constraint. Prevention must move to the mainstream, and integration with health and social care must become genuine. Until then, the inverse care law will continue to assert itself.</w:t>
      </w:r>
    </w:p>
    <w:p w14:paraId="1BDA02FA" w14:textId="432C7502" w:rsidR="006D6E9F" w:rsidRDefault="00DB61EA" w:rsidP="00404C23">
      <w:pPr>
        <w:spacing w:after="0" w:line="480" w:lineRule="auto"/>
        <w:jc w:val="both"/>
      </w:pPr>
      <w:r w:rsidRPr="00DB61EA">
        <w:br/>
      </w:r>
      <w:r w:rsidR="001E0679" w:rsidRPr="001E0679">
        <w:br/>
      </w:r>
    </w:p>
    <w:p w14:paraId="2573602E" w14:textId="77777777" w:rsidR="004E41C3" w:rsidRDefault="004E41C3" w:rsidP="00404C23">
      <w:pPr>
        <w:spacing w:after="0" w:line="480" w:lineRule="auto"/>
      </w:pPr>
    </w:p>
    <w:p w14:paraId="100A71AC" w14:textId="7BB78C94" w:rsidR="004E41C3" w:rsidRDefault="004E41C3" w:rsidP="00404C23">
      <w:pPr>
        <w:spacing w:after="0" w:line="480" w:lineRule="auto"/>
      </w:pPr>
      <w:r>
        <w:br w:type="page"/>
      </w:r>
    </w:p>
    <w:p w14:paraId="03668B37" w14:textId="3B9FF11A" w:rsidR="00813DE7" w:rsidRPr="00813DE7" w:rsidRDefault="00813DE7" w:rsidP="00813DE7">
      <w:pPr>
        <w:spacing w:after="240" w:line="240" w:lineRule="auto"/>
        <w:jc w:val="both"/>
        <w:rPr>
          <w:b/>
          <w:bCs/>
        </w:rPr>
      </w:pPr>
      <w:r w:rsidRPr="00813DE7">
        <w:rPr>
          <w:b/>
          <w:bCs/>
        </w:rPr>
        <w:lastRenderedPageBreak/>
        <w:t xml:space="preserve">Reference </w:t>
      </w:r>
    </w:p>
    <w:p w14:paraId="3E56A4B8" w14:textId="77777777" w:rsidR="00813DE7" w:rsidRPr="00813DE7" w:rsidRDefault="00813DE7" w:rsidP="00813DE7">
      <w:pPr>
        <w:spacing w:after="240" w:line="240" w:lineRule="auto"/>
        <w:ind w:left="567" w:hanging="567"/>
        <w:jc w:val="both"/>
      </w:pPr>
      <w:r w:rsidRPr="00813DE7">
        <w:t xml:space="preserve">Bedi, R. (2025). Back to the future: moving beyond a 1948 mindset to design NHS dentistry for 2025. </w:t>
      </w:r>
      <w:r w:rsidRPr="00813DE7">
        <w:rPr>
          <w:i/>
          <w:iCs/>
        </w:rPr>
        <w:t>BDJ</w:t>
      </w:r>
      <w:r w:rsidRPr="00813DE7">
        <w:t xml:space="preserve">, </w:t>
      </w:r>
      <w:r w:rsidRPr="00813DE7">
        <w:rPr>
          <w:i/>
          <w:iCs/>
        </w:rPr>
        <w:t>239</w:t>
      </w:r>
      <w:r w:rsidRPr="00813DE7">
        <w:t>(10), 683–685. https://doi.org/10.1038/s41415-025-9336-5</w:t>
      </w:r>
    </w:p>
    <w:p w14:paraId="1CFA135E" w14:textId="77777777" w:rsidR="004E41C3" w:rsidRPr="004E41C3" w:rsidRDefault="004E41C3" w:rsidP="00813DE7">
      <w:pPr>
        <w:spacing w:after="240" w:line="240" w:lineRule="auto"/>
        <w:ind w:left="567" w:hanging="567"/>
        <w:jc w:val="both"/>
      </w:pPr>
      <w:r w:rsidRPr="004E41C3">
        <w:t>British Dental Association (2024) </w:t>
      </w:r>
      <w:r w:rsidRPr="004E41C3">
        <w:rPr>
          <w:i/>
          <w:iCs/>
        </w:rPr>
        <w:t>Dentists: 97% of new patients unable to access NHS care</w:t>
      </w:r>
      <w:r w:rsidRPr="004E41C3">
        <w:t>. Available at: </w:t>
      </w:r>
      <w:hyperlink r:id="rId5" w:tgtFrame="_blank" w:history="1">
        <w:r w:rsidRPr="004E41C3">
          <w:rPr>
            <w:rStyle w:val="Hyperlink"/>
          </w:rPr>
          <w:t>https://www.bda.org/media-centre/dentists-97-of-new-patients-unable-to-access-nhs-care/</w:t>
        </w:r>
      </w:hyperlink>
      <w:r w:rsidRPr="004E41C3">
        <w:t> (Accessed: 14 March 2026).</w:t>
      </w:r>
    </w:p>
    <w:p w14:paraId="40C5B5A5" w14:textId="77777777" w:rsidR="004E41C3" w:rsidRPr="004E41C3" w:rsidRDefault="004E41C3" w:rsidP="00813DE7">
      <w:pPr>
        <w:spacing w:after="240" w:line="240" w:lineRule="auto"/>
        <w:ind w:left="567" w:hanging="567"/>
        <w:jc w:val="both"/>
      </w:pPr>
      <w:r w:rsidRPr="004E41C3">
        <w:t>Deal, N. (2018) </w:t>
      </w:r>
      <w:r w:rsidRPr="004E41C3">
        <w:rPr>
          <w:i/>
          <w:iCs/>
        </w:rPr>
        <w:t>Reforming NHS Dental Services: A Political Economy Perspective</w:t>
      </w:r>
      <w:r w:rsidRPr="004E41C3">
        <w:t>. PhD thesis. University of Manchester.</w:t>
      </w:r>
    </w:p>
    <w:p w14:paraId="7BD65321" w14:textId="77777777" w:rsidR="004E41C3" w:rsidRPr="004E41C3" w:rsidRDefault="004E41C3" w:rsidP="00813DE7">
      <w:pPr>
        <w:spacing w:after="240" w:line="240" w:lineRule="auto"/>
        <w:ind w:left="567" w:hanging="567"/>
        <w:jc w:val="both"/>
      </w:pPr>
      <w:r w:rsidRPr="004E41C3">
        <w:t>Fejerskov, O., Uribe, S. and Mariño, R.J. (2018) 'Dentistry in a Historical Perspective and a Likely Future of the Profession', in Mariño, R., Morgan, M. and Walmsley, A. (eds.) </w:t>
      </w:r>
      <w:r w:rsidRPr="004E41C3">
        <w:rPr>
          <w:i/>
          <w:iCs/>
        </w:rPr>
        <w:t>Career Paths in Oral Health</w:t>
      </w:r>
      <w:r w:rsidRPr="004E41C3">
        <w:t>. Cham: Springer, pp. 3–19.</w:t>
      </w:r>
    </w:p>
    <w:p w14:paraId="6840112C" w14:textId="77777777" w:rsidR="004E41C3" w:rsidRPr="004E41C3" w:rsidRDefault="004E41C3" w:rsidP="00813DE7">
      <w:pPr>
        <w:spacing w:after="240" w:line="240" w:lineRule="auto"/>
        <w:ind w:left="567" w:hanging="567"/>
        <w:jc w:val="both"/>
      </w:pPr>
      <w:r w:rsidRPr="004E41C3">
        <w:t>Glasby, J. (2012) </w:t>
      </w:r>
      <w:r w:rsidRPr="004E41C3">
        <w:rPr>
          <w:i/>
          <w:iCs/>
        </w:rPr>
        <w:t>Understanding health and social care</w:t>
      </w:r>
      <w:r w:rsidRPr="004E41C3">
        <w:t>. 2nd edn. Bristol: Policy Press.</w:t>
      </w:r>
    </w:p>
    <w:p w14:paraId="7CDFAC4F" w14:textId="77777777" w:rsidR="004E41C3" w:rsidRPr="004E41C3" w:rsidRDefault="004E41C3" w:rsidP="00813DE7">
      <w:pPr>
        <w:spacing w:after="240" w:line="240" w:lineRule="auto"/>
        <w:ind w:left="567" w:hanging="567"/>
        <w:jc w:val="both"/>
      </w:pPr>
      <w:r w:rsidRPr="004E41C3">
        <w:t>Glasby, J. and Dickinson, H. (2014) </w:t>
      </w:r>
      <w:r w:rsidRPr="004E41C3">
        <w:rPr>
          <w:i/>
          <w:iCs/>
        </w:rPr>
        <w:t>Partnership working in health and social care: what is integrated care and how can we deliver it?</w:t>
      </w:r>
      <w:r w:rsidRPr="004E41C3">
        <w:t> 2nd edn. Bristol: Policy Press.</w:t>
      </w:r>
    </w:p>
    <w:p w14:paraId="2BE23F0C" w14:textId="77777777" w:rsidR="004E41C3" w:rsidRDefault="004E41C3" w:rsidP="00813DE7">
      <w:pPr>
        <w:spacing w:after="240" w:line="240" w:lineRule="auto"/>
        <w:ind w:left="567" w:hanging="567"/>
        <w:jc w:val="both"/>
      </w:pPr>
      <w:r w:rsidRPr="004E41C3">
        <w:t>Jones, C.M. (2001) 'The inverse dental care law', </w:t>
      </w:r>
      <w:r w:rsidRPr="004E41C3">
        <w:rPr>
          <w:i/>
          <w:iCs/>
        </w:rPr>
        <w:t>British Dental Journal</w:t>
      </w:r>
      <w:r w:rsidRPr="004E41C3">
        <w:t>, 191(7), pp. 357-358.</w:t>
      </w:r>
    </w:p>
    <w:p w14:paraId="13B2F128" w14:textId="53B77B90" w:rsidR="00166004" w:rsidRPr="004E41C3" w:rsidRDefault="00166004" w:rsidP="00166004">
      <w:pPr>
        <w:spacing w:after="240" w:line="240" w:lineRule="auto"/>
        <w:ind w:left="567" w:hanging="567"/>
        <w:jc w:val="both"/>
      </w:pPr>
      <w:r w:rsidRPr="00166004">
        <w:t>Lunt, N., &amp; Exworthy, M. (2024). NHS dentistry in Britain: A long overdue check</w:t>
      </w:r>
      <w:r w:rsidRPr="00166004">
        <w:rPr>
          <w:rFonts w:ascii="Cambria Math" w:hAnsi="Cambria Math" w:cs="Cambria Math"/>
        </w:rPr>
        <w:t>‐</w:t>
      </w:r>
      <w:r w:rsidRPr="00166004">
        <w:t xml:space="preserve">up. </w:t>
      </w:r>
      <w:r w:rsidRPr="00166004">
        <w:rPr>
          <w:i/>
          <w:iCs/>
        </w:rPr>
        <w:t>World Medical &amp; Health Policy</w:t>
      </w:r>
      <w:r w:rsidRPr="00166004">
        <w:t xml:space="preserve">, </w:t>
      </w:r>
      <w:r w:rsidRPr="00166004">
        <w:rPr>
          <w:i/>
          <w:iCs/>
        </w:rPr>
        <w:t>16</w:t>
      </w:r>
      <w:r w:rsidRPr="00166004">
        <w:t>(4), 774–782. https://doi.org/10.1002/wmh3.626</w:t>
      </w:r>
    </w:p>
    <w:p w14:paraId="21997C03" w14:textId="77777777" w:rsidR="004E41C3" w:rsidRPr="004E41C3" w:rsidRDefault="004E41C3" w:rsidP="00813DE7">
      <w:pPr>
        <w:spacing w:after="240" w:line="240" w:lineRule="auto"/>
        <w:ind w:left="567" w:hanging="567"/>
        <w:jc w:val="both"/>
      </w:pPr>
      <w:r w:rsidRPr="004E41C3">
        <w:t>Newdick, C. (2014) </w:t>
      </w:r>
      <w:r w:rsidRPr="004E41C3">
        <w:rPr>
          <w:i/>
          <w:iCs/>
        </w:rPr>
        <w:t>Who should we treat? Rights, rationing, and resources in the NHS</w:t>
      </w:r>
      <w:r w:rsidRPr="004E41C3">
        <w:t>. 2nd edn. Oxford: Oxford University Press.</w:t>
      </w:r>
    </w:p>
    <w:p w14:paraId="67039BC0" w14:textId="0169F241" w:rsidR="00404C23" w:rsidRDefault="00404C23" w:rsidP="00813DE7">
      <w:pPr>
        <w:spacing w:after="240" w:line="240" w:lineRule="auto"/>
        <w:ind w:left="567" w:hanging="567"/>
        <w:jc w:val="both"/>
      </w:pPr>
      <w:r w:rsidRPr="00404C23">
        <w:t>Pabary, S. Contract change in England: An update. </w:t>
      </w:r>
      <w:r w:rsidRPr="00404C23">
        <w:rPr>
          <w:i/>
          <w:iCs/>
        </w:rPr>
        <w:t>BDJ In Pract</w:t>
      </w:r>
      <w:r w:rsidRPr="00404C23">
        <w:t> </w:t>
      </w:r>
      <w:r w:rsidRPr="00404C23">
        <w:rPr>
          <w:b/>
          <w:bCs/>
        </w:rPr>
        <w:t>39</w:t>
      </w:r>
      <w:r w:rsidRPr="00404C23">
        <w:t xml:space="preserve">, 80 (2026). </w:t>
      </w:r>
      <w:hyperlink r:id="rId6" w:history="1">
        <w:r w:rsidRPr="00AB694F">
          <w:rPr>
            <w:rStyle w:val="Hyperlink"/>
          </w:rPr>
          <w:t>https://doi.org/10.1038/s41404-026-3470-x</w:t>
        </w:r>
      </w:hyperlink>
    </w:p>
    <w:p w14:paraId="1D50202A" w14:textId="3DA11085" w:rsidR="004E41C3" w:rsidRPr="004E41C3" w:rsidRDefault="004E41C3" w:rsidP="00813DE7">
      <w:pPr>
        <w:spacing w:after="240" w:line="240" w:lineRule="auto"/>
        <w:ind w:left="567" w:hanging="567"/>
        <w:jc w:val="both"/>
      </w:pPr>
      <w:r w:rsidRPr="004E41C3">
        <w:t>Timmins, N. (2017) </w:t>
      </w:r>
      <w:r w:rsidRPr="004E41C3">
        <w:rPr>
          <w:i/>
          <w:iCs/>
        </w:rPr>
        <w:t>The five giants: a biography of the Welfare State</w:t>
      </w:r>
      <w:r w:rsidRPr="004E41C3">
        <w:t>. 3rd edn. London: William Collins.</w:t>
      </w:r>
    </w:p>
    <w:p w14:paraId="25EE9DE9" w14:textId="77777777" w:rsidR="004E41C3" w:rsidRPr="004E41C3" w:rsidRDefault="004E41C3" w:rsidP="00813DE7">
      <w:pPr>
        <w:spacing w:after="240" w:line="240" w:lineRule="auto"/>
        <w:ind w:left="567" w:hanging="567"/>
        <w:jc w:val="both"/>
      </w:pPr>
      <w:r w:rsidRPr="004E41C3">
        <w:t>Webster, C. (2002) </w:t>
      </w:r>
      <w:r w:rsidRPr="004E41C3">
        <w:rPr>
          <w:i/>
          <w:iCs/>
        </w:rPr>
        <w:t>The National Health Service: A Political History</w:t>
      </w:r>
      <w:r w:rsidRPr="004E41C3">
        <w:t>. 2nd edn. Oxford: Oxford University Press.</w:t>
      </w:r>
    </w:p>
    <w:p w14:paraId="4B98F357" w14:textId="77777777" w:rsidR="004E41C3" w:rsidRPr="000712C1" w:rsidRDefault="004E41C3" w:rsidP="00404C23">
      <w:pPr>
        <w:spacing w:after="0" w:line="480" w:lineRule="auto"/>
        <w:rPr>
          <w:b/>
          <w:bCs/>
        </w:rPr>
      </w:pPr>
    </w:p>
    <w:p w14:paraId="24277479" w14:textId="7EB9C3F3" w:rsidR="006D6E9F" w:rsidRDefault="006D6E9F" w:rsidP="00404C23">
      <w:pPr>
        <w:spacing w:after="0" w:line="480" w:lineRule="auto"/>
        <w:rPr>
          <w:b/>
          <w:bCs/>
        </w:rPr>
      </w:pPr>
    </w:p>
    <w:p w14:paraId="337BAAF0" w14:textId="77777777" w:rsidR="00364CA4" w:rsidRDefault="00364CA4" w:rsidP="00404C23">
      <w:pPr>
        <w:spacing w:after="0" w:line="480" w:lineRule="auto"/>
      </w:pPr>
    </w:p>
    <w:sectPr w:rsidR="00364C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177964"/>
    <w:multiLevelType w:val="multilevel"/>
    <w:tmpl w:val="A776C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E26F62"/>
    <w:multiLevelType w:val="multilevel"/>
    <w:tmpl w:val="7FCE6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746643">
    <w:abstractNumId w:val="0"/>
  </w:num>
  <w:num w:numId="2" w16cid:durableId="4827042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67E"/>
    <w:rsid w:val="000712C1"/>
    <w:rsid w:val="000D7E5F"/>
    <w:rsid w:val="00166004"/>
    <w:rsid w:val="001E0679"/>
    <w:rsid w:val="002F0EAE"/>
    <w:rsid w:val="00364CA4"/>
    <w:rsid w:val="00404C23"/>
    <w:rsid w:val="00443363"/>
    <w:rsid w:val="004E41C3"/>
    <w:rsid w:val="00503BE6"/>
    <w:rsid w:val="006C1AB3"/>
    <w:rsid w:val="006C2131"/>
    <w:rsid w:val="006D6E9F"/>
    <w:rsid w:val="007A61CD"/>
    <w:rsid w:val="007B0CC0"/>
    <w:rsid w:val="00813DE7"/>
    <w:rsid w:val="0082253B"/>
    <w:rsid w:val="00A9367E"/>
    <w:rsid w:val="00C01A09"/>
    <w:rsid w:val="00C227C2"/>
    <w:rsid w:val="00CB0802"/>
    <w:rsid w:val="00D340C8"/>
    <w:rsid w:val="00DB61EA"/>
    <w:rsid w:val="00F46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C8006"/>
  <w15:chartTrackingRefBased/>
  <w15:docId w15:val="{AF07B44B-9AC4-455D-B2DE-180424F68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6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36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36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6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6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6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6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6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6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6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36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36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6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6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6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6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6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67E"/>
    <w:rPr>
      <w:rFonts w:eastAsiaTheme="majorEastAsia" w:cstheme="majorBidi"/>
      <w:color w:val="272727" w:themeColor="text1" w:themeTint="D8"/>
    </w:rPr>
  </w:style>
  <w:style w:type="paragraph" w:styleId="Title">
    <w:name w:val="Title"/>
    <w:basedOn w:val="Normal"/>
    <w:next w:val="Normal"/>
    <w:link w:val="TitleChar"/>
    <w:uiPriority w:val="10"/>
    <w:qFormat/>
    <w:rsid w:val="00A936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6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6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6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67E"/>
    <w:pPr>
      <w:spacing w:before="160"/>
      <w:jc w:val="center"/>
    </w:pPr>
    <w:rPr>
      <w:i/>
      <w:iCs/>
      <w:color w:val="404040" w:themeColor="text1" w:themeTint="BF"/>
    </w:rPr>
  </w:style>
  <w:style w:type="character" w:customStyle="1" w:styleId="QuoteChar">
    <w:name w:val="Quote Char"/>
    <w:basedOn w:val="DefaultParagraphFont"/>
    <w:link w:val="Quote"/>
    <w:uiPriority w:val="29"/>
    <w:rsid w:val="00A9367E"/>
    <w:rPr>
      <w:i/>
      <w:iCs/>
      <w:color w:val="404040" w:themeColor="text1" w:themeTint="BF"/>
    </w:rPr>
  </w:style>
  <w:style w:type="paragraph" w:styleId="ListParagraph">
    <w:name w:val="List Paragraph"/>
    <w:basedOn w:val="Normal"/>
    <w:uiPriority w:val="34"/>
    <w:qFormat/>
    <w:rsid w:val="00A9367E"/>
    <w:pPr>
      <w:ind w:left="720"/>
      <w:contextualSpacing/>
    </w:pPr>
  </w:style>
  <w:style w:type="character" w:styleId="IntenseEmphasis">
    <w:name w:val="Intense Emphasis"/>
    <w:basedOn w:val="DefaultParagraphFont"/>
    <w:uiPriority w:val="21"/>
    <w:qFormat/>
    <w:rsid w:val="00A9367E"/>
    <w:rPr>
      <w:i/>
      <w:iCs/>
      <w:color w:val="0F4761" w:themeColor="accent1" w:themeShade="BF"/>
    </w:rPr>
  </w:style>
  <w:style w:type="paragraph" w:styleId="IntenseQuote">
    <w:name w:val="Intense Quote"/>
    <w:basedOn w:val="Normal"/>
    <w:next w:val="Normal"/>
    <w:link w:val="IntenseQuoteChar"/>
    <w:uiPriority w:val="30"/>
    <w:qFormat/>
    <w:rsid w:val="00A936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67E"/>
    <w:rPr>
      <w:i/>
      <w:iCs/>
      <w:color w:val="0F4761" w:themeColor="accent1" w:themeShade="BF"/>
    </w:rPr>
  </w:style>
  <w:style w:type="character" w:styleId="IntenseReference">
    <w:name w:val="Intense Reference"/>
    <w:basedOn w:val="DefaultParagraphFont"/>
    <w:uiPriority w:val="32"/>
    <w:qFormat/>
    <w:rsid w:val="00A9367E"/>
    <w:rPr>
      <w:b/>
      <w:bCs/>
      <w:smallCaps/>
      <w:color w:val="0F4761" w:themeColor="accent1" w:themeShade="BF"/>
      <w:spacing w:val="5"/>
    </w:rPr>
  </w:style>
  <w:style w:type="character" w:styleId="Hyperlink">
    <w:name w:val="Hyperlink"/>
    <w:basedOn w:val="DefaultParagraphFont"/>
    <w:uiPriority w:val="99"/>
    <w:unhideWhenUsed/>
    <w:rsid w:val="006D6E9F"/>
    <w:rPr>
      <w:color w:val="467886" w:themeColor="hyperlink"/>
      <w:u w:val="single"/>
    </w:rPr>
  </w:style>
  <w:style w:type="character" w:styleId="UnresolvedMention">
    <w:name w:val="Unresolved Mention"/>
    <w:basedOn w:val="DefaultParagraphFont"/>
    <w:uiPriority w:val="99"/>
    <w:semiHidden/>
    <w:unhideWhenUsed/>
    <w:rsid w:val="006D6E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38/s41404-026-3470-x" TargetMode="External"/><Relationship Id="rId5" Type="http://schemas.openxmlformats.org/officeDocument/2006/relationships/hyperlink" Target="https://www.bda.org/media-centre/dentists-97-of-new-patients-unable-to-access-nhs-car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23</TotalTime>
  <Pages>4</Pages>
  <Words>910</Words>
  <Characters>5193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Chisom Ikwuoma</dc:creator>
  <cp:keywords/>
  <dc:description/>
  <cp:lastModifiedBy>Chisom Ikwuoma</cp:lastModifiedBy>
  <cp:revision>5</cp:revision>
  <dcterms:created xsi:type="dcterms:W3CDTF">2026-03-14T12:05:00Z</dcterms:created>
  <dcterms:modified xsi:type="dcterms:W3CDTF">2026-03-14T12:27:00Z</dcterms:modified>
</cp:coreProperties>
</file>