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6F6EC94" w14:textId="02535244" w:rsidR="00F522D1" w:rsidRPr="00F522D1" w:rsidRDefault="00F522D1" w:rsidP="0070648D">
      <w:pPr>
        <w:rPr>
          <w:rFonts w:ascii="Kohinoor Devanagari" w:hAnsi="Kohinoor Devanagari" w:cs="Kohinoor Devanagari"/>
          <w:color w:val="0D0D0D"/>
          <w:sz w:val="21"/>
          <w:szCs w:val="21"/>
          <w:shd w:val="clear" w:color="auto" w:fill="FFFFFF"/>
        </w:rPr>
      </w:pPr>
      <w:r w:rsidRPr="00F522D1">
        <w:rPr>
          <w:rFonts w:ascii="Kohinoor Devanagari" w:hAnsi="Kohinoor Devanagari" w:cs="Kohinoor Devanagari"/>
          <w:color w:val="0D0D0D"/>
          <w:sz w:val="21"/>
          <w:szCs w:val="21"/>
          <w:shd w:val="clear" w:color="auto" w:fill="FFFFFF"/>
        </w:rPr>
        <w:t>My interest in talking about dyslexia is f</w:t>
      </w:r>
      <w:r>
        <w:rPr>
          <w:rFonts w:ascii="Kohinoor Devanagari" w:hAnsi="Kohinoor Devanagari" w:cs="Kohinoor Devanagari"/>
          <w:color w:val="0D0D0D"/>
          <w:sz w:val="21"/>
          <w:szCs w:val="21"/>
          <w:shd w:val="clear" w:color="auto" w:fill="FFFFFF"/>
        </w:rPr>
        <w:t>irst</w:t>
      </w:r>
      <w:r w:rsidRPr="00F522D1">
        <w:rPr>
          <w:rFonts w:ascii="Kohinoor Devanagari" w:hAnsi="Kohinoor Devanagari" w:cs="Kohinoor Devanagari"/>
          <w:color w:val="0D0D0D"/>
          <w:sz w:val="21"/>
          <w:szCs w:val="21"/>
          <w:shd w:val="clear" w:color="auto" w:fill="FFFFFF"/>
        </w:rPr>
        <w:t xml:space="preserve">ly, </w:t>
      </w:r>
      <w:r w:rsidR="008936F9">
        <w:rPr>
          <w:rFonts w:ascii="Kohinoor Devanagari" w:hAnsi="Kohinoor Devanagari" w:cs="Kohinoor Devanagari"/>
          <w:color w:val="0D0D0D"/>
          <w:sz w:val="21"/>
          <w:szCs w:val="21"/>
          <w:shd w:val="clear" w:color="auto" w:fill="FFFFFF"/>
        </w:rPr>
        <w:t xml:space="preserve">a personal reason as my brother was diagnosed with dyslexia and struggled through most of his school years as no support was given. </w:t>
      </w:r>
      <w:r w:rsidR="004638A8">
        <w:rPr>
          <w:rFonts w:ascii="Kohinoor Devanagari" w:hAnsi="Kohinoor Devanagari" w:cs="Kohinoor Devanagari"/>
          <w:color w:val="0D0D0D"/>
          <w:sz w:val="21"/>
          <w:szCs w:val="21"/>
          <w:shd w:val="clear" w:color="auto" w:fill="FFFFFF"/>
        </w:rPr>
        <w:t>S</w:t>
      </w:r>
      <w:r w:rsidR="00862C08">
        <w:rPr>
          <w:rFonts w:ascii="Kohinoor Devanagari" w:hAnsi="Kohinoor Devanagari" w:cs="Kohinoor Devanagari"/>
          <w:color w:val="0D0D0D"/>
          <w:sz w:val="21"/>
          <w:szCs w:val="21"/>
          <w:shd w:val="clear" w:color="auto" w:fill="FFFFFF"/>
        </w:rPr>
        <w:t>econdly, d</w:t>
      </w:r>
      <w:r w:rsidRPr="00F522D1">
        <w:rPr>
          <w:rFonts w:ascii="Kohinoor Devanagari" w:hAnsi="Kohinoor Devanagari" w:cs="Kohinoor Devanagari"/>
          <w:color w:val="0D0D0D"/>
          <w:sz w:val="21"/>
          <w:szCs w:val="21"/>
          <w:shd w:val="clear" w:color="auto" w:fill="FFFFFF"/>
        </w:rPr>
        <w:t xml:space="preserve">yslexia </w:t>
      </w:r>
      <w:proofErr w:type="gramStart"/>
      <w:r w:rsidRPr="00F522D1">
        <w:rPr>
          <w:rFonts w:ascii="Kohinoor Devanagari" w:hAnsi="Kohinoor Devanagari" w:cs="Kohinoor Devanagari"/>
          <w:color w:val="0D0D0D"/>
          <w:sz w:val="21"/>
          <w:szCs w:val="21"/>
          <w:shd w:val="clear" w:color="auto" w:fill="FFFFFF"/>
        </w:rPr>
        <w:t>is</w:t>
      </w:r>
      <w:proofErr w:type="gramEnd"/>
      <w:r w:rsidRPr="00F522D1">
        <w:rPr>
          <w:rFonts w:ascii="Kohinoor Devanagari" w:hAnsi="Kohinoor Devanagari" w:cs="Kohinoor Devanagari"/>
          <w:color w:val="0D0D0D"/>
          <w:sz w:val="21"/>
          <w:szCs w:val="21"/>
          <w:shd w:val="clear" w:color="auto" w:fill="FFFFFF"/>
        </w:rPr>
        <w:t xml:space="preserve"> prevalent learning</w:t>
      </w:r>
      <w:r>
        <w:rPr>
          <w:rFonts w:ascii="Kohinoor Devanagari" w:hAnsi="Kohinoor Devanagari" w:cs="Kohinoor Devanagari"/>
          <w:color w:val="0D0D0D"/>
          <w:sz w:val="21"/>
          <w:szCs w:val="21"/>
          <w:shd w:val="clear" w:color="auto" w:fill="FFFFFF"/>
        </w:rPr>
        <w:t xml:space="preserve"> </w:t>
      </w:r>
      <w:r w:rsidRPr="00F522D1">
        <w:rPr>
          <w:rFonts w:ascii="Kohinoor Devanagari" w:hAnsi="Kohinoor Devanagari" w:cs="Kohinoor Devanagari"/>
          <w:color w:val="0D0D0D"/>
          <w:sz w:val="21"/>
          <w:szCs w:val="21"/>
          <w:shd w:val="clear" w:color="auto" w:fill="FFFFFF"/>
        </w:rPr>
        <w:t xml:space="preserve">difference that affects a significant portion of the </w:t>
      </w:r>
      <w:r w:rsidR="00862C08">
        <w:rPr>
          <w:rFonts w:ascii="Kohinoor Devanagari" w:hAnsi="Kohinoor Devanagari" w:cs="Kohinoor Devanagari"/>
          <w:color w:val="0D0D0D"/>
          <w:sz w:val="21"/>
          <w:szCs w:val="21"/>
          <w:shd w:val="clear" w:color="auto" w:fill="FFFFFF"/>
        </w:rPr>
        <w:t>population</w:t>
      </w:r>
      <w:r w:rsidRPr="00F522D1">
        <w:rPr>
          <w:rFonts w:ascii="Kohinoor Devanagari" w:hAnsi="Kohinoor Devanagari" w:cs="Kohinoor Devanagari"/>
          <w:color w:val="0D0D0D"/>
          <w:sz w:val="21"/>
          <w:szCs w:val="21"/>
          <w:shd w:val="clear" w:color="auto" w:fill="FFFFFF"/>
        </w:rPr>
        <w:t xml:space="preserve"> making it a matter of public health and educational concern. </w:t>
      </w:r>
      <w:r w:rsidR="00862C08">
        <w:rPr>
          <w:rFonts w:ascii="Kohinoor Devanagari" w:hAnsi="Kohinoor Devanagari" w:cs="Kohinoor Devanagari"/>
          <w:color w:val="0D0D0D"/>
          <w:sz w:val="21"/>
          <w:szCs w:val="21"/>
          <w:shd w:val="clear" w:color="auto" w:fill="FFFFFF"/>
        </w:rPr>
        <w:t>U</w:t>
      </w:r>
      <w:r w:rsidRPr="00F522D1">
        <w:rPr>
          <w:rFonts w:ascii="Kohinoor Devanagari" w:hAnsi="Kohinoor Devanagari" w:cs="Kohinoor Devanagari"/>
          <w:color w:val="0D0D0D"/>
          <w:sz w:val="21"/>
          <w:szCs w:val="21"/>
          <w:shd w:val="clear" w:color="auto" w:fill="FFFFFF"/>
        </w:rPr>
        <w:t>nderstanding dyslexia is essential for providing appropriate support and accommodations to ind</w:t>
      </w:r>
      <w:r>
        <w:rPr>
          <w:rFonts w:ascii="Kohinoor Devanagari" w:hAnsi="Kohinoor Devanagari" w:cs="Kohinoor Devanagari"/>
          <w:color w:val="0D0D0D"/>
          <w:sz w:val="21"/>
          <w:szCs w:val="21"/>
          <w:shd w:val="clear" w:color="auto" w:fill="FFFFFF"/>
        </w:rPr>
        <w:t xml:space="preserve">ividuals </w:t>
      </w:r>
      <w:r w:rsidRPr="00F522D1">
        <w:rPr>
          <w:rFonts w:ascii="Kohinoor Devanagari" w:hAnsi="Kohinoor Devanagari" w:cs="Kohinoor Devanagari"/>
          <w:color w:val="0D0D0D"/>
          <w:sz w:val="21"/>
          <w:szCs w:val="21"/>
          <w:shd w:val="clear" w:color="auto" w:fill="FFFFFF"/>
        </w:rPr>
        <w:t xml:space="preserve">affected by it, </w:t>
      </w:r>
      <w:r>
        <w:rPr>
          <w:rFonts w:ascii="Kohinoor Devanagari" w:hAnsi="Kohinoor Devanagari" w:cs="Kohinoor Devanagari"/>
          <w:color w:val="0D0D0D"/>
          <w:sz w:val="21"/>
          <w:szCs w:val="21"/>
          <w:shd w:val="clear" w:color="auto" w:fill="FFFFFF"/>
        </w:rPr>
        <w:t xml:space="preserve">ensuring they have equal opportunities to succeed academically and in life. Additionally, exploring dyslexia sheds light on the complexities of the human brain and how it processes information, contributing to advancements in neuroscience and cognitive psychology. Furthermore, recognising the strengths associated with dyslexia challenges negative stereotypes and promotes a more inclusive and diverse perspective on intelligence and learning. Overall, the interest in dyslexia is driven by a desire to enhance understanding, provide support, and foster inclusively in education and society. </w:t>
      </w:r>
    </w:p>
    <w:p w14:paraId="103F974A" w14:textId="77777777" w:rsidR="00F522D1" w:rsidRDefault="00F522D1" w:rsidP="0070648D">
      <w:pPr>
        <w:rPr>
          <w:rFonts w:ascii="Kohinoor Devanagari" w:hAnsi="Kohinoor Devanagari" w:cs="Kohinoor Devanagari"/>
          <w:b/>
          <w:bCs/>
          <w:color w:val="0D0D0D"/>
          <w:sz w:val="21"/>
          <w:szCs w:val="21"/>
          <w:u w:val="single"/>
          <w:shd w:val="clear" w:color="auto" w:fill="FFFFFF"/>
        </w:rPr>
      </w:pPr>
    </w:p>
    <w:p w14:paraId="14882DB0" w14:textId="19DEB7D8" w:rsidR="0070648D" w:rsidRPr="000E0F53" w:rsidRDefault="000E0F53" w:rsidP="0070648D">
      <w:pPr>
        <w:rPr>
          <w:rFonts w:ascii="Kohinoor Devanagari" w:hAnsi="Kohinoor Devanagari" w:cs="Kohinoor Devanagari"/>
          <w:b/>
          <w:bCs/>
          <w:color w:val="0D0D0D"/>
          <w:sz w:val="21"/>
          <w:szCs w:val="21"/>
          <w:u w:val="single"/>
          <w:shd w:val="clear" w:color="auto" w:fill="FFFFFF"/>
        </w:rPr>
      </w:pPr>
      <w:r w:rsidRPr="000E0F53">
        <w:rPr>
          <w:rFonts w:ascii="Kohinoor Devanagari" w:hAnsi="Kohinoor Devanagari" w:cs="Kohinoor Devanagari"/>
          <w:b/>
          <w:bCs/>
          <w:color w:val="0D0D0D"/>
          <w:sz w:val="21"/>
          <w:szCs w:val="21"/>
          <w:u w:val="single"/>
          <w:shd w:val="clear" w:color="auto" w:fill="FFFFFF"/>
        </w:rPr>
        <w:t xml:space="preserve">Introduction </w:t>
      </w:r>
    </w:p>
    <w:p w14:paraId="2812B961" w14:textId="059D318C" w:rsidR="00BA6387" w:rsidRDefault="00BA6387" w:rsidP="00BA6387">
      <w:pPr>
        <w:rPr>
          <w:rFonts w:ascii="Kohinoor Devanagari" w:hAnsi="Kohinoor Devanagari" w:cs="Kohinoor Devanagari"/>
          <w:color w:val="0D0D0D"/>
          <w:sz w:val="21"/>
          <w:szCs w:val="21"/>
          <w:shd w:val="clear" w:color="auto" w:fill="FFFFFF"/>
        </w:rPr>
      </w:pPr>
    </w:p>
    <w:p w14:paraId="789A7CBE" w14:textId="47CF7E8B" w:rsidR="009F3B0B" w:rsidRDefault="009F3B0B" w:rsidP="00BA6387">
      <w:pPr>
        <w:rPr>
          <w:rFonts w:ascii="Kohinoor Devanagari" w:hAnsi="Kohinoor Devanagari" w:cs="Kohinoor Devanagari"/>
          <w:sz w:val="21"/>
          <w:szCs w:val="21"/>
        </w:rPr>
      </w:pPr>
      <w:r>
        <w:rPr>
          <w:rFonts w:ascii="Kohinoor Devanagari" w:hAnsi="Kohinoor Devanagari" w:cs="Kohinoor Devanagari"/>
          <w:color w:val="0D0D0D"/>
          <w:sz w:val="21"/>
          <w:szCs w:val="21"/>
          <w:shd w:val="clear" w:color="auto" w:fill="FFFFFF"/>
        </w:rPr>
        <w:t>So, what is dyslexia? To put it into simply term dyslexia is a learning difficulty primarily affecting skills related to accurate and fluent word reading and spelling. Key features include challenges in phonological awareness, verbal memory, and verbal processing speed. Dyslexia spans the spectrum of intellectual abilities and is best understood as a continuum rather than a distinct category, with no definitive cut-off points. While individuals with dyslexia may experience co-occurring difficulties in language, motor coordination, mental calculation, concertation, and personal organisation, these alone do not serve as makers of dyslexia. A reliable gauge of the severity and persistence of dyslexic challenges can be observed through the individual’s response to evidence-based interventions. This definition of dyslexia was proposed by Rose (2009) embraced by the BD</w:t>
      </w:r>
      <w:r w:rsidR="00322F5C">
        <w:rPr>
          <w:rFonts w:ascii="Kohinoor Devanagari" w:hAnsi="Kohinoor Devanagari" w:cs="Kohinoor Devanagari"/>
          <w:color w:val="0D0D0D"/>
          <w:sz w:val="21"/>
          <w:szCs w:val="21"/>
          <w:shd w:val="clear" w:color="auto" w:fill="FFFFFF"/>
        </w:rPr>
        <w:t>A (British Dyslexia Association).</w:t>
      </w:r>
    </w:p>
    <w:p w14:paraId="487FE5E6" w14:textId="77777777" w:rsidR="000E0F53" w:rsidRDefault="000E0F53" w:rsidP="0070648D">
      <w:pPr>
        <w:rPr>
          <w:rFonts w:ascii="Kohinoor Devanagari" w:hAnsi="Kohinoor Devanagari" w:cs="Kohinoor Devanagari"/>
          <w:color w:val="0D0D0D"/>
          <w:sz w:val="21"/>
          <w:szCs w:val="21"/>
          <w:shd w:val="clear" w:color="auto" w:fill="FFFFFF"/>
        </w:rPr>
      </w:pPr>
    </w:p>
    <w:p w14:paraId="7F8458D7" w14:textId="2B704C98" w:rsidR="0070648D" w:rsidRPr="0070648D" w:rsidRDefault="0070648D" w:rsidP="0070648D">
      <w:pPr>
        <w:rPr>
          <w:rFonts w:ascii="Kohinoor Devanagari" w:hAnsi="Kohinoor Devanagari" w:cs="Kohinoor Devanagari"/>
          <w:b/>
          <w:bCs/>
          <w:color w:val="0D0D0D"/>
          <w:sz w:val="21"/>
          <w:szCs w:val="21"/>
          <w:u w:val="single"/>
          <w:shd w:val="clear" w:color="auto" w:fill="FFFFFF"/>
        </w:rPr>
      </w:pPr>
      <w:r w:rsidRPr="0070648D">
        <w:rPr>
          <w:rFonts w:ascii="Kohinoor Devanagari" w:hAnsi="Kohinoor Devanagari" w:cs="Kohinoor Devanagari"/>
          <w:b/>
          <w:bCs/>
          <w:color w:val="0D0D0D"/>
          <w:sz w:val="21"/>
          <w:szCs w:val="21"/>
          <w:u w:val="single"/>
          <w:shd w:val="clear" w:color="auto" w:fill="FFFFFF"/>
        </w:rPr>
        <w:t>Identification</w:t>
      </w:r>
      <w:r w:rsidR="009C78EB">
        <w:rPr>
          <w:rFonts w:ascii="Kohinoor Devanagari" w:hAnsi="Kohinoor Devanagari" w:cs="Kohinoor Devanagari"/>
          <w:b/>
          <w:bCs/>
          <w:color w:val="0D0D0D"/>
          <w:sz w:val="21"/>
          <w:szCs w:val="21"/>
          <w:u w:val="single"/>
          <w:shd w:val="clear" w:color="auto" w:fill="FFFFFF"/>
        </w:rPr>
        <w:t xml:space="preserve">/ diagnoses </w:t>
      </w:r>
    </w:p>
    <w:p w14:paraId="2DC82C3D" w14:textId="77777777" w:rsidR="0070648D" w:rsidRDefault="0070648D" w:rsidP="0070648D">
      <w:pPr>
        <w:rPr>
          <w:rFonts w:ascii="Kohinoor Devanagari" w:hAnsi="Kohinoor Devanagari" w:cs="Kohinoor Devanagari"/>
          <w:color w:val="0D0D0D"/>
          <w:sz w:val="21"/>
          <w:szCs w:val="21"/>
          <w:shd w:val="clear" w:color="auto" w:fill="FFFFFF"/>
        </w:rPr>
      </w:pPr>
    </w:p>
    <w:p w14:paraId="3C9583F3" w14:textId="22CF10DD" w:rsidR="00B7742E" w:rsidRDefault="00B7742E" w:rsidP="00DE5038">
      <w:pPr>
        <w:rPr>
          <w:rFonts w:ascii="Kohinoor Devanagari" w:hAnsi="Kohinoor Devanagari" w:cs="Kohinoor Devanagari"/>
          <w:color w:val="0D0D0D"/>
          <w:sz w:val="21"/>
          <w:szCs w:val="21"/>
          <w:shd w:val="clear" w:color="auto" w:fill="FFFFFF"/>
        </w:rPr>
      </w:pPr>
      <w:r>
        <w:rPr>
          <w:rFonts w:ascii="Kohinoor Devanagari" w:hAnsi="Kohinoor Devanagari" w:cs="Kohinoor Devanagari"/>
          <w:color w:val="0D0D0D"/>
          <w:sz w:val="21"/>
          <w:szCs w:val="21"/>
          <w:shd w:val="clear" w:color="auto" w:fill="FFFFFF"/>
        </w:rPr>
        <w:t>Early identification is a crucial element of an effective intervention program for developmental dyslexia. Research shows that children at risk for dyslexia achieve better outcomes when they are identified early and given appropriate intervention (</w:t>
      </w:r>
      <w:proofErr w:type="spellStart"/>
      <w:r>
        <w:rPr>
          <w:rFonts w:ascii="Kohinoor Devanagari" w:hAnsi="Kohinoor Devanagari" w:cs="Kohinoor Devanagari"/>
          <w:color w:val="0D0D0D"/>
          <w:sz w:val="21"/>
          <w:szCs w:val="21"/>
          <w:shd w:val="clear" w:color="auto" w:fill="FFFFFF"/>
        </w:rPr>
        <w:t>Wanzek</w:t>
      </w:r>
      <w:proofErr w:type="spellEnd"/>
      <w:r>
        <w:rPr>
          <w:rFonts w:ascii="Kohinoor Devanagari" w:hAnsi="Kohinoor Devanagari" w:cs="Kohinoor Devanagari"/>
          <w:color w:val="0D0D0D"/>
          <w:sz w:val="21"/>
          <w:szCs w:val="21"/>
          <w:shd w:val="clear" w:color="auto" w:fill="FFFFFF"/>
        </w:rPr>
        <w:t xml:space="preserve"> and Vaughn, 2007).</w:t>
      </w:r>
    </w:p>
    <w:p w14:paraId="7DD06C8E" w14:textId="77777777" w:rsidR="00B7742E" w:rsidRDefault="00B7742E" w:rsidP="00DE5038">
      <w:pPr>
        <w:rPr>
          <w:rFonts w:ascii="Kohinoor Devanagari" w:hAnsi="Kohinoor Devanagari" w:cs="Kohinoor Devanagari"/>
          <w:color w:val="0D0D0D"/>
          <w:sz w:val="21"/>
          <w:szCs w:val="21"/>
          <w:shd w:val="clear" w:color="auto" w:fill="FFFFFF"/>
        </w:rPr>
      </w:pPr>
    </w:p>
    <w:p w14:paraId="245730C1" w14:textId="4EF3E621" w:rsidR="00DE5038" w:rsidRPr="006431D2" w:rsidRDefault="00DE5038" w:rsidP="00DE5038">
      <w:pPr>
        <w:rPr>
          <w:rFonts w:ascii="Kohinoor Devanagari" w:hAnsi="Kohinoor Devanagari" w:cs="Kohinoor Devanagari"/>
          <w:color w:val="0D0D0D"/>
          <w:sz w:val="21"/>
          <w:szCs w:val="21"/>
          <w:shd w:val="clear" w:color="auto" w:fill="FFFFFF"/>
        </w:rPr>
      </w:pPr>
      <w:r w:rsidRPr="006431D2">
        <w:rPr>
          <w:rFonts w:ascii="Kohinoor Devanagari" w:hAnsi="Kohinoor Devanagari" w:cs="Kohinoor Devanagari"/>
          <w:color w:val="0D0D0D"/>
          <w:sz w:val="21"/>
          <w:szCs w:val="21"/>
          <w:shd w:val="clear" w:color="auto" w:fill="FFFFFF"/>
        </w:rPr>
        <w:t xml:space="preserve">The research of Bradley and Bryant (1983) provided compelling evidence supporting the notion that certain indicators of weakness and difficulty in phonological awareness tasks, observed as early as three to four years of age, can predict future challenges in reading and spelling abilities. Their findings underscored the importance of early intervention and targeted support for children who exhibit these early signs, potentially mitigating the development of dyslexia or other reading difficulties later. </w:t>
      </w:r>
    </w:p>
    <w:p w14:paraId="3FF61F8D" w14:textId="77777777" w:rsidR="00DE5038" w:rsidRPr="006431D2" w:rsidRDefault="00DE5038" w:rsidP="00DE5038">
      <w:pPr>
        <w:rPr>
          <w:rFonts w:ascii="Kohinoor Devanagari" w:hAnsi="Kohinoor Devanagari" w:cs="Kohinoor Devanagari"/>
          <w:color w:val="0D0D0D"/>
          <w:sz w:val="21"/>
          <w:szCs w:val="21"/>
          <w:shd w:val="clear" w:color="auto" w:fill="FFFFFF"/>
        </w:rPr>
      </w:pPr>
    </w:p>
    <w:p w14:paraId="602529FB" w14:textId="005B733B" w:rsidR="00DE5038" w:rsidRPr="006431D2" w:rsidRDefault="00DE5038" w:rsidP="00DE5038">
      <w:pPr>
        <w:rPr>
          <w:rFonts w:ascii="Kohinoor Devanagari" w:hAnsi="Kohinoor Devanagari" w:cs="Kohinoor Devanagari"/>
          <w:color w:val="0D0D0D"/>
          <w:sz w:val="21"/>
          <w:szCs w:val="21"/>
          <w:shd w:val="clear" w:color="auto" w:fill="FFFFFF"/>
        </w:rPr>
      </w:pPr>
      <w:r w:rsidRPr="006431D2">
        <w:rPr>
          <w:rFonts w:ascii="Kohinoor Devanagari" w:hAnsi="Kohinoor Devanagari" w:cs="Kohinoor Devanagari"/>
          <w:color w:val="0D0D0D"/>
          <w:sz w:val="21"/>
          <w:szCs w:val="21"/>
          <w:shd w:val="clear" w:color="auto" w:fill="FFFFFF"/>
        </w:rPr>
        <w:t xml:space="preserve">However, Bryant (1985) also highlighted a critical challenge in the field of early detection and prevention of dyslexia: the lack of a precise and reliable measure to identify which children among a group of pre-schoolers are likely to struggle significantly with learning to read. Despite the recognition of early indictors such as phonological awareness deficits, there was </w:t>
      </w:r>
      <w:r w:rsidRPr="006431D2">
        <w:rPr>
          <w:rFonts w:ascii="Kohinoor Devanagari" w:hAnsi="Kohinoor Devanagari" w:cs="Kohinoor Devanagari"/>
          <w:color w:val="0D0D0D"/>
          <w:sz w:val="21"/>
          <w:szCs w:val="21"/>
          <w:shd w:val="clear" w:color="auto" w:fill="FFFFFF"/>
        </w:rPr>
        <w:lastRenderedPageBreak/>
        <w:t>no single, universally accepted measure that could accurately pinpoint individual children at risk of dyslexia at such a young age.</w:t>
      </w:r>
    </w:p>
    <w:p w14:paraId="0CC86026" w14:textId="77777777" w:rsidR="00DE5038" w:rsidRPr="006431D2" w:rsidRDefault="00DE5038" w:rsidP="00DE5038">
      <w:pPr>
        <w:rPr>
          <w:rFonts w:ascii="Kohinoor Devanagari" w:hAnsi="Kohinoor Devanagari" w:cs="Kohinoor Devanagari"/>
          <w:color w:val="0D0D0D"/>
          <w:sz w:val="21"/>
          <w:szCs w:val="21"/>
          <w:shd w:val="clear" w:color="auto" w:fill="FFFFFF"/>
        </w:rPr>
      </w:pPr>
    </w:p>
    <w:p w14:paraId="7E1D3CBC" w14:textId="77777777" w:rsidR="00DE5038" w:rsidRPr="006431D2" w:rsidRDefault="00DE5038" w:rsidP="00DE5038">
      <w:pPr>
        <w:rPr>
          <w:rFonts w:ascii="Kohinoor Devanagari" w:hAnsi="Kohinoor Devanagari" w:cs="Kohinoor Devanagari"/>
          <w:color w:val="0D0D0D"/>
          <w:sz w:val="21"/>
          <w:szCs w:val="21"/>
          <w:shd w:val="clear" w:color="auto" w:fill="FFFFFF"/>
        </w:rPr>
      </w:pPr>
      <w:r w:rsidRPr="006431D2">
        <w:rPr>
          <w:rFonts w:ascii="Kohinoor Devanagari" w:hAnsi="Kohinoor Devanagari" w:cs="Kohinoor Devanagari"/>
          <w:color w:val="0D0D0D"/>
          <w:sz w:val="21"/>
          <w:szCs w:val="21"/>
          <w:shd w:val="clear" w:color="auto" w:fill="FFFFFF"/>
        </w:rPr>
        <w:t xml:space="preserve">This gap in assessment tools emphasises the ongoing need for further research and development in the field of early screening and intervention for dyslexia. Efforts to refine existing measures and explore novel approaches to early detection are crucial for improving outcomes for children risk of reading difficulties and dyslexia.  </w:t>
      </w:r>
    </w:p>
    <w:p w14:paraId="3EC1ED12" w14:textId="77777777" w:rsidR="00DE5038" w:rsidRPr="006431D2" w:rsidRDefault="00DE5038" w:rsidP="0070648D">
      <w:pPr>
        <w:rPr>
          <w:rFonts w:ascii="Kohinoor Devanagari" w:hAnsi="Kohinoor Devanagari" w:cs="Kohinoor Devanagari"/>
          <w:color w:val="0D0D0D"/>
          <w:sz w:val="21"/>
          <w:szCs w:val="21"/>
          <w:shd w:val="clear" w:color="auto" w:fill="FFFFFF"/>
        </w:rPr>
      </w:pPr>
    </w:p>
    <w:p w14:paraId="511EC643" w14:textId="7679EE8F" w:rsidR="0070648D" w:rsidRPr="006431D2" w:rsidRDefault="0070648D" w:rsidP="0070648D">
      <w:pPr>
        <w:rPr>
          <w:rFonts w:ascii="Kohinoor Devanagari" w:hAnsi="Kohinoor Devanagari" w:cs="Kohinoor Devanagari"/>
          <w:color w:val="0D0D0D"/>
          <w:sz w:val="21"/>
          <w:szCs w:val="21"/>
          <w:shd w:val="clear" w:color="auto" w:fill="FFFFFF"/>
        </w:rPr>
      </w:pPr>
      <w:r w:rsidRPr="006431D2">
        <w:rPr>
          <w:rFonts w:ascii="Kohinoor Devanagari" w:hAnsi="Kohinoor Devanagari" w:cs="Kohinoor Devanagari"/>
          <w:color w:val="0D0D0D"/>
          <w:sz w:val="21"/>
          <w:szCs w:val="21"/>
          <w:shd w:val="clear" w:color="auto" w:fill="FFFFFF"/>
        </w:rPr>
        <w:t xml:space="preserve">Nicolson and Fawcett’s research at Sheffield University highlighted the urgent need for early screening to prevent the detrimental impact of administering screening tests, often involving educational psychologists and lengthy procedures, were not feasible on a large scale due to their high cost and resources-intensive nature. </w:t>
      </w:r>
    </w:p>
    <w:p w14:paraId="24A8DDF2" w14:textId="77777777" w:rsidR="0070648D" w:rsidRPr="006431D2" w:rsidRDefault="0070648D" w:rsidP="0070648D">
      <w:pPr>
        <w:rPr>
          <w:rFonts w:ascii="Kohinoor Devanagari" w:hAnsi="Kohinoor Devanagari" w:cs="Kohinoor Devanagari"/>
          <w:color w:val="0D0D0D"/>
          <w:sz w:val="21"/>
          <w:szCs w:val="21"/>
          <w:shd w:val="clear" w:color="auto" w:fill="FFFFFF"/>
        </w:rPr>
      </w:pPr>
    </w:p>
    <w:p w14:paraId="2F53E20A" w14:textId="1F165097" w:rsidR="00A55F12" w:rsidRDefault="0070648D" w:rsidP="0070648D">
      <w:pPr>
        <w:rPr>
          <w:rFonts w:ascii="Kohinoor Devanagari" w:hAnsi="Kohinoor Devanagari" w:cs="Kohinoor Devanagari"/>
          <w:color w:val="0D0D0D"/>
          <w:sz w:val="21"/>
          <w:szCs w:val="21"/>
          <w:shd w:val="clear" w:color="auto" w:fill="FFFFFF"/>
        </w:rPr>
      </w:pPr>
      <w:r w:rsidRPr="006431D2">
        <w:rPr>
          <w:rFonts w:ascii="Kohinoor Devanagari" w:hAnsi="Kohinoor Devanagari" w:cs="Kohinoor Devanagari"/>
          <w:color w:val="0D0D0D"/>
          <w:sz w:val="21"/>
          <w:szCs w:val="21"/>
          <w:shd w:val="clear" w:color="auto" w:fill="FFFFFF"/>
        </w:rPr>
        <w:t xml:space="preserve">To address this challenge, Nicolson and Fawcett embarked on devising a screening test that could be administered by teachers or school health professionals. This approach aimed to streamline the screening process, enabling early identification of dyslexia risk factors, and facilitating timely intervention and support for affected individuals. </w:t>
      </w:r>
    </w:p>
    <w:p w14:paraId="485A92C6" w14:textId="77777777" w:rsidR="00506B1E" w:rsidRDefault="00506B1E" w:rsidP="0070648D">
      <w:pPr>
        <w:rPr>
          <w:rFonts w:ascii="Kohinoor Devanagari" w:hAnsi="Kohinoor Devanagari" w:cs="Kohinoor Devanagari"/>
          <w:color w:val="0D0D0D"/>
          <w:sz w:val="21"/>
          <w:szCs w:val="21"/>
          <w:shd w:val="clear" w:color="auto" w:fill="FFFFFF"/>
        </w:rPr>
      </w:pPr>
    </w:p>
    <w:p w14:paraId="43FFC91D" w14:textId="1FD7F919" w:rsidR="00A55F12" w:rsidRDefault="000203BA" w:rsidP="0070648D">
      <w:pPr>
        <w:rPr>
          <w:rFonts w:ascii="Kohinoor Devanagari" w:hAnsi="Kohinoor Devanagari" w:cs="Kohinoor Devanagari"/>
          <w:color w:val="0D0D0D"/>
          <w:sz w:val="21"/>
          <w:szCs w:val="21"/>
          <w:shd w:val="clear" w:color="auto" w:fill="FFFFFF"/>
        </w:rPr>
      </w:pPr>
      <w:r>
        <w:rPr>
          <w:rFonts w:ascii="Kohinoor Devanagari" w:hAnsi="Kohinoor Devanagari" w:cs="Kohinoor Devanagari"/>
          <w:color w:val="0D0D0D"/>
          <w:sz w:val="21"/>
          <w:szCs w:val="21"/>
          <w:shd w:val="clear" w:color="auto" w:fill="FFFFFF"/>
        </w:rPr>
        <w:t>Studies have concluded that areas of the brain are vaguely distinctive in individuals with dyslexia which may be a reasoning behind their delays.</w:t>
      </w:r>
      <w:r w:rsidR="00A55F12">
        <w:rPr>
          <w:rFonts w:ascii="Kohinoor Devanagari" w:hAnsi="Kohinoor Devanagari" w:cs="Kohinoor Devanagari"/>
          <w:color w:val="0D0D0D"/>
          <w:sz w:val="21"/>
          <w:szCs w:val="21"/>
          <w:shd w:val="clear" w:color="auto" w:fill="FFFFFF"/>
        </w:rPr>
        <w:t xml:space="preserve"> </w:t>
      </w:r>
      <w:r w:rsidR="00D9344A">
        <w:rPr>
          <w:rFonts w:ascii="Kohinoor Devanagari" w:hAnsi="Kohinoor Devanagari" w:cs="Kohinoor Devanagari"/>
          <w:color w:val="0D0D0D"/>
          <w:sz w:val="21"/>
          <w:szCs w:val="21"/>
          <w:shd w:val="clear" w:color="auto" w:fill="FFFFFF"/>
        </w:rPr>
        <w:t>D</w:t>
      </w:r>
      <w:r w:rsidR="00A55F12">
        <w:rPr>
          <w:rFonts w:ascii="Kohinoor Devanagari" w:hAnsi="Kohinoor Devanagari" w:cs="Kohinoor Devanagari"/>
          <w:color w:val="0D0D0D"/>
          <w:sz w:val="21"/>
          <w:szCs w:val="21"/>
          <w:shd w:val="clear" w:color="auto" w:fill="FFFFFF"/>
        </w:rPr>
        <w:t xml:space="preserve">yslexic brains show increased activity in the frontal lobe and reduced activity in the parietal and occipital lobes. The parietal lobe is crucial for accessing whole words and reading fluently and automatically. This reduced activity in the parietal and occipital regions may contribute to the reading and writing difficulties experienced by individuals with dyslexia. </w:t>
      </w:r>
    </w:p>
    <w:p w14:paraId="1416650F" w14:textId="77777777" w:rsidR="0070648D" w:rsidRDefault="0070648D">
      <w:pPr>
        <w:rPr>
          <w:b/>
          <w:bCs/>
          <w:u w:val="single"/>
        </w:rPr>
      </w:pPr>
    </w:p>
    <w:p w14:paraId="1C6E66A1" w14:textId="77777777" w:rsidR="003A4D34" w:rsidRPr="00A8173E" w:rsidRDefault="003A4D34" w:rsidP="003A4D34">
      <w:pPr>
        <w:rPr>
          <w:rFonts w:ascii="Kohinoor Devanagari" w:hAnsi="Kohinoor Devanagari" w:cs="Kohinoor Devanagari"/>
          <w:sz w:val="21"/>
          <w:szCs w:val="21"/>
        </w:rPr>
      </w:pPr>
      <w:r w:rsidRPr="00A8173E">
        <w:rPr>
          <w:rFonts w:ascii="Kohinoor Devanagari" w:hAnsi="Kohinoor Devanagari" w:cs="Kohinoor Devanagari"/>
          <w:sz w:val="21"/>
          <w:szCs w:val="21"/>
        </w:rPr>
        <w:t>In December 2021, Matt Hancock,</w:t>
      </w:r>
      <w:r>
        <w:rPr>
          <w:rFonts w:ascii="Kohinoor Devanagari" w:hAnsi="Kohinoor Devanagari" w:cs="Kohinoor Devanagari"/>
          <w:sz w:val="21"/>
          <w:szCs w:val="21"/>
        </w:rPr>
        <w:t xml:space="preserve"> </w:t>
      </w:r>
      <w:r w:rsidRPr="00A8173E">
        <w:rPr>
          <w:rFonts w:ascii="Kohinoor Devanagari" w:hAnsi="Kohinoor Devanagari" w:cs="Kohinoor Devanagari"/>
          <w:sz w:val="21"/>
          <w:szCs w:val="21"/>
        </w:rPr>
        <w:t>introduced the Dyslexia Screening Bill. But in March 2022, Mr. Hancock withdrew the Bill without going beyond what was prescribed.</w:t>
      </w:r>
    </w:p>
    <w:p w14:paraId="1FAEE5D2" w14:textId="77777777" w:rsidR="002D592B" w:rsidRDefault="003A4D34">
      <w:pPr>
        <w:rPr>
          <w:rFonts w:ascii="Kohinoor Devanagari" w:hAnsi="Kohinoor Devanagari" w:cs="Kohinoor Devanagari"/>
          <w:sz w:val="21"/>
          <w:szCs w:val="21"/>
        </w:rPr>
      </w:pPr>
      <w:r w:rsidRPr="00A8173E">
        <w:rPr>
          <w:rFonts w:ascii="Kohinoor Devanagari" w:hAnsi="Kohinoor Devanagari" w:cs="Kohinoor Devanagari"/>
          <w:sz w:val="21"/>
          <w:szCs w:val="21"/>
        </w:rPr>
        <w:t xml:space="preserve">The Bill suggested screening all </w:t>
      </w:r>
      <w:r>
        <w:rPr>
          <w:rFonts w:ascii="Kohinoor Devanagari" w:hAnsi="Kohinoor Devanagari" w:cs="Kohinoor Devanagari"/>
          <w:sz w:val="21"/>
          <w:szCs w:val="21"/>
        </w:rPr>
        <w:t>children</w:t>
      </w:r>
      <w:r w:rsidRPr="00A8173E">
        <w:rPr>
          <w:rFonts w:ascii="Kohinoor Devanagari" w:hAnsi="Kohinoor Devanagari" w:cs="Kohinoor Devanagari"/>
          <w:sz w:val="21"/>
          <w:szCs w:val="21"/>
        </w:rPr>
        <w:t xml:space="preserve"> in primary schools for dyslexia. It also emphasised how crucial teacher preparation is to helping dyslexic kids get better results. Hancock contended that educators ought to be able to instruct students "according to how their brains work," given that the functioning of dyslexic brains differs from that of more neurotypical profiles. </w:t>
      </w:r>
      <w:r>
        <w:rPr>
          <w:rFonts w:ascii="Kohinoor Devanagari" w:hAnsi="Kohinoor Devanagari" w:cs="Kohinoor Devanagari"/>
          <w:sz w:val="21"/>
          <w:szCs w:val="21"/>
        </w:rPr>
        <w:t xml:space="preserve"> </w:t>
      </w:r>
      <w:r w:rsidRPr="00A8173E">
        <w:rPr>
          <w:rFonts w:ascii="Kohinoor Devanagari" w:hAnsi="Kohinoor Devanagari" w:cs="Kohinoor Devanagari"/>
          <w:sz w:val="21"/>
          <w:szCs w:val="21"/>
        </w:rPr>
        <w:t>The Department for Education is dedicated to making sure that all children and young people with Special Educational Needs and Disabilities (SEND), including dyslexia, receive the support they require to succeed in their education, even considering the Bill's withdrawal.</w:t>
      </w:r>
      <w:r>
        <w:rPr>
          <w:rFonts w:ascii="Kohinoor Devanagari" w:hAnsi="Kohinoor Devanagari" w:cs="Kohinoor Devanagari"/>
          <w:sz w:val="21"/>
          <w:szCs w:val="21"/>
        </w:rPr>
        <w:t xml:space="preserve"> </w:t>
      </w:r>
      <w:r w:rsidRPr="00EB5892">
        <w:rPr>
          <w:rFonts w:ascii="Kohinoor Devanagari" w:hAnsi="Kohinoor Devanagari" w:cs="Kohinoor Devanagari"/>
          <w:sz w:val="21"/>
          <w:szCs w:val="21"/>
        </w:rPr>
        <w:t>Mainstream schools are required by the Children and Families Act 2014 to make every effort to ensure that a child or young person with special education needs (SEN) gets the support they require.</w:t>
      </w:r>
      <w:r>
        <w:rPr>
          <w:rFonts w:ascii="Kohinoor Devanagari" w:hAnsi="Kohinoor Devanagari" w:cs="Kohinoor Devanagari"/>
          <w:sz w:val="21"/>
          <w:szCs w:val="21"/>
        </w:rPr>
        <w:t xml:space="preserve"> Children with IEP’s should be accommodation with the necessary equipment to suit their needs. </w:t>
      </w:r>
    </w:p>
    <w:p w14:paraId="49BAD3B8" w14:textId="77777777" w:rsidR="00AD6C46" w:rsidRDefault="00AD6C46">
      <w:pPr>
        <w:rPr>
          <w:b/>
          <w:bCs/>
          <w:u w:val="single"/>
        </w:rPr>
      </w:pPr>
    </w:p>
    <w:p w14:paraId="0A9992C3" w14:textId="47314F45" w:rsidR="003E07D1" w:rsidRPr="002D592B" w:rsidRDefault="00BE00E6">
      <w:pPr>
        <w:rPr>
          <w:rFonts w:ascii="Kohinoor Devanagari" w:hAnsi="Kohinoor Devanagari" w:cs="Kohinoor Devanagari"/>
          <w:sz w:val="21"/>
          <w:szCs w:val="21"/>
        </w:rPr>
      </w:pPr>
      <w:r>
        <w:rPr>
          <w:b/>
          <w:bCs/>
          <w:u w:val="single"/>
        </w:rPr>
        <w:t xml:space="preserve">Supporting strategies </w:t>
      </w:r>
      <w:r w:rsidR="003E07D1">
        <w:rPr>
          <w:b/>
          <w:bCs/>
          <w:u w:val="single"/>
        </w:rPr>
        <w:t xml:space="preserve"> </w:t>
      </w:r>
    </w:p>
    <w:p w14:paraId="0C684529" w14:textId="77777777" w:rsidR="00F66F9F" w:rsidRDefault="00F66F9F" w:rsidP="00A8173E">
      <w:pPr>
        <w:rPr>
          <w:rFonts w:ascii="Kohinoor Devanagari" w:hAnsi="Kohinoor Devanagari" w:cs="Kohinoor Devanagari"/>
          <w:sz w:val="21"/>
          <w:szCs w:val="21"/>
        </w:rPr>
      </w:pPr>
    </w:p>
    <w:p w14:paraId="313EE21B" w14:textId="75F7A75F" w:rsidR="00DE2128" w:rsidRDefault="00604C3B">
      <w:pPr>
        <w:rPr>
          <w:rFonts w:ascii="Kohinoor Devanagari" w:hAnsi="Kohinoor Devanagari" w:cs="Kohinoor Devanagari"/>
          <w:sz w:val="21"/>
          <w:szCs w:val="21"/>
        </w:rPr>
      </w:pPr>
      <w:r>
        <w:rPr>
          <w:rFonts w:ascii="Kohinoor Devanagari" w:hAnsi="Kohinoor Devanagari" w:cs="Kohinoor Devanagari"/>
          <w:sz w:val="21"/>
          <w:szCs w:val="21"/>
        </w:rPr>
        <w:t xml:space="preserve">The recommended approach advocates for having dyslexia specialist teacher in each school, or group of schools for very small ones, to provide the necessary expertise. Their role encompasses establishing early identification protocols for dyslexic children, training </w:t>
      </w:r>
      <w:r>
        <w:rPr>
          <w:rFonts w:ascii="Kohinoor Devanagari" w:hAnsi="Kohinoor Devanagari" w:cs="Kohinoor Devanagari"/>
          <w:sz w:val="21"/>
          <w:szCs w:val="21"/>
        </w:rPr>
        <w:lastRenderedPageBreak/>
        <w:t xml:space="preserve">teaching assistants and classroom teachers, and ensuring appropriate interventions for struggling reader. These specialists should oversee the coordination of literacy interventions conducted by practitioners and teaching assistants. Ideally, they should receive comprehensive training enabling them to independently evaluate children, thus reducing the reliance on costly private evaluations. To maximise their impact on dyslexic students, they should also have opportunities for one-on-one work with them. Teachers with specialised training should extended beyond administrative roles. They should also be available to support school leadership teams, SENCOs, governors, and when needed, local authority staff. </w:t>
      </w:r>
    </w:p>
    <w:p w14:paraId="3848C4E7" w14:textId="77777777" w:rsidR="00604C3B" w:rsidRDefault="00604C3B">
      <w:pPr>
        <w:rPr>
          <w:rFonts w:ascii="Kohinoor Devanagari" w:hAnsi="Kohinoor Devanagari" w:cs="Kohinoor Devanagari"/>
          <w:sz w:val="21"/>
          <w:szCs w:val="21"/>
        </w:rPr>
      </w:pPr>
    </w:p>
    <w:p w14:paraId="2551E16B" w14:textId="76E4EEC8" w:rsidR="00C8550C" w:rsidRDefault="00C8550C">
      <w:pPr>
        <w:rPr>
          <w:rFonts w:ascii="Kohinoor Devanagari" w:hAnsi="Kohinoor Devanagari" w:cs="Kohinoor Devanagari"/>
          <w:b/>
          <w:bCs/>
          <w:sz w:val="21"/>
          <w:szCs w:val="21"/>
          <w:u w:val="single"/>
        </w:rPr>
      </w:pPr>
      <w:r>
        <w:rPr>
          <w:rFonts w:ascii="Kohinoor Devanagari" w:hAnsi="Kohinoor Devanagari" w:cs="Kohinoor Devanagari"/>
          <w:b/>
          <w:bCs/>
          <w:sz w:val="21"/>
          <w:szCs w:val="21"/>
          <w:u w:val="single"/>
        </w:rPr>
        <w:t xml:space="preserve">Barriers/challenges </w:t>
      </w:r>
    </w:p>
    <w:p w14:paraId="53620E16" w14:textId="77777777" w:rsidR="00C8550C" w:rsidRDefault="00C8550C">
      <w:pPr>
        <w:rPr>
          <w:rFonts w:ascii="Kohinoor Devanagari" w:hAnsi="Kohinoor Devanagari" w:cs="Kohinoor Devanagari"/>
          <w:b/>
          <w:bCs/>
          <w:sz w:val="21"/>
          <w:szCs w:val="21"/>
          <w:u w:val="single"/>
        </w:rPr>
      </w:pPr>
    </w:p>
    <w:p w14:paraId="2E80025A" w14:textId="5AA2F766" w:rsidR="00D71F10" w:rsidRDefault="00D71F10" w:rsidP="00985DC3">
      <w:pPr>
        <w:rPr>
          <w:rFonts w:ascii="Kohinoor Devanagari" w:hAnsi="Kohinoor Devanagari" w:cs="Kohinoor Devanagari"/>
          <w:sz w:val="21"/>
          <w:szCs w:val="21"/>
        </w:rPr>
      </w:pPr>
      <w:r w:rsidRPr="00D71F10">
        <w:rPr>
          <w:rFonts w:ascii="Kohinoor Devanagari" w:hAnsi="Kohinoor Devanagari" w:cs="Kohinoor Devanagari"/>
          <w:sz w:val="21"/>
          <w:szCs w:val="21"/>
        </w:rPr>
        <w:t>According to Coopersmith (1967), self-esteem is defined as a “personal judgement of worthiness that is expressed in that attitudes the individual holds towards himself” (Coopersmith,1967.pp.4-5). Many argue that students lacking self-esteem in their academic studies may seek other ways to gain peer attention (Kirk and Reid, 2001;Scott, 2004). Attentionally Riddick, Sterling, Famer, and Morgan (1999) concur with Peer and Reid (2001) that frustration in children with dyslexia often leads to antisocial and deviant behaviour, particularly in those with low-self-esteem.</w:t>
      </w:r>
      <w:r w:rsidR="009D22E4">
        <w:rPr>
          <w:rFonts w:ascii="Kohinoor Devanagari" w:hAnsi="Kohinoor Devanagari" w:cs="Kohinoor Devanagari"/>
          <w:sz w:val="21"/>
          <w:szCs w:val="21"/>
        </w:rPr>
        <w:t xml:space="preserve"> Molnar and Lindquist (1989) suggest that students may misbehave in lesson if they perceive the classroom and coursework as threating, using negative attention to protect their self-esteem. The issue with low self-esteem is that it can lead to the development of a negative self-image, causing students to fall into a self-fulfilling prophecy of expecting failure (Riddick, 1996). Morgan and Klein (2002) note that children who are labelled as ‘thick’ or ‘dumb’ often make life choices that further reinforce their low-self-esteem and lack of confidence. Barrett and Jones (1996) argue that it is native to assume that dyslexic students wouldn’t struggle with low-self-esteem due to their learning difficulties. Additionally, O’Moore and Hillary (1992) highlight strong connections between low-self-esteem, learning difficulties, and bullying. </w:t>
      </w:r>
      <w:r w:rsidR="00807B8E">
        <w:rPr>
          <w:rFonts w:ascii="Kohinoor Devanagari" w:hAnsi="Kohinoor Devanagari" w:cs="Kohinoor Devanagari"/>
          <w:sz w:val="21"/>
          <w:szCs w:val="21"/>
        </w:rPr>
        <w:t>I concur with Molnar and Lindquist as my brother has dyslexia and had the same experience by lashing out in class and being kicked out for misbehaving to deflect that he couldn’t read or write. This was because the school didn’t or didn’t acknowledge his needs even though he has a sta</w:t>
      </w:r>
      <w:r w:rsidR="00842254">
        <w:rPr>
          <w:rFonts w:ascii="Kohinoor Devanagari" w:hAnsi="Kohinoor Devanagari" w:cs="Kohinoor Devanagari"/>
          <w:sz w:val="21"/>
          <w:szCs w:val="21"/>
        </w:rPr>
        <w:t>tement</w:t>
      </w:r>
      <w:r w:rsidR="00807B8E">
        <w:rPr>
          <w:rFonts w:ascii="Kohinoor Devanagari" w:hAnsi="Kohinoor Devanagari" w:cs="Kohinoor Devanagari"/>
          <w:sz w:val="21"/>
          <w:szCs w:val="21"/>
        </w:rPr>
        <w:t xml:space="preserve"> which we had to go private for</w:t>
      </w:r>
      <w:r w:rsidR="00842254">
        <w:rPr>
          <w:rFonts w:ascii="Kohinoor Devanagari" w:hAnsi="Kohinoor Devanagari" w:cs="Kohinoor Devanagari"/>
          <w:sz w:val="21"/>
          <w:szCs w:val="21"/>
        </w:rPr>
        <w:t xml:space="preserve"> as his primary school didn’t address his difficulties even though they knew he had the signs of being dyslexic. </w:t>
      </w:r>
    </w:p>
    <w:p w14:paraId="33F985E1" w14:textId="77777777" w:rsidR="00807B8E" w:rsidRDefault="00807B8E" w:rsidP="00985DC3">
      <w:pPr>
        <w:rPr>
          <w:rFonts w:ascii="Kohinoor Devanagari" w:hAnsi="Kohinoor Devanagari" w:cs="Kohinoor Devanagari"/>
          <w:sz w:val="21"/>
          <w:szCs w:val="21"/>
        </w:rPr>
      </w:pPr>
    </w:p>
    <w:p w14:paraId="3B67F466" w14:textId="5EB95108" w:rsidR="00AE2925" w:rsidRPr="00AE2925" w:rsidRDefault="00ED7C3B">
      <w:pPr>
        <w:rPr>
          <w:rFonts w:ascii="Kohinoor Devanagari" w:hAnsi="Kohinoor Devanagari" w:cs="Kohinoor Devanagari"/>
          <w:sz w:val="21"/>
          <w:szCs w:val="21"/>
        </w:rPr>
      </w:pPr>
      <w:r>
        <w:rPr>
          <w:rFonts w:ascii="Kohinoor Devanagari" w:hAnsi="Kohinoor Devanagari" w:cs="Kohinoor Devanagari"/>
          <w:sz w:val="21"/>
          <w:szCs w:val="21"/>
        </w:rPr>
        <w:t xml:space="preserve">Dyslexia </w:t>
      </w:r>
      <w:r w:rsidR="00AE2925">
        <w:rPr>
          <w:rFonts w:ascii="Kohinoor Devanagari" w:hAnsi="Kohinoor Devanagari" w:cs="Kohinoor Devanagari"/>
          <w:sz w:val="21"/>
          <w:szCs w:val="21"/>
        </w:rPr>
        <w:t xml:space="preserve">in schools is one of the biggest </w:t>
      </w:r>
      <w:r>
        <w:rPr>
          <w:rFonts w:ascii="Kohinoor Devanagari" w:hAnsi="Kohinoor Devanagari" w:cs="Kohinoor Devanagari"/>
          <w:sz w:val="21"/>
          <w:szCs w:val="21"/>
        </w:rPr>
        <w:t>challenges</w:t>
      </w:r>
      <w:r w:rsidR="00AE2925">
        <w:rPr>
          <w:rFonts w:ascii="Kohinoor Devanagari" w:hAnsi="Kohinoor Devanagari" w:cs="Kohinoor Devanagari"/>
          <w:sz w:val="21"/>
          <w:szCs w:val="21"/>
        </w:rPr>
        <w:t xml:space="preserve"> they face as a report </w:t>
      </w:r>
      <w:r>
        <w:rPr>
          <w:rFonts w:ascii="Kohinoor Devanagari" w:hAnsi="Kohinoor Devanagari" w:cs="Kohinoor Devanagari"/>
          <w:sz w:val="21"/>
          <w:szCs w:val="21"/>
        </w:rPr>
        <w:t>underscores</w:t>
      </w:r>
      <w:r w:rsidR="00AE2925">
        <w:rPr>
          <w:rFonts w:ascii="Kohinoor Devanagari" w:hAnsi="Kohinoor Devanagari" w:cs="Kohinoor Devanagari"/>
          <w:sz w:val="21"/>
          <w:szCs w:val="21"/>
        </w:rPr>
        <w:t xml:space="preserve"> the critical need for training all teachers in dyslexia, revealing that 43% of schools in the UK lack an understanding of </w:t>
      </w:r>
      <w:r>
        <w:rPr>
          <w:rFonts w:ascii="Kohinoor Devanagari" w:hAnsi="Kohinoor Devanagari" w:cs="Kohinoor Devanagari"/>
          <w:sz w:val="21"/>
          <w:szCs w:val="21"/>
        </w:rPr>
        <w:t>dyslexia challenges</w:t>
      </w:r>
      <w:r w:rsidR="00AE2925">
        <w:rPr>
          <w:rFonts w:ascii="Kohinoor Devanagari" w:hAnsi="Kohinoor Devanagari" w:cs="Kohinoor Devanagari"/>
          <w:sz w:val="21"/>
          <w:szCs w:val="21"/>
        </w:rPr>
        <w:t xml:space="preserve">, and 80% of </w:t>
      </w:r>
      <w:r>
        <w:rPr>
          <w:rFonts w:ascii="Kohinoor Devanagari" w:hAnsi="Kohinoor Devanagari" w:cs="Kohinoor Devanagari"/>
          <w:sz w:val="21"/>
          <w:szCs w:val="21"/>
        </w:rPr>
        <w:t xml:space="preserve">dyslexia </w:t>
      </w:r>
      <w:r w:rsidR="00AE2925">
        <w:rPr>
          <w:rFonts w:ascii="Kohinoor Devanagari" w:hAnsi="Kohinoor Devanagari" w:cs="Kohinoor Devanagari"/>
          <w:sz w:val="21"/>
          <w:szCs w:val="21"/>
        </w:rPr>
        <w:t xml:space="preserve">students are leaving school </w:t>
      </w:r>
      <w:r>
        <w:rPr>
          <w:rFonts w:ascii="Kohinoor Devanagari" w:hAnsi="Kohinoor Devanagari" w:cs="Kohinoor Devanagari"/>
          <w:sz w:val="21"/>
          <w:szCs w:val="21"/>
        </w:rPr>
        <w:t>undiagnosed</w:t>
      </w:r>
      <w:r w:rsidR="00AE2925">
        <w:rPr>
          <w:rFonts w:ascii="Kohinoor Devanagari" w:hAnsi="Kohinoor Devanagari" w:cs="Kohinoor Devanagari"/>
          <w:sz w:val="21"/>
          <w:szCs w:val="21"/>
        </w:rPr>
        <w:t>.</w:t>
      </w:r>
    </w:p>
    <w:p w14:paraId="327C9DED" w14:textId="77777777" w:rsidR="0034728B" w:rsidRDefault="0034728B">
      <w:pPr>
        <w:rPr>
          <w:rFonts w:ascii="Kohinoor Devanagari" w:hAnsi="Kohinoor Devanagari" w:cs="Kohinoor Devanagari"/>
          <w:b/>
          <w:bCs/>
          <w:sz w:val="21"/>
          <w:szCs w:val="21"/>
          <w:u w:val="single"/>
        </w:rPr>
      </w:pPr>
    </w:p>
    <w:p w14:paraId="24A422B3" w14:textId="71C36D9A" w:rsidR="00ED7C3B" w:rsidRPr="00ED7C3B" w:rsidRDefault="0034728B">
      <w:pPr>
        <w:rPr>
          <w:rFonts w:ascii="Kohinoor Devanagari" w:hAnsi="Kohinoor Devanagari" w:cs="Kohinoor Devanagari"/>
          <w:sz w:val="21"/>
          <w:szCs w:val="21"/>
        </w:rPr>
      </w:pPr>
      <w:r w:rsidRPr="0034728B">
        <w:rPr>
          <w:rFonts w:ascii="Kohinoor Devanagari" w:hAnsi="Kohinoor Devanagari" w:cs="Kohinoor Devanagari"/>
          <w:sz w:val="21"/>
          <w:szCs w:val="21"/>
        </w:rPr>
        <w:t>A</w:t>
      </w:r>
      <w:r w:rsidR="00ED7C3B" w:rsidRPr="0034728B">
        <w:rPr>
          <w:rFonts w:ascii="Kohinoor Devanagari" w:hAnsi="Kohinoor Devanagari" w:cs="Kohinoor Devanagari"/>
          <w:sz w:val="21"/>
          <w:szCs w:val="21"/>
        </w:rPr>
        <w:t xml:space="preserve"> </w:t>
      </w:r>
      <w:r w:rsidR="00ED7C3B" w:rsidRPr="00ED7C3B">
        <w:rPr>
          <w:rFonts w:ascii="Kohinoor Devanagari" w:hAnsi="Kohinoor Devanagari" w:cs="Kohinoor Devanagari"/>
          <w:sz w:val="21"/>
          <w:szCs w:val="21"/>
        </w:rPr>
        <w:t>report found that only 1 in 10 teachers have a good understanding of dyslexic strengths, while 78% of UK students receive support that is average, poor, or non-existent. Additionally, 80% of the UK population describe the process of identifying dy</w:t>
      </w:r>
      <w:r w:rsidR="00ED7C3B">
        <w:rPr>
          <w:rFonts w:ascii="Kohinoor Devanagari" w:hAnsi="Kohinoor Devanagari" w:cs="Kohinoor Devanagari"/>
          <w:sz w:val="21"/>
          <w:szCs w:val="21"/>
        </w:rPr>
        <w:t xml:space="preserve">slexic </w:t>
      </w:r>
      <w:r w:rsidR="00ED7C3B" w:rsidRPr="00ED7C3B">
        <w:rPr>
          <w:rFonts w:ascii="Kohinoor Devanagari" w:hAnsi="Kohinoor Devanagari" w:cs="Kohinoor Devanagari"/>
          <w:sz w:val="21"/>
          <w:szCs w:val="21"/>
        </w:rPr>
        <w:t>as difficult or impossible, and only 3% of the UK schools screen for dy</w:t>
      </w:r>
      <w:r w:rsidR="00ED7C3B">
        <w:rPr>
          <w:rFonts w:ascii="Kohinoor Devanagari" w:hAnsi="Kohinoor Devanagari" w:cs="Kohinoor Devanagari"/>
          <w:sz w:val="21"/>
          <w:szCs w:val="21"/>
        </w:rPr>
        <w:t>slexia</w:t>
      </w:r>
      <w:r w:rsidR="00ED7C3B" w:rsidRPr="00ED7C3B">
        <w:rPr>
          <w:rFonts w:ascii="Kohinoor Devanagari" w:hAnsi="Kohinoor Devanagari" w:cs="Kohinoor Devanagari"/>
          <w:sz w:val="21"/>
          <w:szCs w:val="21"/>
        </w:rPr>
        <w:t>. This indicates that much more could and should be done to support teachers and dys</w:t>
      </w:r>
      <w:r w:rsidR="00ED7C3B">
        <w:rPr>
          <w:rFonts w:ascii="Kohinoor Devanagari" w:hAnsi="Kohinoor Devanagari" w:cs="Kohinoor Devanagari"/>
          <w:sz w:val="21"/>
          <w:szCs w:val="21"/>
        </w:rPr>
        <w:t>lexia</w:t>
      </w:r>
      <w:r w:rsidR="00ED7C3B" w:rsidRPr="00ED7C3B">
        <w:rPr>
          <w:rFonts w:ascii="Kohinoor Devanagari" w:hAnsi="Kohinoor Devanagari" w:cs="Kohinoor Devanagari"/>
          <w:sz w:val="21"/>
          <w:szCs w:val="21"/>
        </w:rPr>
        <w:t xml:space="preserve"> students in the classroom. </w:t>
      </w:r>
    </w:p>
    <w:p w14:paraId="29370D1A" w14:textId="279F6978" w:rsidR="00ED7C3B" w:rsidRDefault="00ED7C3B">
      <w:pPr>
        <w:rPr>
          <w:rFonts w:ascii="Kohinoor Devanagari" w:hAnsi="Kohinoor Devanagari" w:cs="Kohinoor Devanagari"/>
          <w:sz w:val="21"/>
          <w:szCs w:val="21"/>
        </w:rPr>
      </w:pPr>
      <w:r w:rsidRPr="00ED7C3B">
        <w:rPr>
          <w:rFonts w:ascii="Kohinoor Devanagari" w:hAnsi="Kohinoor Devanagari" w:cs="Kohinoor Devanagari"/>
          <w:sz w:val="21"/>
          <w:szCs w:val="21"/>
        </w:rPr>
        <w:lastRenderedPageBreak/>
        <w:t>43% of teachers report that their schools do not understand dyslexic challenges, leading to academic failure. Additionally, only 3% of schools in the UK screen for dyslexia, which is even less than the 4% of schools that conduct screenings globally.</w:t>
      </w:r>
    </w:p>
    <w:p w14:paraId="287895B8" w14:textId="77777777" w:rsidR="00097F64" w:rsidRDefault="00097F64">
      <w:pPr>
        <w:rPr>
          <w:rFonts w:ascii="Kohinoor Devanagari" w:hAnsi="Kohinoor Devanagari" w:cs="Kohinoor Devanagari"/>
          <w:sz w:val="21"/>
          <w:szCs w:val="21"/>
        </w:rPr>
      </w:pPr>
    </w:p>
    <w:p w14:paraId="6E673CF2" w14:textId="46F94DA4" w:rsidR="00097F64" w:rsidRDefault="0034728B">
      <w:pPr>
        <w:rPr>
          <w:rFonts w:ascii="Kohinoor Devanagari" w:hAnsi="Kohinoor Devanagari" w:cs="Kohinoor Devanagari"/>
          <w:sz w:val="21"/>
          <w:szCs w:val="21"/>
        </w:rPr>
      </w:pPr>
      <w:r>
        <w:rPr>
          <w:rFonts w:ascii="Kohinoor Devanagari" w:hAnsi="Kohinoor Devanagari" w:cs="Kohinoor Devanagari"/>
          <w:sz w:val="21"/>
          <w:szCs w:val="21"/>
        </w:rPr>
        <w:t>According</w:t>
      </w:r>
      <w:r w:rsidR="00097F64">
        <w:rPr>
          <w:rFonts w:ascii="Kohinoor Devanagari" w:hAnsi="Kohinoor Devanagari" w:cs="Kohinoor Devanagari"/>
          <w:sz w:val="21"/>
          <w:szCs w:val="21"/>
        </w:rPr>
        <w:t xml:space="preserve"> to 84% of educators, having training in educating dyslexic students is crucial. Prac</w:t>
      </w:r>
      <w:r>
        <w:rPr>
          <w:rFonts w:ascii="Kohinoor Devanagari" w:hAnsi="Kohinoor Devanagari" w:cs="Kohinoor Devanagari"/>
          <w:sz w:val="21"/>
          <w:szCs w:val="21"/>
        </w:rPr>
        <w:t xml:space="preserve">titioners </w:t>
      </w:r>
      <w:r w:rsidR="00097F64">
        <w:rPr>
          <w:rFonts w:ascii="Kohinoor Devanagari" w:hAnsi="Kohinoor Devanagari" w:cs="Kohinoor Devanagari"/>
          <w:sz w:val="21"/>
          <w:szCs w:val="21"/>
        </w:rPr>
        <w:t xml:space="preserve">are </w:t>
      </w:r>
      <w:r>
        <w:rPr>
          <w:rFonts w:ascii="Kohinoor Devanagari" w:hAnsi="Kohinoor Devanagari" w:cs="Kohinoor Devanagari"/>
          <w:sz w:val="21"/>
          <w:szCs w:val="21"/>
        </w:rPr>
        <w:t>disadvantaged</w:t>
      </w:r>
      <w:r w:rsidR="00097F64">
        <w:rPr>
          <w:rFonts w:ascii="Kohinoor Devanagari" w:hAnsi="Kohinoor Devanagari" w:cs="Kohinoor Devanagari"/>
          <w:sz w:val="21"/>
          <w:szCs w:val="21"/>
        </w:rPr>
        <w:t xml:space="preserve"> and require more assistance. Gaining these </w:t>
      </w:r>
      <w:r>
        <w:rPr>
          <w:rFonts w:ascii="Kohinoor Devanagari" w:hAnsi="Kohinoor Devanagari" w:cs="Kohinoor Devanagari"/>
          <w:sz w:val="21"/>
          <w:szCs w:val="21"/>
        </w:rPr>
        <w:t>abilities</w:t>
      </w:r>
      <w:r w:rsidR="00097F64">
        <w:rPr>
          <w:rFonts w:ascii="Kohinoor Devanagari" w:hAnsi="Kohinoor Devanagari" w:cs="Kohinoor Devanagari"/>
          <w:sz w:val="21"/>
          <w:szCs w:val="21"/>
        </w:rPr>
        <w:t xml:space="preserve"> enables </w:t>
      </w:r>
      <w:r>
        <w:rPr>
          <w:rFonts w:ascii="Kohinoor Devanagari" w:hAnsi="Kohinoor Devanagari" w:cs="Kohinoor Devanagari"/>
          <w:sz w:val="21"/>
          <w:szCs w:val="21"/>
        </w:rPr>
        <w:t>educators</w:t>
      </w:r>
      <w:r w:rsidR="00097F64">
        <w:rPr>
          <w:rFonts w:ascii="Kohinoor Devanagari" w:hAnsi="Kohinoor Devanagari" w:cs="Kohinoor Devanagari"/>
          <w:sz w:val="21"/>
          <w:szCs w:val="21"/>
        </w:rPr>
        <w:t xml:space="preserve"> to support all students who face reading challenges, irrespective of the underlying reason. For example, it gives teachers a better knowledge of children </w:t>
      </w:r>
      <w:r>
        <w:rPr>
          <w:rFonts w:ascii="Kohinoor Devanagari" w:hAnsi="Kohinoor Devanagari" w:cs="Kohinoor Devanagari"/>
          <w:sz w:val="21"/>
          <w:szCs w:val="21"/>
        </w:rPr>
        <w:t>learns</w:t>
      </w:r>
      <w:r w:rsidR="00097F64">
        <w:rPr>
          <w:rFonts w:ascii="Kohinoor Devanagari" w:hAnsi="Kohinoor Devanagari" w:cs="Kohinoor Devanagari"/>
          <w:sz w:val="21"/>
          <w:szCs w:val="21"/>
        </w:rPr>
        <w:t xml:space="preserve"> to read and write as well as instr</w:t>
      </w:r>
      <w:r>
        <w:rPr>
          <w:rFonts w:ascii="Kohinoor Devanagari" w:hAnsi="Kohinoor Devanagari" w:cs="Kohinoor Devanagari"/>
          <w:sz w:val="21"/>
          <w:szCs w:val="21"/>
        </w:rPr>
        <w:t>uctional</w:t>
      </w:r>
      <w:r w:rsidR="00097F64">
        <w:rPr>
          <w:rFonts w:ascii="Kohinoor Devanagari" w:hAnsi="Kohinoor Devanagari" w:cs="Kohinoor Devanagari"/>
          <w:sz w:val="21"/>
          <w:szCs w:val="21"/>
        </w:rPr>
        <w:t xml:space="preserve"> </w:t>
      </w:r>
      <w:r>
        <w:rPr>
          <w:rFonts w:ascii="Kohinoor Devanagari" w:hAnsi="Kohinoor Devanagari" w:cs="Kohinoor Devanagari"/>
          <w:sz w:val="21"/>
          <w:szCs w:val="21"/>
        </w:rPr>
        <w:t>strategies</w:t>
      </w:r>
      <w:r w:rsidR="00097F64">
        <w:rPr>
          <w:rFonts w:ascii="Kohinoor Devanagari" w:hAnsi="Kohinoor Devanagari" w:cs="Kohinoor Devanagari"/>
          <w:sz w:val="21"/>
          <w:szCs w:val="21"/>
        </w:rPr>
        <w:t xml:space="preserve">, such as multisensory approaches. To assist educators in teaching literacy. However, a great deal more work needs to be done. </w:t>
      </w:r>
      <w:r>
        <w:rPr>
          <w:rFonts w:ascii="Kohinoor Devanagari" w:hAnsi="Kohinoor Devanagari" w:cs="Kohinoor Devanagari"/>
          <w:sz w:val="21"/>
          <w:szCs w:val="21"/>
        </w:rPr>
        <w:t xml:space="preserve">A third (32%) of newly qualified teachers (NQTs) in primary schools still evaluated their training in teaching children to read as satisfactory or bad, despite a government study of NQTs showing that training in reading instruction has marginally improved recently. However, there isn’t much information accessible with these criteria to aid in the understanding of what this entails for practitioners or training providers. Thus, despite this mandate, staff are not receiving the proper training, a d our educational system is failing dyslexia students. Most educators lack a fundamental compression of dyslexia. They lack the following skills: diagnosing children who may be dyslexic: knowing how to support dyslexic students in the classroom; and knowing when to send them for additional testing and support. </w:t>
      </w:r>
    </w:p>
    <w:p w14:paraId="58762301" w14:textId="77777777" w:rsidR="00097F64" w:rsidRPr="00ED7C3B" w:rsidRDefault="00097F64">
      <w:pPr>
        <w:rPr>
          <w:rFonts w:ascii="Kohinoor Devanagari" w:hAnsi="Kohinoor Devanagari" w:cs="Kohinoor Devanagari"/>
          <w:sz w:val="21"/>
          <w:szCs w:val="21"/>
        </w:rPr>
      </w:pPr>
    </w:p>
    <w:p w14:paraId="235F919D" w14:textId="1ABA4748" w:rsidR="00C8550C" w:rsidRDefault="00C8550C">
      <w:pPr>
        <w:rPr>
          <w:rFonts w:ascii="Kohinoor Devanagari" w:hAnsi="Kohinoor Devanagari" w:cs="Kohinoor Devanagari"/>
          <w:b/>
          <w:bCs/>
          <w:sz w:val="21"/>
          <w:szCs w:val="21"/>
          <w:u w:val="single"/>
        </w:rPr>
      </w:pPr>
      <w:r>
        <w:rPr>
          <w:rFonts w:ascii="Kohinoor Devanagari" w:hAnsi="Kohinoor Devanagari" w:cs="Kohinoor Devanagari"/>
          <w:b/>
          <w:bCs/>
          <w:sz w:val="21"/>
          <w:szCs w:val="21"/>
          <w:u w:val="single"/>
        </w:rPr>
        <w:t xml:space="preserve">Conclusion </w:t>
      </w:r>
    </w:p>
    <w:p w14:paraId="2480D782" w14:textId="77777777" w:rsidR="00DE2128" w:rsidRDefault="00DE2128">
      <w:pPr>
        <w:rPr>
          <w:rFonts w:ascii="Kohinoor Devanagari" w:hAnsi="Kohinoor Devanagari" w:cs="Kohinoor Devanagari"/>
          <w:b/>
          <w:bCs/>
          <w:sz w:val="21"/>
          <w:szCs w:val="21"/>
          <w:u w:val="single"/>
        </w:rPr>
      </w:pPr>
    </w:p>
    <w:p w14:paraId="13E15894" w14:textId="7C680B3D" w:rsidR="00985DC3" w:rsidRPr="00BE00E6" w:rsidRDefault="00CD7801">
      <w:pPr>
        <w:rPr>
          <w:rFonts w:ascii="Kohinoor Devanagari" w:hAnsi="Kohinoor Devanagari" w:cs="Kohinoor Devanagari"/>
          <w:sz w:val="21"/>
          <w:szCs w:val="21"/>
        </w:rPr>
      </w:pPr>
      <w:r>
        <w:rPr>
          <w:rFonts w:ascii="Kohinoor Devanagari" w:hAnsi="Kohinoor Devanagari" w:cs="Kohinoor Devanagari"/>
          <w:sz w:val="21"/>
          <w:szCs w:val="21"/>
        </w:rPr>
        <w:t>Information on dyslexia and its links to problems has amplified, dyslexia isn’t just connected to English speakers but also other languages,</w:t>
      </w:r>
      <w:r w:rsidR="00BE00E6" w:rsidRPr="00BE00E6">
        <w:rPr>
          <w:rFonts w:ascii="Kohinoor Devanagari" w:hAnsi="Kohinoor Devanagari" w:cs="Kohinoor Devanagari"/>
          <w:sz w:val="21"/>
          <w:szCs w:val="21"/>
        </w:rPr>
        <w:t xml:space="preserve"> (</w:t>
      </w:r>
      <w:proofErr w:type="spellStart"/>
      <w:r w:rsidR="00BE00E6" w:rsidRPr="00BE00E6">
        <w:rPr>
          <w:rFonts w:ascii="Kohinoor Devanagari" w:hAnsi="Kohinoor Devanagari" w:cs="Kohinoor Devanagari"/>
          <w:sz w:val="21"/>
          <w:szCs w:val="21"/>
        </w:rPr>
        <w:t>Caravolous</w:t>
      </w:r>
      <w:proofErr w:type="spellEnd"/>
      <w:r w:rsidR="00BE00E6" w:rsidRPr="00BE00E6">
        <w:rPr>
          <w:rFonts w:ascii="Kohinoor Devanagari" w:hAnsi="Kohinoor Devanagari" w:cs="Kohinoor Devanagari"/>
          <w:sz w:val="21"/>
          <w:szCs w:val="21"/>
        </w:rPr>
        <w:t xml:space="preserve">, 2005), there remains a pressing need to translate theory into practice. This </w:t>
      </w:r>
      <w:r w:rsidR="00BE00E6">
        <w:rPr>
          <w:rFonts w:ascii="Kohinoor Devanagari" w:hAnsi="Kohinoor Devanagari" w:cs="Kohinoor Devanagari"/>
          <w:sz w:val="21"/>
          <w:szCs w:val="21"/>
        </w:rPr>
        <w:t xml:space="preserve">presentation has aimed to demonstrate how an understanding of dyslexia can be applied to identify children at risk of dyslexia early before they develop a sense of failure. The focus has been on viewing dyslexia a s a dimensional disorder rather than a discrete diagnostic category. Finally, evidence that children with dyslexic difficulties can benefit from specific interventions underscores the importance of timely action rather than waiting for a formal diagnosis. </w:t>
      </w:r>
    </w:p>
    <w:p w14:paraId="49246DA1" w14:textId="77777777" w:rsidR="00985DC3" w:rsidRDefault="00985DC3">
      <w:pPr>
        <w:rPr>
          <w:rFonts w:ascii="Kohinoor Devanagari" w:hAnsi="Kohinoor Devanagari" w:cs="Kohinoor Devanagari"/>
          <w:b/>
          <w:bCs/>
          <w:sz w:val="21"/>
          <w:szCs w:val="21"/>
          <w:u w:val="single"/>
        </w:rPr>
      </w:pPr>
    </w:p>
    <w:p w14:paraId="1C491193" w14:textId="77777777" w:rsidR="00985DC3" w:rsidRDefault="00985DC3">
      <w:pPr>
        <w:rPr>
          <w:rFonts w:ascii="Kohinoor Devanagari" w:hAnsi="Kohinoor Devanagari" w:cs="Kohinoor Devanagari"/>
          <w:b/>
          <w:bCs/>
          <w:sz w:val="21"/>
          <w:szCs w:val="21"/>
          <w:u w:val="single"/>
        </w:rPr>
      </w:pPr>
    </w:p>
    <w:p w14:paraId="768F7AAC" w14:textId="77777777" w:rsidR="00985DC3" w:rsidRDefault="00985DC3">
      <w:pPr>
        <w:rPr>
          <w:rFonts w:ascii="Kohinoor Devanagari" w:hAnsi="Kohinoor Devanagari" w:cs="Kohinoor Devanagari"/>
          <w:b/>
          <w:bCs/>
          <w:sz w:val="21"/>
          <w:szCs w:val="21"/>
          <w:u w:val="single"/>
        </w:rPr>
      </w:pPr>
    </w:p>
    <w:p w14:paraId="411DE358" w14:textId="77777777" w:rsidR="00985DC3" w:rsidRDefault="00985DC3">
      <w:pPr>
        <w:rPr>
          <w:rFonts w:ascii="Kohinoor Devanagari" w:hAnsi="Kohinoor Devanagari" w:cs="Kohinoor Devanagari"/>
          <w:b/>
          <w:bCs/>
          <w:sz w:val="21"/>
          <w:szCs w:val="21"/>
          <w:u w:val="single"/>
        </w:rPr>
      </w:pPr>
    </w:p>
    <w:p w14:paraId="6121BE8E" w14:textId="77777777" w:rsidR="00985DC3" w:rsidRDefault="00985DC3">
      <w:pPr>
        <w:rPr>
          <w:rFonts w:ascii="Kohinoor Devanagari" w:hAnsi="Kohinoor Devanagari" w:cs="Kohinoor Devanagari"/>
          <w:b/>
          <w:bCs/>
          <w:sz w:val="21"/>
          <w:szCs w:val="21"/>
          <w:u w:val="single"/>
        </w:rPr>
      </w:pPr>
    </w:p>
    <w:p w14:paraId="0D0CA80A" w14:textId="77777777" w:rsidR="009669EF" w:rsidRDefault="009669EF">
      <w:pPr>
        <w:rPr>
          <w:rFonts w:ascii="Kohinoor Devanagari" w:hAnsi="Kohinoor Devanagari" w:cs="Kohinoor Devanagari"/>
          <w:b/>
          <w:bCs/>
          <w:sz w:val="21"/>
          <w:szCs w:val="21"/>
          <w:u w:val="single"/>
        </w:rPr>
      </w:pPr>
    </w:p>
    <w:p w14:paraId="76CA656A" w14:textId="77777777" w:rsidR="00AD6C46" w:rsidRDefault="00AD6C46">
      <w:pPr>
        <w:rPr>
          <w:rFonts w:ascii="Kohinoor Devanagari" w:hAnsi="Kohinoor Devanagari" w:cs="Kohinoor Devanagari"/>
          <w:b/>
          <w:bCs/>
          <w:sz w:val="21"/>
          <w:szCs w:val="21"/>
          <w:u w:val="single"/>
        </w:rPr>
      </w:pPr>
    </w:p>
    <w:p w14:paraId="4BB2132B" w14:textId="77777777" w:rsidR="00AD6C46" w:rsidRDefault="00AD6C46">
      <w:pPr>
        <w:rPr>
          <w:rFonts w:ascii="Kohinoor Devanagari" w:hAnsi="Kohinoor Devanagari" w:cs="Kohinoor Devanagari"/>
          <w:b/>
          <w:bCs/>
          <w:sz w:val="21"/>
          <w:szCs w:val="21"/>
          <w:u w:val="single"/>
        </w:rPr>
      </w:pPr>
    </w:p>
    <w:p w14:paraId="656AA463" w14:textId="77777777" w:rsidR="00AD6C46" w:rsidRDefault="00AD6C46">
      <w:pPr>
        <w:rPr>
          <w:rFonts w:ascii="Kohinoor Devanagari" w:hAnsi="Kohinoor Devanagari" w:cs="Kohinoor Devanagari"/>
          <w:b/>
          <w:bCs/>
          <w:sz w:val="21"/>
          <w:szCs w:val="21"/>
          <w:u w:val="single"/>
        </w:rPr>
      </w:pPr>
    </w:p>
    <w:p w14:paraId="2A647147" w14:textId="77777777" w:rsidR="003E68BF" w:rsidRDefault="003E68BF">
      <w:pPr>
        <w:rPr>
          <w:rFonts w:ascii="Kohinoor Devanagari" w:hAnsi="Kohinoor Devanagari" w:cs="Kohinoor Devanagari"/>
          <w:b/>
          <w:bCs/>
          <w:sz w:val="21"/>
          <w:szCs w:val="21"/>
          <w:u w:val="single"/>
        </w:rPr>
      </w:pPr>
    </w:p>
    <w:p w14:paraId="2DAAC45B" w14:textId="77777777" w:rsidR="003E68BF" w:rsidRDefault="003E68BF">
      <w:pPr>
        <w:rPr>
          <w:rFonts w:ascii="Kohinoor Devanagari" w:hAnsi="Kohinoor Devanagari" w:cs="Kohinoor Devanagari"/>
          <w:b/>
          <w:bCs/>
          <w:sz w:val="21"/>
          <w:szCs w:val="21"/>
          <w:u w:val="single"/>
        </w:rPr>
      </w:pPr>
    </w:p>
    <w:p w14:paraId="071EB15C" w14:textId="77777777" w:rsidR="003E68BF" w:rsidRDefault="003E68BF">
      <w:pPr>
        <w:rPr>
          <w:rFonts w:ascii="Kohinoor Devanagari" w:hAnsi="Kohinoor Devanagari" w:cs="Kohinoor Devanagari"/>
          <w:b/>
          <w:bCs/>
          <w:sz w:val="21"/>
          <w:szCs w:val="21"/>
          <w:u w:val="single"/>
        </w:rPr>
      </w:pPr>
    </w:p>
    <w:p w14:paraId="2EBD6818" w14:textId="77777777" w:rsidR="003E68BF" w:rsidRDefault="003E68BF">
      <w:pPr>
        <w:rPr>
          <w:rFonts w:ascii="Kohinoor Devanagari" w:hAnsi="Kohinoor Devanagari" w:cs="Kohinoor Devanagari"/>
          <w:b/>
          <w:bCs/>
          <w:sz w:val="21"/>
          <w:szCs w:val="21"/>
          <w:u w:val="single"/>
        </w:rPr>
      </w:pPr>
    </w:p>
    <w:p w14:paraId="7E7E3489" w14:textId="77777777" w:rsidR="003E68BF" w:rsidRDefault="003E68BF">
      <w:pPr>
        <w:rPr>
          <w:rFonts w:ascii="Kohinoor Devanagari" w:hAnsi="Kohinoor Devanagari" w:cs="Kohinoor Devanagari"/>
          <w:b/>
          <w:bCs/>
          <w:sz w:val="21"/>
          <w:szCs w:val="21"/>
          <w:u w:val="single"/>
        </w:rPr>
      </w:pPr>
    </w:p>
    <w:p w14:paraId="42A06EFC" w14:textId="334F2654" w:rsidR="00DE2128" w:rsidRPr="00DE2128" w:rsidRDefault="00DE2128">
      <w:pPr>
        <w:rPr>
          <w:rFonts w:ascii="Kohinoor Devanagari" w:hAnsi="Kohinoor Devanagari" w:cs="Kohinoor Devanagari"/>
          <w:b/>
          <w:bCs/>
          <w:sz w:val="21"/>
          <w:szCs w:val="21"/>
          <w:u w:val="single"/>
        </w:rPr>
      </w:pPr>
      <w:r w:rsidRPr="00DE2128">
        <w:rPr>
          <w:rFonts w:ascii="Kohinoor Devanagari" w:hAnsi="Kohinoor Devanagari" w:cs="Kohinoor Devanagari"/>
          <w:b/>
          <w:bCs/>
          <w:sz w:val="21"/>
          <w:szCs w:val="21"/>
          <w:u w:val="single"/>
        </w:rPr>
        <w:lastRenderedPageBreak/>
        <w:t xml:space="preserve">Reference </w:t>
      </w:r>
    </w:p>
    <w:p w14:paraId="35394334" w14:textId="77777777" w:rsidR="006C792C" w:rsidRDefault="006C792C" w:rsidP="006C792C">
      <w:pPr>
        <w:pStyle w:val="NormalWeb"/>
        <w:rPr>
          <w:color w:val="000000"/>
        </w:rPr>
      </w:pPr>
      <w:r>
        <w:rPr>
          <w:color w:val="000000"/>
        </w:rPr>
        <w:t>A, D. (2023)</w:t>
      </w:r>
      <w:r>
        <w:rPr>
          <w:rStyle w:val="apple-converted-space"/>
          <w:rFonts w:eastAsiaTheme="majorEastAsia"/>
          <w:color w:val="000000"/>
        </w:rPr>
        <w:t> </w:t>
      </w:r>
      <w:r>
        <w:rPr>
          <w:i/>
          <w:iCs/>
          <w:color w:val="000000"/>
        </w:rPr>
        <w:t>Supporting dyslexia in the classroom</w:t>
      </w:r>
      <w:r>
        <w:rPr>
          <w:color w:val="000000"/>
        </w:rPr>
        <w:t>,</w:t>
      </w:r>
      <w:r>
        <w:rPr>
          <w:rStyle w:val="apple-converted-space"/>
          <w:rFonts w:eastAsiaTheme="majorEastAsia"/>
          <w:color w:val="000000"/>
        </w:rPr>
        <w:t> </w:t>
      </w:r>
      <w:r>
        <w:rPr>
          <w:i/>
          <w:iCs/>
          <w:color w:val="000000"/>
        </w:rPr>
        <w:t>Zen Educate</w:t>
      </w:r>
      <w:r>
        <w:rPr>
          <w:color w:val="000000"/>
        </w:rPr>
        <w:t>. Available at: https://www.zeneducate.com/resources/teaching-hub/supporting-dyslexia-in-the-classroom (Accessed: 16 May 2024).</w:t>
      </w:r>
      <w:r>
        <w:rPr>
          <w:rStyle w:val="apple-converted-space"/>
          <w:rFonts w:eastAsiaTheme="majorEastAsia"/>
          <w:color w:val="000000"/>
        </w:rPr>
        <w:t> </w:t>
      </w:r>
    </w:p>
    <w:p w14:paraId="4FE50EAC" w14:textId="6B831D00" w:rsidR="00DE2128" w:rsidRDefault="00DE2128" w:rsidP="00DE2128">
      <w:pPr>
        <w:pStyle w:val="NormalWeb"/>
        <w:rPr>
          <w:color w:val="000000"/>
        </w:rPr>
      </w:pPr>
      <w:r>
        <w:rPr>
          <w:color w:val="000000"/>
        </w:rPr>
        <w:t>Beckett, J.P. (2019)</w:t>
      </w:r>
      <w:r>
        <w:rPr>
          <w:rStyle w:val="apple-converted-space"/>
          <w:rFonts w:eastAsiaTheme="majorEastAsia"/>
          <w:color w:val="000000"/>
        </w:rPr>
        <w:t> </w:t>
      </w:r>
      <w:r>
        <w:rPr>
          <w:i/>
          <w:iCs/>
          <w:color w:val="000000"/>
        </w:rPr>
        <w:t>The-challenges-and-advantages-of-having-dyslexia-when ...</w:t>
      </w:r>
      <w:r>
        <w:rPr>
          <w:color w:val="000000"/>
        </w:rPr>
        <w:t>,</w:t>
      </w:r>
      <w:r>
        <w:rPr>
          <w:rStyle w:val="apple-converted-space"/>
          <w:rFonts w:eastAsiaTheme="majorEastAsia"/>
          <w:color w:val="000000"/>
        </w:rPr>
        <w:t> </w:t>
      </w:r>
      <w:r>
        <w:rPr>
          <w:i/>
          <w:iCs/>
          <w:color w:val="000000"/>
        </w:rPr>
        <w:t>THE CHALLENGES AND ADVANTAGES OF HAVING DYSLEXIA WHEN WORKING WITHIN A MEDICAL MODEL OF DISABILITY. WHAT ARE THE IMPLICATIONS FOR PRACTICE?</w:t>
      </w:r>
      <w:r>
        <w:rPr>
          <w:rStyle w:val="apple-converted-space"/>
          <w:rFonts w:eastAsiaTheme="majorEastAsia"/>
          <w:color w:val="000000"/>
        </w:rPr>
        <w:t> </w:t>
      </w:r>
      <w:r>
        <w:rPr>
          <w:color w:val="000000"/>
        </w:rPr>
        <w:t>Available at: https://www.eajournals.org/wp-content/uploads/The-challenges-and-advantages-of-having-dyslexia-when-working-within-a-medical-model-of-disability.pdf (Accessed: 14 May 2024).</w:t>
      </w:r>
      <w:r>
        <w:rPr>
          <w:rStyle w:val="apple-converted-space"/>
          <w:rFonts w:eastAsiaTheme="majorEastAsia"/>
          <w:color w:val="000000"/>
        </w:rPr>
        <w:t> </w:t>
      </w:r>
    </w:p>
    <w:p w14:paraId="25143A38" w14:textId="77777777" w:rsidR="00B7742E" w:rsidRDefault="00B7742E" w:rsidP="00B7742E">
      <w:pPr>
        <w:pStyle w:val="NormalWeb"/>
        <w:rPr>
          <w:color w:val="000000"/>
        </w:rPr>
      </w:pPr>
      <w:r>
        <w:rPr>
          <w:color w:val="000000"/>
        </w:rPr>
        <w:t xml:space="preserve">Catts , H.W. and </w:t>
      </w:r>
      <w:proofErr w:type="spellStart"/>
      <w:r>
        <w:rPr>
          <w:color w:val="000000"/>
        </w:rPr>
        <w:t>Petscher</w:t>
      </w:r>
      <w:proofErr w:type="spellEnd"/>
      <w:r>
        <w:rPr>
          <w:color w:val="000000"/>
        </w:rPr>
        <w:t>, Y. (2018)</w:t>
      </w:r>
      <w:r>
        <w:rPr>
          <w:rStyle w:val="apple-converted-space"/>
          <w:rFonts w:eastAsiaTheme="majorEastAsia"/>
          <w:color w:val="000000"/>
        </w:rPr>
        <w:t> </w:t>
      </w:r>
      <w:r>
        <w:rPr>
          <w:i/>
          <w:iCs/>
          <w:color w:val="000000"/>
        </w:rPr>
        <w:t>Early identification of dyslexia</w:t>
      </w:r>
      <w:r>
        <w:rPr>
          <w:color w:val="000000"/>
        </w:rPr>
        <w:t>,</w:t>
      </w:r>
      <w:r>
        <w:rPr>
          <w:rStyle w:val="apple-converted-space"/>
          <w:rFonts w:eastAsiaTheme="majorEastAsia"/>
          <w:color w:val="000000"/>
        </w:rPr>
        <w:t> </w:t>
      </w:r>
      <w:r>
        <w:rPr>
          <w:i/>
          <w:iCs/>
          <w:color w:val="000000"/>
        </w:rPr>
        <w:t>Early Identification of Dyslexia Current Advancements and Future Directions</w:t>
      </w:r>
      <w:r>
        <w:rPr>
          <w:color w:val="000000"/>
        </w:rPr>
        <w:t>. Available at: https://resources.finalsite.net/images/v1589413312/thewindwardschoolorg/tss35evif5j6brqspag7/HughCattsEarlyIdentificationofDyslexia.pdf (Accessed: 16 May 2024).</w:t>
      </w:r>
      <w:r>
        <w:rPr>
          <w:rStyle w:val="apple-converted-space"/>
          <w:rFonts w:eastAsiaTheme="majorEastAsia"/>
          <w:color w:val="000000"/>
        </w:rPr>
        <w:t> </w:t>
      </w:r>
    </w:p>
    <w:p w14:paraId="5E5C26C6" w14:textId="7CC6B371" w:rsidR="000D5A29" w:rsidRDefault="000D5A29" w:rsidP="000D5A29">
      <w:pPr>
        <w:pStyle w:val="NormalWeb"/>
        <w:rPr>
          <w:color w:val="000000"/>
        </w:rPr>
      </w:pPr>
      <w:r>
        <w:rPr>
          <w:color w:val="000000"/>
        </w:rPr>
        <w:t xml:space="preserve">Carson , J., </w:t>
      </w:r>
      <w:proofErr w:type="spellStart"/>
      <w:r>
        <w:rPr>
          <w:color w:val="000000"/>
        </w:rPr>
        <w:t>Puttaraju</w:t>
      </w:r>
      <w:proofErr w:type="spellEnd"/>
      <w:r>
        <w:rPr>
          <w:color w:val="000000"/>
        </w:rPr>
        <w:t>, S. and Allen, R. (2018)</w:t>
      </w:r>
      <w:r>
        <w:rPr>
          <w:rStyle w:val="apple-converted-space"/>
          <w:rFonts w:eastAsiaTheme="majorEastAsia"/>
          <w:color w:val="000000"/>
        </w:rPr>
        <w:t> </w:t>
      </w:r>
      <w:r>
        <w:rPr>
          <w:i/>
          <w:iCs/>
          <w:color w:val="000000"/>
        </w:rPr>
        <w:t>Examining the character strengths of dyslexia.</w:t>
      </w:r>
      <w:r>
        <w:rPr>
          <w:color w:val="000000"/>
        </w:rPr>
        <w:t>,</w:t>
      </w:r>
      <w:r>
        <w:rPr>
          <w:rStyle w:val="apple-converted-space"/>
          <w:rFonts w:eastAsiaTheme="majorEastAsia"/>
          <w:color w:val="000000"/>
        </w:rPr>
        <w:t> </w:t>
      </w:r>
      <w:r>
        <w:rPr>
          <w:i/>
          <w:iCs/>
          <w:color w:val="000000"/>
        </w:rPr>
        <w:t>Not All Those Who Wander are Lost: Examining the Character Strengths of Dyslexia</w:t>
      </w:r>
      <w:r>
        <w:rPr>
          <w:color w:val="000000"/>
        </w:rPr>
        <w:t>. Available at: https://www.researchgate.net/publication/330500697_Not_All_Those_Who_Wander_Are_Lost_Examining_the_Character_Strengths_of_Dyslexia (Accessed: 16 May 2024).</w:t>
      </w:r>
      <w:r>
        <w:rPr>
          <w:rStyle w:val="apple-converted-space"/>
          <w:rFonts w:eastAsiaTheme="majorEastAsia"/>
          <w:color w:val="000000"/>
        </w:rPr>
        <w:t> </w:t>
      </w:r>
    </w:p>
    <w:p w14:paraId="14FA5DF9" w14:textId="77777777" w:rsidR="00A8173E" w:rsidRDefault="00A8173E" w:rsidP="00A8173E">
      <w:pPr>
        <w:pStyle w:val="NormalWeb"/>
        <w:rPr>
          <w:color w:val="000000"/>
        </w:rPr>
      </w:pPr>
      <w:r>
        <w:rPr>
          <w:color w:val="000000"/>
        </w:rPr>
        <w:t>Driver Youth Trust (no date)</w:t>
      </w:r>
      <w:r>
        <w:rPr>
          <w:rStyle w:val="apple-converted-space"/>
          <w:rFonts w:eastAsiaTheme="majorEastAsia"/>
          <w:color w:val="000000"/>
        </w:rPr>
        <w:t> </w:t>
      </w:r>
      <w:r>
        <w:rPr>
          <w:i/>
          <w:iCs/>
          <w:color w:val="000000"/>
        </w:rPr>
        <w:t xml:space="preserve">The F </w:t>
      </w:r>
      <w:proofErr w:type="spellStart"/>
      <w:r>
        <w:rPr>
          <w:i/>
          <w:iCs/>
          <w:color w:val="000000"/>
        </w:rPr>
        <w:t>ish</w:t>
      </w:r>
      <w:proofErr w:type="spellEnd"/>
      <w:r>
        <w:rPr>
          <w:i/>
          <w:iCs/>
          <w:color w:val="000000"/>
        </w:rPr>
        <w:t xml:space="preserve"> in the tree: Why we are failing children with dyslexia</w:t>
      </w:r>
      <w:r>
        <w:rPr>
          <w:color w:val="000000"/>
        </w:rPr>
        <w:t>,</w:t>
      </w:r>
      <w:r>
        <w:rPr>
          <w:rStyle w:val="apple-converted-space"/>
          <w:rFonts w:eastAsiaTheme="majorEastAsia"/>
          <w:color w:val="000000"/>
        </w:rPr>
        <w:t> </w:t>
      </w:r>
      <w:r>
        <w:rPr>
          <w:i/>
          <w:iCs/>
          <w:color w:val="000000"/>
        </w:rPr>
        <w:t>The fish in the tree: Why we are failing children with dyslexia</w:t>
      </w:r>
      <w:r>
        <w:rPr>
          <w:color w:val="000000"/>
        </w:rPr>
        <w:t>. Available at: http://www.thedyslexia-spldtrust.org.uk/media/downloads/inline/the-driver-youth-trust-report.1366117524.pdf (Accessed: 16 May 2024).</w:t>
      </w:r>
      <w:r>
        <w:rPr>
          <w:rStyle w:val="apple-converted-space"/>
          <w:rFonts w:eastAsiaTheme="majorEastAsia"/>
          <w:color w:val="000000"/>
        </w:rPr>
        <w:t> </w:t>
      </w:r>
    </w:p>
    <w:p w14:paraId="74319887" w14:textId="1161422D" w:rsidR="002363DE" w:rsidRDefault="002363DE" w:rsidP="002363DE">
      <w:pPr>
        <w:pStyle w:val="NormalWeb"/>
        <w:rPr>
          <w:color w:val="000000"/>
        </w:rPr>
      </w:pPr>
      <w:proofErr w:type="spellStart"/>
      <w:r>
        <w:rPr>
          <w:color w:val="000000"/>
        </w:rPr>
        <w:t>Hardling</w:t>
      </w:r>
      <w:proofErr w:type="spellEnd"/>
      <w:r>
        <w:rPr>
          <w:color w:val="000000"/>
        </w:rPr>
        <w:t>, S.</w:t>
      </w:r>
      <w:r>
        <w:rPr>
          <w:rStyle w:val="apple-converted-space"/>
          <w:rFonts w:eastAsiaTheme="majorEastAsia"/>
          <w:color w:val="000000"/>
        </w:rPr>
        <w:t> </w:t>
      </w:r>
      <w:r>
        <w:rPr>
          <w:i/>
          <w:iCs/>
          <w:color w:val="000000"/>
        </w:rPr>
        <w:t>et al.</w:t>
      </w:r>
      <w:r>
        <w:rPr>
          <w:rStyle w:val="apple-converted-space"/>
          <w:rFonts w:eastAsiaTheme="majorEastAsia"/>
          <w:color w:val="000000"/>
        </w:rPr>
        <w:t> </w:t>
      </w:r>
      <w:r>
        <w:rPr>
          <w:color w:val="000000"/>
        </w:rPr>
        <w:t>(2023)</w:t>
      </w:r>
      <w:r>
        <w:rPr>
          <w:rStyle w:val="apple-converted-space"/>
          <w:rFonts w:eastAsiaTheme="majorEastAsia"/>
          <w:color w:val="000000"/>
        </w:rPr>
        <w:t> </w:t>
      </w:r>
      <w:r>
        <w:rPr>
          <w:i/>
          <w:iCs/>
          <w:color w:val="000000"/>
        </w:rPr>
        <w:t>A Delphi study exploring the barriers to dyslexia diagnosis ...</w:t>
      </w:r>
      <w:r>
        <w:rPr>
          <w:color w:val="000000"/>
        </w:rPr>
        <w:t>,</w:t>
      </w:r>
      <w:r>
        <w:rPr>
          <w:rStyle w:val="apple-converted-space"/>
          <w:rFonts w:eastAsiaTheme="majorEastAsia"/>
          <w:color w:val="000000"/>
        </w:rPr>
        <w:t> </w:t>
      </w:r>
      <w:r>
        <w:rPr>
          <w:i/>
          <w:iCs/>
          <w:color w:val="000000"/>
        </w:rPr>
        <w:t xml:space="preserve">A Delphi study exploring the barriers to </w:t>
      </w:r>
      <w:proofErr w:type="spellStart"/>
      <w:r>
        <w:rPr>
          <w:i/>
          <w:iCs/>
          <w:color w:val="000000"/>
        </w:rPr>
        <w:t>dyslexiadiagnosis</w:t>
      </w:r>
      <w:proofErr w:type="spellEnd"/>
      <w:r>
        <w:rPr>
          <w:i/>
          <w:iCs/>
          <w:color w:val="000000"/>
        </w:rPr>
        <w:t xml:space="preserve"> and support: A parent’s perspective</w:t>
      </w:r>
      <w:r>
        <w:rPr>
          <w:color w:val="000000"/>
        </w:rPr>
        <w:t>. Available at: https://onlinelibrary.wiley.com/doi/full/10.1002/dys.1743 (Accessed: 16 May 2024).</w:t>
      </w:r>
      <w:r>
        <w:rPr>
          <w:rStyle w:val="apple-converted-space"/>
          <w:rFonts w:eastAsiaTheme="majorEastAsia"/>
          <w:color w:val="000000"/>
        </w:rPr>
        <w:t> </w:t>
      </w:r>
    </w:p>
    <w:p w14:paraId="078E9E26" w14:textId="2640B945" w:rsidR="006431D2" w:rsidRDefault="006431D2" w:rsidP="006431D2">
      <w:pPr>
        <w:pStyle w:val="NormalWeb"/>
        <w:rPr>
          <w:rStyle w:val="apple-converted-space"/>
          <w:rFonts w:eastAsiaTheme="majorEastAsia"/>
          <w:color w:val="000000"/>
        </w:rPr>
      </w:pPr>
      <w:r>
        <w:rPr>
          <w:color w:val="000000"/>
        </w:rPr>
        <w:t>Kimball, M. (2023)</w:t>
      </w:r>
      <w:r>
        <w:rPr>
          <w:rStyle w:val="apple-converted-space"/>
          <w:rFonts w:eastAsiaTheme="majorEastAsia"/>
          <w:color w:val="000000"/>
        </w:rPr>
        <w:t> </w:t>
      </w:r>
      <w:r>
        <w:rPr>
          <w:i/>
          <w:iCs/>
          <w:color w:val="000000"/>
        </w:rPr>
        <w:t xml:space="preserve">How dyslexia </w:t>
      </w:r>
      <w:proofErr w:type="gramStart"/>
      <w:r>
        <w:rPr>
          <w:i/>
          <w:iCs/>
          <w:color w:val="000000"/>
        </w:rPr>
        <w:t>affects</w:t>
      </w:r>
      <w:proofErr w:type="gramEnd"/>
      <w:r>
        <w:rPr>
          <w:i/>
          <w:iCs/>
          <w:color w:val="000000"/>
        </w:rPr>
        <w:t xml:space="preserve"> the brain - dyslexia reading connection</w:t>
      </w:r>
      <w:r>
        <w:rPr>
          <w:color w:val="000000"/>
        </w:rPr>
        <w:t>,</w:t>
      </w:r>
      <w:r>
        <w:rPr>
          <w:rStyle w:val="apple-converted-space"/>
          <w:rFonts w:eastAsiaTheme="majorEastAsia"/>
          <w:color w:val="000000"/>
        </w:rPr>
        <w:t> </w:t>
      </w:r>
      <w:r>
        <w:rPr>
          <w:i/>
          <w:iCs/>
          <w:color w:val="000000"/>
        </w:rPr>
        <w:t>Dyslexia Reading Connection -</w:t>
      </w:r>
      <w:r>
        <w:rPr>
          <w:color w:val="000000"/>
        </w:rPr>
        <w:t>. Available at: https://dyslexiareadingconnection.com/resource/how-dyslexia-affects-the-brain/ (Accessed: 15 May 2024).</w:t>
      </w:r>
      <w:r>
        <w:rPr>
          <w:rStyle w:val="apple-converted-space"/>
          <w:rFonts w:eastAsiaTheme="majorEastAsia"/>
          <w:color w:val="000000"/>
        </w:rPr>
        <w:t> </w:t>
      </w:r>
    </w:p>
    <w:p w14:paraId="405BA64C" w14:textId="77777777" w:rsidR="003F4291" w:rsidRPr="003F4291" w:rsidRDefault="003F4291" w:rsidP="003F4291">
      <w:pPr>
        <w:shd w:val="clear" w:color="auto" w:fill="FFFFFF"/>
        <w:rPr>
          <w:rFonts w:ascii="Times New Roman" w:eastAsia="Times New Roman" w:hAnsi="Times New Roman" w:cs="Times New Roman"/>
          <w:color w:val="333333"/>
          <w:kern w:val="0"/>
          <w:lang w:eastAsia="en-GB"/>
          <w14:ligatures w14:val="none"/>
        </w:rPr>
      </w:pPr>
      <w:r w:rsidRPr="003F4291">
        <w:rPr>
          <w:rFonts w:ascii="Times New Roman" w:eastAsia="Times New Roman" w:hAnsi="Times New Roman" w:cs="Times New Roman"/>
          <w:color w:val="333333"/>
          <w:kern w:val="0"/>
          <w:lang w:eastAsia="en-GB"/>
          <w14:ligatures w14:val="none"/>
        </w:rPr>
        <w:t>Miller, F A and Katz, J H (2002) The inclusion breakthrough: Unleashing the real power of diversity. San Francisco, CA: Berrett-Koehler.</w:t>
      </w:r>
    </w:p>
    <w:p w14:paraId="69D230B7" w14:textId="73B044AF" w:rsidR="00ED7C3B" w:rsidRDefault="00ED7C3B" w:rsidP="00ED7C3B">
      <w:pPr>
        <w:pStyle w:val="NormalWeb"/>
        <w:rPr>
          <w:rStyle w:val="apple-converted-space"/>
          <w:rFonts w:eastAsiaTheme="majorEastAsia"/>
          <w:color w:val="000000"/>
        </w:rPr>
      </w:pPr>
      <w:r>
        <w:rPr>
          <w:color w:val="000000"/>
        </w:rPr>
        <w:t>Singh, R. (2022)</w:t>
      </w:r>
      <w:r>
        <w:rPr>
          <w:rStyle w:val="apple-converted-space"/>
          <w:rFonts w:eastAsiaTheme="majorEastAsia"/>
          <w:color w:val="000000"/>
        </w:rPr>
        <w:t> </w:t>
      </w:r>
      <w:r>
        <w:rPr>
          <w:i/>
          <w:iCs/>
          <w:color w:val="000000"/>
        </w:rPr>
        <w:t>Dyslexia: The school report</w:t>
      </w:r>
      <w:r>
        <w:rPr>
          <w:color w:val="000000"/>
        </w:rPr>
        <w:t>,</w:t>
      </w:r>
      <w:r>
        <w:rPr>
          <w:rStyle w:val="apple-converted-space"/>
          <w:rFonts w:eastAsiaTheme="majorEastAsia"/>
          <w:color w:val="000000"/>
        </w:rPr>
        <w:t> </w:t>
      </w:r>
      <w:proofErr w:type="spellStart"/>
      <w:r>
        <w:rPr>
          <w:i/>
          <w:iCs/>
          <w:color w:val="000000"/>
        </w:rPr>
        <w:t>TeachingTimes</w:t>
      </w:r>
      <w:proofErr w:type="spellEnd"/>
      <w:r>
        <w:rPr>
          <w:color w:val="000000"/>
        </w:rPr>
        <w:t>. Available at: https://www.teachingtimes.com/dyslexia-the-school-report/ (Accessed: 16 May 2024).</w:t>
      </w:r>
      <w:r>
        <w:rPr>
          <w:rStyle w:val="apple-converted-space"/>
          <w:rFonts w:eastAsiaTheme="majorEastAsia"/>
          <w:color w:val="000000"/>
        </w:rPr>
        <w:t> </w:t>
      </w:r>
    </w:p>
    <w:p w14:paraId="5F555922" w14:textId="77777777" w:rsidR="002363DE" w:rsidRDefault="002363DE" w:rsidP="002363DE">
      <w:pPr>
        <w:pStyle w:val="NormalWeb"/>
        <w:rPr>
          <w:color w:val="000000"/>
        </w:rPr>
      </w:pPr>
      <w:proofErr w:type="spellStart"/>
      <w:r>
        <w:rPr>
          <w:color w:val="000000"/>
        </w:rPr>
        <w:t>Snowling</w:t>
      </w:r>
      <w:proofErr w:type="spellEnd"/>
      <w:r>
        <w:rPr>
          <w:color w:val="000000"/>
        </w:rPr>
        <w:t>, M.J. (2013)</w:t>
      </w:r>
      <w:r>
        <w:rPr>
          <w:rStyle w:val="apple-converted-space"/>
          <w:rFonts w:eastAsiaTheme="majorEastAsia"/>
          <w:color w:val="000000"/>
        </w:rPr>
        <w:t> </w:t>
      </w:r>
      <w:r>
        <w:rPr>
          <w:i/>
          <w:iCs/>
          <w:color w:val="000000"/>
        </w:rPr>
        <w:t>Early identification and interventions for dyslexia: A contemporary view</w:t>
      </w:r>
      <w:r>
        <w:rPr>
          <w:color w:val="000000"/>
        </w:rPr>
        <w:t>,</w:t>
      </w:r>
      <w:r>
        <w:rPr>
          <w:rStyle w:val="apple-converted-space"/>
          <w:rFonts w:eastAsiaTheme="majorEastAsia"/>
          <w:color w:val="000000"/>
        </w:rPr>
        <w:t> </w:t>
      </w:r>
      <w:r>
        <w:rPr>
          <w:i/>
          <w:iCs/>
          <w:color w:val="000000"/>
        </w:rPr>
        <w:t>Journal of research in special educational needs</w:t>
      </w:r>
      <w:r>
        <w:rPr>
          <w:rFonts w:ascii="Arial" w:hAnsi="Arial" w:cs="Arial"/>
          <w:i/>
          <w:iCs/>
          <w:color w:val="000000"/>
        </w:rPr>
        <w:t> </w:t>
      </w:r>
      <w:r>
        <w:rPr>
          <w:i/>
          <w:iCs/>
          <w:color w:val="000000"/>
        </w:rPr>
        <w:t>: JORSEN</w:t>
      </w:r>
      <w:r>
        <w:rPr>
          <w:color w:val="000000"/>
        </w:rPr>
        <w:t>. Available at: https://www.ncbi.nlm.nih.gov/pmc/articles/PMC4538781/ (Accessed: 16 May 2024).</w:t>
      </w:r>
      <w:r>
        <w:rPr>
          <w:rStyle w:val="apple-converted-space"/>
          <w:rFonts w:eastAsiaTheme="majorEastAsia"/>
          <w:color w:val="000000"/>
        </w:rPr>
        <w:t> </w:t>
      </w:r>
    </w:p>
    <w:p w14:paraId="7080ABA8" w14:textId="77777777" w:rsidR="002363DE" w:rsidRDefault="002363DE" w:rsidP="00ED7C3B">
      <w:pPr>
        <w:pStyle w:val="NormalWeb"/>
        <w:rPr>
          <w:color w:val="000000"/>
        </w:rPr>
      </w:pPr>
    </w:p>
    <w:p w14:paraId="0D7F63E7" w14:textId="77777777" w:rsidR="00ED7C3B" w:rsidRDefault="00ED7C3B" w:rsidP="006431D2">
      <w:pPr>
        <w:pStyle w:val="NormalWeb"/>
        <w:rPr>
          <w:color w:val="000000"/>
        </w:rPr>
      </w:pPr>
    </w:p>
    <w:p w14:paraId="593487F2" w14:textId="77777777" w:rsidR="00DE2128" w:rsidRPr="00770B91" w:rsidRDefault="00DE2128">
      <w:pPr>
        <w:rPr>
          <w:rFonts w:ascii="Kohinoor Devanagari" w:hAnsi="Kohinoor Devanagari" w:cs="Kohinoor Devanagari"/>
          <w:sz w:val="21"/>
          <w:szCs w:val="21"/>
        </w:rPr>
      </w:pPr>
    </w:p>
    <w:sectPr w:rsidR="00DE2128" w:rsidRPr="00770B91" w:rsidSect="00830CF7">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Kohinoor Devanagari">
    <w:panose1 w:val="02000000000000000000"/>
    <w:charset w:val="4D"/>
    <w:family w:val="auto"/>
    <w:pitch w:val="variable"/>
    <w:sig w:usb0="00008007" w:usb1="00000000" w:usb2="00000000" w:usb3="00000000" w:csb0="00000093"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C5108BD"/>
    <w:multiLevelType w:val="hybridMultilevel"/>
    <w:tmpl w:val="F8464B1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92560227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0648D"/>
    <w:rsid w:val="000203BA"/>
    <w:rsid w:val="00097F64"/>
    <w:rsid w:val="000D5A29"/>
    <w:rsid w:val="000E0F53"/>
    <w:rsid w:val="00117565"/>
    <w:rsid w:val="001F511A"/>
    <w:rsid w:val="00212F4E"/>
    <w:rsid w:val="002363DE"/>
    <w:rsid w:val="00254534"/>
    <w:rsid w:val="002B41ED"/>
    <w:rsid w:val="002B7010"/>
    <w:rsid w:val="002D592B"/>
    <w:rsid w:val="00322F5C"/>
    <w:rsid w:val="0034728B"/>
    <w:rsid w:val="003A0D87"/>
    <w:rsid w:val="003A4D34"/>
    <w:rsid w:val="003E07D1"/>
    <w:rsid w:val="003E68BF"/>
    <w:rsid w:val="003F4291"/>
    <w:rsid w:val="004638A8"/>
    <w:rsid w:val="004B0DF1"/>
    <w:rsid w:val="004C1EFD"/>
    <w:rsid w:val="004E130D"/>
    <w:rsid w:val="00504962"/>
    <w:rsid w:val="00506B1E"/>
    <w:rsid w:val="005348BB"/>
    <w:rsid w:val="00592F72"/>
    <w:rsid w:val="005A2B22"/>
    <w:rsid w:val="005C1812"/>
    <w:rsid w:val="00604C3B"/>
    <w:rsid w:val="006431D2"/>
    <w:rsid w:val="00695AAB"/>
    <w:rsid w:val="006C792C"/>
    <w:rsid w:val="006D2AED"/>
    <w:rsid w:val="0070648D"/>
    <w:rsid w:val="007642E3"/>
    <w:rsid w:val="00770B91"/>
    <w:rsid w:val="007A1B2D"/>
    <w:rsid w:val="007D1B41"/>
    <w:rsid w:val="00807B8E"/>
    <w:rsid w:val="00830CF7"/>
    <w:rsid w:val="00837ABB"/>
    <w:rsid w:val="00842254"/>
    <w:rsid w:val="00862C08"/>
    <w:rsid w:val="008856EE"/>
    <w:rsid w:val="008936F9"/>
    <w:rsid w:val="00941DD2"/>
    <w:rsid w:val="009669EF"/>
    <w:rsid w:val="00971AC6"/>
    <w:rsid w:val="00985DC3"/>
    <w:rsid w:val="009C78EB"/>
    <w:rsid w:val="009D22E4"/>
    <w:rsid w:val="009F3B0B"/>
    <w:rsid w:val="00A37399"/>
    <w:rsid w:val="00A41C09"/>
    <w:rsid w:val="00A54D28"/>
    <w:rsid w:val="00A55F12"/>
    <w:rsid w:val="00A8173E"/>
    <w:rsid w:val="00AC7822"/>
    <w:rsid w:val="00AD6C46"/>
    <w:rsid w:val="00AE2925"/>
    <w:rsid w:val="00B42133"/>
    <w:rsid w:val="00B47F8A"/>
    <w:rsid w:val="00B7742E"/>
    <w:rsid w:val="00BA6387"/>
    <w:rsid w:val="00BA7ED4"/>
    <w:rsid w:val="00BE00E6"/>
    <w:rsid w:val="00C8550C"/>
    <w:rsid w:val="00CD7801"/>
    <w:rsid w:val="00D71F10"/>
    <w:rsid w:val="00D9344A"/>
    <w:rsid w:val="00DD263E"/>
    <w:rsid w:val="00DE2128"/>
    <w:rsid w:val="00DE5038"/>
    <w:rsid w:val="00E06973"/>
    <w:rsid w:val="00E85A2D"/>
    <w:rsid w:val="00EB5892"/>
    <w:rsid w:val="00ED3226"/>
    <w:rsid w:val="00ED7C3B"/>
    <w:rsid w:val="00F522D1"/>
    <w:rsid w:val="00F66F9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B0F51BC"/>
  <w15:chartTrackingRefBased/>
  <w15:docId w15:val="{FE657A9B-2805-FF45-9A93-3EED90E35C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0648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0648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0648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0648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0648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0648D"/>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0648D"/>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0648D"/>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0648D"/>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0648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0648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0648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0648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0648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0648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0648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0648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0648D"/>
    <w:rPr>
      <w:rFonts w:eastAsiaTheme="majorEastAsia" w:cstheme="majorBidi"/>
      <w:color w:val="272727" w:themeColor="text1" w:themeTint="D8"/>
    </w:rPr>
  </w:style>
  <w:style w:type="paragraph" w:styleId="Title">
    <w:name w:val="Title"/>
    <w:basedOn w:val="Normal"/>
    <w:next w:val="Normal"/>
    <w:link w:val="TitleChar"/>
    <w:uiPriority w:val="10"/>
    <w:qFormat/>
    <w:rsid w:val="0070648D"/>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0648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0648D"/>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0648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0648D"/>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70648D"/>
    <w:rPr>
      <w:i/>
      <w:iCs/>
      <w:color w:val="404040" w:themeColor="text1" w:themeTint="BF"/>
    </w:rPr>
  </w:style>
  <w:style w:type="paragraph" w:styleId="ListParagraph">
    <w:name w:val="List Paragraph"/>
    <w:basedOn w:val="Normal"/>
    <w:uiPriority w:val="34"/>
    <w:qFormat/>
    <w:rsid w:val="0070648D"/>
    <w:pPr>
      <w:ind w:left="720"/>
      <w:contextualSpacing/>
    </w:pPr>
  </w:style>
  <w:style w:type="character" w:styleId="IntenseEmphasis">
    <w:name w:val="Intense Emphasis"/>
    <w:basedOn w:val="DefaultParagraphFont"/>
    <w:uiPriority w:val="21"/>
    <w:qFormat/>
    <w:rsid w:val="0070648D"/>
    <w:rPr>
      <w:i/>
      <w:iCs/>
      <w:color w:val="0F4761" w:themeColor="accent1" w:themeShade="BF"/>
    </w:rPr>
  </w:style>
  <w:style w:type="paragraph" w:styleId="IntenseQuote">
    <w:name w:val="Intense Quote"/>
    <w:basedOn w:val="Normal"/>
    <w:next w:val="Normal"/>
    <w:link w:val="IntenseQuoteChar"/>
    <w:uiPriority w:val="30"/>
    <w:qFormat/>
    <w:rsid w:val="0070648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0648D"/>
    <w:rPr>
      <w:i/>
      <w:iCs/>
      <w:color w:val="0F4761" w:themeColor="accent1" w:themeShade="BF"/>
    </w:rPr>
  </w:style>
  <w:style w:type="character" w:styleId="IntenseReference">
    <w:name w:val="Intense Reference"/>
    <w:basedOn w:val="DefaultParagraphFont"/>
    <w:uiPriority w:val="32"/>
    <w:qFormat/>
    <w:rsid w:val="0070648D"/>
    <w:rPr>
      <w:b/>
      <w:bCs/>
      <w:smallCaps/>
      <w:color w:val="0F4761" w:themeColor="accent1" w:themeShade="BF"/>
      <w:spacing w:val="5"/>
    </w:rPr>
  </w:style>
  <w:style w:type="paragraph" w:styleId="NormalWeb">
    <w:name w:val="Normal (Web)"/>
    <w:basedOn w:val="Normal"/>
    <w:uiPriority w:val="99"/>
    <w:semiHidden/>
    <w:unhideWhenUsed/>
    <w:rsid w:val="00DE2128"/>
    <w:pPr>
      <w:spacing w:before="100" w:beforeAutospacing="1" w:after="100" w:afterAutospacing="1"/>
    </w:pPr>
    <w:rPr>
      <w:rFonts w:ascii="Times New Roman" w:eastAsia="Times New Roman" w:hAnsi="Times New Roman" w:cs="Times New Roman"/>
      <w:kern w:val="0"/>
      <w:lang w:eastAsia="en-GB"/>
      <w14:ligatures w14:val="none"/>
    </w:rPr>
  </w:style>
  <w:style w:type="character" w:customStyle="1" w:styleId="apple-converted-space">
    <w:name w:val="apple-converted-space"/>
    <w:basedOn w:val="DefaultParagraphFont"/>
    <w:rsid w:val="00DE212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0118688">
      <w:bodyDiv w:val="1"/>
      <w:marLeft w:val="0"/>
      <w:marRight w:val="0"/>
      <w:marTop w:val="0"/>
      <w:marBottom w:val="0"/>
      <w:divBdr>
        <w:top w:val="none" w:sz="0" w:space="0" w:color="auto"/>
        <w:left w:val="none" w:sz="0" w:space="0" w:color="auto"/>
        <w:bottom w:val="none" w:sz="0" w:space="0" w:color="auto"/>
        <w:right w:val="none" w:sz="0" w:space="0" w:color="auto"/>
      </w:divBdr>
    </w:div>
    <w:div w:id="345600095">
      <w:bodyDiv w:val="1"/>
      <w:marLeft w:val="0"/>
      <w:marRight w:val="0"/>
      <w:marTop w:val="0"/>
      <w:marBottom w:val="0"/>
      <w:divBdr>
        <w:top w:val="none" w:sz="0" w:space="0" w:color="auto"/>
        <w:left w:val="none" w:sz="0" w:space="0" w:color="auto"/>
        <w:bottom w:val="none" w:sz="0" w:space="0" w:color="auto"/>
        <w:right w:val="none" w:sz="0" w:space="0" w:color="auto"/>
      </w:divBdr>
    </w:div>
    <w:div w:id="369377917">
      <w:bodyDiv w:val="1"/>
      <w:marLeft w:val="0"/>
      <w:marRight w:val="0"/>
      <w:marTop w:val="0"/>
      <w:marBottom w:val="0"/>
      <w:divBdr>
        <w:top w:val="none" w:sz="0" w:space="0" w:color="auto"/>
        <w:left w:val="none" w:sz="0" w:space="0" w:color="auto"/>
        <w:bottom w:val="none" w:sz="0" w:space="0" w:color="auto"/>
        <w:right w:val="none" w:sz="0" w:space="0" w:color="auto"/>
      </w:divBdr>
      <w:divsChild>
        <w:div w:id="207570859">
          <w:marLeft w:val="0"/>
          <w:marRight w:val="0"/>
          <w:marTop w:val="0"/>
          <w:marBottom w:val="295"/>
          <w:divBdr>
            <w:top w:val="none" w:sz="0" w:space="0" w:color="auto"/>
            <w:left w:val="none" w:sz="0" w:space="0" w:color="auto"/>
            <w:bottom w:val="none" w:sz="0" w:space="0" w:color="auto"/>
            <w:right w:val="none" w:sz="0" w:space="0" w:color="auto"/>
          </w:divBdr>
          <w:divsChild>
            <w:div w:id="1411080379">
              <w:marLeft w:val="0"/>
              <w:marRight w:val="0"/>
              <w:marTop w:val="0"/>
              <w:marBottom w:val="0"/>
              <w:divBdr>
                <w:top w:val="none" w:sz="0" w:space="0" w:color="auto"/>
                <w:left w:val="none" w:sz="0" w:space="0" w:color="auto"/>
                <w:bottom w:val="none" w:sz="0" w:space="0" w:color="auto"/>
                <w:right w:val="none" w:sz="0" w:space="0" w:color="auto"/>
              </w:divBdr>
            </w:div>
          </w:divsChild>
        </w:div>
        <w:div w:id="220605260">
          <w:marLeft w:val="0"/>
          <w:marRight w:val="0"/>
          <w:marTop w:val="0"/>
          <w:marBottom w:val="0"/>
          <w:divBdr>
            <w:top w:val="none" w:sz="0" w:space="0" w:color="auto"/>
            <w:left w:val="none" w:sz="0" w:space="0" w:color="auto"/>
            <w:bottom w:val="none" w:sz="0" w:space="0" w:color="auto"/>
            <w:right w:val="none" w:sz="0" w:space="0" w:color="auto"/>
          </w:divBdr>
        </w:div>
      </w:divsChild>
    </w:div>
    <w:div w:id="487597527">
      <w:bodyDiv w:val="1"/>
      <w:marLeft w:val="0"/>
      <w:marRight w:val="0"/>
      <w:marTop w:val="0"/>
      <w:marBottom w:val="0"/>
      <w:divBdr>
        <w:top w:val="none" w:sz="0" w:space="0" w:color="auto"/>
        <w:left w:val="none" w:sz="0" w:space="0" w:color="auto"/>
        <w:bottom w:val="none" w:sz="0" w:space="0" w:color="auto"/>
        <w:right w:val="none" w:sz="0" w:space="0" w:color="auto"/>
      </w:divBdr>
    </w:div>
    <w:div w:id="679040764">
      <w:bodyDiv w:val="1"/>
      <w:marLeft w:val="0"/>
      <w:marRight w:val="0"/>
      <w:marTop w:val="0"/>
      <w:marBottom w:val="0"/>
      <w:divBdr>
        <w:top w:val="none" w:sz="0" w:space="0" w:color="auto"/>
        <w:left w:val="none" w:sz="0" w:space="0" w:color="auto"/>
        <w:bottom w:val="none" w:sz="0" w:space="0" w:color="auto"/>
        <w:right w:val="none" w:sz="0" w:space="0" w:color="auto"/>
      </w:divBdr>
    </w:div>
    <w:div w:id="772553758">
      <w:bodyDiv w:val="1"/>
      <w:marLeft w:val="0"/>
      <w:marRight w:val="0"/>
      <w:marTop w:val="0"/>
      <w:marBottom w:val="0"/>
      <w:divBdr>
        <w:top w:val="none" w:sz="0" w:space="0" w:color="auto"/>
        <w:left w:val="none" w:sz="0" w:space="0" w:color="auto"/>
        <w:bottom w:val="none" w:sz="0" w:space="0" w:color="auto"/>
        <w:right w:val="none" w:sz="0" w:space="0" w:color="auto"/>
      </w:divBdr>
    </w:div>
    <w:div w:id="1145661625">
      <w:bodyDiv w:val="1"/>
      <w:marLeft w:val="0"/>
      <w:marRight w:val="0"/>
      <w:marTop w:val="0"/>
      <w:marBottom w:val="0"/>
      <w:divBdr>
        <w:top w:val="none" w:sz="0" w:space="0" w:color="auto"/>
        <w:left w:val="none" w:sz="0" w:space="0" w:color="auto"/>
        <w:bottom w:val="none" w:sz="0" w:space="0" w:color="auto"/>
        <w:right w:val="none" w:sz="0" w:space="0" w:color="auto"/>
      </w:divBdr>
    </w:div>
    <w:div w:id="1259367052">
      <w:bodyDiv w:val="1"/>
      <w:marLeft w:val="0"/>
      <w:marRight w:val="0"/>
      <w:marTop w:val="0"/>
      <w:marBottom w:val="0"/>
      <w:divBdr>
        <w:top w:val="none" w:sz="0" w:space="0" w:color="auto"/>
        <w:left w:val="none" w:sz="0" w:space="0" w:color="auto"/>
        <w:bottom w:val="none" w:sz="0" w:space="0" w:color="auto"/>
        <w:right w:val="none" w:sz="0" w:space="0" w:color="auto"/>
      </w:divBdr>
    </w:div>
    <w:div w:id="1484350950">
      <w:bodyDiv w:val="1"/>
      <w:marLeft w:val="0"/>
      <w:marRight w:val="0"/>
      <w:marTop w:val="0"/>
      <w:marBottom w:val="0"/>
      <w:divBdr>
        <w:top w:val="none" w:sz="0" w:space="0" w:color="auto"/>
        <w:left w:val="none" w:sz="0" w:space="0" w:color="auto"/>
        <w:bottom w:val="none" w:sz="0" w:space="0" w:color="auto"/>
        <w:right w:val="none" w:sz="0" w:space="0" w:color="auto"/>
      </w:divBdr>
    </w:div>
    <w:div w:id="15870375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244</TotalTime>
  <Pages>6</Pages>
  <Words>2172</Words>
  <Characters>12382</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14525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zahra bashir</dc:creator>
  <cp:keywords/>
  <dc:description/>
  <cp:lastModifiedBy>zahra bashir</cp:lastModifiedBy>
  <cp:revision>40</cp:revision>
  <dcterms:created xsi:type="dcterms:W3CDTF">2024-05-11T11:56:00Z</dcterms:created>
  <dcterms:modified xsi:type="dcterms:W3CDTF">2024-05-16T22:25:00Z</dcterms:modified>
</cp:coreProperties>
</file>