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7E619" w14:textId="6054109D" w:rsidR="005C1B9B" w:rsidRDefault="005C1B9B" w:rsidP="005C1B9B">
      <w:pPr>
        <w:jc w:val="center"/>
        <w:rPr>
          <w:u w:val="single"/>
        </w:rPr>
      </w:pPr>
      <w:r>
        <w:rPr>
          <w:u w:val="single"/>
        </w:rPr>
        <w:t>Management of Change – Understanding - On the Job Training</w:t>
      </w:r>
    </w:p>
    <w:p w14:paraId="140E4230" w14:textId="25F954CA" w:rsidR="005C1B9B" w:rsidRDefault="005C1B9B" w:rsidP="005C1B9B">
      <w:pPr>
        <w:pStyle w:val="ListParagraph"/>
        <w:numPr>
          <w:ilvl w:val="0"/>
          <w:numId w:val="2"/>
        </w:numPr>
      </w:pPr>
      <w:r>
        <w:t xml:space="preserve"> </w:t>
      </w:r>
    </w:p>
    <w:p w14:paraId="1689956E" w14:textId="2F8A01AC" w:rsidR="00415568" w:rsidRDefault="00D07823" w:rsidP="005C1B9B">
      <w:r>
        <w:t xml:space="preserve">After discussions with my line manger about my understanding of change management and also the extent to which my role lends itself to this topic area, I have then compared my knowledge against the CIPD profession map. The map discusses </w:t>
      </w:r>
      <w:r w:rsidR="00415568">
        <w:t xml:space="preserve">different levels of understanding, and I would be positioned at the associate level, at this level I have knowledge of different approaches to change management and the advantages and disadvantages from a people perspective,  and also know how to plan and deliver an activity with considerations to costs and time frames as well as an understanding of how to explain change and the reasons for change and how this impacts individuals as well as the organisation as a whole, (CIPD 2021). To improve and reach the next level of knowledge, I would need to further my knowledge of using data to make a strong business case for a change and gain confidence in how to influence different stakeholders and use this influence to generate interest and desire for a planned change. I would also need to give consideration to sustaining change, it is one thing to implement but I am lacking in experience and knowledge when it comes to keeping engagement and ensuring the change is fully accepted and that processes and systems do not revert back to pre-change situations, this can be done with continuous communication and evaluation of employee’s feelings towards change, this element of the profession map does not come into focus until the next level which is chartered membership level, this evidences that I am around the right level for my job role and experience at present. </w:t>
      </w:r>
    </w:p>
    <w:p w14:paraId="225AFF38" w14:textId="529FFFC7" w:rsidR="00415568" w:rsidRDefault="00CA6ACB" w:rsidP="00CA6ACB">
      <w:pPr>
        <w:pStyle w:val="ListParagraph"/>
        <w:numPr>
          <w:ilvl w:val="0"/>
          <w:numId w:val="2"/>
        </w:numPr>
      </w:pPr>
      <w:r>
        <w:t xml:space="preserve"> </w:t>
      </w:r>
    </w:p>
    <w:p w14:paraId="5F24611D" w14:textId="56D6BC02" w:rsidR="00CA6ACB" w:rsidRDefault="00CA6ACB" w:rsidP="00CA6ACB">
      <w:r>
        <w:t>Planned change:  Re-Structure and Re-Organization of the Finance Department</w:t>
      </w:r>
    </w:p>
    <w:tbl>
      <w:tblPr>
        <w:tblStyle w:val="TableGrid"/>
        <w:tblW w:w="0" w:type="auto"/>
        <w:tblLook w:val="04A0" w:firstRow="1" w:lastRow="0" w:firstColumn="1" w:lastColumn="0" w:noHBand="0" w:noVBand="1"/>
      </w:tblPr>
      <w:tblGrid>
        <w:gridCol w:w="4508"/>
        <w:gridCol w:w="4508"/>
      </w:tblGrid>
      <w:tr w:rsidR="00CA6ACB" w14:paraId="3E28A58A" w14:textId="77777777" w:rsidTr="00CA6ACB">
        <w:tc>
          <w:tcPr>
            <w:tcW w:w="4508" w:type="dxa"/>
          </w:tcPr>
          <w:p w14:paraId="724E51C3" w14:textId="36D6C705" w:rsidR="00CA6ACB" w:rsidRPr="00CA6ACB" w:rsidRDefault="00CA6ACB" w:rsidP="00CA6ACB">
            <w:pPr>
              <w:jc w:val="center"/>
              <w:rPr>
                <w:b/>
                <w:bCs/>
                <w:u w:val="single"/>
              </w:rPr>
            </w:pPr>
            <w:r w:rsidRPr="00CA6ACB">
              <w:rPr>
                <w:b/>
                <w:bCs/>
                <w:u w:val="single"/>
              </w:rPr>
              <w:t>STRENGTHS</w:t>
            </w:r>
          </w:p>
        </w:tc>
        <w:tc>
          <w:tcPr>
            <w:tcW w:w="4508" w:type="dxa"/>
          </w:tcPr>
          <w:p w14:paraId="41A3A61E" w14:textId="3FDB8315" w:rsidR="00CA6ACB" w:rsidRPr="00CA6ACB" w:rsidRDefault="00CA6ACB" w:rsidP="00CA6ACB">
            <w:pPr>
              <w:jc w:val="center"/>
              <w:rPr>
                <w:b/>
                <w:bCs/>
                <w:u w:val="single"/>
              </w:rPr>
            </w:pPr>
            <w:r w:rsidRPr="00CA6ACB">
              <w:rPr>
                <w:b/>
                <w:bCs/>
                <w:u w:val="single"/>
              </w:rPr>
              <w:t>WEAKNESSES</w:t>
            </w:r>
          </w:p>
        </w:tc>
      </w:tr>
      <w:tr w:rsidR="00CA6ACB" w14:paraId="643E220C" w14:textId="77777777" w:rsidTr="00CA6ACB">
        <w:tc>
          <w:tcPr>
            <w:tcW w:w="4508" w:type="dxa"/>
          </w:tcPr>
          <w:p w14:paraId="6E320D38" w14:textId="73D04492" w:rsidR="00CA6ACB" w:rsidRPr="00137B72" w:rsidRDefault="00F44F99" w:rsidP="00CA6ACB">
            <w:pPr>
              <w:pStyle w:val="ListParagraph"/>
              <w:numPr>
                <w:ilvl w:val="0"/>
                <w:numId w:val="4"/>
              </w:numPr>
            </w:pPr>
            <w:r w:rsidRPr="00137B72">
              <w:t>Strong family-owned business with long serving members of staff</w:t>
            </w:r>
            <w:r w:rsidR="00E9639F" w:rsidRPr="00137B72">
              <w:t>.</w:t>
            </w:r>
          </w:p>
          <w:p w14:paraId="1BCD1C93" w14:textId="4C432930" w:rsidR="00F44F99" w:rsidRPr="00137B72" w:rsidRDefault="00F44F99" w:rsidP="00CA6ACB">
            <w:pPr>
              <w:pStyle w:val="ListParagraph"/>
              <w:numPr>
                <w:ilvl w:val="0"/>
                <w:numId w:val="4"/>
              </w:numPr>
            </w:pPr>
            <w:r w:rsidRPr="00137B72">
              <w:t>Skilled and cross trained work force</w:t>
            </w:r>
            <w:r w:rsidR="00137B72">
              <w:t xml:space="preserve"> to aid adaptability.</w:t>
            </w:r>
            <w:r w:rsidRPr="00137B72">
              <w:t xml:space="preserve"> </w:t>
            </w:r>
          </w:p>
          <w:p w14:paraId="104F0B91" w14:textId="27A5B951" w:rsidR="00BA0E73" w:rsidRPr="00137B72" w:rsidRDefault="00F44F99" w:rsidP="00BA0E73">
            <w:pPr>
              <w:pStyle w:val="ListParagraph"/>
              <w:numPr>
                <w:ilvl w:val="0"/>
                <w:numId w:val="4"/>
              </w:numPr>
            </w:pPr>
            <w:r w:rsidRPr="00137B72">
              <w:t xml:space="preserve">Long serving members of staff who have grown with the business and want to see it succeed. </w:t>
            </w:r>
          </w:p>
          <w:p w14:paraId="06EBA383" w14:textId="77777777" w:rsidR="00914790" w:rsidRPr="00137B72" w:rsidRDefault="00BA0E73" w:rsidP="00CA6ACB">
            <w:pPr>
              <w:pStyle w:val="ListParagraph"/>
              <w:numPr>
                <w:ilvl w:val="0"/>
                <w:numId w:val="4"/>
              </w:numPr>
            </w:pPr>
            <w:r w:rsidRPr="00137B72">
              <w:t>Private sector – decision making is quick and less red tape</w:t>
            </w:r>
            <w:r w:rsidR="00E9639F" w:rsidRPr="00137B72">
              <w:t xml:space="preserve">. </w:t>
            </w:r>
          </w:p>
          <w:p w14:paraId="38637467" w14:textId="14D9E9D1" w:rsidR="00137B72" w:rsidRPr="00137B72" w:rsidRDefault="00137B72" w:rsidP="00137B72">
            <w:pPr>
              <w:ind w:left="360"/>
            </w:pPr>
          </w:p>
        </w:tc>
        <w:tc>
          <w:tcPr>
            <w:tcW w:w="4508" w:type="dxa"/>
          </w:tcPr>
          <w:p w14:paraId="0CB98EC6" w14:textId="32AC3E2C" w:rsidR="00CA6ACB" w:rsidRDefault="00F44F99" w:rsidP="00F44F99">
            <w:pPr>
              <w:pStyle w:val="ListParagraph"/>
              <w:numPr>
                <w:ilvl w:val="0"/>
                <w:numId w:val="4"/>
              </w:numPr>
            </w:pPr>
            <w:r>
              <w:t>Communication systems</w:t>
            </w:r>
            <w:r w:rsidR="00137B72">
              <w:t xml:space="preserve">, often relying on managers seeing staff to communicate changes and shift patterns mean this can delay information. </w:t>
            </w:r>
          </w:p>
          <w:p w14:paraId="20EC0941" w14:textId="17E392EC" w:rsidR="00F44F99" w:rsidRDefault="00F44F99" w:rsidP="00F44F99">
            <w:pPr>
              <w:pStyle w:val="ListParagraph"/>
              <w:numPr>
                <w:ilvl w:val="0"/>
                <w:numId w:val="4"/>
              </w:numPr>
            </w:pPr>
            <w:r>
              <w:t>Long serving members of staff, do not like change</w:t>
            </w:r>
            <w:r w:rsidR="00E9639F">
              <w:t>.</w:t>
            </w:r>
          </w:p>
          <w:p w14:paraId="25CD1A2E" w14:textId="44473B99" w:rsidR="00F44F99" w:rsidRDefault="00914790" w:rsidP="00F44F99">
            <w:pPr>
              <w:pStyle w:val="ListParagraph"/>
              <w:numPr>
                <w:ilvl w:val="0"/>
                <w:numId w:val="4"/>
              </w:numPr>
            </w:pPr>
            <w:r>
              <w:t xml:space="preserve">Updates not always filtered down through teams quick enough </w:t>
            </w:r>
          </w:p>
          <w:p w14:paraId="7BC634C5" w14:textId="3D4751F6" w:rsidR="00914790" w:rsidRDefault="00E9639F" w:rsidP="00F44F99">
            <w:pPr>
              <w:pStyle w:val="ListParagraph"/>
              <w:numPr>
                <w:ilvl w:val="0"/>
                <w:numId w:val="4"/>
              </w:numPr>
            </w:pPr>
            <w:r>
              <w:t xml:space="preserve">Budgets for change may not always be high and this can mean things are done to a lower standard. </w:t>
            </w:r>
          </w:p>
          <w:p w14:paraId="5A756204" w14:textId="319E4C90" w:rsidR="00F44F99" w:rsidRDefault="00F44F99" w:rsidP="00CA6ACB"/>
        </w:tc>
      </w:tr>
      <w:tr w:rsidR="00CA6ACB" w14:paraId="5029DE3B" w14:textId="77777777" w:rsidTr="00CA6ACB">
        <w:tc>
          <w:tcPr>
            <w:tcW w:w="4508" w:type="dxa"/>
          </w:tcPr>
          <w:p w14:paraId="3EAD0418" w14:textId="26DDB3D1" w:rsidR="00CA6ACB" w:rsidRPr="00CA6ACB" w:rsidRDefault="00CA6ACB" w:rsidP="00CA6ACB">
            <w:pPr>
              <w:jc w:val="center"/>
              <w:rPr>
                <w:b/>
                <w:bCs/>
                <w:u w:val="single"/>
              </w:rPr>
            </w:pPr>
            <w:r w:rsidRPr="00CA6ACB">
              <w:rPr>
                <w:b/>
                <w:bCs/>
                <w:u w:val="single"/>
              </w:rPr>
              <w:t>OPPORTUNITIES</w:t>
            </w:r>
          </w:p>
        </w:tc>
        <w:tc>
          <w:tcPr>
            <w:tcW w:w="4508" w:type="dxa"/>
          </w:tcPr>
          <w:p w14:paraId="0E82EF7A" w14:textId="4FB0F47B" w:rsidR="00CA6ACB" w:rsidRPr="00CA6ACB" w:rsidRDefault="00CA6ACB" w:rsidP="00CA6ACB">
            <w:pPr>
              <w:jc w:val="center"/>
              <w:rPr>
                <w:b/>
                <w:bCs/>
                <w:u w:val="single"/>
              </w:rPr>
            </w:pPr>
            <w:r w:rsidRPr="00CA6ACB">
              <w:rPr>
                <w:b/>
                <w:bCs/>
                <w:u w:val="single"/>
              </w:rPr>
              <w:t>THREATS</w:t>
            </w:r>
          </w:p>
        </w:tc>
      </w:tr>
      <w:tr w:rsidR="00CA6ACB" w14:paraId="3A1A2F6E" w14:textId="77777777" w:rsidTr="00CA6ACB">
        <w:tc>
          <w:tcPr>
            <w:tcW w:w="4508" w:type="dxa"/>
          </w:tcPr>
          <w:p w14:paraId="16C5D7A6" w14:textId="77777777" w:rsidR="00CA6ACB" w:rsidRDefault="00014E66" w:rsidP="00914790">
            <w:pPr>
              <w:pStyle w:val="ListParagraph"/>
              <w:numPr>
                <w:ilvl w:val="0"/>
                <w:numId w:val="5"/>
              </w:numPr>
            </w:pPr>
            <w:r>
              <w:t>Streamlining the department would create efficiencies.</w:t>
            </w:r>
          </w:p>
          <w:p w14:paraId="11342949" w14:textId="4790051B" w:rsidR="00014E66" w:rsidRDefault="00014E66" w:rsidP="00914790">
            <w:pPr>
              <w:pStyle w:val="ListParagraph"/>
              <w:numPr>
                <w:ilvl w:val="0"/>
                <w:numId w:val="5"/>
              </w:numPr>
            </w:pPr>
            <w:r>
              <w:t>All financial information in on</w:t>
            </w:r>
            <w:r w:rsidR="00E9639F">
              <w:t>e</w:t>
            </w:r>
            <w:r>
              <w:t xml:space="preserve"> place/system and not split over different departments</w:t>
            </w:r>
            <w:r w:rsidR="00137B72">
              <w:t>.</w:t>
            </w:r>
          </w:p>
          <w:p w14:paraId="300E4C18" w14:textId="77777777" w:rsidR="00014E66" w:rsidRDefault="00014E66" w:rsidP="00914790">
            <w:pPr>
              <w:pStyle w:val="ListParagraph"/>
              <w:numPr>
                <w:ilvl w:val="0"/>
                <w:numId w:val="5"/>
              </w:numPr>
            </w:pPr>
            <w:r>
              <w:t xml:space="preserve">Consistency as one department all using same systems and processes. </w:t>
            </w:r>
          </w:p>
          <w:p w14:paraId="713F5F23" w14:textId="7DD70A76" w:rsidR="00137B72" w:rsidRDefault="00137B72" w:rsidP="00914790">
            <w:pPr>
              <w:pStyle w:val="ListParagraph"/>
              <w:numPr>
                <w:ilvl w:val="0"/>
                <w:numId w:val="5"/>
              </w:numPr>
            </w:pPr>
            <w:r>
              <w:t xml:space="preserve">Recruitment of new finance manager could bring new ideas, and new perspectives for systems. </w:t>
            </w:r>
          </w:p>
        </w:tc>
        <w:tc>
          <w:tcPr>
            <w:tcW w:w="4508" w:type="dxa"/>
          </w:tcPr>
          <w:p w14:paraId="57C3049F" w14:textId="77777777" w:rsidR="00CA6ACB" w:rsidRDefault="00137B72" w:rsidP="00014E66">
            <w:pPr>
              <w:pStyle w:val="ListParagraph"/>
              <w:numPr>
                <w:ilvl w:val="0"/>
                <w:numId w:val="5"/>
              </w:numPr>
            </w:pPr>
            <w:r>
              <w:t xml:space="preserve">Long serving managers used to having ownership for their department so may resist change. </w:t>
            </w:r>
          </w:p>
          <w:p w14:paraId="5828E258" w14:textId="77777777" w:rsidR="00137B72" w:rsidRDefault="00137B72" w:rsidP="00014E66">
            <w:pPr>
              <w:pStyle w:val="ListParagraph"/>
              <w:numPr>
                <w:ilvl w:val="0"/>
                <w:numId w:val="5"/>
              </w:numPr>
            </w:pPr>
            <w:r>
              <w:t xml:space="preserve">Job roles for certain staff would be adapted and work load re-distributed which may cause conflict. </w:t>
            </w:r>
          </w:p>
          <w:p w14:paraId="1141E057" w14:textId="77777777" w:rsidR="00137B72" w:rsidRDefault="00137B72" w:rsidP="00014E66">
            <w:pPr>
              <w:pStyle w:val="ListParagraph"/>
              <w:numPr>
                <w:ilvl w:val="0"/>
                <w:numId w:val="5"/>
              </w:numPr>
            </w:pPr>
            <w:r>
              <w:t>New Finance manger may not settle and adapt to company culture</w:t>
            </w:r>
          </w:p>
          <w:p w14:paraId="2731BC86" w14:textId="2AB23256" w:rsidR="00137B72" w:rsidRDefault="00137B72" w:rsidP="00137B72">
            <w:pPr>
              <w:pStyle w:val="ListParagraph"/>
            </w:pPr>
          </w:p>
        </w:tc>
      </w:tr>
    </w:tbl>
    <w:p w14:paraId="21EA5D96" w14:textId="09760227" w:rsidR="00CA6ACB" w:rsidRDefault="00794BAF" w:rsidP="00CA6ACB">
      <w:r>
        <w:lastRenderedPageBreak/>
        <w:t xml:space="preserve">The proposed re-structure and re-organization of the finance department would see all purchasing carried out centrally and not by department line managers, purchasing would also now fall under the finance department and not the main admin office. These changes would involve the introduction of a new finance manger to strengthen the finance team and provide support for additional invoicing as the business expands and support with payroll and financial planning for future projects. </w:t>
      </w:r>
    </w:p>
    <w:p w14:paraId="0F3D4546" w14:textId="1499B212" w:rsidR="00DD45E8" w:rsidRDefault="00DD45E8" w:rsidP="00CA6ACB">
      <w:r>
        <w:t xml:space="preserve">The SWOT analysis shows the company strengths which include a strong family business which means employees are keen to see it succeed and grow and those who are long serving members of staff have an emotional connection which should in crease buy in for planned changes, being within the private sector is also a benefit as decision making can be quick and there is less red tape to get through when implementing changes. The weaknesses include communication systems which can hinder change as line mangers may not see all </w:t>
      </w:r>
      <w:r w:rsidR="006D034C">
        <w:t>team</w:t>
      </w:r>
      <w:r>
        <w:t xml:space="preserve"> members for a longer period due to conflicting shift patterns, this means information can be spread around in a non-effective way and may not always be factual by the time it reaches some team members, </w:t>
      </w:r>
      <w:r w:rsidR="006D034C">
        <w:t>being</w:t>
      </w:r>
      <w:r>
        <w:t xml:space="preserve"> a smaller business budgets may hinder changes and things may be done </w:t>
      </w:r>
      <w:r w:rsidR="006D034C">
        <w:t xml:space="preserve">to a lower quality and this could impact the changes. </w:t>
      </w:r>
    </w:p>
    <w:p w14:paraId="3A393F02" w14:textId="1038159A" w:rsidR="006D034C" w:rsidRDefault="006D034C" w:rsidP="00CA6ACB">
      <w:r>
        <w:t xml:space="preserve">The opportunities this change would provide include streamlining departments and having all financial tasks in one area, this would bring consistency as it would be one team and one system for all purchasing rather than departmental managers who may have their own ways of doing things. The introduction of a new finance manager would also bring opportunities for new ideas and fresh perspectives on operating systems which could create efficiencies in itself. The threats associated with the change could include resistance from line managers to adapt to new processes and this could filter down through teams and decrease morale. It could also lead to conflict as workload is re-distributed differently. </w:t>
      </w:r>
    </w:p>
    <w:p w14:paraId="20158395" w14:textId="5AE3F1C1" w:rsidR="00794BAF" w:rsidRDefault="00794BAF" w:rsidP="00CA6ACB">
      <w:r>
        <w:t xml:space="preserve">The HR implications of introducing this re-structure include the recruitment and selection of a new finance manager, this would involve finding someone with the correct skills and experience and also someone who would fit the team and company culture, this could prove challenging as the nature of finance roles and what is expected </w:t>
      </w:r>
      <w:proofErr w:type="spellStart"/>
      <w:r>
        <w:t>e.g</w:t>
      </w:r>
      <w:proofErr w:type="spellEnd"/>
      <w:r>
        <w:t xml:space="preserve"> Mon-Fri, conflicts with the nature of the business as weekend work and bank holiday work would be required, finding the ideal candidate could prove challenging and time consuming.  Other HR implications could include resistance to change from line manager</w:t>
      </w:r>
      <w:r w:rsidR="00160F2B">
        <w:t xml:space="preserve">s as they are long serving members of staff and are used to how things have been done for a long period of time and may resist the changes and take time to acclimatise to having less ownership of their department’s finances. </w:t>
      </w:r>
      <w:r w:rsidR="005B6F33">
        <w:t xml:space="preserve">If line mangers do not adapt well to changes, this could have an impact on the wider team if negative attitudes develop and morale decreases. </w:t>
      </w:r>
    </w:p>
    <w:p w14:paraId="75BE7138" w14:textId="1780263F" w:rsidR="00173C99" w:rsidRDefault="00173C99" w:rsidP="00CA6ACB"/>
    <w:p w14:paraId="2A47ECF8" w14:textId="245AB4C5" w:rsidR="00173C99" w:rsidRDefault="00173C99" w:rsidP="00CA6ACB"/>
    <w:p w14:paraId="46D5B8C4" w14:textId="101E10D2" w:rsidR="00173C99" w:rsidRDefault="00173C99" w:rsidP="00CA6ACB"/>
    <w:p w14:paraId="6C78050E" w14:textId="5366CFD6" w:rsidR="00173C99" w:rsidRDefault="00173C99" w:rsidP="00CA6ACB"/>
    <w:p w14:paraId="2A40385C" w14:textId="7CBEDF4F" w:rsidR="00173C99" w:rsidRDefault="00173C99" w:rsidP="00CA6ACB"/>
    <w:p w14:paraId="4189DB40" w14:textId="60AD0256" w:rsidR="00173C99" w:rsidRDefault="00173C99" w:rsidP="00CA6ACB"/>
    <w:p w14:paraId="683F8025" w14:textId="672402A6" w:rsidR="00173C99" w:rsidRDefault="00173C99" w:rsidP="00CA6ACB"/>
    <w:p w14:paraId="6B869A21" w14:textId="25D3DF8C" w:rsidR="00173C99" w:rsidRDefault="00173C99" w:rsidP="00CA6ACB"/>
    <w:p w14:paraId="4C33C591" w14:textId="77777777" w:rsidR="00173C99" w:rsidRDefault="00173C99" w:rsidP="00CA6ACB"/>
    <w:p w14:paraId="74009393" w14:textId="641E7210" w:rsidR="00173C99" w:rsidRDefault="00173C99" w:rsidP="00CA6ACB">
      <w:r>
        <w:lastRenderedPageBreak/>
        <w:t xml:space="preserve">3. </w:t>
      </w:r>
    </w:p>
    <w:p w14:paraId="2E47476A" w14:textId="495102C3" w:rsidR="00173C99" w:rsidRDefault="00173C99" w:rsidP="00173C99">
      <w:pPr>
        <w:autoSpaceDE w:val="0"/>
        <w:autoSpaceDN w:val="0"/>
        <w:adjustRightInd w:val="0"/>
        <w:spacing w:after="0" w:line="240" w:lineRule="auto"/>
        <w:rPr>
          <w:rFonts w:ascii="Calibri Light" w:eastAsia="Calibri" w:hAnsi="Calibri Light" w:cs="Calibri Light"/>
          <w:color w:val="494949"/>
          <w:sz w:val="24"/>
          <w:szCs w:val="24"/>
          <w:lang w:val="en-US"/>
        </w:rPr>
      </w:pPr>
      <w:r>
        <w:rPr>
          <w:rFonts w:ascii="Calibri Light" w:eastAsia="Calibri" w:hAnsi="Calibri Light" w:cs="Calibri Light"/>
          <w:color w:val="494949"/>
          <w:sz w:val="24"/>
          <w:szCs w:val="24"/>
          <w:lang w:val="en-US"/>
        </w:rPr>
        <w:t xml:space="preserve">Stakeholder Mapping </w:t>
      </w:r>
    </w:p>
    <w:p w14:paraId="43E3DC1D" w14:textId="77777777" w:rsidR="00173C99" w:rsidRPr="00173C99" w:rsidRDefault="00173C99" w:rsidP="00173C99">
      <w:pPr>
        <w:autoSpaceDE w:val="0"/>
        <w:autoSpaceDN w:val="0"/>
        <w:adjustRightInd w:val="0"/>
        <w:spacing w:after="0" w:line="240" w:lineRule="auto"/>
        <w:rPr>
          <w:rFonts w:ascii="Calibri Light" w:eastAsia="Calibri" w:hAnsi="Calibri Light" w:cs="Calibri Light"/>
          <w:color w:val="494949"/>
          <w:sz w:val="24"/>
          <w:szCs w:val="24"/>
          <w:lang w:val="en-US"/>
        </w:rPr>
      </w:pPr>
    </w:p>
    <w:tbl>
      <w:tblPr>
        <w:tblStyle w:val="TableGrid1"/>
        <w:tblW w:w="0" w:type="auto"/>
        <w:tblInd w:w="360" w:type="dxa"/>
        <w:tblLook w:val="04A0" w:firstRow="1" w:lastRow="0" w:firstColumn="1" w:lastColumn="0" w:noHBand="0" w:noVBand="1"/>
      </w:tblPr>
      <w:tblGrid>
        <w:gridCol w:w="494"/>
        <w:gridCol w:w="992"/>
        <w:gridCol w:w="3584"/>
        <w:gridCol w:w="3591"/>
      </w:tblGrid>
      <w:tr w:rsidR="00173C99" w:rsidRPr="00173C99" w14:paraId="509857EB" w14:textId="77777777" w:rsidTr="00173C99">
        <w:trPr>
          <w:trHeight w:val="646"/>
        </w:trPr>
        <w:tc>
          <w:tcPr>
            <w:tcW w:w="495" w:type="dxa"/>
            <w:vMerge w:val="restart"/>
            <w:tcBorders>
              <w:top w:val="nil"/>
              <w:left w:val="nil"/>
              <w:bottom w:val="nil"/>
              <w:right w:val="nil"/>
            </w:tcBorders>
            <w:textDirection w:val="btLr"/>
            <w:hideMark/>
          </w:tcPr>
          <w:p w14:paraId="7F8B7908" w14:textId="77777777" w:rsidR="00173C99" w:rsidRPr="00173C99" w:rsidRDefault="00173C99" w:rsidP="00173C99">
            <w:pPr>
              <w:autoSpaceDE w:val="0"/>
              <w:autoSpaceDN w:val="0"/>
              <w:adjustRightInd w:val="0"/>
              <w:jc w:val="center"/>
              <w:rPr>
                <w:rFonts w:ascii="Calibri Light" w:hAnsi="Calibri Light" w:cs="Calibri Light"/>
                <w:b/>
                <w:color w:val="494949"/>
                <w:sz w:val="21"/>
                <w:szCs w:val="21"/>
              </w:rPr>
            </w:pPr>
            <w:r w:rsidRPr="00173C99">
              <w:rPr>
                <w:rFonts w:ascii="Calibri Light" w:hAnsi="Calibri Light" w:cs="Calibri Light"/>
                <w:b/>
                <w:color w:val="494949"/>
                <w:sz w:val="21"/>
                <w:szCs w:val="21"/>
              </w:rPr>
              <w:t>Influence</w:t>
            </w:r>
          </w:p>
        </w:tc>
        <w:tc>
          <w:tcPr>
            <w:tcW w:w="992" w:type="dxa"/>
            <w:tcBorders>
              <w:top w:val="nil"/>
              <w:left w:val="nil"/>
              <w:bottom w:val="nil"/>
              <w:right w:val="single" w:sz="4" w:space="0" w:color="auto"/>
            </w:tcBorders>
            <w:vAlign w:val="center"/>
            <w:hideMark/>
          </w:tcPr>
          <w:p w14:paraId="24AF2BB5" w14:textId="77777777" w:rsidR="00173C99" w:rsidRPr="00173C99" w:rsidRDefault="00173C99" w:rsidP="00173C99">
            <w:pPr>
              <w:autoSpaceDE w:val="0"/>
              <w:autoSpaceDN w:val="0"/>
              <w:adjustRightInd w:val="0"/>
              <w:rPr>
                <w:rFonts w:ascii="Calibri Light" w:hAnsi="Calibri Light" w:cs="Calibri Light"/>
                <w:color w:val="494949"/>
                <w:sz w:val="21"/>
                <w:szCs w:val="21"/>
              </w:rPr>
            </w:pPr>
            <w:r w:rsidRPr="00173C99">
              <w:rPr>
                <w:rFonts w:ascii="Calibri Light" w:hAnsi="Calibri Light" w:cs="Calibri Light"/>
                <w:color w:val="494949"/>
                <w:sz w:val="21"/>
                <w:szCs w:val="21"/>
              </w:rPr>
              <w:t>High</w:t>
            </w:r>
          </w:p>
        </w:tc>
        <w:tc>
          <w:tcPr>
            <w:tcW w:w="3587" w:type="dxa"/>
            <w:tcBorders>
              <w:top w:val="single" w:sz="4" w:space="0" w:color="auto"/>
              <w:left w:val="single" w:sz="4" w:space="0" w:color="auto"/>
              <w:bottom w:val="single" w:sz="4" w:space="0" w:color="auto"/>
              <w:right w:val="single" w:sz="4" w:space="0" w:color="auto"/>
            </w:tcBorders>
            <w:vAlign w:val="center"/>
            <w:hideMark/>
          </w:tcPr>
          <w:p w14:paraId="6F2C85B5"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Keep Satisfied</w:t>
            </w:r>
          </w:p>
        </w:tc>
        <w:tc>
          <w:tcPr>
            <w:tcW w:w="3594" w:type="dxa"/>
            <w:tcBorders>
              <w:top w:val="single" w:sz="4" w:space="0" w:color="auto"/>
              <w:left w:val="single" w:sz="4" w:space="0" w:color="auto"/>
              <w:bottom w:val="single" w:sz="4" w:space="0" w:color="auto"/>
              <w:right w:val="single" w:sz="4" w:space="0" w:color="auto"/>
            </w:tcBorders>
            <w:shd w:val="solid" w:color="D9D9D9" w:fill="auto"/>
            <w:vAlign w:val="center"/>
            <w:hideMark/>
          </w:tcPr>
          <w:p w14:paraId="1A12717C"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Key Players</w:t>
            </w:r>
          </w:p>
        </w:tc>
      </w:tr>
      <w:tr w:rsidR="00173C99" w:rsidRPr="00173C99" w14:paraId="7B5450F4" w14:textId="77777777" w:rsidTr="00173C99">
        <w:trPr>
          <w:trHeight w:val="681"/>
        </w:trPr>
        <w:tc>
          <w:tcPr>
            <w:tcW w:w="0" w:type="auto"/>
            <w:vMerge/>
            <w:tcBorders>
              <w:top w:val="nil"/>
              <w:left w:val="nil"/>
              <w:bottom w:val="nil"/>
              <w:right w:val="nil"/>
            </w:tcBorders>
            <w:vAlign w:val="center"/>
            <w:hideMark/>
          </w:tcPr>
          <w:p w14:paraId="7F71C336" w14:textId="77777777" w:rsidR="00173C99" w:rsidRPr="00173C99" w:rsidRDefault="00173C99" w:rsidP="00173C99">
            <w:pPr>
              <w:rPr>
                <w:rFonts w:ascii="Calibri Light" w:hAnsi="Calibri Light" w:cs="Calibri Light"/>
                <w:b/>
                <w:color w:val="494949"/>
                <w:sz w:val="21"/>
                <w:szCs w:val="21"/>
              </w:rPr>
            </w:pPr>
          </w:p>
        </w:tc>
        <w:tc>
          <w:tcPr>
            <w:tcW w:w="992" w:type="dxa"/>
            <w:tcBorders>
              <w:top w:val="nil"/>
              <w:left w:val="nil"/>
              <w:bottom w:val="nil"/>
              <w:right w:val="single" w:sz="4" w:space="0" w:color="auto"/>
            </w:tcBorders>
            <w:vAlign w:val="center"/>
            <w:hideMark/>
          </w:tcPr>
          <w:p w14:paraId="4A5ADD96" w14:textId="77777777" w:rsidR="00173C99" w:rsidRPr="00173C99" w:rsidRDefault="00173C99" w:rsidP="00173C99">
            <w:pPr>
              <w:autoSpaceDE w:val="0"/>
              <w:autoSpaceDN w:val="0"/>
              <w:adjustRightInd w:val="0"/>
              <w:rPr>
                <w:rFonts w:ascii="Calibri Light" w:hAnsi="Calibri Light" w:cs="Calibri Light"/>
                <w:color w:val="494949"/>
                <w:sz w:val="21"/>
                <w:szCs w:val="21"/>
              </w:rPr>
            </w:pPr>
            <w:r w:rsidRPr="00173C99">
              <w:rPr>
                <w:rFonts w:ascii="Calibri Light" w:hAnsi="Calibri Light" w:cs="Calibri Light"/>
                <w:color w:val="494949"/>
                <w:sz w:val="21"/>
                <w:szCs w:val="21"/>
              </w:rPr>
              <w:t>Low</w:t>
            </w:r>
          </w:p>
        </w:tc>
        <w:tc>
          <w:tcPr>
            <w:tcW w:w="3587" w:type="dxa"/>
            <w:tcBorders>
              <w:top w:val="single" w:sz="4" w:space="0" w:color="auto"/>
              <w:left w:val="single" w:sz="4" w:space="0" w:color="auto"/>
              <w:bottom w:val="single" w:sz="4" w:space="0" w:color="auto"/>
              <w:right w:val="single" w:sz="4" w:space="0" w:color="auto"/>
            </w:tcBorders>
            <w:shd w:val="solid" w:color="D9D9D9" w:fill="auto"/>
            <w:vAlign w:val="center"/>
            <w:hideMark/>
          </w:tcPr>
          <w:p w14:paraId="1AF39DC9"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Minimal Effort</w:t>
            </w:r>
          </w:p>
        </w:tc>
        <w:tc>
          <w:tcPr>
            <w:tcW w:w="3594" w:type="dxa"/>
            <w:tcBorders>
              <w:top w:val="single" w:sz="4" w:space="0" w:color="auto"/>
              <w:left w:val="single" w:sz="4" w:space="0" w:color="auto"/>
              <w:bottom w:val="single" w:sz="4" w:space="0" w:color="auto"/>
              <w:right w:val="single" w:sz="4" w:space="0" w:color="auto"/>
            </w:tcBorders>
            <w:vAlign w:val="center"/>
            <w:hideMark/>
          </w:tcPr>
          <w:p w14:paraId="0EF8D6C7"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Keep Informed</w:t>
            </w:r>
          </w:p>
        </w:tc>
      </w:tr>
      <w:tr w:rsidR="00173C99" w:rsidRPr="00173C99" w14:paraId="6FA059F3" w14:textId="77777777" w:rsidTr="00173C99">
        <w:trPr>
          <w:gridBefore w:val="2"/>
          <w:wBefore w:w="1487" w:type="dxa"/>
          <w:trHeight w:val="422"/>
        </w:trPr>
        <w:tc>
          <w:tcPr>
            <w:tcW w:w="3587" w:type="dxa"/>
            <w:tcBorders>
              <w:top w:val="nil"/>
              <w:left w:val="nil"/>
              <w:bottom w:val="nil"/>
              <w:right w:val="nil"/>
            </w:tcBorders>
            <w:vAlign w:val="center"/>
            <w:hideMark/>
          </w:tcPr>
          <w:p w14:paraId="6CB29779"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Low</w:t>
            </w:r>
          </w:p>
        </w:tc>
        <w:tc>
          <w:tcPr>
            <w:tcW w:w="3594" w:type="dxa"/>
            <w:tcBorders>
              <w:top w:val="nil"/>
              <w:left w:val="nil"/>
              <w:bottom w:val="nil"/>
              <w:right w:val="nil"/>
            </w:tcBorders>
            <w:vAlign w:val="center"/>
            <w:hideMark/>
          </w:tcPr>
          <w:p w14:paraId="1A6A0075" w14:textId="77777777" w:rsidR="00173C99" w:rsidRPr="00173C99" w:rsidRDefault="00173C99" w:rsidP="00173C99">
            <w:pPr>
              <w:autoSpaceDE w:val="0"/>
              <w:autoSpaceDN w:val="0"/>
              <w:adjustRightInd w:val="0"/>
              <w:jc w:val="center"/>
              <w:rPr>
                <w:rFonts w:ascii="Calibri Light" w:hAnsi="Calibri Light" w:cs="Calibri Light"/>
                <w:color w:val="494949"/>
                <w:sz w:val="21"/>
                <w:szCs w:val="21"/>
              </w:rPr>
            </w:pPr>
            <w:r w:rsidRPr="00173C99">
              <w:rPr>
                <w:rFonts w:ascii="Calibri Light" w:hAnsi="Calibri Light" w:cs="Calibri Light"/>
                <w:color w:val="494949"/>
                <w:sz w:val="21"/>
                <w:szCs w:val="21"/>
              </w:rPr>
              <w:t>High</w:t>
            </w:r>
          </w:p>
        </w:tc>
      </w:tr>
      <w:tr w:rsidR="00173C99" w:rsidRPr="00173C99" w14:paraId="3C36685D" w14:textId="77777777" w:rsidTr="00173C99">
        <w:trPr>
          <w:gridBefore w:val="2"/>
          <w:wBefore w:w="1487" w:type="dxa"/>
          <w:trHeight w:val="360"/>
        </w:trPr>
        <w:tc>
          <w:tcPr>
            <w:tcW w:w="7181" w:type="dxa"/>
            <w:gridSpan w:val="2"/>
            <w:tcBorders>
              <w:top w:val="nil"/>
              <w:left w:val="nil"/>
              <w:bottom w:val="nil"/>
              <w:right w:val="nil"/>
            </w:tcBorders>
            <w:vAlign w:val="center"/>
            <w:hideMark/>
          </w:tcPr>
          <w:p w14:paraId="75A7AA1F" w14:textId="77777777" w:rsidR="00173C99" w:rsidRPr="00173C99" w:rsidRDefault="00173C99" w:rsidP="00173C99">
            <w:pPr>
              <w:autoSpaceDE w:val="0"/>
              <w:autoSpaceDN w:val="0"/>
              <w:adjustRightInd w:val="0"/>
              <w:jc w:val="center"/>
              <w:rPr>
                <w:rFonts w:ascii="Calibri Light" w:hAnsi="Calibri Light" w:cs="Calibri Light"/>
                <w:b/>
                <w:color w:val="494949"/>
                <w:sz w:val="21"/>
                <w:szCs w:val="21"/>
              </w:rPr>
            </w:pPr>
            <w:r w:rsidRPr="00173C99">
              <w:rPr>
                <w:rFonts w:ascii="Calibri Light" w:hAnsi="Calibri Light" w:cs="Calibri Light"/>
                <w:b/>
                <w:color w:val="494949"/>
                <w:sz w:val="21"/>
                <w:szCs w:val="21"/>
              </w:rPr>
              <w:t>Level of Interest</w:t>
            </w:r>
          </w:p>
        </w:tc>
      </w:tr>
    </w:tbl>
    <w:p w14:paraId="0E4E906E" w14:textId="77777777" w:rsidR="00173C99" w:rsidRPr="00173C99" w:rsidRDefault="00173C99" w:rsidP="00173C99">
      <w:pPr>
        <w:autoSpaceDE w:val="0"/>
        <w:autoSpaceDN w:val="0"/>
        <w:adjustRightInd w:val="0"/>
        <w:spacing w:after="0" w:line="240" w:lineRule="auto"/>
        <w:rPr>
          <w:rFonts w:ascii="Calibri Light" w:eastAsia="Calibri" w:hAnsi="Calibri Light" w:cs="Calibri Light"/>
          <w:b/>
          <w:color w:val="494949"/>
          <w:sz w:val="24"/>
          <w:szCs w:val="24"/>
          <w:lang w:val="en-US"/>
        </w:rPr>
      </w:pPr>
    </w:p>
    <w:p w14:paraId="77077ADD" w14:textId="77777777" w:rsidR="00173C99" w:rsidRPr="00173C99" w:rsidRDefault="00173C99" w:rsidP="00173C99">
      <w:pPr>
        <w:rPr>
          <w:lang w:val="en-US"/>
        </w:rPr>
      </w:pPr>
      <w:r w:rsidRPr="00173C99">
        <w:rPr>
          <w:lang w:val="en-US"/>
        </w:rPr>
        <w:t>Stakeholder Grouping</w:t>
      </w:r>
    </w:p>
    <w:p w14:paraId="7501653F" w14:textId="77777777" w:rsidR="00173C99" w:rsidRPr="00173C99" w:rsidRDefault="00173C99" w:rsidP="00173C99">
      <w:pPr>
        <w:autoSpaceDE w:val="0"/>
        <w:autoSpaceDN w:val="0"/>
        <w:adjustRightInd w:val="0"/>
        <w:spacing w:after="0" w:line="240" w:lineRule="auto"/>
        <w:rPr>
          <w:rFonts w:ascii="Calibri Light" w:eastAsia="Calibri" w:hAnsi="Calibri Light" w:cs="Calibri Light"/>
          <w:color w:val="494949"/>
          <w:sz w:val="24"/>
          <w:szCs w:val="24"/>
          <w:lang w:val="en-US"/>
        </w:rPr>
      </w:pPr>
      <w:r w:rsidRPr="00173C99">
        <w:rPr>
          <w:rFonts w:ascii="Calibri Light" w:eastAsia="Calibri" w:hAnsi="Calibri Light" w:cs="Calibri Light"/>
          <w:color w:val="494949"/>
          <w:sz w:val="24"/>
          <w:szCs w:val="24"/>
          <w:lang w:val="en-US"/>
        </w:rPr>
        <w:t xml:space="preserve">Using the Stakeholder Influence/Interest Matrix, complete the table below. This will help determine stakeholder’s grouping for change communications. </w:t>
      </w:r>
    </w:p>
    <w:p w14:paraId="5196108E" w14:textId="77777777" w:rsidR="00173C99" w:rsidRPr="00173C99" w:rsidRDefault="00173C99" w:rsidP="00173C99">
      <w:pPr>
        <w:autoSpaceDE w:val="0"/>
        <w:autoSpaceDN w:val="0"/>
        <w:adjustRightInd w:val="0"/>
        <w:spacing w:after="0" w:line="240" w:lineRule="auto"/>
        <w:rPr>
          <w:rFonts w:ascii="Calibri Light" w:eastAsia="Calibri" w:hAnsi="Calibri Light" w:cs="Calibri Light"/>
          <w:color w:val="494949"/>
          <w:sz w:val="24"/>
          <w:szCs w:val="24"/>
          <w:lang w:val="en-US"/>
        </w:rPr>
      </w:pPr>
    </w:p>
    <w:tbl>
      <w:tblPr>
        <w:tblStyle w:val="TableGrid1"/>
        <w:tblW w:w="0" w:type="auto"/>
        <w:tblInd w:w="0" w:type="dxa"/>
        <w:tblLook w:val="04A0" w:firstRow="1" w:lastRow="0" w:firstColumn="1" w:lastColumn="0" w:noHBand="0" w:noVBand="1"/>
      </w:tblPr>
      <w:tblGrid>
        <w:gridCol w:w="2781"/>
        <w:gridCol w:w="1381"/>
        <w:gridCol w:w="1333"/>
        <w:gridCol w:w="3521"/>
      </w:tblGrid>
      <w:tr w:rsidR="00173C99" w:rsidRPr="00173C99" w14:paraId="022C1790" w14:textId="77777777" w:rsidTr="00173C99">
        <w:tc>
          <w:tcPr>
            <w:tcW w:w="283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0505FC5E" w14:textId="77777777" w:rsidR="00173C99" w:rsidRPr="00173C99" w:rsidRDefault="00173C99" w:rsidP="00173C99">
            <w:pPr>
              <w:autoSpaceDE w:val="0"/>
              <w:autoSpaceDN w:val="0"/>
              <w:adjustRightInd w:val="0"/>
              <w:jc w:val="center"/>
              <w:rPr>
                <w:rFonts w:ascii="Calibri Light" w:hAnsi="Calibri Light" w:cs="Calibri Light"/>
                <w:b/>
                <w:color w:val="FFFFFF"/>
                <w:sz w:val="21"/>
                <w:szCs w:val="21"/>
              </w:rPr>
            </w:pPr>
            <w:r w:rsidRPr="00173C99">
              <w:rPr>
                <w:rFonts w:ascii="Calibri Light" w:hAnsi="Calibri Light" w:cs="Calibri Light"/>
                <w:b/>
                <w:color w:val="FFFFFF"/>
                <w:sz w:val="21"/>
                <w:szCs w:val="21"/>
              </w:rPr>
              <w:t>Stakeholder Name</w:t>
            </w:r>
          </w:p>
        </w:tc>
        <w:tc>
          <w:tcPr>
            <w:tcW w:w="139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51AF6163" w14:textId="77777777" w:rsidR="00173C99" w:rsidRPr="00173C99" w:rsidRDefault="00173C99" w:rsidP="00173C99">
            <w:pPr>
              <w:autoSpaceDE w:val="0"/>
              <w:autoSpaceDN w:val="0"/>
              <w:adjustRightInd w:val="0"/>
              <w:jc w:val="center"/>
              <w:rPr>
                <w:rFonts w:ascii="Calibri Light" w:hAnsi="Calibri Light" w:cs="Calibri Light"/>
                <w:b/>
                <w:color w:val="FFFFFF"/>
                <w:sz w:val="21"/>
                <w:szCs w:val="21"/>
              </w:rPr>
            </w:pPr>
            <w:r w:rsidRPr="00173C99">
              <w:rPr>
                <w:rFonts w:ascii="Calibri Light" w:hAnsi="Calibri Light" w:cs="Calibri Light"/>
                <w:b/>
                <w:color w:val="FFFFFF"/>
                <w:sz w:val="21"/>
                <w:szCs w:val="21"/>
              </w:rPr>
              <w:t>Influence Level</w:t>
            </w:r>
          </w:p>
        </w:tc>
        <w:tc>
          <w:tcPr>
            <w:tcW w:w="1349"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5037F87E" w14:textId="77777777" w:rsidR="00173C99" w:rsidRPr="00173C99" w:rsidRDefault="00173C99" w:rsidP="00173C99">
            <w:pPr>
              <w:autoSpaceDE w:val="0"/>
              <w:autoSpaceDN w:val="0"/>
              <w:adjustRightInd w:val="0"/>
              <w:jc w:val="center"/>
              <w:rPr>
                <w:rFonts w:ascii="Calibri Light" w:hAnsi="Calibri Light" w:cs="Calibri Light"/>
                <w:b/>
                <w:color w:val="FFFFFF"/>
                <w:sz w:val="21"/>
                <w:szCs w:val="21"/>
              </w:rPr>
            </w:pPr>
            <w:r w:rsidRPr="00173C99">
              <w:rPr>
                <w:rFonts w:ascii="Calibri Light" w:hAnsi="Calibri Light" w:cs="Calibri Light"/>
                <w:b/>
                <w:color w:val="FFFFFF"/>
                <w:sz w:val="21"/>
                <w:szCs w:val="21"/>
              </w:rPr>
              <w:t>Level of Interest</w:t>
            </w:r>
          </w:p>
        </w:tc>
        <w:tc>
          <w:tcPr>
            <w:tcW w:w="360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0E44D856" w14:textId="77777777" w:rsidR="00173C99" w:rsidRPr="00173C99" w:rsidRDefault="00173C99" w:rsidP="00173C99">
            <w:pPr>
              <w:autoSpaceDE w:val="0"/>
              <w:autoSpaceDN w:val="0"/>
              <w:adjustRightInd w:val="0"/>
              <w:jc w:val="center"/>
              <w:rPr>
                <w:rFonts w:ascii="Calibri Light" w:hAnsi="Calibri Light" w:cs="Calibri Light"/>
                <w:b/>
                <w:color w:val="FFFFFF"/>
                <w:sz w:val="21"/>
                <w:szCs w:val="21"/>
              </w:rPr>
            </w:pPr>
            <w:r w:rsidRPr="00173C99">
              <w:rPr>
                <w:rFonts w:ascii="Calibri Light" w:hAnsi="Calibri Light" w:cs="Calibri Light"/>
                <w:b/>
                <w:color w:val="FFFFFF"/>
                <w:sz w:val="21"/>
                <w:szCs w:val="21"/>
              </w:rPr>
              <w:t>Stakeholder Grouping</w:t>
            </w:r>
          </w:p>
        </w:tc>
      </w:tr>
      <w:tr w:rsidR="00173C99" w:rsidRPr="00173C99" w14:paraId="119B689E"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hideMark/>
          </w:tcPr>
          <w:p w14:paraId="7090AB41" w14:textId="06893B4F"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Company Directors </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906C271" w14:textId="1DDD2FBD"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1349" w:type="dxa"/>
            <w:tcBorders>
              <w:top w:val="single" w:sz="4" w:space="0" w:color="auto"/>
              <w:left w:val="single" w:sz="4" w:space="0" w:color="auto"/>
              <w:bottom w:val="single" w:sz="4" w:space="0" w:color="auto"/>
              <w:right w:val="single" w:sz="4" w:space="0" w:color="auto"/>
            </w:tcBorders>
            <w:vAlign w:val="center"/>
            <w:hideMark/>
          </w:tcPr>
          <w:p w14:paraId="135E5420" w14:textId="4D3E2E3E"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3601" w:type="dxa"/>
            <w:tcBorders>
              <w:top w:val="single" w:sz="4" w:space="0" w:color="auto"/>
              <w:left w:val="single" w:sz="4" w:space="0" w:color="auto"/>
              <w:bottom w:val="single" w:sz="4" w:space="0" w:color="auto"/>
              <w:right w:val="single" w:sz="4" w:space="0" w:color="auto"/>
            </w:tcBorders>
            <w:vAlign w:val="center"/>
            <w:hideMark/>
          </w:tcPr>
          <w:p w14:paraId="24CE18D5" w14:textId="27878BD1"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Key Player</w:t>
            </w:r>
          </w:p>
        </w:tc>
      </w:tr>
      <w:tr w:rsidR="00173C99" w:rsidRPr="00173C99" w14:paraId="687A2293"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2092295" w14:textId="7A9A37E4"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Managers</w:t>
            </w:r>
          </w:p>
        </w:tc>
        <w:tc>
          <w:tcPr>
            <w:tcW w:w="1394" w:type="dxa"/>
            <w:tcBorders>
              <w:top w:val="single" w:sz="4" w:space="0" w:color="auto"/>
              <w:left w:val="single" w:sz="4" w:space="0" w:color="auto"/>
              <w:bottom w:val="single" w:sz="4" w:space="0" w:color="auto"/>
              <w:right w:val="single" w:sz="4" w:space="0" w:color="auto"/>
            </w:tcBorders>
            <w:vAlign w:val="center"/>
          </w:tcPr>
          <w:p w14:paraId="038075EA" w14:textId="4FD370EF"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1349" w:type="dxa"/>
            <w:tcBorders>
              <w:top w:val="single" w:sz="4" w:space="0" w:color="auto"/>
              <w:left w:val="single" w:sz="4" w:space="0" w:color="auto"/>
              <w:bottom w:val="single" w:sz="4" w:space="0" w:color="auto"/>
              <w:right w:val="single" w:sz="4" w:space="0" w:color="auto"/>
            </w:tcBorders>
            <w:vAlign w:val="center"/>
          </w:tcPr>
          <w:p w14:paraId="723845EE" w14:textId="21D6EFEB"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3601" w:type="dxa"/>
            <w:tcBorders>
              <w:top w:val="single" w:sz="4" w:space="0" w:color="auto"/>
              <w:left w:val="single" w:sz="4" w:space="0" w:color="auto"/>
              <w:bottom w:val="single" w:sz="4" w:space="0" w:color="auto"/>
              <w:right w:val="single" w:sz="4" w:space="0" w:color="auto"/>
            </w:tcBorders>
            <w:vAlign w:val="center"/>
          </w:tcPr>
          <w:p w14:paraId="73DFB6F1" w14:textId="0F90D831"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Key Player </w:t>
            </w:r>
          </w:p>
        </w:tc>
      </w:tr>
      <w:tr w:rsidR="00173C99" w:rsidRPr="00173C99" w14:paraId="78FE097B"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308D5851" w14:textId="4C792A64"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Employees</w:t>
            </w:r>
          </w:p>
        </w:tc>
        <w:tc>
          <w:tcPr>
            <w:tcW w:w="1394" w:type="dxa"/>
            <w:tcBorders>
              <w:top w:val="single" w:sz="4" w:space="0" w:color="auto"/>
              <w:left w:val="single" w:sz="4" w:space="0" w:color="auto"/>
              <w:bottom w:val="single" w:sz="4" w:space="0" w:color="auto"/>
              <w:right w:val="single" w:sz="4" w:space="0" w:color="auto"/>
            </w:tcBorders>
            <w:vAlign w:val="center"/>
          </w:tcPr>
          <w:p w14:paraId="3981D904" w14:textId="75FDD3A5"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Low </w:t>
            </w:r>
          </w:p>
        </w:tc>
        <w:tc>
          <w:tcPr>
            <w:tcW w:w="1349" w:type="dxa"/>
            <w:tcBorders>
              <w:top w:val="single" w:sz="4" w:space="0" w:color="auto"/>
              <w:left w:val="single" w:sz="4" w:space="0" w:color="auto"/>
              <w:bottom w:val="single" w:sz="4" w:space="0" w:color="auto"/>
              <w:right w:val="single" w:sz="4" w:space="0" w:color="auto"/>
            </w:tcBorders>
            <w:vAlign w:val="center"/>
          </w:tcPr>
          <w:p w14:paraId="456F5421" w14:textId="641856CF"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Low </w:t>
            </w:r>
          </w:p>
        </w:tc>
        <w:tc>
          <w:tcPr>
            <w:tcW w:w="3601" w:type="dxa"/>
            <w:tcBorders>
              <w:top w:val="single" w:sz="4" w:space="0" w:color="auto"/>
              <w:left w:val="single" w:sz="4" w:space="0" w:color="auto"/>
              <w:bottom w:val="single" w:sz="4" w:space="0" w:color="auto"/>
              <w:right w:val="single" w:sz="4" w:space="0" w:color="auto"/>
            </w:tcBorders>
            <w:vAlign w:val="center"/>
          </w:tcPr>
          <w:p w14:paraId="5AFB627C" w14:textId="622B7058"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Minimal Effort</w:t>
            </w:r>
          </w:p>
        </w:tc>
      </w:tr>
      <w:tr w:rsidR="00173C99" w:rsidRPr="00173C99" w14:paraId="66259AD0"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4BEBD1A" w14:textId="2D641C02"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Customers</w:t>
            </w:r>
          </w:p>
        </w:tc>
        <w:tc>
          <w:tcPr>
            <w:tcW w:w="1394" w:type="dxa"/>
            <w:tcBorders>
              <w:top w:val="single" w:sz="4" w:space="0" w:color="auto"/>
              <w:left w:val="single" w:sz="4" w:space="0" w:color="auto"/>
              <w:bottom w:val="single" w:sz="4" w:space="0" w:color="auto"/>
              <w:right w:val="single" w:sz="4" w:space="0" w:color="auto"/>
            </w:tcBorders>
            <w:vAlign w:val="center"/>
          </w:tcPr>
          <w:p w14:paraId="64696D61" w14:textId="09A58874"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3B960166" w14:textId="7CA160E4"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04C073C2" w14:textId="22EDE42E"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Minimal effort</w:t>
            </w:r>
          </w:p>
        </w:tc>
      </w:tr>
      <w:tr w:rsidR="00173C99" w:rsidRPr="00173C99" w14:paraId="1560FC97"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BB10663" w14:textId="79539E61"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Suppliers</w:t>
            </w:r>
          </w:p>
        </w:tc>
        <w:tc>
          <w:tcPr>
            <w:tcW w:w="1394" w:type="dxa"/>
            <w:tcBorders>
              <w:top w:val="single" w:sz="4" w:space="0" w:color="auto"/>
              <w:left w:val="single" w:sz="4" w:space="0" w:color="auto"/>
              <w:bottom w:val="single" w:sz="4" w:space="0" w:color="auto"/>
              <w:right w:val="single" w:sz="4" w:space="0" w:color="auto"/>
            </w:tcBorders>
            <w:vAlign w:val="center"/>
          </w:tcPr>
          <w:p w14:paraId="614EE239" w14:textId="1C8AE283"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2A4991E1" w14:textId="7DD1D195"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3601" w:type="dxa"/>
            <w:tcBorders>
              <w:top w:val="single" w:sz="4" w:space="0" w:color="auto"/>
              <w:left w:val="single" w:sz="4" w:space="0" w:color="auto"/>
              <w:bottom w:val="single" w:sz="4" w:space="0" w:color="auto"/>
              <w:right w:val="single" w:sz="4" w:space="0" w:color="auto"/>
            </w:tcBorders>
            <w:vAlign w:val="center"/>
          </w:tcPr>
          <w:p w14:paraId="636E312A" w14:textId="4EBC4D76"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Keep Informed </w:t>
            </w:r>
          </w:p>
        </w:tc>
      </w:tr>
      <w:tr w:rsidR="00173C99" w:rsidRPr="00173C99" w14:paraId="57D1090D"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4C6E8A6" w14:textId="6615AD9E"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Shareholders </w:t>
            </w:r>
          </w:p>
        </w:tc>
        <w:tc>
          <w:tcPr>
            <w:tcW w:w="1394" w:type="dxa"/>
            <w:tcBorders>
              <w:top w:val="single" w:sz="4" w:space="0" w:color="auto"/>
              <w:left w:val="single" w:sz="4" w:space="0" w:color="auto"/>
              <w:bottom w:val="single" w:sz="4" w:space="0" w:color="auto"/>
              <w:right w:val="single" w:sz="4" w:space="0" w:color="auto"/>
            </w:tcBorders>
            <w:vAlign w:val="center"/>
          </w:tcPr>
          <w:p w14:paraId="1DD80033" w14:textId="2AE7AC25"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High </w:t>
            </w:r>
          </w:p>
        </w:tc>
        <w:tc>
          <w:tcPr>
            <w:tcW w:w="1349" w:type="dxa"/>
            <w:tcBorders>
              <w:top w:val="single" w:sz="4" w:space="0" w:color="auto"/>
              <w:left w:val="single" w:sz="4" w:space="0" w:color="auto"/>
              <w:bottom w:val="single" w:sz="4" w:space="0" w:color="auto"/>
              <w:right w:val="single" w:sz="4" w:space="0" w:color="auto"/>
            </w:tcBorders>
            <w:vAlign w:val="center"/>
          </w:tcPr>
          <w:p w14:paraId="028C5A7B" w14:textId="611480A2"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Low </w:t>
            </w:r>
          </w:p>
        </w:tc>
        <w:tc>
          <w:tcPr>
            <w:tcW w:w="3601" w:type="dxa"/>
            <w:tcBorders>
              <w:top w:val="single" w:sz="4" w:space="0" w:color="auto"/>
              <w:left w:val="single" w:sz="4" w:space="0" w:color="auto"/>
              <w:bottom w:val="single" w:sz="4" w:space="0" w:color="auto"/>
              <w:right w:val="single" w:sz="4" w:space="0" w:color="auto"/>
            </w:tcBorders>
            <w:vAlign w:val="center"/>
          </w:tcPr>
          <w:p w14:paraId="5D77CBC4" w14:textId="6CCDB228" w:rsidR="00173C99" w:rsidRPr="00173C99" w:rsidRDefault="00A73920" w:rsidP="00173C99">
            <w:pPr>
              <w:autoSpaceDE w:val="0"/>
              <w:autoSpaceDN w:val="0"/>
              <w:adjustRightInd w:val="0"/>
              <w:rPr>
                <w:rFonts w:ascii="Calibri Light" w:hAnsi="Calibri Light" w:cs="Calibri Light"/>
                <w:color w:val="494949"/>
                <w:sz w:val="21"/>
                <w:szCs w:val="21"/>
              </w:rPr>
            </w:pPr>
            <w:r>
              <w:rPr>
                <w:rFonts w:ascii="Calibri Light" w:hAnsi="Calibri Light" w:cs="Calibri Light"/>
                <w:color w:val="494949"/>
                <w:sz w:val="21"/>
                <w:szCs w:val="21"/>
              </w:rPr>
              <w:t xml:space="preserve">Keep Satisfied </w:t>
            </w:r>
          </w:p>
        </w:tc>
      </w:tr>
      <w:tr w:rsidR="00173C99" w:rsidRPr="00173C99" w14:paraId="2803454F"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09552951"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231EC9FD"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6F37C646"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49BE63B0"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r>
      <w:tr w:rsidR="00173C99" w:rsidRPr="00173C99" w14:paraId="6BD7DD99" w14:textId="77777777" w:rsidTr="00173C99">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086B088"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6A2F1A29"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2C0B7F0C"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5015B544" w14:textId="77777777" w:rsidR="00173C99" w:rsidRPr="00173C99" w:rsidRDefault="00173C99" w:rsidP="00173C99">
            <w:pPr>
              <w:autoSpaceDE w:val="0"/>
              <w:autoSpaceDN w:val="0"/>
              <w:adjustRightInd w:val="0"/>
              <w:rPr>
                <w:rFonts w:ascii="Calibri Light" w:hAnsi="Calibri Light" w:cs="Calibri Light"/>
                <w:color w:val="494949"/>
                <w:sz w:val="21"/>
                <w:szCs w:val="21"/>
              </w:rPr>
            </w:pPr>
          </w:p>
        </w:tc>
      </w:tr>
    </w:tbl>
    <w:p w14:paraId="7F0AC2E6" w14:textId="77777777" w:rsidR="00173C99" w:rsidRDefault="00173C99" w:rsidP="00CA6ACB"/>
    <w:p w14:paraId="17766F3A" w14:textId="3595B0CE" w:rsidR="00415568" w:rsidRDefault="00415568" w:rsidP="005C1B9B"/>
    <w:p w14:paraId="4AAC932C" w14:textId="3029F601" w:rsidR="00415568" w:rsidRPr="00DF5312" w:rsidRDefault="00DF5312" w:rsidP="005C1B9B">
      <w:pPr>
        <w:rPr>
          <w:u w:val="single"/>
        </w:rPr>
      </w:pPr>
      <w:r w:rsidRPr="00DF5312">
        <w:rPr>
          <w:u w:val="single"/>
        </w:rPr>
        <w:t xml:space="preserve">References </w:t>
      </w:r>
    </w:p>
    <w:p w14:paraId="090EFF17" w14:textId="6F983084" w:rsidR="00415568" w:rsidRPr="005C1B9B" w:rsidRDefault="00415568" w:rsidP="005C1B9B">
      <w:r>
        <w:t xml:space="preserve">CIPD (2021) ‘Core Knowledge – Change’ CIPD [Online] Available at: </w:t>
      </w:r>
      <w:hyperlink r:id="rId5" w:history="1">
        <w:r w:rsidR="00CA6ACB">
          <w:rPr>
            <w:rStyle w:val="Hyperlink"/>
          </w:rPr>
          <w:t>Change | CIPD Profession Map</w:t>
        </w:r>
      </w:hyperlink>
      <w:r>
        <w:t xml:space="preserve">  (Accessed on 21</w:t>
      </w:r>
      <w:r w:rsidRPr="00415568">
        <w:rPr>
          <w:vertAlign w:val="superscript"/>
        </w:rPr>
        <w:t>st</w:t>
      </w:r>
      <w:r>
        <w:t xml:space="preserve"> October 2021)</w:t>
      </w:r>
    </w:p>
    <w:sectPr w:rsidR="00415568" w:rsidRPr="005C1B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6045"/>
    <w:multiLevelType w:val="hybridMultilevel"/>
    <w:tmpl w:val="EFA05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53624"/>
    <w:multiLevelType w:val="hybridMultilevel"/>
    <w:tmpl w:val="34563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82D11"/>
    <w:multiLevelType w:val="hybridMultilevel"/>
    <w:tmpl w:val="2DB01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102B31"/>
    <w:multiLevelType w:val="hybridMultilevel"/>
    <w:tmpl w:val="1A88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159CA"/>
    <w:multiLevelType w:val="hybridMultilevel"/>
    <w:tmpl w:val="DE6C5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B9B"/>
    <w:rsid w:val="00014E66"/>
    <w:rsid w:val="00046341"/>
    <w:rsid w:val="00137B72"/>
    <w:rsid w:val="00160F2B"/>
    <w:rsid w:val="00170EAF"/>
    <w:rsid w:val="00173C99"/>
    <w:rsid w:val="00415568"/>
    <w:rsid w:val="005B6F33"/>
    <w:rsid w:val="005C1B9B"/>
    <w:rsid w:val="006D034C"/>
    <w:rsid w:val="00794BAF"/>
    <w:rsid w:val="00914790"/>
    <w:rsid w:val="00A73920"/>
    <w:rsid w:val="00BA0E73"/>
    <w:rsid w:val="00BF1773"/>
    <w:rsid w:val="00CA6ACB"/>
    <w:rsid w:val="00D07823"/>
    <w:rsid w:val="00D87910"/>
    <w:rsid w:val="00DD45E8"/>
    <w:rsid w:val="00DF5312"/>
    <w:rsid w:val="00E9639F"/>
    <w:rsid w:val="00F44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B817"/>
  <w15:chartTrackingRefBased/>
  <w15:docId w15:val="{84B06567-8E19-42DF-893D-604BA927F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B9B"/>
    <w:pPr>
      <w:ind w:left="720"/>
      <w:contextualSpacing/>
    </w:pPr>
  </w:style>
  <w:style w:type="character" w:styleId="Hyperlink">
    <w:name w:val="Hyperlink"/>
    <w:basedOn w:val="DefaultParagraphFont"/>
    <w:uiPriority w:val="99"/>
    <w:semiHidden/>
    <w:unhideWhenUsed/>
    <w:rsid w:val="00415568"/>
    <w:rPr>
      <w:color w:val="0000FF"/>
      <w:u w:val="single"/>
    </w:rPr>
  </w:style>
  <w:style w:type="table" w:styleId="TableGrid">
    <w:name w:val="Table Grid"/>
    <w:basedOn w:val="TableNormal"/>
    <w:uiPriority w:val="39"/>
    <w:rsid w:val="00CA6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73C99"/>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19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eopleprofession.cipd.org/profession-map/core-knowledge/chan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TotalTime>
  <Pages>3</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Low</dc:creator>
  <cp:keywords/>
  <dc:description/>
  <cp:lastModifiedBy>Kimberley Low</cp:lastModifiedBy>
  <cp:revision>11</cp:revision>
  <dcterms:created xsi:type="dcterms:W3CDTF">2021-10-23T18:53:00Z</dcterms:created>
  <dcterms:modified xsi:type="dcterms:W3CDTF">2021-10-24T09:50:00Z</dcterms:modified>
</cp:coreProperties>
</file>