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61F72" w14:textId="77777777" w:rsidR="006009EA" w:rsidRDefault="006009EA"/>
    <w:p w14:paraId="761106E9" w14:textId="77777777" w:rsidR="000358BA" w:rsidRDefault="000358BA" w:rsidP="000358BA">
      <w:r>
        <w:rPr>
          <w:noProof/>
        </w:rPr>
        <w:drawing>
          <wp:inline distT="0" distB="0" distL="0" distR="0" wp14:anchorId="1C166995" wp14:editId="22DD2A2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6431AF3" w14:textId="77777777" w:rsidR="000358BA" w:rsidRDefault="000358BA" w:rsidP="000358BA"/>
    <w:p w14:paraId="576D8AF5" w14:textId="77777777" w:rsidR="000358BA" w:rsidRDefault="000358BA" w:rsidP="000358BA"/>
    <w:p w14:paraId="2078B910" w14:textId="77777777" w:rsidR="000358BA" w:rsidRDefault="000358BA" w:rsidP="000358BA"/>
    <w:p w14:paraId="52606F68" w14:textId="77777777" w:rsidR="000358BA" w:rsidRDefault="000358BA" w:rsidP="000358BA"/>
    <w:p w14:paraId="589EC564" w14:textId="77777777" w:rsidR="000358BA" w:rsidRDefault="000358BA" w:rsidP="000358BA"/>
    <w:p w14:paraId="5E077AA6" w14:textId="77777777" w:rsidR="000358BA" w:rsidRDefault="000358BA" w:rsidP="000358BA">
      <w:pPr>
        <w:jc w:val="both"/>
        <w:rPr>
          <w:rFonts w:asciiTheme="minorBidi" w:hAnsiTheme="minorBidi"/>
          <w:sz w:val="28"/>
          <w:szCs w:val="28"/>
        </w:rPr>
      </w:pPr>
      <w:r>
        <w:rPr>
          <w:rFonts w:asciiTheme="minorBidi" w:hAnsiTheme="minorBidi"/>
          <w:sz w:val="28"/>
          <w:szCs w:val="28"/>
        </w:rPr>
        <w:t xml:space="preserve">Name: </w:t>
      </w:r>
      <w:r w:rsidRPr="006D5230">
        <w:rPr>
          <w:rFonts w:asciiTheme="minorBidi" w:hAnsiTheme="minorBidi"/>
          <w:sz w:val="28"/>
          <w:szCs w:val="28"/>
        </w:rPr>
        <w:t>Bruno da Cruz Pereira</w:t>
      </w:r>
    </w:p>
    <w:p w14:paraId="5FF90CAB" w14:textId="77777777" w:rsidR="000358BA" w:rsidRDefault="000358BA" w:rsidP="000358BA">
      <w:pPr>
        <w:jc w:val="both"/>
        <w:rPr>
          <w:rFonts w:asciiTheme="minorBidi" w:hAnsiTheme="minorBidi"/>
          <w:sz w:val="28"/>
          <w:szCs w:val="28"/>
        </w:rPr>
      </w:pPr>
      <w:r>
        <w:rPr>
          <w:rFonts w:asciiTheme="minorBidi" w:hAnsiTheme="minorBidi"/>
          <w:sz w:val="28"/>
          <w:szCs w:val="28"/>
        </w:rPr>
        <w:t xml:space="preserve">Student ID: </w:t>
      </w:r>
      <w:r w:rsidRPr="006D5230">
        <w:rPr>
          <w:rFonts w:asciiTheme="minorBidi" w:hAnsiTheme="minorBidi"/>
          <w:sz w:val="28"/>
          <w:szCs w:val="28"/>
        </w:rPr>
        <w:t>2210506</w:t>
      </w:r>
    </w:p>
    <w:p w14:paraId="7067D835" w14:textId="77777777" w:rsidR="000358BA" w:rsidRDefault="000358BA" w:rsidP="000358BA">
      <w:pPr>
        <w:jc w:val="both"/>
        <w:rPr>
          <w:rFonts w:asciiTheme="minorBidi" w:hAnsiTheme="minorBidi"/>
          <w:sz w:val="28"/>
          <w:szCs w:val="28"/>
        </w:rPr>
      </w:pPr>
      <w:r>
        <w:rPr>
          <w:rFonts w:asciiTheme="minorBidi" w:hAnsiTheme="minorBidi"/>
          <w:sz w:val="28"/>
          <w:szCs w:val="28"/>
        </w:rPr>
        <w:t xml:space="preserve">Module Code: </w:t>
      </w:r>
      <w:r w:rsidRPr="006D5230">
        <w:rPr>
          <w:rFonts w:asciiTheme="minorBidi" w:hAnsiTheme="minorBidi"/>
          <w:sz w:val="28"/>
          <w:szCs w:val="28"/>
        </w:rPr>
        <w:t>LCHS4001</w:t>
      </w:r>
    </w:p>
    <w:p w14:paraId="5ADE4C28" w14:textId="77777777" w:rsidR="000358BA" w:rsidRDefault="000358BA" w:rsidP="000358BA">
      <w:pPr>
        <w:jc w:val="both"/>
        <w:rPr>
          <w:rFonts w:asciiTheme="minorBidi" w:hAnsiTheme="minorBidi"/>
          <w:sz w:val="28"/>
          <w:szCs w:val="28"/>
        </w:rPr>
      </w:pPr>
      <w:r>
        <w:rPr>
          <w:rFonts w:asciiTheme="minorBidi" w:hAnsiTheme="minorBidi"/>
          <w:sz w:val="28"/>
          <w:szCs w:val="28"/>
        </w:rPr>
        <w:t xml:space="preserve">Module: </w:t>
      </w:r>
      <w:r w:rsidRPr="006D5230">
        <w:rPr>
          <w:rFonts w:asciiTheme="minorBidi" w:hAnsiTheme="minorBidi"/>
          <w:sz w:val="28"/>
          <w:szCs w:val="28"/>
        </w:rPr>
        <w:t>Academic and Employability Skills</w:t>
      </w:r>
    </w:p>
    <w:p w14:paraId="1D1C91BF" w14:textId="77777777" w:rsidR="000358BA" w:rsidRDefault="000358BA" w:rsidP="000358BA">
      <w:pPr>
        <w:jc w:val="both"/>
        <w:rPr>
          <w:rFonts w:asciiTheme="minorBidi" w:hAnsiTheme="minorBidi"/>
          <w:sz w:val="28"/>
          <w:szCs w:val="28"/>
        </w:rPr>
      </w:pPr>
      <w:r>
        <w:rPr>
          <w:rFonts w:asciiTheme="minorBidi" w:hAnsiTheme="minorBidi"/>
          <w:sz w:val="28"/>
          <w:szCs w:val="28"/>
        </w:rPr>
        <w:t xml:space="preserve">Lecturer: </w:t>
      </w:r>
    </w:p>
    <w:p w14:paraId="6C0FFF7C" w14:textId="77777777" w:rsidR="000358BA" w:rsidRDefault="000358BA" w:rsidP="000358BA">
      <w:pPr>
        <w:jc w:val="both"/>
        <w:rPr>
          <w:rFonts w:asciiTheme="minorBidi" w:hAnsiTheme="minorBidi"/>
          <w:sz w:val="28"/>
          <w:szCs w:val="28"/>
        </w:rPr>
      </w:pPr>
    </w:p>
    <w:p w14:paraId="3CC9339B" w14:textId="77777777" w:rsidR="000358BA" w:rsidRDefault="000358BA" w:rsidP="000358BA">
      <w:pPr>
        <w:jc w:val="both"/>
        <w:rPr>
          <w:rFonts w:asciiTheme="minorBidi" w:hAnsiTheme="minorBidi"/>
          <w:sz w:val="28"/>
          <w:szCs w:val="28"/>
        </w:rPr>
      </w:pPr>
    </w:p>
    <w:p w14:paraId="0DCD8905" w14:textId="77777777" w:rsidR="000358BA" w:rsidRDefault="000358BA" w:rsidP="000358BA">
      <w:pPr>
        <w:jc w:val="both"/>
        <w:rPr>
          <w:rFonts w:asciiTheme="minorBidi" w:hAnsiTheme="minorBidi"/>
          <w:sz w:val="28"/>
          <w:szCs w:val="28"/>
        </w:rPr>
      </w:pPr>
    </w:p>
    <w:p w14:paraId="210E31C7" w14:textId="77777777" w:rsidR="000358BA" w:rsidRDefault="000358BA" w:rsidP="000358BA">
      <w:pPr>
        <w:jc w:val="both"/>
        <w:rPr>
          <w:rFonts w:asciiTheme="minorBidi" w:hAnsiTheme="minorBidi"/>
          <w:sz w:val="28"/>
          <w:szCs w:val="28"/>
        </w:rPr>
      </w:pPr>
    </w:p>
    <w:p w14:paraId="3898522C" w14:textId="77777777" w:rsidR="000358BA" w:rsidRDefault="000358BA" w:rsidP="000358BA">
      <w:pPr>
        <w:jc w:val="both"/>
        <w:rPr>
          <w:rFonts w:asciiTheme="minorBidi" w:hAnsiTheme="minorBidi"/>
          <w:sz w:val="28"/>
          <w:szCs w:val="28"/>
        </w:rPr>
      </w:pPr>
    </w:p>
    <w:p w14:paraId="46952246" w14:textId="77777777" w:rsidR="000358BA" w:rsidRDefault="000358BA" w:rsidP="000358BA">
      <w:pPr>
        <w:jc w:val="both"/>
        <w:rPr>
          <w:rFonts w:asciiTheme="minorBidi" w:hAnsiTheme="minorBidi"/>
          <w:sz w:val="28"/>
          <w:szCs w:val="28"/>
        </w:rPr>
      </w:pPr>
    </w:p>
    <w:p w14:paraId="6250AB6C" w14:textId="77777777" w:rsidR="000358BA" w:rsidRDefault="000358BA" w:rsidP="000358BA">
      <w:pPr>
        <w:jc w:val="both"/>
        <w:rPr>
          <w:rFonts w:asciiTheme="minorBidi" w:hAnsiTheme="minorBidi"/>
          <w:sz w:val="28"/>
          <w:szCs w:val="28"/>
        </w:rPr>
      </w:pPr>
    </w:p>
    <w:p w14:paraId="4BCD3FD3" w14:textId="77777777" w:rsidR="000358BA" w:rsidRDefault="000358BA" w:rsidP="000358BA">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Submitted on:    2/10/2026</w:t>
      </w:r>
    </w:p>
    <w:p w14:paraId="2F6E675C" w14:textId="77777777" w:rsidR="006009EA" w:rsidRDefault="00000000">
      <w:r>
        <w:br w:type="page"/>
      </w:r>
    </w:p>
    <w:sdt>
      <w:sdtPr>
        <w:id w:val="211467216"/>
        <w:docPartObj>
          <w:docPartGallery w:val="Table of Contents"/>
          <w:docPartUnique/>
        </w:docPartObj>
      </w:sdtPr>
      <w:sdtEndPr>
        <w:rPr>
          <w:rFonts w:ascii="Aptos" w:eastAsiaTheme="minorEastAsia" w:hAnsi="Aptos" w:cstheme="minorBidi"/>
          <w:b/>
          <w:noProof/>
          <w:color w:val="24303A"/>
          <w:kern w:val="2"/>
          <w:sz w:val="22"/>
          <w:szCs w:val="22"/>
          <w:lang w:val="en-GB" w:eastAsia="zh-CN"/>
          <w14:ligatures w14:val="standardContextual"/>
        </w:rPr>
      </w:sdtEndPr>
      <w:sdtContent>
        <w:p w14:paraId="4A289A85" w14:textId="730C4D73" w:rsidR="000358BA" w:rsidRDefault="000358BA">
          <w:pPr>
            <w:pStyle w:val="TOCHeading"/>
          </w:pPr>
          <w:r>
            <w:t>Table of Contents</w:t>
          </w:r>
        </w:p>
        <w:p w14:paraId="5C5F35F7" w14:textId="2EBB7455" w:rsidR="000358BA" w:rsidRDefault="000358BA">
          <w:pPr>
            <w:pStyle w:val="TOC2"/>
            <w:tabs>
              <w:tab w:val="right" w:leader="dot" w:pos="9062"/>
            </w:tabs>
            <w:rPr>
              <w:rFonts w:asciiTheme="minorHAnsi" w:hAnsiTheme="minorHAnsi" w:cstheme="minorBidi"/>
              <w:b w:val="0"/>
              <w:bCs w:val="0"/>
              <w:noProof/>
              <w:color w:val="auto"/>
              <w:sz w:val="24"/>
              <w:szCs w:val="24"/>
              <w:lang/>
            </w:rPr>
          </w:pPr>
          <w:r>
            <w:fldChar w:fldCharType="begin"/>
          </w:r>
          <w:r>
            <w:instrText xml:space="preserve"> TOC \o "1-3" \h \z \u </w:instrText>
          </w:r>
          <w:r>
            <w:fldChar w:fldCharType="separate"/>
          </w:r>
          <w:hyperlink w:anchor="_Toc241858244" w:history="1">
            <w:r w:rsidRPr="00CD212A">
              <w:rPr>
                <w:rStyle w:val="Hyperlink"/>
                <w:noProof/>
              </w:rPr>
              <w:t>1.1 Introduction</w:t>
            </w:r>
            <w:r>
              <w:rPr>
                <w:noProof/>
                <w:webHidden/>
              </w:rPr>
              <w:tab/>
            </w:r>
            <w:r>
              <w:rPr>
                <w:noProof/>
                <w:webHidden/>
              </w:rPr>
              <w:fldChar w:fldCharType="begin"/>
            </w:r>
            <w:r>
              <w:rPr>
                <w:noProof/>
                <w:webHidden/>
              </w:rPr>
              <w:instrText xml:space="preserve"> PAGEREF _Toc241858244 \h </w:instrText>
            </w:r>
            <w:r>
              <w:rPr>
                <w:noProof/>
                <w:webHidden/>
              </w:rPr>
            </w:r>
            <w:r>
              <w:rPr>
                <w:noProof/>
                <w:webHidden/>
              </w:rPr>
              <w:fldChar w:fldCharType="separate"/>
            </w:r>
            <w:r>
              <w:rPr>
                <w:noProof/>
                <w:webHidden/>
              </w:rPr>
              <w:t>3</w:t>
            </w:r>
            <w:r>
              <w:rPr>
                <w:noProof/>
                <w:webHidden/>
              </w:rPr>
              <w:fldChar w:fldCharType="end"/>
            </w:r>
          </w:hyperlink>
        </w:p>
        <w:p w14:paraId="4BA61AE6" w14:textId="5E623ADB" w:rsidR="000358BA" w:rsidRDefault="000358BA">
          <w:pPr>
            <w:pStyle w:val="TOC1"/>
            <w:tabs>
              <w:tab w:val="right" w:leader="dot" w:pos="9062"/>
            </w:tabs>
            <w:rPr>
              <w:rFonts w:asciiTheme="minorHAnsi" w:hAnsiTheme="minorHAnsi" w:cstheme="minorBidi"/>
              <w:b w:val="0"/>
              <w:bCs w:val="0"/>
              <w:i w:val="0"/>
              <w:iCs w:val="0"/>
              <w:noProof/>
              <w:color w:val="auto"/>
              <w:lang/>
            </w:rPr>
          </w:pPr>
          <w:hyperlink w:anchor="_Toc241858245" w:history="1">
            <w:r w:rsidRPr="00CD212A">
              <w:rPr>
                <w:rStyle w:val="Hyperlink"/>
                <w:noProof/>
              </w:rPr>
              <w:t>2 Healthcare Assistant in the Health and Social Care Field</w:t>
            </w:r>
            <w:r>
              <w:rPr>
                <w:noProof/>
                <w:webHidden/>
              </w:rPr>
              <w:tab/>
            </w:r>
            <w:r>
              <w:rPr>
                <w:noProof/>
                <w:webHidden/>
              </w:rPr>
              <w:fldChar w:fldCharType="begin"/>
            </w:r>
            <w:r>
              <w:rPr>
                <w:noProof/>
                <w:webHidden/>
              </w:rPr>
              <w:instrText xml:space="preserve"> PAGEREF _Toc241858245 \h </w:instrText>
            </w:r>
            <w:r>
              <w:rPr>
                <w:noProof/>
                <w:webHidden/>
              </w:rPr>
            </w:r>
            <w:r>
              <w:rPr>
                <w:noProof/>
                <w:webHidden/>
              </w:rPr>
              <w:fldChar w:fldCharType="separate"/>
            </w:r>
            <w:r>
              <w:rPr>
                <w:noProof/>
                <w:webHidden/>
              </w:rPr>
              <w:t>3</w:t>
            </w:r>
            <w:r>
              <w:rPr>
                <w:noProof/>
                <w:webHidden/>
              </w:rPr>
              <w:fldChar w:fldCharType="end"/>
            </w:r>
          </w:hyperlink>
        </w:p>
        <w:p w14:paraId="3E62BF0C" w14:textId="29069838" w:rsidR="000358BA" w:rsidRDefault="000358BA">
          <w:pPr>
            <w:pStyle w:val="TOC2"/>
            <w:tabs>
              <w:tab w:val="right" w:leader="dot" w:pos="9062"/>
            </w:tabs>
            <w:rPr>
              <w:rFonts w:asciiTheme="minorHAnsi" w:hAnsiTheme="minorHAnsi" w:cstheme="minorBidi"/>
              <w:b w:val="0"/>
              <w:bCs w:val="0"/>
              <w:noProof/>
              <w:color w:val="auto"/>
              <w:sz w:val="24"/>
              <w:szCs w:val="24"/>
              <w:lang/>
            </w:rPr>
          </w:pPr>
          <w:hyperlink w:anchor="_Toc241858246" w:history="1">
            <w:r w:rsidRPr="00CD212A">
              <w:rPr>
                <w:rStyle w:val="Hyperlink"/>
                <w:noProof/>
              </w:rPr>
              <w:t>2.1 Description of a Healthcare Assistant in Health and Social Care</w:t>
            </w:r>
            <w:r>
              <w:rPr>
                <w:noProof/>
                <w:webHidden/>
              </w:rPr>
              <w:tab/>
            </w:r>
            <w:r>
              <w:rPr>
                <w:noProof/>
                <w:webHidden/>
              </w:rPr>
              <w:fldChar w:fldCharType="begin"/>
            </w:r>
            <w:r>
              <w:rPr>
                <w:noProof/>
                <w:webHidden/>
              </w:rPr>
              <w:instrText xml:space="preserve"> PAGEREF _Toc241858246 \h </w:instrText>
            </w:r>
            <w:r>
              <w:rPr>
                <w:noProof/>
                <w:webHidden/>
              </w:rPr>
            </w:r>
            <w:r>
              <w:rPr>
                <w:noProof/>
                <w:webHidden/>
              </w:rPr>
              <w:fldChar w:fldCharType="separate"/>
            </w:r>
            <w:r>
              <w:rPr>
                <w:noProof/>
                <w:webHidden/>
              </w:rPr>
              <w:t>3</w:t>
            </w:r>
            <w:r>
              <w:rPr>
                <w:noProof/>
                <w:webHidden/>
              </w:rPr>
              <w:fldChar w:fldCharType="end"/>
            </w:r>
          </w:hyperlink>
        </w:p>
        <w:p w14:paraId="6D4812DD" w14:textId="121D6083" w:rsidR="000358BA" w:rsidRDefault="000358BA">
          <w:pPr>
            <w:pStyle w:val="TOC2"/>
            <w:tabs>
              <w:tab w:val="right" w:leader="dot" w:pos="9062"/>
            </w:tabs>
            <w:rPr>
              <w:rFonts w:asciiTheme="minorHAnsi" w:hAnsiTheme="minorHAnsi" w:cstheme="minorBidi"/>
              <w:b w:val="0"/>
              <w:bCs w:val="0"/>
              <w:noProof/>
              <w:color w:val="auto"/>
              <w:sz w:val="24"/>
              <w:szCs w:val="24"/>
              <w:lang/>
            </w:rPr>
          </w:pPr>
          <w:hyperlink w:anchor="_Toc241858247" w:history="1">
            <w:r w:rsidRPr="00CD212A">
              <w:rPr>
                <w:rStyle w:val="Hyperlink"/>
                <w:noProof/>
              </w:rPr>
              <w:t>2.2 Explanation of the Most Significant Skills Needed for a Healthcare Assistant</w:t>
            </w:r>
            <w:r>
              <w:rPr>
                <w:noProof/>
                <w:webHidden/>
              </w:rPr>
              <w:tab/>
            </w:r>
            <w:r>
              <w:rPr>
                <w:noProof/>
                <w:webHidden/>
              </w:rPr>
              <w:fldChar w:fldCharType="begin"/>
            </w:r>
            <w:r>
              <w:rPr>
                <w:noProof/>
                <w:webHidden/>
              </w:rPr>
              <w:instrText xml:space="preserve"> PAGEREF _Toc241858247 \h </w:instrText>
            </w:r>
            <w:r>
              <w:rPr>
                <w:noProof/>
                <w:webHidden/>
              </w:rPr>
            </w:r>
            <w:r>
              <w:rPr>
                <w:noProof/>
                <w:webHidden/>
              </w:rPr>
              <w:fldChar w:fldCharType="separate"/>
            </w:r>
            <w:r>
              <w:rPr>
                <w:noProof/>
                <w:webHidden/>
              </w:rPr>
              <w:t>4</w:t>
            </w:r>
            <w:r>
              <w:rPr>
                <w:noProof/>
                <w:webHidden/>
              </w:rPr>
              <w:fldChar w:fldCharType="end"/>
            </w:r>
          </w:hyperlink>
        </w:p>
        <w:p w14:paraId="01088A85" w14:textId="4D6D870D" w:rsidR="000358BA" w:rsidRDefault="000358BA">
          <w:pPr>
            <w:pStyle w:val="TOC1"/>
            <w:tabs>
              <w:tab w:val="right" w:leader="dot" w:pos="9062"/>
            </w:tabs>
            <w:rPr>
              <w:rFonts w:asciiTheme="minorHAnsi" w:hAnsiTheme="minorHAnsi" w:cstheme="minorBidi"/>
              <w:b w:val="0"/>
              <w:bCs w:val="0"/>
              <w:i w:val="0"/>
              <w:iCs w:val="0"/>
              <w:noProof/>
              <w:color w:val="auto"/>
              <w:lang/>
            </w:rPr>
          </w:pPr>
          <w:hyperlink w:anchor="_Toc241858248" w:history="1">
            <w:r w:rsidRPr="00CD212A">
              <w:rPr>
                <w:rStyle w:val="Hyperlink"/>
                <w:noProof/>
              </w:rPr>
              <w:t>3 Strategies for Skill Improvement for a Healthcare Assistant</w:t>
            </w:r>
            <w:r>
              <w:rPr>
                <w:noProof/>
                <w:webHidden/>
              </w:rPr>
              <w:tab/>
            </w:r>
            <w:r>
              <w:rPr>
                <w:noProof/>
                <w:webHidden/>
              </w:rPr>
              <w:fldChar w:fldCharType="begin"/>
            </w:r>
            <w:r>
              <w:rPr>
                <w:noProof/>
                <w:webHidden/>
              </w:rPr>
              <w:instrText xml:space="preserve"> PAGEREF _Toc241858248 \h </w:instrText>
            </w:r>
            <w:r>
              <w:rPr>
                <w:noProof/>
                <w:webHidden/>
              </w:rPr>
            </w:r>
            <w:r>
              <w:rPr>
                <w:noProof/>
                <w:webHidden/>
              </w:rPr>
              <w:fldChar w:fldCharType="separate"/>
            </w:r>
            <w:r>
              <w:rPr>
                <w:noProof/>
                <w:webHidden/>
              </w:rPr>
              <w:t>5</w:t>
            </w:r>
            <w:r>
              <w:rPr>
                <w:noProof/>
                <w:webHidden/>
              </w:rPr>
              <w:fldChar w:fldCharType="end"/>
            </w:r>
          </w:hyperlink>
        </w:p>
        <w:p w14:paraId="3FB6C8E3" w14:textId="03BC323F" w:rsidR="000358BA" w:rsidRDefault="000358BA">
          <w:pPr>
            <w:pStyle w:val="TOC2"/>
            <w:tabs>
              <w:tab w:val="right" w:leader="dot" w:pos="9062"/>
            </w:tabs>
            <w:rPr>
              <w:rFonts w:asciiTheme="minorHAnsi" w:hAnsiTheme="minorHAnsi" w:cstheme="minorBidi"/>
              <w:b w:val="0"/>
              <w:bCs w:val="0"/>
              <w:noProof/>
              <w:color w:val="auto"/>
              <w:sz w:val="24"/>
              <w:szCs w:val="24"/>
              <w:lang/>
            </w:rPr>
          </w:pPr>
          <w:hyperlink w:anchor="_Toc241858249" w:history="1">
            <w:r w:rsidRPr="00CD212A">
              <w:rPr>
                <w:rStyle w:val="Hyperlink"/>
                <w:noProof/>
              </w:rPr>
              <w:t>3.1 Three Strategies to Improve the Skills of a Healthcare Assistant</w:t>
            </w:r>
            <w:r>
              <w:rPr>
                <w:noProof/>
                <w:webHidden/>
              </w:rPr>
              <w:tab/>
            </w:r>
            <w:r>
              <w:rPr>
                <w:noProof/>
                <w:webHidden/>
              </w:rPr>
              <w:fldChar w:fldCharType="begin"/>
            </w:r>
            <w:r>
              <w:rPr>
                <w:noProof/>
                <w:webHidden/>
              </w:rPr>
              <w:instrText xml:space="preserve"> PAGEREF _Toc241858249 \h </w:instrText>
            </w:r>
            <w:r>
              <w:rPr>
                <w:noProof/>
                <w:webHidden/>
              </w:rPr>
            </w:r>
            <w:r>
              <w:rPr>
                <w:noProof/>
                <w:webHidden/>
              </w:rPr>
              <w:fldChar w:fldCharType="separate"/>
            </w:r>
            <w:r>
              <w:rPr>
                <w:noProof/>
                <w:webHidden/>
              </w:rPr>
              <w:t>5</w:t>
            </w:r>
            <w:r>
              <w:rPr>
                <w:noProof/>
                <w:webHidden/>
              </w:rPr>
              <w:fldChar w:fldCharType="end"/>
            </w:r>
          </w:hyperlink>
        </w:p>
        <w:p w14:paraId="62458BA0" w14:textId="67AFA887" w:rsidR="000358BA" w:rsidRDefault="000358BA">
          <w:pPr>
            <w:pStyle w:val="TOC1"/>
            <w:tabs>
              <w:tab w:val="right" w:leader="dot" w:pos="9062"/>
            </w:tabs>
            <w:rPr>
              <w:rFonts w:asciiTheme="minorHAnsi" w:hAnsiTheme="minorHAnsi" w:cstheme="minorBidi"/>
              <w:b w:val="0"/>
              <w:bCs w:val="0"/>
              <w:i w:val="0"/>
              <w:iCs w:val="0"/>
              <w:noProof/>
              <w:color w:val="auto"/>
              <w:lang/>
            </w:rPr>
          </w:pPr>
          <w:hyperlink w:anchor="_Toc241858250" w:history="1">
            <w:r w:rsidRPr="00CD212A">
              <w:rPr>
                <w:rStyle w:val="Hyperlink"/>
                <w:noProof/>
              </w:rPr>
              <w:t>4 Conclusion</w:t>
            </w:r>
            <w:r>
              <w:rPr>
                <w:noProof/>
                <w:webHidden/>
              </w:rPr>
              <w:tab/>
            </w:r>
            <w:r>
              <w:rPr>
                <w:noProof/>
                <w:webHidden/>
              </w:rPr>
              <w:fldChar w:fldCharType="begin"/>
            </w:r>
            <w:r>
              <w:rPr>
                <w:noProof/>
                <w:webHidden/>
              </w:rPr>
              <w:instrText xml:space="preserve"> PAGEREF _Toc241858250 \h </w:instrText>
            </w:r>
            <w:r>
              <w:rPr>
                <w:noProof/>
                <w:webHidden/>
              </w:rPr>
            </w:r>
            <w:r>
              <w:rPr>
                <w:noProof/>
                <w:webHidden/>
              </w:rPr>
              <w:fldChar w:fldCharType="separate"/>
            </w:r>
            <w:r>
              <w:rPr>
                <w:noProof/>
                <w:webHidden/>
              </w:rPr>
              <w:t>6</w:t>
            </w:r>
            <w:r>
              <w:rPr>
                <w:noProof/>
                <w:webHidden/>
              </w:rPr>
              <w:fldChar w:fldCharType="end"/>
            </w:r>
          </w:hyperlink>
        </w:p>
        <w:p w14:paraId="210A524B" w14:textId="501510A7" w:rsidR="000358BA" w:rsidRDefault="000358BA">
          <w:pPr>
            <w:pStyle w:val="TOC1"/>
            <w:tabs>
              <w:tab w:val="right" w:leader="dot" w:pos="9062"/>
            </w:tabs>
            <w:rPr>
              <w:rFonts w:asciiTheme="minorHAnsi" w:hAnsiTheme="minorHAnsi" w:cstheme="minorBidi"/>
              <w:b w:val="0"/>
              <w:bCs w:val="0"/>
              <w:i w:val="0"/>
              <w:iCs w:val="0"/>
              <w:noProof/>
              <w:color w:val="auto"/>
              <w:lang/>
            </w:rPr>
          </w:pPr>
          <w:hyperlink w:anchor="_Toc241858251" w:history="1">
            <w:r w:rsidRPr="00CD212A">
              <w:rPr>
                <w:rStyle w:val="Hyperlink"/>
                <w:noProof/>
              </w:rPr>
              <w:t>5 Reference List</w:t>
            </w:r>
            <w:r>
              <w:rPr>
                <w:noProof/>
                <w:webHidden/>
              </w:rPr>
              <w:tab/>
            </w:r>
            <w:r>
              <w:rPr>
                <w:noProof/>
                <w:webHidden/>
              </w:rPr>
              <w:fldChar w:fldCharType="begin"/>
            </w:r>
            <w:r>
              <w:rPr>
                <w:noProof/>
                <w:webHidden/>
              </w:rPr>
              <w:instrText xml:space="preserve"> PAGEREF _Toc241858251 \h </w:instrText>
            </w:r>
            <w:r>
              <w:rPr>
                <w:noProof/>
                <w:webHidden/>
              </w:rPr>
            </w:r>
            <w:r>
              <w:rPr>
                <w:noProof/>
                <w:webHidden/>
              </w:rPr>
              <w:fldChar w:fldCharType="separate"/>
            </w:r>
            <w:r>
              <w:rPr>
                <w:noProof/>
                <w:webHidden/>
              </w:rPr>
              <w:t>7</w:t>
            </w:r>
            <w:r>
              <w:rPr>
                <w:noProof/>
                <w:webHidden/>
              </w:rPr>
              <w:fldChar w:fldCharType="end"/>
            </w:r>
          </w:hyperlink>
        </w:p>
        <w:p w14:paraId="12BCB3DD" w14:textId="532CA6EA" w:rsidR="000358BA" w:rsidRDefault="000358BA">
          <w:r>
            <w:rPr>
              <w:b/>
              <w:bCs/>
              <w:noProof/>
            </w:rPr>
            <w:fldChar w:fldCharType="end"/>
          </w:r>
        </w:p>
      </w:sdtContent>
    </w:sdt>
    <w:p w14:paraId="036011A7" w14:textId="77777777" w:rsidR="006009EA" w:rsidRDefault="00000000">
      <w:r>
        <w:br w:type="page"/>
      </w:r>
    </w:p>
    <w:p w14:paraId="1791D803" w14:textId="77777777" w:rsidR="006009EA" w:rsidRDefault="00000000">
      <w:pPr>
        <w:pStyle w:val="Heading2"/>
      </w:pPr>
      <w:bookmarkStart w:id="0" w:name="_Toc241858244"/>
      <w:r>
        <w:lastRenderedPageBreak/>
        <w:t>1.1 Introduction</w:t>
      </w:r>
      <w:bookmarkEnd w:id="0"/>
    </w:p>
    <w:p w14:paraId="5118A23D" w14:textId="77777777" w:rsidR="006009EA" w:rsidRDefault="006009EA">
      <w:pPr>
        <w:pBdr>
          <w:bottom w:val="single" w:sz="12" w:space="1" w:color="1B998B"/>
        </w:pBdr>
        <w:spacing w:before="40" w:after="160"/>
      </w:pPr>
    </w:p>
    <w:p w14:paraId="3914CC03" w14:textId="5A264F10" w:rsidR="006009EA" w:rsidRDefault="002A7B6D">
      <w:pPr>
        <w:keepLines/>
        <w:ind w:firstLine="397"/>
        <w:jc w:val="both"/>
      </w:pPr>
      <w:r w:rsidRPr="002A7B6D">
        <w:t>These professionals ensure well-being, respect, and security as they assist people with diverse physical, psychological, and communication challenges. This practice should balance compassionate engagement with safe practices and efficient multidisciplinary cooperation. This report is dedicated to the evaluation of the healthcare assistant’s role in an acute hospital setting. First, the report highlights the role and major responsibilities, then it outlines why communication, observation skills, and person-</w:t>
      </w:r>
      <w:r w:rsidR="00255894" w:rsidRPr="002A7B6D">
        <w:t>cantered</w:t>
      </w:r>
      <w:r w:rsidRPr="002A7B6D">
        <w:t xml:space="preserve"> approach are vital. Lastly, the report appraises one technique for developing each skill.</w:t>
      </w:r>
    </w:p>
    <w:p w14:paraId="6DE35E5D" w14:textId="77777777" w:rsidR="006009EA" w:rsidRDefault="00000000">
      <w:pPr>
        <w:pStyle w:val="Heading1"/>
      </w:pPr>
      <w:bookmarkStart w:id="1" w:name="_Toc241858245"/>
      <w:r>
        <w:t>2 Healthcare Assistant in the Health and Social Care Field</w:t>
      </w:r>
      <w:bookmarkEnd w:id="1"/>
    </w:p>
    <w:p w14:paraId="46A7F65E" w14:textId="77777777" w:rsidR="006009EA" w:rsidRDefault="00000000">
      <w:pPr>
        <w:pStyle w:val="Heading2"/>
      </w:pPr>
      <w:bookmarkStart w:id="2" w:name="_Toc241858246"/>
      <w:r>
        <w:t>2.1 Description of a Healthcare Assistant in Health and Social Care</w:t>
      </w:r>
      <w:bookmarkEnd w:id="2"/>
    </w:p>
    <w:p w14:paraId="34A3533C" w14:textId="77777777" w:rsidR="006009EA" w:rsidRDefault="006009EA">
      <w:pPr>
        <w:pBdr>
          <w:bottom w:val="single" w:sz="12" w:space="1" w:color="1B998B"/>
        </w:pBdr>
        <w:spacing w:before="40" w:after="160"/>
      </w:pPr>
    </w:p>
    <w:p w14:paraId="78BCEB87" w14:textId="0B67692F" w:rsidR="006009EA" w:rsidRDefault="007E199D">
      <w:pPr>
        <w:keepLines/>
        <w:ind w:firstLine="397"/>
        <w:jc w:val="both"/>
      </w:pPr>
      <w:r w:rsidRPr="007E199D">
        <w:t>The healthcare assistant works with the patients directly but is supervised by a registered professional like the nurse. The duties performed include bathing and dressing the patient, feeding the patient, mobilizing the patient, making the bed of the patient, comfort management, and charting body temperature, pulse rate, respiratory rate, and body weight (NHS Health Careers, n.d.). This makes the job essential since it involves close and frequent interaction where the healthcare assistant can ensure the dignity of the patients and be able to spot any change that needs to be clinically assessed.</w:t>
      </w:r>
    </w:p>
    <w:p w14:paraId="02A485DE" w14:textId="23C4E48A" w:rsidR="006009EA" w:rsidRDefault="00F442C4">
      <w:pPr>
        <w:keepLines/>
        <w:ind w:firstLine="397"/>
        <w:jc w:val="both"/>
      </w:pPr>
      <w:r w:rsidRPr="00F442C4">
        <w:t xml:space="preserve">However, the job also entails measures against infections, record-keeping, confidentiality, and teamwork. According to the Care Certificate, which sets out the standards of knowledge, skills, and </w:t>
      </w:r>
      <w:r w:rsidR="00E73EB1" w:rsidRPr="00F442C4">
        <w:t>behaviours</w:t>
      </w:r>
      <w:r w:rsidRPr="00F442C4">
        <w:t xml:space="preserve"> that all workers need to meet, the certificate covers such topics as person-</w:t>
      </w:r>
      <w:r w:rsidR="00E73EB1" w:rsidRPr="00F442C4">
        <w:t>cantered</w:t>
      </w:r>
      <w:r w:rsidRPr="00F442C4">
        <w:t xml:space="preserve"> practice, communication, duty of care, and basic life support (Skills for Care, 2025). While working a shift, the assistant can interact with such personnel as nurses, therapists, porters, and catering personnel alongside dealing with the patient and his/her family. Thus, a healthcare assistant is not just engaged in practical work but also should follow the care plan and know the limitations of his/her job.</w:t>
      </w:r>
    </w:p>
    <w:p w14:paraId="7CB057CF" w14:textId="77777777" w:rsidR="006009EA" w:rsidRDefault="00000000">
      <w:r>
        <w:br w:type="page"/>
      </w:r>
    </w:p>
    <w:p w14:paraId="142588F4" w14:textId="77777777" w:rsidR="006009EA" w:rsidRDefault="00000000">
      <w:pPr>
        <w:pStyle w:val="Heading2"/>
      </w:pPr>
      <w:bookmarkStart w:id="3" w:name="_Toc241858247"/>
      <w:r>
        <w:lastRenderedPageBreak/>
        <w:t>2.2 Explanation of the Most Significant Skills Needed for a Healthcare Assistant</w:t>
      </w:r>
      <w:bookmarkEnd w:id="3"/>
    </w:p>
    <w:p w14:paraId="7F03C0A5" w14:textId="77777777" w:rsidR="006009EA" w:rsidRDefault="006009EA">
      <w:pPr>
        <w:pBdr>
          <w:bottom w:val="single" w:sz="12" w:space="1" w:color="1B998B"/>
        </w:pBdr>
        <w:spacing w:before="40" w:after="160"/>
      </w:pPr>
    </w:p>
    <w:p w14:paraId="06D37330" w14:textId="6F1451B4" w:rsidR="002632BF" w:rsidRDefault="002632BF" w:rsidP="002632BF">
      <w:pPr>
        <w:keepLines/>
        <w:ind w:firstLine="397"/>
        <w:jc w:val="both"/>
      </w:pPr>
      <w:r>
        <w:t xml:space="preserve">Communication is critical as the healthcare assistant needs to listen to the patients, convey routine care information, document details and pass details on. It should also be modified for individuals with hearing loss, anxiety, language differences or cognitive difficulties. If a patient is breathless, they might express symptoms indirectly – calmly asking questions and actively listening will help to better understand what has changed. Now the assistant </w:t>
      </w:r>
      <w:r w:rsidR="00067132">
        <w:t>must</w:t>
      </w:r>
      <w:r>
        <w:t xml:space="preserve"> relay to the nurse in a precise manner. NHS guidance states that SBAR is a structured approach to escalation/de-passing 'Situation, Background, Assessment and Recommendation' which minimises incomplete or vague messages (NHS England, n.d.).</w:t>
      </w:r>
    </w:p>
    <w:p w14:paraId="78F6A9E3" w14:textId="77777777" w:rsidR="002632BF" w:rsidRDefault="002632BF" w:rsidP="002632BF">
      <w:pPr>
        <w:keepLines/>
        <w:ind w:firstLine="397"/>
        <w:jc w:val="both"/>
      </w:pPr>
      <w:r>
        <w:t>Observatory is also vital. Healthcare assistants routinely take down physiologic parameters and may be the first responders to identify confusion, pallor, decreased intake and/or decreased mobility. NEWS2 standardises recording of a patient's respiration rate, oxygen saturation, blood pressure, pulse, consciousness and temperature and hence making it easier to recognise an acute deterioration (Royal College of Physicians, 2017). Observation also involves the comparison of the appearance of the patient's current situation against that of the past; it is a reporting rather than an interpretation of the change observed. The importance of accurate measurement is that the wrong measurement or timing up escalation will mean that a patient is not seen in early time reducing the chance of timely assessment.</w:t>
      </w:r>
    </w:p>
    <w:p w14:paraId="29E0652C" w14:textId="77777777" w:rsidR="002632BF" w:rsidRDefault="002632BF" w:rsidP="002632BF">
      <w:pPr>
        <w:keepLines/>
        <w:ind w:firstLine="397"/>
        <w:jc w:val="both"/>
      </w:pPr>
      <w:r>
        <w:t>Compassion, respect and responsiveness to preference is a form of Person-centred care. The Care Quality Commission stipulates the need for care to be provided in a way that meets the person's needs, their preferences and that the person participates in the decisions made about the care that is provided (n.d.). The health care assistant should, for instance, get permission, safeguard privacy, find out the patient's way of doing the job and promote safer interplay. Individuals' culture, discomfort, fatigue and communication needs may all influence the technique used. This skill serves to maintain dignity and can contribute to establishing trust, leading to higher reporting rates for pain and/or concerns.</w:t>
      </w:r>
    </w:p>
    <w:p w14:paraId="477A684B" w14:textId="7FEA17A4" w:rsidR="006009EA" w:rsidRDefault="002632BF" w:rsidP="002632BF">
      <w:pPr>
        <w:keepLines/>
        <w:ind w:firstLine="397"/>
        <w:jc w:val="both"/>
      </w:pPr>
      <w:r>
        <w:t xml:space="preserve">A breakdown in any one ability can impact on the others. Listening difficulties could mask a symptom </w:t>
      </w:r>
      <w:r w:rsidR="0001490E">
        <w:t>change;</w:t>
      </w:r>
      <w:r>
        <w:t xml:space="preserve"> low observations can result in poor results and care given to a task can undermine consent or communication requirements. The other team member might work well if documentation is not complete, however, that can interfere with the continuity. The impact of this may be </w:t>
      </w:r>
      <w:r w:rsidR="0001490E">
        <w:t>distress or</w:t>
      </w:r>
      <w:r>
        <w:t xml:space="preserve"> have not been treated or avoidable harm. Communication, observation and person-centred care then must be connected and be a quality rather than qualities.</w:t>
      </w:r>
    </w:p>
    <w:p w14:paraId="3DFFF138" w14:textId="77777777" w:rsidR="006009EA" w:rsidRDefault="00000000">
      <w:r>
        <w:br w:type="page"/>
      </w:r>
    </w:p>
    <w:p w14:paraId="1ED5C15F" w14:textId="77777777" w:rsidR="006009EA" w:rsidRDefault="00000000">
      <w:pPr>
        <w:pStyle w:val="Heading1"/>
      </w:pPr>
      <w:bookmarkStart w:id="4" w:name="_Toc241858248"/>
      <w:r>
        <w:lastRenderedPageBreak/>
        <w:t>3 Strategies for Skill Improvement for a Healthcare Assistant</w:t>
      </w:r>
      <w:bookmarkEnd w:id="4"/>
    </w:p>
    <w:p w14:paraId="09680CB1" w14:textId="77777777" w:rsidR="006009EA" w:rsidRDefault="00000000">
      <w:pPr>
        <w:pStyle w:val="Heading2"/>
      </w:pPr>
      <w:bookmarkStart w:id="5" w:name="_Toc241858249"/>
      <w:r>
        <w:t>3.1 Three Strategies to Improve the Skills of a Healthcare Assistant</w:t>
      </w:r>
      <w:bookmarkEnd w:id="5"/>
    </w:p>
    <w:p w14:paraId="77BB9819" w14:textId="77777777" w:rsidR="006009EA" w:rsidRDefault="006009EA">
      <w:pPr>
        <w:pBdr>
          <w:bottom w:val="single" w:sz="12" w:space="1" w:color="1B998B"/>
        </w:pBdr>
        <w:spacing w:before="40" w:after="160"/>
      </w:pPr>
    </w:p>
    <w:p w14:paraId="65557B1D" w14:textId="250BD039" w:rsidR="00C05F42" w:rsidRDefault="00C05F42" w:rsidP="00C05F42">
      <w:pPr>
        <w:keepLines/>
        <w:ind w:firstLine="397"/>
        <w:jc w:val="both"/>
      </w:pPr>
      <w:r>
        <w:t xml:space="preserve">These SBAR simulations can be repeated and then followed by a feedback session with a registered nurse to help improve communication. The healthcare assistant could have experienced short scenarios to practice reporting the patient's new breathlessness, observations of the problem and the need to review. The NHS SBAR guide states that while training and structured practice is advisable as the more assertive and effective communication skills are learnt </w:t>
      </w:r>
      <w:r>
        <w:t>using</w:t>
      </w:r>
      <w:r>
        <w:t xml:space="preserve"> the framework (NHS England, n.d.). Feedback could highlight missing information or unclear language and/or ordering. If any problems were uncovered through feedback, the assistant could repeat the same scenario </w:t>
      </w:r>
      <w:r>
        <w:t>afterwards and</w:t>
      </w:r>
      <w:r>
        <w:t xml:space="preserve"> then practise with a different condition a few times to test transfer of learning. Concise escalation would be more accurate and dependable if it were used in a real time-critical incident, particularly during a period of repetition.</w:t>
      </w:r>
    </w:p>
    <w:p w14:paraId="1B60E69F" w14:textId="504E9A8E" w:rsidR="00C05F42" w:rsidRDefault="00C05F42" w:rsidP="00C05F42">
      <w:pPr>
        <w:keepLines/>
        <w:ind w:firstLine="397"/>
        <w:jc w:val="both"/>
      </w:pPr>
      <w:r>
        <w:t xml:space="preserve">Supervised competency practice of NEWS2 can be used for developing observation. The assistant should conduct a review of local policy and equipment then take observations with another competent adult and explain how they scored and when they needed to escalate. There are standard parameters and response thresholds from the Royal College of Physicians (2017) that provide a clear basis for assessment. Errors like counting too short, using the wrong cuff size or entering a wrong value into the cuff can be identified by direct visual observation or correction. If a brief competency record were displayed, progress would be evident and repeated quizzes would help </w:t>
      </w:r>
      <w:r>
        <w:t>pre-empt</w:t>
      </w:r>
      <w:r>
        <w:t xml:space="preserve"> unsafe habits. Practice should be carried out until there is a consistency of measurements and escalation.</w:t>
      </w:r>
    </w:p>
    <w:p w14:paraId="672036B7" w14:textId="0167DE92" w:rsidR="006009EA" w:rsidRDefault="00C05F42" w:rsidP="00C05F42">
      <w:pPr>
        <w:keepLines/>
        <w:ind w:firstLine="397"/>
        <w:jc w:val="both"/>
      </w:pPr>
      <w:r>
        <w:t xml:space="preserve">Structured reflection on the feedback from their patients can improve the quality of person-centred care. Following a care interaction, the assistant might ask herself some questions using Gibbs' cycle to reflect on what happened, the patient's response, what worked well, what could be done better and what should be done next (Gibbs, 1988). Personal care feedback such as a patient being rushed may result in finding out what their preferences were before providing </w:t>
      </w:r>
      <w:r>
        <w:t>care and</w:t>
      </w:r>
      <w:r>
        <w:t xml:space="preserve"> give them a chance to be independent when performing personal care. During supervision the action may be discussed and reviewed in a following interaction and the result can be seen as a change. Relying on the comparison with Regulation 9 to achieve key development outcomes on ‘involvement, consent and individual need' (Care Quality Commission, n.d.).</w:t>
      </w:r>
    </w:p>
    <w:p w14:paraId="59E0055D" w14:textId="77777777" w:rsidR="006009EA" w:rsidRDefault="00000000">
      <w:r>
        <w:br w:type="page"/>
      </w:r>
    </w:p>
    <w:p w14:paraId="023A966F" w14:textId="77777777" w:rsidR="006009EA" w:rsidRDefault="00000000">
      <w:pPr>
        <w:pStyle w:val="Heading1"/>
      </w:pPr>
      <w:bookmarkStart w:id="6" w:name="_Toc241858250"/>
      <w:r>
        <w:lastRenderedPageBreak/>
        <w:t>4 Conclusion</w:t>
      </w:r>
      <w:bookmarkEnd w:id="6"/>
    </w:p>
    <w:p w14:paraId="1CA9C50B" w14:textId="77777777" w:rsidR="006009EA" w:rsidRDefault="006009EA">
      <w:pPr>
        <w:pBdr>
          <w:bottom w:val="single" w:sz="12" w:space="1" w:color="F2645A"/>
        </w:pBdr>
        <w:spacing w:before="40" w:after="160"/>
      </w:pPr>
    </w:p>
    <w:p w14:paraId="37F8EAA0" w14:textId="019A7386" w:rsidR="006009EA" w:rsidRDefault="00BA3758">
      <w:pPr>
        <w:keepLines/>
        <w:ind w:firstLine="397"/>
        <w:jc w:val="both"/>
      </w:pPr>
      <w:r w:rsidRPr="00BA3758">
        <w:t>The function of the healthcare assistant within the acute hospital is crucial in providing practical care, maintaining dignity, observing patients and raising concerns. The elements of communication, observation and person-</w:t>
      </w:r>
      <w:r w:rsidR="00CD10CE" w:rsidRPr="00BA3758">
        <w:t>cantered</w:t>
      </w:r>
      <w:r w:rsidRPr="00BA3758">
        <w:t xml:space="preserve"> care are key because these enable the correct escalation and early recognition of patient deterioration and respect for participation. There are distinct approaches through SBAR simulation, NEWS2 competence training and reflective discussion of patient feedback. Through consistent assessment and application of learning, adequate supervision allows healthcare assistants to play a part in higher quality care.</w:t>
      </w:r>
    </w:p>
    <w:p w14:paraId="634DCC5F" w14:textId="77777777" w:rsidR="006009EA" w:rsidRDefault="00000000">
      <w:r>
        <w:br w:type="page"/>
      </w:r>
    </w:p>
    <w:p w14:paraId="3AA646F5" w14:textId="77777777" w:rsidR="006009EA" w:rsidRDefault="00000000">
      <w:pPr>
        <w:pStyle w:val="Heading1"/>
      </w:pPr>
      <w:bookmarkStart w:id="7" w:name="_Toc241858251"/>
      <w:r>
        <w:lastRenderedPageBreak/>
        <w:t>5 Reference List</w:t>
      </w:r>
      <w:bookmarkEnd w:id="7"/>
    </w:p>
    <w:p w14:paraId="17FCF4CE" w14:textId="77777777" w:rsidR="006009EA" w:rsidRDefault="006009EA">
      <w:pPr>
        <w:pBdr>
          <w:bottom w:val="single" w:sz="12" w:space="1" w:color="1B998B"/>
        </w:pBdr>
        <w:spacing w:before="40" w:after="160"/>
      </w:pPr>
    </w:p>
    <w:p w14:paraId="5E484778" w14:textId="77777777" w:rsidR="006009EA" w:rsidRDefault="00000000">
      <w:pPr>
        <w:spacing w:after="160"/>
        <w:ind w:left="454" w:hanging="454"/>
      </w:pPr>
      <w:r>
        <w:t>Care Quality Commission (n.d.) Regulation 9: Person-centred care. Available at: https://www.cqc.org.uk/guidance-regulation/providers/regulations-service-providers-and-managers/health-social-care-act/regulation-9 (Accessed: 2 October 2026).</w:t>
      </w:r>
    </w:p>
    <w:p w14:paraId="15EAAF1F" w14:textId="77777777" w:rsidR="006009EA" w:rsidRDefault="00000000">
      <w:pPr>
        <w:spacing w:after="160"/>
        <w:ind w:left="454" w:hanging="454"/>
      </w:pPr>
      <w:r>
        <w:t>Gibbs, G. (1988) Learning by doing: A guide to teaching and learning methods. Oxford: Further Education Unit, Oxford Polytechnic.</w:t>
      </w:r>
    </w:p>
    <w:p w14:paraId="674CFAA5" w14:textId="77777777" w:rsidR="006009EA" w:rsidRDefault="00000000">
      <w:pPr>
        <w:spacing w:after="160"/>
        <w:ind w:left="454" w:hanging="454"/>
      </w:pPr>
      <w:r>
        <w:t>NHS England (n.d.) SBAR: Situation, Background, Assessment, Recommendation—Implementation and training guide. Available at: https://www.england.nhs.uk/improvement-hub/wp-content/uploads/sites/44/2017/11/SBAR-Implementation-and-Training-Guide.pdf (Accessed: 2 October 2026).</w:t>
      </w:r>
    </w:p>
    <w:p w14:paraId="0F388999" w14:textId="77777777" w:rsidR="006009EA" w:rsidRDefault="00000000">
      <w:pPr>
        <w:spacing w:after="160"/>
        <w:ind w:left="454" w:hanging="454"/>
      </w:pPr>
      <w:r>
        <w:t>NHS Health Careers (n.d.) Healthcare assistant. Available at: https://www.healthcareers.nhs.uk/explore-roles/healthcare-support-worker/roles-healthcare-support-worker/healthcare-assistant (Accessed: 2 October 2026).</w:t>
      </w:r>
    </w:p>
    <w:p w14:paraId="07037D84" w14:textId="77777777" w:rsidR="006009EA" w:rsidRDefault="00000000">
      <w:pPr>
        <w:spacing w:after="160"/>
        <w:ind w:left="454" w:hanging="454"/>
      </w:pPr>
      <w:r>
        <w:t>Royal College of Physicians (2017) National Early Warning Score (NEWS) 2: Standardising the assessment of acute-illness severity in the NHS. Updated report of a working party. London: Royal College of Physicians. Available at: https://www.rcp.ac.uk/resources/national-early-warning-score-news-2/ (Accessed: 2 October 2026).</w:t>
      </w:r>
    </w:p>
    <w:p w14:paraId="2BF2D6A5" w14:textId="77777777" w:rsidR="006009EA" w:rsidRDefault="00000000">
      <w:pPr>
        <w:spacing w:after="160"/>
        <w:ind w:left="454" w:hanging="454"/>
      </w:pPr>
      <w:r>
        <w:t>Skills for Care (2025) Care Certificate standards. Available at: https://www.skillsforcare.org.uk/Developing-your-workforce/Care-Certificate/Care-Certificate-standards.aspx (Accessed: 2 October 2026).</w:t>
      </w:r>
    </w:p>
    <w:sectPr w:rsidR="006009EA" w:rsidSect="00D676C3">
      <w:headerReference w:type="even" r:id="rId9"/>
      <w:headerReference w:type="default" r:id="rId10"/>
      <w:footerReference w:type="default" r:id="rId11"/>
      <w:pgSz w:w="11906" w:h="16838"/>
      <w:pgMar w:top="1304" w:right="1417" w:bottom="124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AB9256" w14:textId="77777777" w:rsidR="00555F58" w:rsidRDefault="00555F58" w:rsidP="003C7C97">
      <w:pPr>
        <w:spacing w:after="0" w:line="240" w:lineRule="auto"/>
      </w:pPr>
      <w:r>
        <w:separator/>
      </w:r>
    </w:p>
  </w:endnote>
  <w:endnote w:type="continuationSeparator" w:id="0">
    <w:p w14:paraId="25AEB77F" w14:textId="77777777" w:rsidR="00555F58" w:rsidRDefault="00555F5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E3FBAB" w14:textId="77777777" w:rsidR="006009EA" w:rsidRDefault="00000000">
    <w:pPr>
      <w:pStyle w:val="Footer"/>
      <w:jc w:val="center"/>
    </w:pPr>
    <w:r>
      <w:rPr>
        <w:color w:val="56616A"/>
        <w:sz w:val="18"/>
      </w:rPr>
      <w:fldChar w:fldCharType="begin"/>
    </w:r>
    <w:r>
      <w:rPr>
        <w:color w:val="56616A"/>
        <w:sz w:val="18"/>
      </w:rPr>
      <w:instrText xml:space="preserve"> PAGE </w:instrText>
    </w:r>
    <w:r w:rsidR="000358BA">
      <w:rPr>
        <w:color w:val="56616A"/>
        <w:sz w:val="18"/>
      </w:rPr>
      <w:fldChar w:fldCharType="separate"/>
    </w:r>
    <w:r w:rsidR="000358BA">
      <w:rPr>
        <w:noProof/>
        <w:color w:val="56616A"/>
        <w:sz w:val="18"/>
      </w:rPr>
      <w:t>2</w:t>
    </w:r>
    <w:r>
      <w:rPr>
        <w:color w:val="56616A"/>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C9B41" w14:textId="77777777" w:rsidR="00555F58" w:rsidRDefault="00555F58" w:rsidP="003C7C97">
      <w:pPr>
        <w:spacing w:after="0" w:line="240" w:lineRule="auto"/>
      </w:pPr>
      <w:r>
        <w:separator/>
      </w:r>
    </w:p>
  </w:footnote>
  <w:footnote w:type="continuationSeparator" w:id="0">
    <w:p w14:paraId="7451095E" w14:textId="77777777" w:rsidR="00555F58" w:rsidRDefault="00555F5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087F6CD4"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B7EAEE0"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48F24401" w14:textId="7777777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127B2DB" w14:textId="77777777" w:rsidR="00D676C3" w:rsidRDefault="00D676C3" w:rsidP="00D676C3">
    <w:pPr>
      <w:pStyle w:val="Header"/>
      <w:ind w:right="360"/>
      <w:jc w:val="right"/>
    </w:pPr>
    <w:r>
      <w:rPr>
        <w:color w:val="56616A"/>
        <w:sz w:val="16"/>
      </w:rPr>
      <w:t>LCHS4001 | Task 3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39D2B3D6"/>
    <w:lvl w:ilvl="0" w:tplc="8A08CAE0">
      <w:start w:val="1"/>
      <w:numFmt w:val="bullet"/>
      <w:lvlText w:val=""/>
      <w:lvlJc w:val="left"/>
      <w:pPr>
        <w:ind w:left="720" w:hanging="360"/>
      </w:pPr>
      <w:rPr>
        <w:rFonts w:ascii="Symbol" w:hAnsi="Symbol" w:hint="default"/>
      </w:rPr>
    </w:lvl>
    <w:lvl w:ilvl="1" w:tplc="8C180B4E">
      <w:start w:val="1"/>
      <w:numFmt w:val="bullet"/>
      <w:lvlText w:val="o"/>
      <w:lvlJc w:val="left"/>
      <w:pPr>
        <w:ind w:left="1440" w:hanging="360"/>
      </w:pPr>
      <w:rPr>
        <w:rFonts w:ascii="Courier New" w:hAnsi="Courier New" w:hint="default"/>
      </w:rPr>
    </w:lvl>
    <w:lvl w:ilvl="2" w:tplc="F50A4440">
      <w:start w:val="1"/>
      <w:numFmt w:val="bullet"/>
      <w:lvlText w:val=""/>
      <w:lvlJc w:val="left"/>
      <w:pPr>
        <w:ind w:left="2160" w:hanging="360"/>
      </w:pPr>
      <w:rPr>
        <w:rFonts w:ascii="Wingdings" w:hAnsi="Wingdings" w:hint="default"/>
      </w:rPr>
    </w:lvl>
    <w:lvl w:ilvl="3" w:tplc="9D7C07FE">
      <w:start w:val="1"/>
      <w:numFmt w:val="bullet"/>
      <w:lvlText w:val=""/>
      <w:lvlJc w:val="left"/>
      <w:pPr>
        <w:ind w:left="2880" w:hanging="360"/>
      </w:pPr>
      <w:rPr>
        <w:rFonts w:ascii="Symbol" w:hAnsi="Symbol" w:hint="default"/>
      </w:rPr>
    </w:lvl>
    <w:lvl w:ilvl="4" w:tplc="0246B518">
      <w:start w:val="1"/>
      <w:numFmt w:val="bullet"/>
      <w:lvlText w:val="o"/>
      <w:lvlJc w:val="left"/>
      <w:pPr>
        <w:ind w:left="3600" w:hanging="360"/>
      </w:pPr>
      <w:rPr>
        <w:rFonts w:ascii="Courier New" w:hAnsi="Courier New" w:hint="default"/>
      </w:rPr>
    </w:lvl>
    <w:lvl w:ilvl="5" w:tplc="EF949432">
      <w:start w:val="1"/>
      <w:numFmt w:val="bullet"/>
      <w:lvlText w:val=""/>
      <w:lvlJc w:val="left"/>
      <w:pPr>
        <w:ind w:left="4320" w:hanging="360"/>
      </w:pPr>
      <w:rPr>
        <w:rFonts w:ascii="Wingdings" w:hAnsi="Wingdings" w:hint="default"/>
      </w:rPr>
    </w:lvl>
    <w:lvl w:ilvl="6" w:tplc="C78CF5E6">
      <w:start w:val="1"/>
      <w:numFmt w:val="bullet"/>
      <w:lvlText w:val=""/>
      <w:lvlJc w:val="left"/>
      <w:pPr>
        <w:ind w:left="5040" w:hanging="360"/>
      </w:pPr>
      <w:rPr>
        <w:rFonts w:ascii="Symbol" w:hAnsi="Symbol" w:hint="default"/>
      </w:rPr>
    </w:lvl>
    <w:lvl w:ilvl="7" w:tplc="1F60F826">
      <w:start w:val="1"/>
      <w:numFmt w:val="bullet"/>
      <w:lvlText w:val="o"/>
      <w:lvlJc w:val="left"/>
      <w:pPr>
        <w:ind w:left="5760" w:hanging="360"/>
      </w:pPr>
      <w:rPr>
        <w:rFonts w:ascii="Courier New" w:hAnsi="Courier New" w:hint="default"/>
      </w:rPr>
    </w:lvl>
    <w:lvl w:ilvl="8" w:tplc="51E8BA2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1B2A84DA"/>
    <w:lvl w:ilvl="0" w:tplc="41606D22">
      <w:start w:val="1"/>
      <w:numFmt w:val="bullet"/>
      <w:lvlText w:val=""/>
      <w:lvlJc w:val="left"/>
      <w:pPr>
        <w:ind w:left="720" w:hanging="360"/>
      </w:pPr>
      <w:rPr>
        <w:rFonts w:ascii="Symbol" w:hAnsi="Symbol" w:hint="default"/>
      </w:rPr>
    </w:lvl>
    <w:lvl w:ilvl="1" w:tplc="3A24D1AC">
      <w:start w:val="1"/>
      <w:numFmt w:val="bullet"/>
      <w:lvlText w:val="o"/>
      <w:lvlJc w:val="left"/>
      <w:pPr>
        <w:ind w:left="1440" w:hanging="360"/>
      </w:pPr>
      <w:rPr>
        <w:rFonts w:ascii="Courier New" w:hAnsi="Courier New" w:hint="default"/>
      </w:rPr>
    </w:lvl>
    <w:lvl w:ilvl="2" w:tplc="6E7E3426">
      <w:start w:val="1"/>
      <w:numFmt w:val="bullet"/>
      <w:lvlText w:val=""/>
      <w:lvlJc w:val="left"/>
      <w:pPr>
        <w:ind w:left="2160" w:hanging="360"/>
      </w:pPr>
      <w:rPr>
        <w:rFonts w:ascii="Wingdings" w:hAnsi="Wingdings" w:hint="default"/>
      </w:rPr>
    </w:lvl>
    <w:lvl w:ilvl="3" w:tplc="05060E08">
      <w:start w:val="1"/>
      <w:numFmt w:val="bullet"/>
      <w:lvlText w:val=""/>
      <w:lvlJc w:val="left"/>
      <w:pPr>
        <w:ind w:left="2880" w:hanging="360"/>
      </w:pPr>
      <w:rPr>
        <w:rFonts w:ascii="Symbol" w:hAnsi="Symbol" w:hint="default"/>
      </w:rPr>
    </w:lvl>
    <w:lvl w:ilvl="4" w:tplc="A5506794">
      <w:start w:val="1"/>
      <w:numFmt w:val="bullet"/>
      <w:lvlText w:val="o"/>
      <w:lvlJc w:val="left"/>
      <w:pPr>
        <w:ind w:left="3600" w:hanging="360"/>
      </w:pPr>
      <w:rPr>
        <w:rFonts w:ascii="Courier New" w:hAnsi="Courier New" w:hint="default"/>
      </w:rPr>
    </w:lvl>
    <w:lvl w:ilvl="5" w:tplc="08E0BF92">
      <w:start w:val="1"/>
      <w:numFmt w:val="bullet"/>
      <w:lvlText w:val=""/>
      <w:lvlJc w:val="left"/>
      <w:pPr>
        <w:ind w:left="4320" w:hanging="360"/>
      </w:pPr>
      <w:rPr>
        <w:rFonts w:ascii="Wingdings" w:hAnsi="Wingdings" w:hint="default"/>
      </w:rPr>
    </w:lvl>
    <w:lvl w:ilvl="6" w:tplc="D8EC5CCA">
      <w:start w:val="1"/>
      <w:numFmt w:val="bullet"/>
      <w:lvlText w:val=""/>
      <w:lvlJc w:val="left"/>
      <w:pPr>
        <w:ind w:left="5040" w:hanging="360"/>
      </w:pPr>
      <w:rPr>
        <w:rFonts w:ascii="Symbol" w:hAnsi="Symbol" w:hint="default"/>
      </w:rPr>
    </w:lvl>
    <w:lvl w:ilvl="7" w:tplc="48A667BA">
      <w:start w:val="1"/>
      <w:numFmt w:val="bullet"/>
      <w:lvlText w:val="o"/>
      <w:lvlJc w:val="left"/>
      <w:pPr>
        <w:ind w:left="5760" w:hanging="360"/>
      </w:pPr>
      <w:rPr>
        <w:rFonts w:ascii="Courier New" w:hAnsi="Courier New" w:hint="default"/>
      </w:rPr>
    </w:lvl>
    <w:lvl w:ilvl="8" w:tplc="A574059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738E514"/>
    <w:lvl w:ilvl="0" w:tplc="C71631FA">
      <w:start w:val="1"/>
      <w:numFmt w:val="bullet"/>
      <w:lvlText w:val=""/>
      <w:lvlJc w:val="left"/>
      <w:pPr>
        <w:ind w:left="720" w:hanging="360"/>
      </w:pPr>
      <w:rPr>
        <w:rFonts w:ascii="Symbol" w:hAnsi="Symbol" w:hint="default"/>
      </w:rPr>
    </w:lvl>
    <w:lvl w:ilvl="1" w:tplc="8EC45A98">
      <w:start w:val="1"/>
      <w:numFmt w:val="bullet"/>
      <w:lvlText w:val="o"/>
      <w:lvlJc w:val="left"/>
      <w:pPr>
        <w:ind w:left="1440" w:hanging="360"/>
      </w:pPr>
      <w:rPr>
        <w:rFonts w:ascii="Courier New" w:hAnsi="Courier New" w:hint="default"/>
      </w:rPr>
    </w:lvl>
    <w:lvl w:ilvl="2" w:tplc="D3422902">
      <w:start w:val="1"/>
      <w:numFmt w:val="bullet"/>
      <w:lvlText w:val=""/>
      <w:lvlJc w:val="left"/>
      <w:pPr>
        <w:ind w:left="2160" w:hanging="360"/>
      </w:pPr>
      <w:rPr>
        <w:rFonts w:ascii="Wingdings" w:hAnsi="Wingdings" w:hint="default"/>
      </w:rPr>
    </w:lvl>
    <w:lvl w:ilvl="3" w:tplc="807C8F9C">
      <w:start w:val="1"/>
      <w:numFmt w:val="bullet"/>
      <w:lvlText w:val=""/>
      <w:lvlJc w:val="left"/>
      <w:pPr>
        <w:ind w:left="2880" w:hanging="360"/>
      </w:pPr>
      <w:rPr>
        <w:rFonts w:ascii="Symbol" w:hAnsi="Symbol" w:hint="default"/>
      </w:rPr>
    </w:lvl>
    <w:lvl w:ilvl="4" w:tplc="E654B198">
      <w:start w:val="1"/>
      <w:numFmt w:val="bullet"/>
      <w:lvlText w:val="o"/>
      <w:lvlJc w:val="left"/>
      <w:pPr>
        <w:ind w:left="3600" w:hanging="360"/>
      </w:pPr>
      <w:rPr>
        <w:rFonts w:ascii="Courier New" w:hAnsi="Courier New" w:hint="default"/>
      </w:rPr>
    </w:lvl>
    <w:lvl w:ilvl="5" w:tplc="907EA39C">
      <w:start w:val="1"/>
      <w:numFmt w:val="bullet"/>
      <w:lvlText w:val=""/>
      <w:lvlJc w:val="left"/>
      <w:pPr>
        <w:ind w:left="4320" w:hanging="360"/>
      </w:pPr>
      <w:rPr>
        <w:rFonts w:ascii="Wingdings" w:hAnsi="Wingdings" w:hint="default"/>
      </w:rPr>
    </w:lvl>
    <w:lvl w:ilvl="6" w:tplc="24649936">
      <w:start w:val="1"/>
      <w:numFmt w:val="bullet"/>
      <w:lvlText w:val=""/>
      <w:lvlJc w:val="left"/>
      <w:pPr>
        <w:ind w:left="5040" w:hanging="360"/>
      </w:pPr>
      <w:rPr>
        <w:rFonts w:ascii="Symbol" w:hAnsi="Symbol" w:hint="default"/>
      </w:rPr>
    </w:lvl>
    <w:lvl w:ilvl="7" w:tplc="3A36B5E2">
      <w:start w:val="1"/>
      <w:numFmt w:val="bullet"/>
      <w:lvlText w:val="o"/>
      <w:lvlJc w:val="left"/>
      <w:pPr>
        <w:ind w:left="5760" w:hanging="360"/>
      </w:pPr>
      <w:rPr>
        <w:rFonts w:ascii="Courier New" w:hAnsi="Courier New" w:hint="default"/>
      </w:rPr>
    </w:lvl>
    <w:lvl w:ilvl="8" w:tplc="4880D104">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8F2278F6"/>
    <w:lvl w:ilvl="0" w:tplc="109EC7E2">
      <w:start w:val="1"/>
      <w:numFmt w:val="bullet"/>
      <w:lvlText w:val=""/>
      <w:lvlJc w:val="left"/>
      <w:pPr>
        <w:ind w:left="720" w:hanging="360"/>
      </w:pPr>
      <w:rPr>
        <w:rFonts w:ascii="Symbol" w:hAnsi="Symbol" w:hint="default"/>
      </w:rPr>
    </w:lvl>
    <w:lvl w:ilvl="1" w:tplc="A78AC7E8">
      <w:start w:val="1"/>
      <w:numFmt w:val="bullet"/>
      <w:lvlText w:val="o"/>
      <w:lvlJc w:val="left"/>
      <w:pPr>
        <w:ind w:left="1440" w:hanging="360"/>
      </w:pPr>
      <w:rPr>
        <w:rFonts w:ascii="Courier New" w:hAnsi="Courier New" w:hint="default"/>
      </w:rPr>
    </w:lvl>
    <w:lvl w:ilvl="2" w:tplc="ACBC54C2">
      <w:start w:val="1"/>
      <w:numFmt w:val="bullet"/>
      <w:lvlText w:val=""/>
      <w:lvlJc w:val="left"/>
      <w:pPr>
        <w:ind w:left="2160" w:hanging="360"/>
      </w:pPr>
      <w:rPr>
        <w:rFonts w:ascii="Wingdings" w:hAnsi="Wingdings" w:hint="default"/>
      </w:rPr>
    </w:lvl>
    <w:lvl w:ilvl="3" w:tplc="F39073BE">
      <w:start w:val="1"/>
      <w:numFmt w:val="bullet"/>
      <w:lvlText w:val=""/>
      <w:lvlJc w:val="left"/>
      <w:pPr>
        <w:ind w:left="2880" w:hanging="360"/>
      </w:pPr>
      <w:rPr>
        <w:rFonts w:ascii="Symbol" w:hAnsi="Symbol" w:hint="default"/>
      </w:rPr>
    </w:lvl>
    <w:lvl w:ilvl="4" w:tplc="D0F8554A">
      <w:start w:val="1"/>
      <w:numFmt w:val="bullet"/>
      <w:lvlText w:val="o"/>
      <w:lvlJc w:val="left"/>
      <w:pPr>
        <w:ind w:left="3600" w:hanging="360"/>
      </w:pPr>
      <w:rPr>
        <w:rFonts w:ascii="Courier New" w:hAnsi="Courier New" w:hint="default"/>
      </w:rPr>
    </w:lvl>
    <w:lvl w:ilvl="5" w:tplc="51AA6DDA">
      <w:start w:val="1"/>
      <w:numFmt w:val="bullet"/>
      <w:lvlText w:val=""/>
      <w:lvlJc w:val="left"/>
      <w:pPr>
        <w:ind w:left="4320" w:hanging="360"/>
      </w:pPr>
      <w:rPr>
        <w:rFonts w:ascii="Wingdings" w:hAnsi="Wingdings" w:hint="default"/>
      </w:rPr>
    </w:lvl>
    <w:lvl w:ilvl="6" w:tplc="C0E46E20">
      <w:start w:val="1"/>
      <w:numFmt w:val="bullet"/>
      <w:lvlText w:val=""/>
      <w:lvlJc w:val="left"/>
      <w:pPr>
        <w:ind w:left="5040" w:hanging="360"/>
      </w:pPr>
      <w:rPr>
        <w:rFonts w:ascii="Symbol" w:hAnsi="Symbol" w:hint="default"/>
      </w:rPr>
    </w:lvl>
    <w:lvl w:ilvl="7" w:tplc="5A1EB102">
      <w:start w:val="1"/>
      <w:numFmt w:val="bullet"/>
      <w:lvlText w:val="o"/>
      <w:lvlJc w:val="left"/>
      <w:pPr>
        <w:ind w:left="5760" w:hanging="360"/>
      </w:pPr>
      <w:rPr>
        <w:rFonts w:ascii="Courier New" w:hAnsi="Courier New" w:hint="default"/>
      </w:rPr>
    </w:lvl>
    <w:lvl w:ilvl="8" w:tplc="1D8A8AD8">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4C2728A"/>
    <w:lvl w:ilvl="0" w:tplc="87A67D16">
      <w:start w:val="1"/>
      <w:numFmt w:val="bullet"/>
      <w:lvlText w:val=""/>
      <w:lvlJc w:val="left"/>
      <w:pPr>
        <w:ind w:left="720" w:hanging="360"/>
      </w:pPr>
      <w:rPr>
        <w:rFonts w:ascii="Symbol" w:hAnsi="Symbol" w:hint="default"/>
      </w:rPr>
    </w:lvl>
    <w:lvl w:ilvl="1" w:tplc="21A07692">
      <w:start w:val="1"/>
      <w:numFmt w:val="bullet"/>
      <w:lvlText w:val="o"/>
      <w:lvlJc w:val="left"/>
      <w:pPr>
        <w:ind w:left="1440" w:hanging="360"/>
      </w:pPr>
      <w:rPr>
        <w:rFonts w:ascii="Courier New" w:hAnsi="Courier New" w:hint="default"/>
      </w:rPr>
    </w:lvl>
    <w:lvl w:ilvl="2" w:tplc="2FE00290">
      <w:start w:val="1"/>
      <w:numFmt w:val="bullet"/>
      <w:lvlText w:val=""/>
      <w:lvlJc w:val="left"/>
      <w:pPr>
        <w:ind w:left="2160" w:hanging="360"/>
      </w:pPr>
      <w:rPr>
        <w:rFonts w:ascii="Wingdings" w:hAnsi="Wingdings" w:hint="default"/>
      </w:rPr>
    </w:lvl>
    <w:lvl w:ilvl="3" w:tplc="B8726F1C">
      <w:start w:val="1"/>
      <w:numFmt w:val="bullet"/>
      <w:lvlText w:val=""/>
      <w:lvlJc w:val="left"/>
      <w:pPr>
        <w:ind w:left="2880" w:hanging="360"/>
      </w:pPr>
      <w:rPr>
        <w:rFonts w:ascii="Symbol" w:hAnsi="Symbol" w:hint="default"/>
      </w:rPr>
    </w:lvl>
    <w:lvl w:ilvl="4" w:tplc="E432F23A">
      <w:start w:val="1"/>
      <w:numFmt w:val="bullet"/>
      <w:lvlText w:val="o"/>
      <w:lvlJc w:val="left"/>
      <w:pPr>
        <w:ind w:left="3600" w:hanging="360"/>
      </w:pPr>
      <w:rPr>
        <w:rFonts w:ascii="Courier New" w:hAnsi="Courier New" w:hint="default"/>
      </w:rPr>
    </w:lvl>
    <w:lvl w:ilvl="5" w:tplc="5E601FCE">
      <w:start w:val="1"/>
      <w:numFmt w:val="bullet"/>
      <w:lvlText w:val=""/>
      <w:lvlJc w:val="left"/>
      <w:pPr>
        <w:ind w:left="4320" w:hanging="360"/>
      </w:pPr>
      <w:rPr>
        <w:rFonts w:ascii="Wingdings" w:hAnsi="Wingdings" w:hint="default"/>
      </w:rPr>
    </w:lvl>
    <w:lvl w:ilvl="6" w:tplc="94F85E08">
      <w:start w:val="1"/>
      <w:numFmt w:val="bullet"/>
      <w:lvlText w:val=""/>
      <w:lvlJc w:val="left"/>
      <w:pPr>
        <w:ind w:left="5040" w:hanging="360"/>
      </w:pPr>
      <w:rPr>
        <w:rFonts w:ascii="Symbol" w:hAnsi="Symbol" w:hint="default"/>
      </w:rPr>
    </w:lvl>
    <w:lvl w:ilvl="7" w:tplc="D8C0F33E">
      <w:start w:val="1"/>
      <w:numFmt w:val="bullet"/>
      <w:lvlText w:val="o"/>
      <w:lvlJc w:val="left"/>
      <w:pPr>
        <w:ind w:left="5760" w:hanging="360"/>
      </w:pPr>
      <w:rPr>
        <w:rFonts w:ascii="Courier New" w:hAnsi="Courier New" w:hint="default"/>
      </w:rPr>
    </w:lvl>
    <w:lvl w:ilvl="8" w:tplc="10AE5D9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6A8CB26"/>
    <w:lvl w:ilvl="0" w:tplc="206AEDF2">
      <w:start w:val="1"/>
      <w:numFmt w:val="bullet"/>
      <w:lvlText w:val=""/>
      <w:lvlJc w:val="left"/>
      <w:pPr>
        <w:ind w:left="720" w:hanging="360"/>
      </w:pPr>
      <w:rPr>
        <w:rFonts w:ascii="Symbol" w:hAnsi="Symbol" w:hint="default"/>
      </w:rPr>
    </w:lvl>
    <w:lvl w:ilvl="1" w:tplc="F38040FC">
      <w:start w:val="1"/>
      <w:numFmt w:val="bullet"/>
      <w:lvlText w:val="o"/>
      <w:lvlJc w:val="left"/>
      <w:pPr>
        <w:ind w:left="1440" w:hanging="360"/>
      </w:pPr>
      <w:rPr>
        <w:rFonts w:ascii="Courier New" w:hAnsi="Courier New" w:hint="default"/>
      </w:rPr>
    </w:lvl>
    <w:lvl w:ilvl="2" w:tplc="96829094">
      <w:start w:val="1"/>
      <w:numFmt w:val="bullet"/>
      <w:lvlText w:val=""/>
      <w:lvlJc w:val="left"/>
      <w:pPr>
        <w:ind w:left="2160" w:hanging="360"/>
      </w:pPr>
      <w:rPr>
        <w:rFonts w:ascii="Wingdings" w:hAnsi="Wingdings" w:hint="default"/>
      </w:rPr>
    </w:lvl>
    <w:lvl w:ilvl="3" w:tplc="135C2B90">
      <w:start w:val="1"/>
      <w:numFmt w:val="bullet"/>
      <w:lvlText w:val=""/>
      <w:lvlJc w:val="left"/>
      <w:pPr>
        <w:ind w:left="2880" w:hanging="360"/>
      </w:pPr>
      <w:rPr>
        <w:rFonts w:ascii="Symbol" w:hAnsi="Symbol" w:hint="default"/>
      </w:rPr>
    </w:lvl>
    <w:lvl w:ilvl="4" w:tplc="B3BE382A">
      <w:start w:val="1"/>
      <w:numFmt w:val="bullet"/>
      <w:lvlText w:val="o"/>
      <w:lvlJc w:val="left"/>
      <w:pPr>
        <w:ind w:left="3600" w:hanging="360"/>
      </w:pPr>
      <w:rPr>
        <w:rFonts w:ascii="Courier New" w:hAnsi="Courier New" w:hint="default"/>
      </w:rPr>
    </w:lvl>
    <w:lvl w:ilvl="5" w:tplc="2B4C6E9A">
      <w:start w:val="1"/>
      <w:numFmt w:val="bullet"/>
      <w:lvlText w:val=""/>
      <w:lvlJc w:val="left"/>
      <w:pPr>
        <w:ind w:left="4320" w:hanging="360"/>
      </w:pPr>
      <w:rPr>
        <w:rFonts w:ascii="Wingdings" w:hAnsi="Wingdings" w:hint="default"/>
      </w:rPr>
    </w:lvl>
    <w:lvl w:ilvl="6" w:tplc="AC56EC7E">
      <w:start w:val="1"/>
      <w:numFmt w:val="bullet"/>
      <w:lvlText w:val=""/>
      <w:lvlJc w:val="left"/>
      <w:pPr>
        <w:ind w:left="5040" w:hanging="360"/>
      </w:pPr>
      <w:rPr>
        <w:rFonts w:ascii="Symbol" w:hAnsi="Symbol" w:hint="default"/>
      </w:rPr>
    </w:lvl>
    <w:lvl w:ilvl="7" w:tplc="5104850C">
      <w:start w:val="1"/>
      <w:numFmt w:val="bullet"/>
      <w:lvlText w:val="o"/>
      <w:lvlJc w:val="left"/>
      <w:pPr>
        <w:ind w:left="5760" w:hanging="360"/>
      </w:pPr>
      <w:rPr>
        <w:rFonts w:ascii="Courier New" w:hAnsi="Courier New" w:hint="default"/>
      </w:rPr>
    </w:lvl>
    <w:lvl w:ilvl="8" w:tplc="8C2E496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4840381">
    <w:abstractNumId w:val="11"/>
  </w:num>
  <w:num w:numId="2" w16cid:durableId="1785150966">
    <w:abstractNumId w:val="12"/>
  </w:num>
  <w:num w:numId="3" w16cid:durableId="1442722971">
    <w:abstractNumId w:val="1"/>
  </w:num>
  <w:num w:numId="4" w16cid:durableId="1250963734">
    <w:abstractNumId w:val="3"/>
  </w:num>
  <w:num w:numId="5" w16cid:durableId="1517579615">
    <w:abstractNumId w:val="15"/>
  </w:num>
  <w:num w:numId="6" w16cid:durableId="41563143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90E"/>
    <w:rsid w:val="0001715D"/>
    <w:rsid w:val="00022C42"/>
    <w:rsid w:val="00027B15"/>
    <w:rsid w:val="00030A05"/>
    <w:rsid w:val="000358BA"/>
    <w:rsid w:val="00067132"/>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55894"/>
    <w:rsid w:val="002632BF"/>
    <w:rsid w:val="002976D4"/>
    <w:rsid w:val="002A5577"/>
    <w:rsid w:val="002A7B6D"/>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55F58"/>
    <w:rsid w:val="005678AC"/>
    <w:rsid w:val="005679BD"/>
    <w:rsid w:val="005709B1"/>
    <w:rsid w:val="00572B3B"/>
    <w:rsid w:val="005814F6"/>
    <w:rsid w:val="005836D2"/>
    <w:rsid w:val="00587C58"/>
    <w:rsid w:val="005A7FD4"/>
    <w:rsid w:val="005B1A84"/>
    <w:rsid w:val="005D1AF9"/>
    <w:rsid w:val="005D5457"/>
    <w:rsid w:val="005E2699"/>
    <w:rsid w:val="005E44B5"/>
    <w:rsid w:val="006009EA"/>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E199D"/>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A3758"/>
    <w:rsid w:val="00BD03D5"/>
    <w:rsid w:val="00C05F42"/>
    <w:rsid w:val="00C3215E"/>
    <w:rsid w:val="00C45272"/>
    <w:rsid w:val="00C47770"/>
    <w:rsid w:val="00C75856"/>
    <w:rsid w:val="00C85A7C"/>
    <w:rsid w:val="00C95214"/>
    <w:rsid w:val="00CC3F59"/>
    <w:rsid w:val="00CD10CE"/>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73EB1"/>
    <w:rsid w:val="00E82723"/>
    <w:rsid w:val="00EA29A5"/>
    <w:rsid w:val="00EC107C"/>
    <w:rsid w:val="00EC7EBE"/>
    <w:rsid w:val="00EC7FD2"/>
    <w:rsid w:val="00ED5964"/>
    <w:rsid w:val="00F1720B"/>
    <w:rsid w:val="00F36ADC"/>
    <w:rsid w:val="00F442C4"/>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720F8"/>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pPr>
      <w:spacing w:after="140" w:line="276" w:lineRule="auto"/>
    </w:pPr>
    <w:rPr>
      <w:rFonts w:ascii="Aptos" w:hAnsi="Aptos"/>
      <w:color w:val="24303A"/>
    </w:rPr>
  </w:style>
  <w:style w:type="paragraph" w:styleId="Heading1">
    <w:name w:val="heading 1"/>
    <w:basedOn w:val="Normal"/>
    <w:next w:val="Normal"/>
    <w:link w:val="Heading1Char"/>
    <w:uiPriority w:val="9"/>
    <w:qFormat/>
    <w:rsid w:val="00500295"/>
    <w:pPr>
      <w:keepNext/>
      <w:keepLines/>
      <w:spacing w:before="200" w:after="120"/>
      <w:outlineLvl w:val="0"/>
    </w:pPr>
    <w:rPr>
      <w:rFonts w:ascii="Aptos Display" w:eastAsiaTheme="majorEastAsia" w:hAnsi="Aptos Display" w:cstheme="majorBidi"/>
      <w:b/>
      <w:color w:val="0B2545"/>
      <w:sz w:val="32"/>
      <w:szCs w:val="32"/>
    </w:rPr>
  </w:style>
  <w:style w:type="paragraph" w:styleId="Heading2">
    <w:name w:val="heading 2"/>
    <w:basedOn w:val="Normal"/>
    <w:next w:val="Normal"/>
    <w:link w:val="Heading2Char"/>
    <w:uiPriority w:val="9"/>
    <w:unhideWhenUsed/>
    <w:qFormat/>
    <w:rsid w:val="00F36ADC"/>
    <w:pPr>
      <w:keepNext/>
      <w:keepLines/>
      <w:spacing w:before="160" w:after="80"/>
      <w:outlineLvl w:val="1"/>
    </w:pPr>
    <w:rPr>
      <w:rFonts w:ascii="Aptos Display" w:eastAsiaTheme="majorEastAsia" w:hAnsi="Aptos Display" w:cstheme="majorBidi"/>
      <w:b/>
      <w:color w:val="1B998B"/>
      <w:sz w:val="26"/>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b/>
      <w:color w:val="0B2545"/>
      <w:sz w:val="23"/>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Title1">
    <w:name w:val="Title1"/>
    <w:rPr>
      <w:rFonts w:ascii="Aptos Display" w:hAnsi="Aptos Display"/>
      <w:b/>
      <w:color w:val="0B2545"/>
      <w:sz w:val="52"/>
    </w:rPr>
  </w:style>
  <w:style w:type="paragraph" w:customStyle="1" w:styleId="Subtitle1">
    <w:name w:val="Subtitle1"/>
    <w:rPr>
      <w:rFonts w:ascii="Aptos" w:hAnsi="Aptos"/>
      <w:color w:val="56616A"/>
      <w:sz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1610</Words>
  <Characters>9178</Characters>
  <Application>Microsoft Office Word</Application>
  <DocSecurity>0</DocSecurity>
  <Lines>76</Lines>
  <Paragraphs>21</Paragraphs>
  <ScaleCrop>false</ScaleCrop>
  <Company>University of Wales Trinity Saint David</Company>
  <LinksUpToDate>false</LinksUpToDate>
  <CharactersWithSpaces>10767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danyal ellahi</cp:lastModifiedBy>
  <cp:revision>17</cp:revision>
  <dcterms:created xsi:type="dcterms:W3CDTF">2025-11-19T18:30:00Z</dcterms:created>
  <dcterms:modified xsi:type="dcterms:W3CDTF">2026-10-02T13:35:00Z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