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FD5D8C" w14:textId="77777777" w:rsidR="00743DA5" w:rsidRPr="00D0072A" w:rsidRDefault="00743DA5" w:rsidP="00625839">
      <w:pPr>
        <w:pStyle w:val="NormalWeb"/>
        <w:spacing w:line="480" w:lineRule="auto"/>
        <w:jc w:val="both"/>
        <w:rPr>
          <w:rFonts w:asciiTheme="minorHAnsi" w:hAnsiTheme="minorHAnsi" w:cstheme="minorHAnsi"/>
          <w:b/>
        </w:rPr>
      </w:pPr>
      <w:r w:rsidRPr="00D0072A">
        <w:rPr>
          <w:rFonts w:asciiTheme="minorHAnsi" w:hAnsiTheme="minorHAnsi" w:cstheme="minorHAnsi"/>
          <w:b/>
        </w:rPr>
        <w:t>To what extent did Germany develop its own political and ruling structures in the Middle Ages?</w:t>
      </w:r>
    </w:p>
    <w:p w14:paraId="5CC060ED" w14:textId="72BF7C94" w:rsidR="00554CFE" w:rsidRPr="00D0072A" w:rsidRDefault="00990EA0"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The Germany of </w:t>
      </w:r>
      <w:r w:rsidR="00554CFE" w:rsidRPr="00D0072A">
        <w:rPr>
          <w:rFonts w:asciiTheme="minorHAnsi" w:hAnsiTheme="minorHAnsi" w:cstheme="minorHAnsi"/>
        </w:rPr>
        <w:t>the middle ages was, like any other, a state in flux.</w:t>
      </w:r>
      <w:r w:rsidR="009107A7" w:rsidRPr="00D0072A">
        <w:rPr>
          <w:rFonts w:asciiTheme="minorHAnsi" w:hAnsiTheme="minorHAnsi" w:cstheme="minorHAnsi"/>
        </w:rPr>
        <w:t xml:space="preserve"> In many respects,</w:t>
      </w:r>
      <w:r w:rsidR="00554CFE" w:rsidRPr="00D0072A">
        <w:rPr>
          <w:rFonts w:asciiTheme="minorHAnsi" w:hAnsiTheme="minorHAnsi" w:cstheme="minorHAnsi"/>
        </w:rPr>
        <w:t xml:space="preserve"> Germany at the time crowning of the first non-Carolingian </w:t>
      </w:r>
      <w:r w:rsidR="003B4F08" w:rsidRPr="00D0072A">
        <w:rPr>
          <w:rFonts w:asciiTheme="minorHAnsi" w:hAnsiTheme="minorHAnsi" w:cstheme="minorHAnsi"/>
        </w:rPr>
        <w:t xml:space="preserve">leader </w:t>
      </w:r>
      <w:r w:rsidR="00554CFE" w:rsidRPr="00D0072A">
        <w:rPr>
          <w:rFonts w:asciiTheme="minorHAnsi" w:hAnsiTheme="minorHAnsi" w:cstheme="minorHAnsi"/>
        </w:rPr>
        <w:t xml:space="preserve">Otto I in 962 was entirely different to the Germany of the first Hapsburg </w:t>
      </w:r>
      <w:r w:rsidR="003B4F08" w:rsidRPr="00D0072A">
        <w:rPr>
          <w:rFonts w:asciiTheme="minorHAnsi" w:hAnsiTheme="minorHAnsi" w:cstheme="minorHAnsi"/>
        </w:rPr>
        <w:t>monarch</w:t>
      </w:r>
      <w:r w:rsidR="00554CFE" w:rsidRPr="00D0072A">
        <w:rPr>
          <w:rFonts w:asciiTheme="minorHAnsi" w:hAnsiTheme="minorHAnsi" w:cstheme="minorHAnsi"/>
        </w:rPr>
        <w:t xml:space="preserve"> Frederick III in 1440</w:t>
      </w:r>
      <w:r w:rsidR="009107A7" w:rsidRPr="00D0072A">
        <w:rPr>
          <w:rFonts w:asciiTheme="minorHAnsi" w:hAnsiTheme="minorHAnsi" w:cstheme="minorHAnsi"/>
        </w:rPr>
        <w:t xml:space="preserve">. Otto I, Frederick III and all between them claimed </w:t>
      </w:r>
      <w:r w:rsidR="009107A7" w:rsidRPr="00D0072A">
        <w:rPr>
          <w:rFonts w:asciiTheme="minorHAnsi" w:hAnsiTheme="minorHAnsi" w:cstheme="minorHAnsi"/>
          <w:i/>
        </w:rPr>
        <w:t xml:space="preserve">Regnum Teutonicum, </w:t>
      </w:r>
      <w:r w:rsidR="009107A7" w:rsidRPr="00D0072A">
        <w:rPr>
          <w:rFonts w:asciiTheme="minorHAnsi" w:hAnsiTheme="minorHAnsi" w:cstheme="minorHAnsi"/>
        </w:rPr>
        <w:t>(the German Kingdom) as one of their highest kingly titles. Yet these rulers drew their titles from a multitude of other places scattered around Europe. Frederick III began as Duke of Austria, the Wittelsbach</w:t>
      </w:r>
      <w:r w:rsidR="003B4F08" w:rsidRPr="00D0072A">
        <w:rPr>
          <w:rFonts w:asciiTheme="minorHAnsi" w:hAnsiTheme="minorHAnsi" w:cstheme="minorHAnsi"/>
        </w:rPr>
        <w:t xml:space="preserve"> Louis</w:t>
      </w:r>
      <w:r w:rsidR="009107A7" w:rsidRPr="00D0072A">
        <w:rPr>
          <w:rFonts w:asciiTheme="minorHAnsi" w:hAnsiTheme="minorHAnsi" w:cstheme="minorHAnsi"/>
        </w:rPr>
        <w:t xml:space="preserve"> IV</w:t>
      </w:r>
      <w:r w:rsidR="003B4F08" w:rsidRPr="00D0072A">
        <w:rPr>
          <w:rFonts w:asciiTheme="minorHAnsi" w:hAnsiTheme="minorHAnsi" w:cstheme="minorHAnsi"/>
        </w:rPr>
        <w:t xml:space="preserve"> of 1314-1347 was a duke of Bavaria. Henry VII (1312-13) began as a ‘mere’ count of Luxemburg. This was due to the unique medieval state, the Holy Roman Empire. In many respects, Germany and the Holy Roman Empire became synonymous during the middle ages. It developed a distinctiveness of its own quite apart from other European powers, especially visible in its political and ruling structures, which this essay will attempt to examine.</w:t>
      </w:r>
    </w:p>
    <w:p w14:paraId="371B24FD" w14:textId="74B0DB20" w:rsidR="003B4F08" w:rsidRPr="00D0072A" w:rsidRDefault="00E97E59" w:rsidP="00625839">
      <w:pPr>
        <w:pStyle w:val="NormalWeb"/>
        <w:spacing w:line="480" w:lineRule="auto"/>
        <w:rPr>
          <w:rFonts w:asciiTheme="minorHAnsi" w:hAnsiTheme="minorHAnsi" w:cstheme="minorHAnsi"/>
        </w:rPr>
      </w:pPr>
      <w:r w:rsidRPr="00D0072A">
        <w:rPr>
          <w:rFonts w:asciiTheme="minorHAnsi" w:hAnsiTheme="minorHAnsi" w:cstheme="minorHAnsi"/>
        </w:rPr>
        <w:t>As a complex subject and an equally complex state, the Holy Roman Empire will primarily be examined in three broad areas for the purposes of this essay: hegemony, hierarchy and heterarchy.</w:t>
      </w:r>
      <w:r w:rsidRPr="00D0072A">
        <w:rPr>
          <w:rFonts w:asciiTheme="minorHAnsi" w:hAnsiTheme="minorHAnsi" w:cstheme="minorHAnsi"/>
        </w:rPr>
        <w:t xml:space="preserve"> An emperor was the obvious hegemon of the state, but to varying degrees through the medieval period, their election required the backing of the pope and later they were selected by elector princes. </w:t>
      </w:r>
      <w:r w:rsidR="00631F4B" w:rsidRPr="00D0072A">
        <w:rPr>
          <w:rFonts w:asciiTheme="minorHAnsi" w:hAnsiTheme="minorHAnsi" w:cstheme="minorHAnsi"/>
        </w:rPr>
        <w:t xml:space="preserve">As a feudal state, the Holy Roman Empire was hierarchical. Yet there were multiple hierarchies of administrative power, such as imperial, ecclesiastical or local power structures. A selection of these will be examined. The multicultural nature of the Holy Roman Empire, even within the German Kingdom, is notable. The multitude of states with such differing political structures lends credence to the idea that the Holy </w:t>
      </w:r>
      <w:r w:rsidR="00631F4B" w:rsidRPr="00D0072A">
        <w:rPr>
          <w:rFonts w:asciiTheme="minorHAnsi" w:hAnsiTheme="minorHAnsi" w:cstheme="minorHAnsi"/>
        </w:rPr>
        <w:lastRenderedPageBreak/>
        <w:t>Roman Emp</w:t>
      </w:r>
      <w:r w:rsidR="00844633" w:rsidRPr="00D0072A">
        <w:rPr>
          <w:rFonts w:asciiTheme="minorHAnsi" w:hAnsiTheme="minorHAnsi" w:cstheme="minorHAnsi"/>
        </w:rPr>
        <w:t>ire was somewhat heterarchical in nature: the influence of the member states could be ranked in several different ways. Indeed, i</w:t>
      </w:r>
      <w:r w:rsidR="00844633" w:rsidRPr="00D0072A">
        <w:rPr>
          <w:rFonts w:asciiTheme="minorHAnsi" w:hAnsiTheme="minorHAnsi" w:cstheme="minorHAnsi"/>
        </w:rPr>
        <w:t>mperial rule of the Holy Roman Empire has been described as a “rimless wheel, with the peripheries connected hub but not to each other”</w:t>
      </w:r>
      <w:r w:rsidR="00844633" w:rsidRPr="00D0072A">
        <w:rPr>
          <w:rStyle w:val="FootnoteReference"/>
          <w:rFonts w:asciiTheme="minorHAnsi" w:hAnsiTheme="minorHAnsi" w:cstheme="minorHAnsi"/>
        </w:rPr>
        <w:footnoteReference w:id="1"/>
      </w:r>
    </w:p>
    <w:p w14:paraId="6A27BE34" w14:textId="3251FC4C" w:rsidR="00844633" w:rsidRPr="00D0072A" w:rsidRDefault="00844633" w:rsidP="00625839">
      <w:pPr>
        <w:pStyle w:val="NormalWeb"/>
        <w:spacing w:line="480" w:lineRule="auto"/>
        <w:rPr>
          <w:rFonts w:asciiTheme="minorHAnsi" w:hAnsiTheme="minorHAnsi" w:cstheme="minorHAnsi"/>
        </w:rPr>
      </w:pPr>
      <w:r w:rsidRPr="00D0072A">
        <w:rPr>
          <w:rFonts w:asciiTheme="minorHAnsi" w:hAnsiTheme="minorHAnsi" w:cstheme="minorHAnsi"/>
        </w:rPr>
        <w:t>Whilst ‘Germany’ is commonly used to refer to the area being discussed by the essay, it is a problematic term. Indeed, according to North, “the question of what constituted ‘Germany’ in the Middle Ages and into the early modern era was controversial even at the time.”</w:t>
      </w:r>
      <w:r w:rsidRPr="00D0072A">
        <w:rPr>
          <w:rStyle w:val="FootnoteReference"/>
          <w:rFonts w:asciiTheme="minorHAnsi" w:hAnsiTheme="minorHAnsi" w:cstheme="minorHAnsi"/>
        </w:rPr>
        <w:footnoteReference w:id="2"/>
      </w:r>
      <w:r w:rsidRPr="00D0072A">
        <w:rPr>
          <w:rFonts w:asciiTheme="minorHAnsi" w:hAnsiTheme="minorHAnsi" w:cstheme="minorHAnsi"/>
        </w:rPr>
        <w:t xml:space="preserve"> With origins in Roman views of the world as Germania: a thickly forested land across the Rhine, either too valueless to bother with or perhaps too embarrassing to expand into after the battle of Teutoberg Forest.</w:t>
      </w:r>
      <w:r w:rsidR="00BE205D" w:rsidRPr="00D0072A">
        <w:rPr>
          <w:rFonts w:asciiTheme="minorHAnsi" w:hAnsiTheme="minorHAnsi" w:cstheme="minorHAnsi"/>
        </w:rPr>
        <w:t xml:space="preserve"> The lands across the Rhine were characterized by</w:t>
      </w:r>
      <w:r w:rsidRPr="00D0072A">
        <w:rPr>
          <w:rFonts w:asciiTheme="minorHAnsi" w:hAnsiTheme="minorHAnsi" w:cstheme="minorHAnsi"/>
        </w:rPr>
        <w:t xml:space="preserve"> Tacitus as: “</w:t>
      </w:r>
      <w:r w:rsidRPr="00D0072A">
        <w:rPr>
          <w:rFonts w:asciiTheme="minorHAnsi" w:hAnsiTheme="minorHAnsi"/>
        </w:rPr>
        <w:t>Their country, though somewhat various in appearance, yet generally either bristles with forests or reeks with swamps</w:t>
      </w:r>
      <w:r w:rsidRPr="00D0072A">
        <w:rPr>
          <w:rFonts w:asciiTheme="minorHAnsi" w:hAnsiTheme="minorHAnsi"/>
        </w:rPr>
        <w:t>”</w:t>
      </w:r>
      <w:r w:rsidR="00BE205D" w:rsidRPr="00D0072A">
        <w:rPr>
          <w:rStyle w:val="FootnoteReference"/>
          <w:rFonts w:asciiTheme="minorHAnsi" w:hAnsiTheme="minorHAnsi"/>
        </w:rPr>
        <w:footnoteReference w:id="3"/>
      </w:r>
      <w:r w:rsidRPr="00D0072A">
        <w:rPr>
          <w:rFonts w:asciiTheme="minorHAnsi" w:hAnsiTheme="minorHAnsi"/>
        </w:rPr>
        <w:t xml:space="preserve"> </w:t>
      </w:r>
      <w:r w:rsidRPr="00D0072A">
        <w:rPr>
          <w:rFonts w:asciiTheme="minorHAnsi" w:hAnsiTheme="minorHAnsi" w:cstheme="minorHAnsi"/>
        </w:rPr>
        <w:t>These connotations co</w:t>
      </w:r>
      <w:r w:rsidR="00BE205D" w:rsidRPr="00D0072A">
        <w:rPr>
          <w:rFonts w:asciiTheme="minorHAnsi" w:hAnsiTheme="minorHAnsi" w:cstheme="minorHAnsi"/>
        </w:rPr>
        <w:t>ntinued long after the Romans. ‘Germany’</w:t>
      </w:r>
      <w:r w:rsidRPr="00D0072A">
        <w:rPr>
          <w:rFonts w:asciiTheme="minorHAnsi" w:hAnsiTheme="minorHAnsi" w:cstheme="minorHAnsi"/>
        </w:rPr>
        <w:t xml:space="preserve"> was expanded and further defined by the Carolingians, such as with Charlemagne’s proto-crusade into Saxony against Germanic Pagans that resided there. Post Frankish partition, Germany became a kingdom in its own right under Louis the German. </w:t>
      </w:r>
    </w:p>
    <w:p w14:paraId="11B8D0A6" w14:textId="29F2A07F" w:rsidR="00844633" w:rsidRPr="00D0072A" w:rsidRDefault="00844633" w:rsidP="00625839">
      <w:pPr>
        <w:pStyle w:val="NormalWeb"/>
        <w:spacing w:line="480" w:lineRule="auto"/>
        <w:rPr>
          <w:rFonts w:asciiTheme="minorHAnsi" w:hAnsiTheme="minorHAnsi" w:cstheme="minorHAnsi"/>
        </w:rPr>
      </w:pPr>
      <w:r w:rsidRPr="00D0072A">
        <w:rPr>
          <w:rFonts w:asciiTheme="minorHAnsi" w:hAnsiTheme="minorHAnsi" w:cstheme="minorHAnsi"/>
        </w:rPr>
        <w:t>In 800, Charlemagne was cro</w:t>
      </w:r>
      <w:r w:rsidR="00BE205D" w:rsidRPr="00D0072A">
        <w:rPr>
          <w:rFonts w:asciiTheme="minorHAnsi" w:hAnsiTheme="minorHAnsi" w:cstheme="minorHAnsi"/>
        </w:rPr>
        <w:t>wned Holy Roman Emperor. In 962,</w:t>
      </w:r>
      <w:r w:rsidRPr="00D0072A">
        <w:rPr>
          <w:rFonts w:asciiTheme="minorHAnsi" w:hAnsiTheme="minorHAnsi" w:cstheme="minorHAnsi"/>
        </w:rPr>
        <w:t xml:space="preserve"> Otto I became the first non-Carolingian to take the title, thus cementing its place as a traditional title. It is this title, and the resultant term Holy Roman Empire that is more appropriate.</w:t>
      </w:r>
      <w:r w:rsidR="00BE205D" w:rsidRPr="00D0072A">
        <w:rPr>
          <w:rFonts w:asciiTheme="minorHAnsi" w:hAnsiTheme="minorHAnsi" w:cstheme="minorHAnsi"/>
        </w:rPr>
        <w:t xml:space="preserve"> Furthermore, this essay will focus on his time onwards.</w:t>
      </w:r>
      <w:r w:rsidRPr="00D0072A">
        <w:rPr>
          <w:rFonts w:asciiTheme="minorHAnsi" w:hAnsiTheme="minorHAnsi" w:cstheme="minorHAnsi"/>
        </w:rPr>
        <w:t xml:space="preserve"> Whilst Germany </w:t>
      </w:r>
      <w:r w:rsidR="00BE205D" w:rsidRPr="00D0072A">
        <w:rPr>
          <w:rFonts w:asciiTheme="minorHAnsi" w:hAnsiTheme="minorHAnsi" w:cstheme="minorHAnsi"/>
        </w:rPr>
        <w:t>and the Holy Roman Empire can often be</w:t>
      </w:r>
      <w:r w:rsidRPr="00D0072A">
        <w:rPr>
          <w:rFonts w:asciiTheme="minorHAnsi" w:hAnsiTheme="minorHAnsi" w:cstheme="minorHAnsi"/>
        </w:rPr>
        <w:t xml:space="preserve"> considered synonymous in the medieval ages</w:t>
      </w:r>
      <w:r w:rsidR="00BE205D" w:rsidRPr="00D0072A">
        <w:rPr>
          <w:rFonts w:asciiTheme="minorHAnsi" w:hAnsiTheme="minorHAnsi" w:cstheme="minorHAnsi"/>
        </w:rPr>
        <w:t xml:space="preserve">, </w:t>
      </w:r>
      <w:r w:rsidRPr="00D0072A">
        <w:rPr>
          <w:rFonts w:asciiTheme="minorHAnsi" w:hAnsiTheme="minorHAnsi" w:cstheme="minorHAnsi"/>
        </w:rPr>
        <w:t xml:space="preserve">the Empire projected power over a multiplicity of areas quite unrelated to geographical or modern definitions of Germany: </w:t>
      </w:r>
      <w:r w:rsidRPr="00D0072A">
        <w:rPr>
          <w:rFonts w:asciiTheme="minorHAnsi" w:hAnsiTheme="minorHAnsi" w:cstheme="minorHAnsi"/>
        </w:rPr>
        <w:lastRenderedPageBreak/>
        <w:t>Austr</w:t>
      </w:r>
      <w:r w:rsidR="00BE205D" w:rsidRPr="00D0072A">
        <w:rPr>
          <w:rFonts w:asciiTheme="minorHAnsi" w:hAnsiTheme="minorHAnsi" w:cstheme="minorHAnsi"/>
        </w:rPr>
        <w:t>ia, Switzerland, Czech Republic (</w:t>
      </w:r>
      <w:r w:rsidRPr="00D0072A">
        <w:rPr>
          <w:rFonts w:asciiTheme="minorHAnsi" w:hAnsiTheme="minorHAnsi" w:cstheme="minorHAnsi"/>
        </w:rPr>
        <w:t>Bohemia</w:t>
      </w:r>
      <w:r w:rsidR="00BE205D" w:rsidRPr="00D0072A">
        <w:rPr>
          <w:rFonts w:asciiTheme="minorHAnsi" w:hAnsiTheme="minorHAnsi" w:cstheme="minorHAnsi"/>
        </w:rPr>
        <w:t>)</w:t>
      </w:r>
      <w:r w:rsidRPr="00D0072A">
        <w:rPr>
          <w:rFonts w:asciiTheme="minorHAnsi" w:hAnsiTheme="minorHAnsi" w:cstheme="minorHAnsi"/>
        </w:rPr>
        <w:t xml:space="preserve"> the Netherlands and vast swathes of Poland, Hungary and Italy were all part of the Holy Roman Empire at one point or another the middle ages. Even several hundred years before the notion of </w:t>
      </w:r>
      <w:r w:rsidRPr="00D0072A">
        <w:rPr>
          <w:rFonts w:asciiTheme="minorHAnsi" w:hAnsiTheme="minorHAnsi" w:cstheme="minorHAnsi"/>
          <w:i/>
        </w:rPr>
        <w:t xml:space="preserve">‘kleinstaaten’ </w:t>
      </w:r>
      <w:r w:rsidRPr="00D0072A">
        <w:rPr>
          <w:rFonts w:asciiTheme="minorHAnsi" w:hAnsiTheme="minorHAnsi" w:cstheme="minorHAnsi"/>
        </w:rPr>
        <w:t xml:space="preserve">(small states) became less than the norm, the Holy Roman Empire could be considered more of a </w:t>
      </w:r>
      <w:r w:rsidRPr="00D0072A">
        <w:rPr>
          <w:rFonts w:asciiTheme="minorHAnsi" w:hAnsiTheme="minorHAnsi" w:cstheme="minorHAnsi"/>
          <w:i/>
        </w:rPr>
        <w:t xml:space="preserve">‘flickenteppich’ </w:t>
      </w:r>
      <w:r w:rsidRPr="00D0072A">
        <w:rPr>
          <w:rFonts w:asciiTheme="minorHAnsi" w:hAnsiTheme="minorHAnsi" w:cstheme="minorHAnsi"/>
        </w:rPr>
        <w:t>(patchwork carpet) of nations.</w:t>
      </w:r>
    </w:p>
    <w:p w14:paraId="554AACE1" w14:textId="1A8F4DA6" w:rsidR="0006769A" w:rsidRPr="00D0072A" w:rsidRDefault="00844633" w:rsidP="00625839">
      <w:pPr>
        <w:pStyle w:val="NormalWeb"/>
        <w:spacing w:before="240" w:line="480" w:lineRule="auto"/>
        <w:rPr>
          <w:rFonts w:asciiTheme="minorHAnsi" w:hAnsiTheme="minorHAnsi" w:cstheme="minorHAnsi"/>
        </w:rPr>
      </w:pPr>
      <w:r w:rsidRPr="00D0072A">
        <w:rPr>
          <w:rFonts w:asciiTheme="minorHAnsi" w:hAnsiTheme="minorHAnsi" w:cstheme="minorHAnsi"/>
        </w:rPr>
        <w:t>In many respects, ‘Germany’ is a modern term applied to a different era, more appropriate to 19</w:t>
      </w:r>
      <w:r w:rsidRPr="00D0072A">
        <w:rPr>
          <w:rFonts w:asciiTheme="minorHAnsi" w:hAnsiTheme="minorHAnsi" w:cstheme="minorHAnsi"/>
          <w:vertAlign w:val="superscript"/>
        </w:rPr>
        <w:t>th</w:t>
      </w:r>
      <w:r w:rsidRPr="00D0072A">
        <w:rPr>
          <w:rFonts w:asciiTheme="minorHAnsi" w:hAnsiTheme="minorHAnsi" w:cstheme="minorHAnsi"/>
        </w:rPr>
        <w:t xml:space="preserve"> century unification (or re-unification, if a whiggish, linear approach to history is taken) than it is to the medieval world. Despite this, by the time the Holy Roman Empire had left the muddy, bubo-ridden Medieval era for the muddy, pox-ridden, Early Modern era, imperial documents were themselves officially referring to this empire of constituent empires as ‘Holy Roman Empire of the German Nation.’ Clearly, this suggests a paradigm shift within the state itself: from German Kingdom, to Holy Roman Empire, and back again.</w:t>
      </w:r>
    </w:p>
    <w:p w14:paraId="75222FED" w14:textId="77777777" w:rsidR="00844633" w:rsidRPr="00D0072A" w:rsidRDefault="00844633" w:rsidP="00625839">
      <w:pPr>
        <w:spacing w:line="480" w:lineRule="auto"/>
        <w:rPr>
          <w:rFonts w:cstheme="minorHAnsi"/>
          <w:sz w:val="24"/>
          <w:szCs w:val="24"/>
        </w:rPr>
      </w:pPr>
      <w:r w:rsidRPr="00D0072A">
        <w:rPr>
          <w:rFonts w:cstheme="minorHAnsi"/>
          <w:sz w:val="24"/>
          <w:szCs w:val="24"/>
        </w:rPr>
        <w:t xml:space="preserve">Of the many historical narratives within the Holy Roman Empire, and Germany as an extension, it is largely a struggle between decentralization and centralization of authority. Yet while the neighbouring thrones of France and England which were forced to centralize feudal rulership under the authority of their respective crowns by internal and external pressures, it ended differently for Germany. For instance, an example of centralisation in other states can be seen in the 1209-29 Albigensian Crusade in Toulouse. Not only did this solidify papal authority by removing a heretical religious movement near the heart of catholic influence, this crusade also resulted in bringing a large territory under closer control of the French throne. It should also be noted that Toulouse was culturally different to the north of France – as Occitan, the people were linguistically separated a further step from their rulers. Similarly, The Anarchy of 1135-54 ultimately proved to be a centralizing </w:t>
      </w:r>
      <w:r w:rsidRPr="00D0072A">
        <w:rPr>
          <w:rFonts w:cstheme="minorHAnsi"/>
          <w:sz w:val="24"/>
          <w:szCs w:val="24"/>
        </w:rPr>
        <w:lastRenderedPageBreak/>
        <w:t>influence for feudal power relations within England, due to the resultant reduction of baronial power, limitations on the ability to wield private armies and strengthening of borders during the reconstruction. Both France and England faced innumerable further issues increasing the authority of their respective monarchies from internecine warfare; such as tax reform in order to support their ever more expensive conflicts, changes in the laws of succession and the creation of orders of chivalry.</w:t>
      </w:r>
    </w:p>
    <w:p w14:paraId="3B957EF3" w14:textId="77777777" w:rsidR="00844633" w:rsidRPr="00D0072A" w:rsidRDefault="00844633" w:rsidP="00625839">
      <w:pPr>
        <w:pStyle w:val="NormalWeb"/>
        <w:spacing w:line="480" w:lineRule="auto"/>
        <w:rPr>
          <w:rFonts w:asciiTheme="minorHAnsi" w:hAnsiTheme="minorHAnsi" w:cstheme="minorHAnsi"/>
        </w:rPr>
      </w:pPr>
      <w:r w:rsidRPr="00D0072A">
        <w:rPr>
          <w:rFonts w:asciiTheme="minorHAnsi" w:hAnsiTheme="minorHAnsi" w:cstheme="minorHAnsi"/>
        </w:rPr>
        <w:t>The Holy Roman Empire, however, whilst fraught with similar struggle throughout its medieval history can be described as a failing struggle to create a universal empire.</w:t>
      </w:r>
      <w:r w:rsidRPr="00D0072A">
        <w:rPr>
          <w:rStyle w:val="FootnoteReference"/>
          <w:rFonts w:asciiTheme="minorHAnsi" w:hAnsiTheme="minorHAnsi" w:cstheme="minorHAnsi"/>
        </w:rPr>
        <w:footnoteReference w:id="4"/>
      </w:r>
      <w:r w:rsidRPr="00D0072A">
        <w:rPr>
          <w:rFonts w:asciiTheme="minorHAnsi" w:hAnsiTheme="minorHAnsi" w:cstheme="minorHAnsi"/>
        </w:rPr>
        <w:t xml:space="preserve"> For instance, constitutional issues were rife in the Holy Roman Empire. By the reign of Charles IV, the 1356 Golden Bull had been issued, a greatly important document outlining the way in which an Emperor should be elected as well as setting out regulations on the rights of elector princes.</w:t>
      </w:r>
      <w:r w:rsidRPr="00D0072A">
        <w:rPr>
          <w:rStyle w:val="FootnoteReference"/>
          <w:rFonts w:asciiTheme="minorHAnsi" w:hAnsiTheme="minorHAnsi" w:cstheme="minorHAnsi"/>
        </w:rPr>
        <w:footnoteReference w:id="5"/>
      </w:r>
      <w:r w:rsidRPr="00D0072A">
        <w:rPr>
          <w:rFonts w:asciiTheme="minorHAnsi" w:hAnsiTheme="minorHAnsi" w:cstheme="minorHAnsi"/>
        </w:rPr>
        <w:t xml:space="preserve"> Significantly, it also served to diminish the ties between Empire and Papal authority.</w:t>
      </w:r>
      <w:r w:rsidRPr="00D0072A">
        <w:rPr>
          <w:rStyle w:val="FootnoteReference"/>
          <w:rFonts w:asciiTheme="minorHAnsi" w:hAnsiTheme="minorHAnsi" w:cstheme="minorHAnsi"/>
        </w:rPr>
        <w:footnoteReference w:id="6"/>
      </w:r>
      <w:r w:rsidRPr="00D0072A">
        <w:rPr>
          <w:rFonts w:asciiTheme="minorHAnsi" w:hAnsiTheme="minorHAnsi" w:cstheme="minorHAnsi"/>
        </w:rPr>
        <w:t xml:space="preserve"> According to North, “Frankfurt was designated the permanent venue of election, Aachen as the place of coronation and Nuremburg as the site of the first </w:t>
      </w:r>
      <w:r w:rsidRPr="00D0072A">
        <w:rPr>
          <w:rFonts w:asciiTheme="minorHAnsi" w:hAnsiTheme="minorHAnsi" w:cstheme="minorHAnsi"/>
          <w:i/>
        </w:rPr>
        <w:t>Hoftag</w:t>
      </w:r>
      <w:r w:rsidRPr="00D0072A">
        <w:rPr>
          <w:rFonts w:asciiTheme="minorHAnsi" w:hAnsiTheme="minorHAnsi" w:cstheme="minorHAnsi"/>
        </w:rPr>
        <w:t>, the assembly of the vassals or magnates of the empire.”</w:t>
      </w:r>
      <w:r w:rsidRPr="00D0072A">
        <w:rPr>
          <w:rStyle w:val="FootnoteReference"/>
          <w:rFonts w:asciiTheme="minorHAnsi" w:hAnsiTheme="minorHAnsi" w:cstheme="minorHAnsi"/>
        </w:rPr>
        <w:footnoteReference w:id="7"/>
      </w:r>
      <w:r w:rsidRPr="00D0072A">
        <w:rPr>
          <w:rFonts w:asciiTheme="minorHAnsi" w:hAnsiTheme="minorHAnsi" w:cstheme="minorHAnsi"/>
        </w:rPr>
        <w:t xml:space="preserve"> With a geographical point-to-point distance between Aachen and Nuremburg of 385 kilometres</w:t>
      </w:r>
      <w:r w:rsidRPr="00D0072A">
        <w:rPr>
          <w:rStyle w:val="FootnoteReference"/>
          <w:rFonts w:asciiTheme="minorHAnsi" w:hAnsiTheme="minorHAnsi" w:cstheme="minorHAnsi"/>
        </w:rPr>
        <w:footnoteReference w:id="8"/>
      </w:r>
      <w:r w:rsidRPr="00D0072A">
        <w:rPr>
          <w:rFonts w:asciiTheme="minorHAnsi" w:hAnsiTheme="minorHAnsi" w:cstheme="minorHAnsi"/>
        </w:rPr>
        <w:t>, potential problems with this begin to become evident, especially if an average walking pace is 5 kilometres per hour.</w:t>
      </w:r>
      <w:r w:rsidRPr="00D0072A">
        <w:rPr>
          <w:rStyle w:val="FootnoteReference"/>
          <w:rFonts w:asciiTheme="minorHAnsi" w:hAnsiTheme="minorHAnsi" w:cstheme="minorHAnsi"/>
        </w:rPr>
        <w:footnoteReference w:id="9"/>
      </w:r>
      <w:r w:rsidRPr="00D0072A">
        <w:rPr>
          <w:rFonts w:asciiTheme="minorHAnsi" w:hAnsiTheme="minorHAnsi" w:cstheme="minorHAnsi"/>
        </w:rPr>
        <w:t xml:space="preserve"> Delays in transition of power were normal in the medieval era for a multitude of reasons, but this no doubt compounded the issue.</w:t>
      </w:r>
    </w:p>
    <w:p w14:paraId="713400D3" w14:textId="77777777" w:rsidR="00844633" w:rsidRPr="00D0072A" w:rsidRDefault="00844633" w:rsidP="00625839">
      <w:pPr>
        <w:pStyle w:val="NormalWeb"/>
        <w:spacing w:line="480" w:lineRule="auto"/>
        <w:rPr>
          <w:rFonts w:asciiTheme="minorHAnsi" w:hAnsiTheme="minorHAnsi" w:cstheme="minorHAnsi"/>
        </w:rPr>
      </w:pPr>
      <w:r w:rsidRPr="00D0072A">
        <w:rPr>
          <w:rFonts w:asciiTheme="minorHAnsi" w:hAnsiTheme="minorHAnsi" w:cstheme="minorHAnsi"/>
        </w:rPr>
        <w:lastRenderedPageBreak/>
        <w:t xml:space="preserve">Furthermore, the 1356 Golden Bull served to galvanize political and ruling structures in a way somewhat dissimilar to other European Medieval States. A proto-constitutional document akin to the English </w:t>
      </w:r>
      <w:r w:rsidRPr="00D0072A">
        <w:rPr>
          <w:rFonts w:asciiTheme="minorHAnsi" w:hAnsiTheme="minorHAnsi" w:cstheme="minorHAnsi"/>
          <w:i/>
        </w:rPr>
        <w:t xml:space="preserve">Magna Carta </w:t>
      </w:r>
      <w:r w:rsidRPr="00D0072A">
        <w:rPr>
          <w:rFonts w:asciiTheme="minorHAnsi" w:hAnsiTheme="minorHAnsi" w:cstheme="minorHAnsi"/>
        </w:rPr>
        <w:t>of 1215, the document highlights a unique factor: compromise.</w:t>
      </w:r>
    </w:p>
    <w:p w14:paraId="5F9C90F9" w14:textId="12C9DC85" w:rsidR="00411995" w:rsidRPr="00D0072A" w:rsidRDefault="0041199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The decentralized and often loose affiliations of the various member states of the Holy Roman Empire were in many ways a result of cultural necessity. Even with the supposed cultural heart of the empire in Germany, there was a great disparity in cultural and linguistic identity. </w:t>
      </w:r>
      <w:r w:rsidRPr="00D0072A">
        <w:rPr>
          <w:rFonts w:asciiTheme="minorHAnsi" w:hAnsiTheme="minorHAnsi" w:cstheme="minorHAnsi"/>
        </w:rPr>
        <w:t xml:space="preserve"> Therefore, the </w:t>
      </w:r>
      <w:r w:rsidRPr="00D0072A">
        <w:rPr>
          <w:rFonts w:asciiTheme="minorHAnsi" w:hAnsiTheme="minorHAnsi" w:cstheme="minorHAnsi"/>
        </w:rPr>
        <w:t>political and natural geographies</w:t>
      </w:r>
      <w:r w:rsidRPr="00D0072A">
        <w:rPr>
          <w:rFonts w:asciiTheme="minorHAnsi" w:hAnsiTheme="minorHAnsi" w:cstheme="minorHAnsi"/>
        </w:rPr>
        <w:t xml:space="preserve"> of the empire</w:t>
      </w:r>
      <w:r w:rsidRPr="00D0072A">
        <w:rPr>
          <w:rFonts w:asciiTheme="minorHAnsi" w:hAnsiTheme="minorHAnsi" w:cstheme="minorHAnsi"/>
        </w:rPr>
        <w:t xml:space="preserve"> deserve to be investigated further. Wilson makes mention of “Emperors in their own Kingdoms”</w:t>
      </w:r>
      <w:r w:rsidRPr="00D0072A">
        <w:rPr>
          <w:rStyle w:val="FootnoteReference"/>
          <w:rFonts w:asciiTheme="minorHAnsi" w:hAnsiTheme="minorHAnsi" w:cstheme="minorHAnsi"/>
        </w:rPr>
        <w:footnoteReference w:id="10"/>
      </w:r>
      <w:r w:rsidRPr="00D0072A">
        <w:rPr>
          <w:rFonts w:asciiTheme="minorHAnsi" w:hAnsiTheme="minorHAnsi" w:cstheme="minorHAnsi"/>
        </w:rPr>
        <w:t xml:space="preserve"> in reference to sovereign states of Europe, but this is true of the empire itself.</w:t>
      </w:r>
    </w:p>
    <w:p w14:paraId="0B9EFB76" w14:textId="50FF81A5" w:rsidR="009A6670" w:rsidRPr="00D0072A" w:rsidRDefault="0041199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The Empire’s changing border with France was of great consequence for both states. From the rich low countries to the north, to the </w:t>
      </w:r>
      <w:r w:rsidR="009A6670" w:rsidRPr="00D0072A">
        <w:rPr>
          <w:rFonts w:asciiTheme="minorHAnsi" w:hAnsiTheme="minorHAnsi" w:cstheme="minorHAnsi"/>
        </w:rPr>
        <w:t>Duchy of Burgundy in the east of Germany, to the Swiss cantons and the Italian city states in the south, many were uneasily claimed as vassal states by both France and the Holy Roman Empire. They were often quite culturally and politically different to either major sovereign state. Similarly, imperial politics had to contend with vast swathes of ecclesiastical territory within the Empire. Furthermore, trading states based within the Holy Roman Empire spread far and wide. To the North of the Empire, the Hanseatic League had numerous trading colonies through the Baltic. To the South, the Italian City state of Genoa spread through the Mediterranean and Black Sea, even to Crimea. During the reign of Frederick II, the entity of Italy and Sicily could even be claimed to be part of the Holy Roman Empire.</w:t>
      </w:r>
      <w:r w:rsidR="007103C1" w:rsidRPr="00D0072A">
        <w:rPr>
          <w:rFonts w:asciiTheme="minorHAnsi" w:hAnsiTheme="minorHAnsi" w:cstheme="minorHAnsi"/>
        </w:rPr>
        <w:t xml:space="preserve"> </w:t>
      </w:r>
      <w:r w:rsidR="009A6670" w:rsidRPr="00D0072A">
        <w:rPr>
          <w:rFonts w:asciiTheme="minorHAnsi" w:hAnsiTheme="minorHAnsi" w:cstheme="minorHAnsi"/>
        </w:rPr>
        <w:t xml:space="preserve">This melting pot of </w:t>
      </w:r>
      <w:r w:rsidR="007103C1" w:rsidRPr="00D0072A">
        <w:rPr>
          <w:rFonts w:asciiTheme="minorHAnsi" w:hAnsiTheme="minorHAnsi" w:cstheme="minorHAnsi"/>
        </w:rPr>
        <w:t xml:space="preserve">cultures each had their </w:t>
      </w:r>
      <w:r w:rsidR="007103C1" w:rsidRPr="00D0072A">
        <w:rPr>
          <w:rFonts w:asciiTheme="minorHAnsi" w:hAnsiTheme="minorHAnsi" w:cstheme="minorHAnsi"/>
        </w:rPr>
        <w:lastRenderedPageBreak/>
        <w:t>own political requirements, often not subject to imperial control, despite the claims of their rulers.</w:t>
      </w:r>
    </w:p>
    <w:p w14:paraId="3917293F" w14:textId="454FDD21" w:rsidR="007103C1" w:rsidRPr="00D0072A" w:rsidRDefault="007103C1" w:rsidP="00625839">
      <w:pPr>
        <w:pStyle w:val="NormalWeb"/>
        <w:spacing w:line="480" w:lineRule="auto"/>
        <w:rPr>
          <w:rFonts w:asciiTheme="minorHAnsi" w:hAnsiTheme="minorHAnsi" w:cstheme="minorHAnsi"/>
        </w:rPr>
      </w:pPr>
      <w:r w:rsidRPr="00D0072A">
        <w:rPr>
          <w:rFonts w:asciiTheme="minorHAnsi" w:hAnsiTheme="minorHAnsi" w:cstheme="minorHAnsi"/>
        </w:rPr>
        <w:t>Another historical narrative within the Holy Roman Empire can be characterized by a gradual unravelling of the ties between the Papacy and the Empire. The Holy Roman Empire developed unusual methods of selecting a ruler.</w:t>
      </w:r>
      <w:r w:rsidRPr="00D0072A">
        <w:rPr>
          <w:rFonts w:asciiTheme="minorHAnsi" w:hAnsiTheme="minorHAnsi" w:cstheme="minorHAnsi"/>
        </w:rPr>
        <w:t xml:space="preserve"> </w:t>
      </w:r>
      <w:r w:rsidRPr="00D0072A">
        <w:rPr>
          <w:rFonts w:asciiTheme="minorHAnsi" w:hAnsiTheme="minorHAnsi" w:cstheme="minorHAnsi"/>
        </w:rPr>
        <w:t>An emperor had to be confirmed by the pope</w:t>
      </w:r>
      <w:r w:rsidRPr="00D0072A">
        <w:rPr>
          <w:rFonts w:asciiTheme="minorHAnsi" w:hAnsiTheme="minorHAnsi" w:cstheme="minorHAnsi"/>
        </w:rPr>
        <w:t xml:space="preserve"> in addition to elector counts after the investiture crisis. </w:t>
      </w:r>
      <w:r w:rsidRPr="00D0072A">
        <w:rPr>
          <w:rFonts w:asciiTheme="minorHAnsi" w:hAnsiTheme="minorHAnsi" w:cstheme="minorHAnsi"/>
        </w:rPr>
        <w:t>Perhaps unsurprisingly, the close ties between pope and emperor resulted in political skulduggery. A particularly important example of this was the investiture crisis, instigated by the election of Pope Leo IX in 1049 by Emperor Henry II.</w:t>
      </w:r>
      <w:r w:rsidRPr="00D0072A">
        <w:rPr>
          <w:rStyle w:val="FootnoteReference"/>
          <w:rFonts w:asciiTheme="minorHAnsi" w:hAnsiTheme="minorHAnsi" w:cstheme="minorHAnsi"/>
        </w:rPr>
        <w:footnoteReference w:id="11"/>
      </w:r>
      <w:r w:rsidRPr="00D0072A">
        <w:rPr>
          <w:rFonts w:asciiTheme="minorHAnsi" w:hAnsiTheme="minorHAnsi" w:cstheme="minorHAnsi"/>
        </w:rPr>
        <w:t xml:space="preserve"> </w:t>
      </w:r>
    </w:p>
    <w:p w14:paraId="6C667614" w14:textId="77777777" w:rsidR="007103C1" w:rsidRPr="00D0072A" w:rsidRDefault="007103C1" w:rsidP="00625839">
      <w:pPr>
        <w:pStyle w:val="NormalWeb"/>
        <w:spacing w:line="480" w:lineRule="auto"/>
        <w:rPr>
          <w:rFonts w:asciiTheme="minorHAnsi" w:hAnsiTheme="minorHAnsi" w:cstheme="minorHAnsi"/>
        </w:rPr>
      </w:pPr>
      <w:r w:rsidRPr="00D0072A">
        <w:rPr>
          <w:rFonts w:asciiTheme="minorHAnsi" w:hAnsiTheme="minorHAnsi" w:cstheme="minorHAnsi"/>
        </w:rPr>
        <w:t>The term ‘Holy Roman Empire’ was derived from Roman roots. Recreated for Charlemagne, it was indicative of one of the many transcendental ideals of the middle ages: unity through Catholicism.</w:t>
      </w:r>
    </w:p>
    <w:p w14:paraId="2B0701A7" w14:textId="42FB49AF" w:rsidR="00F2667F" w:rsidRPr="00D0072A" w:rsidRDefault="007103C1"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One </w:t>
      </w:r>
      <w:r w:rsidR="004F4397">
        <w:rPr>
          <w:rFonts w:asciiTheme="minorHAnsi" w:hAnsiTheme="minorHAnsi" w:cstheme="minorHAnsi"/>
        </w:rPr>
        <w:t xml:space="preserve">example of </w:t>
      </w:r>
      <w:r w:rsidR="004F4397" w:rsidRPr="00D0072A">
        <w:rPr>
          <w:rFonts w:asciiTheme="minorHAnsi" w:hAnsiTheme="minorHAnsi" w:cstheme="minorHAnsi"/>
        </w:rPr>
        <w:t>administration</w:t>
      </w:r>
      <w:r w:rsidRPr="00D0072A">
        <w:rPr>
          <w:rFonts w:asciiTheme="minorHAnsi" w:hAnsiTheme="minorHAnsi" w:cstheme="minorHAnsi"/>
        </w:rPr>
        <w:t xml:space="preserve"> can be seen in the </w:t>
      </w:r>
      <w:r w:rsidRPr="00D0072A">
        <w:rPr>
          <w:rFonts w:asciiTheme="minorHAnsi" w:hAnsiTheme="minorHAnsi" w:cstheme="minorHAnsi"/>
          <w:i/>
        </w:rPr>
        <w:t>minist</w:t>
      </w:r>
      <w:r w:rsidR="00D0072A" w:rsidRPr="00D0072A">
        <w:rPr>
          <w:rFonts w:asciiTheme="minorHAnsi" w:hAnsiTheme="minorHAnsi" w:cstheme="minorHAnsi"/>
          <w:i/>
        </w:rPr>
        <w:t>erials</w:t>
      </w:r>
      <w:r w:rsidR="00D0072A" w:rsidRPr="00D0072A">
        <w:rPr>
          <w:rFonts w:asciiTheme="minorHAnsi" w:hAnsiTheme="minorHAnsi" w:cstheme="minorHAnsi"/>
        </w:rPr>
        <w:t>, ‘serf knight’</w:t>
      </w:r>
      <w:r w:rsidR="004F4397">
        <w:rPr>
          <w:rFonts w:asciiTheme="minorHAnsi" w:hAnsiTheme="minorHAnsi" w:cstheme="minorHAnsi"/>
        </w:rPr>
        <w:t>, which rose to prominence over the course of the middle ages.</w:t>
      </w:r>
      <w:r w:rsidR="002C7AC6">
        <w:rPr>
          <w:rFonts w:asciiTheme="minorHAnsi" w:hAnsiTheme="minorHAnsi" w:cstheme="minorHAnsi"/>
        </w:rPr>
        <w:t xml:space="preserve"> According to Keen, “Their obligations were closely associated with the household service of their lords, ecclesiastical or imperial.”</w:t>
      </w:r>
      <w:r w:rsidR="002C7AC6">
        <w:rPr>
          <w:rStyle w:val="FootnoteReference"/>
          <w:rFonts w:asciiTheme="minorHAnsi" w:hAnsiTheme="minorHAnsi" w:cstheme="minorHAnsi"/>
        </w:rPr>
        <w:footnoteReference w:id="12"/>
      </w:r>
      <w:r w:rsidR="002C7AC6">
        <w:rPr>
          <w:rFonts w:asciiTheme="minorHAnsi" w:hAnsiTheme="minorHAnsi" w:cstheme="minorHAnsi"/>
        </w:rPr>
        <w:t xml:space="preserve"> Whilst limited in similar ways to the serfs of France and England, their obligations to their lord were more similar to those of the knight (military, estate supervision, etc), and they took the higher offices within a </w:t>
      </w:r>
      <w:r w:rsidR="004F4397">
        <w:rPr>
          <w:rFonts w:asciiTheme="minorHAnsi" w:hAnsiTheme="minorHAnsi" w:cstheme="minorHAnsi"/>
        </w:rPr>
        <w:t>lord’s</w:t>
      </w:r>
      <w:r w:rsidR="002C7AC6">
        <w:rPr>
          <w:rFonts w:asciiTheme="minorHAnsi" w:hAnsiTheme="minorHAnsi" w:cstheme="minorHAnsi"/>
        </w:rPr>
        <w:t xml:space="preserve"> household. Yet, by the mid</w:t>
      </w:r>
      <w:r w:rsidR="004F4397">
        <w:rPr>
          <w:rFonts w:asciiTheme="minorHAnsi" w:hAnsiTheme="minorHAnsi" w:cstheme="minorHAnsi"/>
        </w:rPr>
        <w:t>dle of the</w:t>
      </w:r>
      <w:r w:rsidR="002C7AC6">
        <w:rPr>
          <w:rFonts w:asciiTheme="minorHAnsi" w:hAnsiTheme="minorHAnsi" w:cstheme="minorHAnsi"/>
        </w:rPr>
        <w:t xml:space="preserve"> 11</w:t>
      </w:r>
      <w:r w:rsidR="002C7AC6" w:rsidRPr="002C7AC6">
        <w:rPr>
          <w:rFonts w:asciiTheme="minorHAnsi" w:hAnsiTheme="minorHAnsi" w:cstheme="minorHAnsi"/>
          <w:vertAlign w:val="superscript"/>
        </w:rPr>
        <w:t>th</w:t>
      </w:r>
      <w:r w:rsidR="002C7AC6">
        <w:rPr>
          <w:rFonts w:asciiTheme="minorHAnsi" w:hAnsiTheme="minorHAnsi" w:cstheme="minorHAnsi"/>
        </w:rPr>
        <w:t xml:space="preserve"> century, their positions were becoming hereditary, and</w:t>
      </w:r>
      <w:r w:rsidR="004F4397">
        <w:rPr>
          <w:rFonts w:asciiTheme="minorHAnsi" w:hAnsiTheme="minorHAnsi" w:cstheme="minorHAnsi"/>
        </w:rPr>
        <w:t xml:space="preserve"> due to their importance in military matters, they were often amassing large holdings of their own.</w:t>
      </w:r>
      <w:r w:rsidR="004F4397">
        <w:rPr>
          <w:rStyle w:val="FootnoteReference"/>
          <w:rFonts w:asciiTheme="minorHAnsi" w:hAnsiTheme="minorHAnsi" w:cstheme="minorHAnsi"/>
        </w:rPr>
        <w:footnoteReference w:id="13"/>
      </w:r>
      <w:r w:rsidR="002C7AC6">
        <w:rPr>
          <w:rFonts w:asciiTheme="minorHAnsi" w:hAnsiTheme="minorHAnsi" w:cstheme="minorHAnsi"/>
        </w:rPr>
        <w:t xml:space="preserve"> </w:t>
      </w:r>
    </w:p>
    <w:p w14:paraId="31CCE197" w14:textId="2CBD733F" w:rsidR="007103C1" w:rsidRPr="00D0072A" w:rsidRDefault="007103C1" w:rsidP="00625839">
      <w:pPr>
        <w:pStyle w:val="NormalWeb"/>
        <w:spacing w:line="480" w:lineRule="auto"/>
        <w:rPr>
          <w:rFonts w:asciiTheme="minorHAnsi" w:hAnsiTheme="minorHAnsi" w:cstheme="minorHAnsi"/>
        </w:rPr>
      </w:pPr>
      <w:r w:rsidRPr="00D0072A">
        <w:rPr>
          <w:rFonts w:asciiTheme="minorHAnsi" w:hAnsiTheme="minorHAnsi" w:cstheme="minorHAnsi"/>
        </w:rPr>
        <w:lastRenderedPageBreak/>
        <w:t>While the early emperors of the Holy Roman Empire implemented numerous administrative reforms and strengthened control over the empire, successive emperors grappled with the size and influence of their state. Quite unlike most other neighbouring states, there was no permanent capital.</w:t>
      </w:r>
      <w:r w:rsidRPr="00D0072A">
        <w:rPr>
          <w:rStyle w:val="FootnoteReference"/>
          <w:rFonts w:asciiTheme="minorHAnsi" w:hAnsiTheme="minorHAnsi" w:cstheme="minorHAnsi"/>
        </w:rPr>
        <w:footnoteReference w:id="14"/>
      </w:r>
      <w:r w:rsidRPr="00D0072A">
        <w:rPr>
          <w:rFonts w:asciiTheme="minorHAnsi" w:hAnsiTheme="minorHAnsi" w:cstheme="minorHAnsi"/>
        </w:rPr>
        <w:t xml:space="preserve"> This hindered this the development of imperial administrative influence, due to fact that territory under the control of the emperor as power shifted from dynasty to dynasty. As much as the emperor was reliant upon the elector princes and the papacy for his own legitimacy as a ruler, the willingness of the myriad </w:t>
      </w:r>
      <w:r w:rsidRPr="00D0072A">
        <w:rPr>
          <w:rFonts w:asciiTheme="minorHAnsi" w:hAnsiTheme="minorHAnsi" w:cstheme="minorHAnsi"/>
          <w:i/>
        </w:rPr>
        <w:t xml:space="preserve">kleinstaaten </w:t>
      </w:r>
      <w:r w:rsidRPr="00D0072A">
        <w:rPr>
          <w:rFonts w:asciiTheme="minorHAnsi" w:hAnsiTheme="minorHAnsi" w:cstheme="minorHAnsi"/>
        </w:rPr>
        <w:t>to acquiesce to imperial rule changed with the needs of each individual microstate. These issues were further exacerbated by the development of a multitude local administrative methods alongside imperial ones.</w:t>
      </w:r>
    </w:p>
    <w:p w14:paraId="47B3ECB2" w14:textId="099B7AAA" w:rsidR="007103C1" w:rsidRPr="00D0072A" w:rsidRDefault="007103C1" w:rsidP="00625839">
      <w:pPr>
        <w:pStyle w:val="NormalWeb"/>
        <w:spacing w:line="480" w:lineRule="auto"/>
        <w:rPr>
          <w:rFonts w:asciiTheme="minorHAnsi" w:hAnsiTheme="minorHAnsi" w:cstheme="minorHAnsi"/>
        </w:rPr>
      </w:pPr>
      <w:r w:rsidRPr="00D0072A">
        <w:rPr>
          <w:rFonts w:asciiTheme="minorHAnsi" w:hAnsiTheme="minorHAnsi" w:cstheme="minorHAnsi"/>
        </w:rPr>
        <w:t>Despite the importance of the empire politically, it was often slow to take up reforms in the projection of power and laws of state. As centres of “aristocratic power, projecting political might and military muscle,”</w:t>
      </w:r>
      <w:r w:rsidRPr="00D0072A">
        <w:rPr>
          <w:rStyle w:val="FootnoteReference"/>
          <w:rFonts w:asciiTheme="minorHAnsi" w:hAnsiTheme="minorHAnsi" w:cstheme="minorHAnsi"/>
        </w:rPr>
        <w:footnoteReference w:id="15"/>
      </w:r>
      <w:r w:rsidRPr="00D0072A">
        <w:rPr>
          <w:rFonts w:asciiTheme="minorHAnsi" w:hAnsiTheme="minorHAnsi" w:cstheme="minorHAnsi"/>
        </w:rPr>
        <w:t xml:space="preserve"> castle building was vital to the success of emergent influential cultures such as the Normans. Yet stone castle building in geographical Germany did not take place until about a century after the neighbouring northern French territories, likely as a response to Slav and Magyar pressure in the North and South respectively.</w:t>
      </w:r>
      <w:r w:rsidRPr="00D0072A">
        <w:rPr>
          <w:rStyle w:val="FootnoteReference"/>
          <w:rFonts w:asciiTheme="minorHAnsi" w:hAnsiTheme="minorHAnsi" w:cstheme="minorHAnsi"/>
        </w:rPr>
        <w:footnoteReference w:id="16"/>
      </w:r>
      <w:r w:rsidRPr="00D0072A">
        <w:rPr>
          <w:rFonts w:asciiTheme="minorHAnsi" w:hAnsiTheme="minorHAnsi" w:cstheme="minorHAnsi"/>
        </w:rPr>
        <w:t xml:space="preserve"> In a similar vein, Germanic primogeniture succession laws did not start to take hold until the 11</w:t>
      </w:r>
      <w:r w:rsidRPr="00D0072A">
        <w:rPr>
          <w:rFonts w:asciiTheme="minorHAnsi" w:hAnsiTheme="minorHAnsi" w:cstheme="minorHAnsi"/>
          <w:vertAlign w:val="superscript"/>
        </w:rPr>
        <w:t>th</w:t>
      </w:r>
      <w:r w:rsidRPr="00D0072A">
        <w:rPr>
          <w:rFonts w:asciiTheme="minorHAnsi" w:hAnsiTheme="minorHAnsi" w:cstheme="minorHAnsi"/>
        </w:rPr>
        <w:t xml:space="preserve"> century, a century later than France.</w:t>
      </w:r>
      <w:r w:rsidRPr="00D0072A">
        <w:rPr>
          <w:rStyle w:val="FootnoteReference"/>
          <w:rFonts w:asciiTheme="minorHAnsi" w:hAnsiTheme="minorHAnsi" w:cstheme="minorHAnsi"/>
        </w:rPr>
        <w:footnoteReference w:id="17"/>
      </w:r>
    </w:p>
    <w:p w14:paraId="71E02E4E" w14:textId="732FD514" w:rsidR="00A554F2" w:rsidRPr="00D0072A" w:rsidRDefault="00A554F2" w:rsidP="00625839">
      <w:pPr>
        <w:spacing w:line="480" w:lineRule="auto"/>
        <w:rPr>
          <w:rFonts w:eastAsia="Times New Roman" w:cstheme="minorHAnsi"/>
          <w:sz w:val="24"/>
          <w:szCs w:val="24"/>
          <w:lang w:eastAsia="en-GB"/>
        </w:rPr>
      </w:pPr>
      <w:r w:rsidRPr="00D0072A">
        <w:rPr>
          <w:rFonts w:cstheme="minorHAnsi"/>
          <w:sz w:val="24"/>
          <w:szCs w:val="24"/>
        </w:rPr>
        <w:t xml:space="preserve">Ultimately, although a confederation of feudal microstates in flux, it can be effectively argued that the Holy Roman Empire was a heterarchical society with a thin hierarchical </w:t>
      </w:r>
      <w:r w:rsidRPr="00D0072A">
        <w:rPr>
          <w:rFonts w:cstheme="minorHAnsi"/>
          <w:sz w:val="24"/>
          <w:szCs w:val="24"/>
        </w:rPr>
        <w:lastRenderedPageBreak/>
        <w:t>overlay, wherein heterogenous cultures were allowed to semi-independently co-exist. Moreover, it is clear that the political and ruling structures of the Holy Roman Empire were developed as reactions to the necessities of the specific influences inherent to Central Europe.</w:t>
      </w:r>
    </w:p>
    <w:p w14:paraId="77FA16FB" w14:textId="77777777" w:rsidR="007103C1" w:rsidRPr="00D0072A" w:rsidRDefault="007103C1" w:rsidP="00625839">
      <w:pPr>
        <w:spacing w:line="480" w:lineRule="auto"/>
        <w:rPr>
          <w:rFonts w:eastAsia="Times New Roman" w:cstheme="minorHAnsi"/>
          <w:b/>
          <w:sz w:val="24"/>
          <w:szCs w:val="24"/>
          <w:lang w:eastAsia="en-GB"/>
        </w:rPr>
      </w:pPr>
      <w:r w:rsidRPr="00D0072A">
        <w:rPr>
          <w:rFonts w:cstheme="minorHAnsi"/>
          <w:b/>
          <w:sz w:val="24"/>
          <w:szCs w:val="24"/>
        </w:rPr>
        <w:br w:type="page"/>
      </w:r>
      <w:bookmarkStart w:id="1" w:name="_GoBack"/>
      <w:bookmarkEnd w:id="1"/>
    </w:p>
    <w:p w14:paraId="58172631" w14:textId="0D0E4858" w:rsidR="00A554F2" w:rsidRPr="00D0072A" w:rsidRDefault="00A554F2" w:rsidP="00625839">
      <w:pPr>
        <w:pStyle w:val="NormalWeb"/>
        <w:spacing w:line="480" w:lineRule="auto"/>
        <w:rPr>
          <w:rFonts w:asciiTheme="minorHAnsi" w:hAnsiTheme="minorHAnsi" w:cstheme="minorHAnsi"/>
          <w:b/>
        </w:rPr>
      </w:pPr>
      <w:r w:rsidRPr="00D0072A">
        <w:rPr>
          <w:rFonts w:asciiTheme="minorHAnsi" w:hAnsiTheme="minorHAnsi" w:cstheme="minorHAnsi"/>
          <w:b/>
        </w:rPr>
        <w:lastRenderedPageBreak/>
        <w:t>Bibliography</w:t>
      </w:r>
    </w:p>
    <w:p w14:paraId="2E9C22D0" w14:textId="5328DD46" w:rsidR="00BB19A6" w:rsidRPr="00D0072A" w:rsidRDefault="00BE205D" w:rsidP="00625839">
      <w:pPr>
        <w:pStyle w:val="NormalWeb"/>
        <w:spacing w:line="480" w:lineRule="auto"/>
        <w:rPr>
          <w:rFonts w:asciiTheme="minorHAnsi" w:hAnsiTheme="minorHAnsi" w:cstheme="minorHAnsi"/>
          <w:b/>
        </w:rPr>
      </w:pPr>
      <w:r w:rsidRPr="00D0072A">
        <w:rPr>
          <w:rFonts w:asciiTheme="minorHAnsi" w:hAnsiTheme="minorHAnsi" w:cstheme="minorHAnsi"/>
          <w:b/>
        </w:rPr>
        <w:t>Printed Primary</w:t>
      </w:r>
    </w:p>
    <w:p w14:paraId="39CBBAAB" w14:textId="1AE7D499" w:rsidR="00BB19A6" w:rsidRPr="00D0072A" w:rsidRDefault="00AC5702" w:rsidP="00625839">
      <w:pPr>
        <w:pStyle w:val="NormalWeb"/>
        <w:spacing w:line="480" w:lineRule="auto"/>
        <w:rPr>
          <w:rFonts w:asciiTheme="minorHAnsi" w:hAnsiTheme="minorHAnsi" w:cstheme="minorHAnsi"/>
        </w:rPr>
      </w:pPr>
      <w:r w:rsidRPr="00D0072A">
        <w:rPr>
          <w:rFonts w:asciiTheme="minorHAnsi" w:hAnsiTheme="minorHAnsi"/>
        </w:rPr>
        <w:t xml:space="preserve">Fordham University, Medieval Sourcebook, </w:t>
      </w:r>
      <w:r w:rsidR="00BC70DF" w:rsidRPr="00D0072A">
        <w:rPr>
          <w:rFonts w:asciiTheme="minorHAnsi" w:hAnsiTheme="minorHAnsi"/>
        </w:rPr>
        <w:t xml:space="preserve">‘Levy of Troops For Wars in Bohemia, 1422’ [online]. Available at: </w:t>
      </w:r>
      <w:hyperlink r:id="rId8" w:history="1">
        <w:r w:rsidR="00BB19A6" w:rsidRPr="00D0072A">
          <w:rPr>
            <w:rStyle w:val="Hyperlink"/>
            <w:rFonts w:asciiTheme="minorHAnsi" w:hAnsiTheme="minorHAnsi" w:cstheme="minorHAnsi"/>
          </w:rPr>
          <w:t>https://</w:t>
        </w:r>
        <w:r w:rsidR="00BB19A6" w:rsidRPr="00D0072A">
          <w:rPr>
            <w:rStyle w:val="Hyperlink"/>
            <w:rFonts w:asciiTheme="minorHAnsi" w:hAnsiTheme="minorHAnsi" w:cstheme="minorHAnsi"/>
          </w:rPr>
          <w:t>s</w:t>
        </w:r>
        <w:r w:rsidR="00BB19A6" w:rsidRPr="00D0072A">
          <w:rPr>
            <w:rStyle w:val="Hyperlink"/>
            <w:rFonts w:asciiTheme="minorHAnsi" w:hAnsiTheme="minorHAnsi" w:cstheme="minorHAnsi"/>
          </w:rPr>
          <w:t>ourcebooks.fordham.edu/Halsall/source/imptrooplevy1422.asp</w:t>
        </w:r>
      </w:hyperlink>
      <w:r w:rsidR="00BC70DF" w:rsidRPr="00D0072A">
        <w:rPr>
          <w:rStyle w:val="Hyperlink"/>
          <w:rFonts w:asciiTheme="minorHAnsi" w:hAnsiTheme="minorHAnsi" w:cstheme="minorHAnsi"/>
          <w:color w:val="auto"/>
          <w:u w:val="none"/>
        </w:rPr>
        <w:t>. (accessed: 24/11/17).</w:t>
      </w:r>
    </w:p>
    <w:p w14:paraId="39805B0C" w14:textId="1819AE17" w:rsidR="00BB19A6" w:rsidRPr="00D0072A" w:rsidRDefault="00AC5702" w:rsidP="00625839">
      <w:pPr>
        <w:pStyle w:val="NormalWeb"/>
        <w:spacing w:line="480" w:lineRule="auto"/>
        <w:rPr>
          <w:rFonts w:asciiTheme="minorHAnsi" w:hAnsiTheme="minorHAnsi"/>
        </w:rPr>
      </w:pPr>
      <w:r w:rsidRPr="00D0072A">
        <w:rPr>
          <w:rFonts w:asciiTheme="minorHAnsi" w:hAnsiTheme="minorHAnsi"/>
        </w:rPr>
        <w:t xml:space="preserve">Yale Law School, </w:t>
      </w:r>
      <w:r w:rsidRPr="00D0072A">
        <w:rPr>
          <w:rFonts w:asciiTheme="minorHAnsi" w:hAnsiTheme="minorHAnsi"/>
        </w:rPr>
        <w:t xml:space="preserve">The Avalon Project, </w:t>
      </w:r>
      <w:r w:rsidRPr="00D0072A">
        <w:rPr>
          <w:rFonts w:asciiTheme="minorHAnsi" w:hAnsiTheme="minorHAnsi"/>
        </w:rPr>
        <w:t xml:space="preserve">‘The Golden Bull of the Emperor Charles IV 1356 AD’ [online]. Available at </w:t>
      </w:r>
      <w:hyperlink r:id="rId9" w:history="1">
        <w:r w:rsidR="00BB19A6" w:rsidRPr="00D0072A">
          <w:rPr>
            <w:rStyle w:val="Hyperlink"/>
            <w:rFonts w:asciiTheme="minorHAnsi" w:hAnsiTheme="minorHAnsi" w:cstheme="minorHAnsi"/>
          </w:rPr>
          <w:t>http://avalo</w:t>
        </w:r>
        <w:r w:rsidR="00BB19A6" w:rsidRPr="00D0072A">
          <w:rPr>
            <w:rStyle w:val="Hyperlink"/>
            <w:rFonts w:asciiTheme="minorHAnsi" w:hAnsiTheme="minorHAnsi" w:cstheme="minorHAnsi"/>
          </w:rPr>
          <w:t>n</w:t>
        </w:r>
        <w:r w:rsidR="00BB19A6" w:rsidRPr="00D0072A">
          <w:rPr>
            <w:rStyle w:val="Hyperlink"/>
            <w:rFonts w:asciiTheme="minorHAnsi" w:hAnsiTheme="minorHAnsi" w:cstheme="minorHAnsi"/>
          </w:rPr>
          <w:t>.law.yale.edu/medieval/golden.asp</w:t>
        </w:r>
      </w:hyperlink>
      <w:r w:rsidR="00BC70DF" w:rsidRPr="00D0072A">
        <w:rPr>
          <w:rStyle w:val="Hyperlink"/>
          <w:rFonts w:asciiTheme="minorHAnsi" w:hAnsiTheme="minorHAnsi" w:cstheme="minorHAnsi"/>
          <w:color w:val="auto"/>
          <w:u w:val="none"/>
        </w:rPr>
        <w:t>.</w:t>
      </w:r>
      <w:r w:rsidR="00BB19A6" w:rsidRPr="00D0072A">
        <w:rPr>
          <w:rFonts w:asciiTheme="minorHAnsi" w:hAnsiTheme="minorHAnsi" w:cstheme="minorHAnsi"/>
        </w:rPr>
        <w:t xml:space="preserve"> </w:t>
      </w:r>
      <w:r w:rsidRPr="00D0072A">
        <w:rPr>
          <w:rFonts w:asciiTheme="minorHAnsi" w:hAnsiTheme="minorHAnsi" w:cstheme="minorHAnsi"/>
        </w:rPr>
        <w:t>(accessed: 24/11/17).</w:t>
      </w:r>
    </w:p>
    <w:p w14:paraId="6663A0D7" w14:textId="77777777" w:rsidR="00BB19A6" w:rsidRPr="00D0072A" w:rsidRDefault="00BB19A6" w:rsidP="00625839">
      <w:pPr>
        <w:pStyle w:val="NormalWeb"/>
        <w:spacing w:line="480" w:lineRule="auto"/>
        <w:rPr>
          <w:rFonts w:asciiTheme="minorHAnsi" w:hAnsiTheme="minorHAnsi" w:cstheme="minorHAnsi"/>
        </w:rPr>
      </w:pPr>
      <w:r w:rsidRPr="00D0072A">
        <w:rPr>
          <w:rFonts w:asciiTheme="minorHAnsi" w:hAnsiTheme="minorHAnsi" w:cstheme="minorHAnsi"/>
          <w:i/>
        </w:rPr>
        <w:t xml:space="preserve">Medieval Legal Records, </w:t>
      </w:r>
      <w:r w:rsidRPr="00D0072A">
        <w:rPr>
          <w:rFonts w:asciiTheme="minorHAnsi" w:hAnsiTheme="minorHAnsi" w:cstheme="minorHAnsi"/>
        </w:rPr>
        <w:t>edited by R. F. Hunnisett, J. B. Post (London: Her Majesty’s Stationary Office, 1978).</w:t>
      </w:r>
    </w:p>
    <w:p w14:paraId="1EC23641" w14:textId="43E649FA" w:rsidR="00BE205D" w:rsidRPr="00D0072A" w:rsidRDefault="00BE205D" w:rsidP="00625839">
      <w:pPr>
        <w:pStyle w:val="NormalWeb"/>
        <w:spacing w:before="0" w:line="480" w:lineRule="auto"/>
        <w:rPr>
          <w:rFonts w:asciiTheme="minorHAnsi" w:hAnsiTheme="minorHAnsi"/>
        </w:rPr>
      </w:pPr>
      <w:r w:rsidRPr="00D0072A">
        <w:rPr>
          <w:rFonts w:asciiTheme="minorHAnsi" w:hAnsiTheme="minorHAnsi" w:cstheme="minorHAnsi"/>
          <w:i/>
        </w:rPr>
        <w:t>Tacitus: Agricola</w:t>
      </w:r>
      <w:r w:rsidRPr="00D0072A">
        <w:rPr>
          <w:rFonts w:asciiTheme="minorHAnsi" w:hAnsiTheme="minorHAnsi"/>
        </w:rPr>
        <w:t xml:space="preserve"> </w:t>
      </w:r>
      <w:r w:rsidRPr="00D0072A">
        <w:rPr>
          <w:rFonts w:asciiTheme="minorHAnsi" w:hAnsiTheme="minorHAnsi"/>
          <w:i/>
        </w:rPr>
        <w:t>and Germania</w:t>
      </w:r>
      <w:r w:rsidRPr="00D0072A">
        <w:rPr>
          <w:rFonts w:asciiTheme="minorHAnsi" w:hAnsiTheme="minorHAnsi"/>
        </w:rPr>
        <w:t>, trans. Harold Mattingly (London: Penguin Classics, 2009).</w:t>
      </w:r>
    </w:p>
    <w:p w14:paraId="49B1371D" w14:textId="3D5FC981" w:rsidR="00BB19A6" w:rsidRPr="00D0072A" w:rsidRDefault="00BB19A6" w:rsidP="00625839">
      <w:pPr>
        <w:pStyle w:val="NormalWeb"/>
        <w:spacing w:before="0" w:line="480" w:lineRule="auto"/>
        <w:rPr>
          <w:rFonts w:asciiTheme="minorHAnsi" w:hAnsiTheme="minorHAnsi" w:cstheme="minorHAnsi"/>
        </w:rPr>
      </w:pPr>
      <w:r w:rsidRPr="00D0072A">
        <w:rPr>
          <w:rFonts w:asciiTheme="minorHAnsi" w:hAnsiTheme="minorHAnsi" w:cstheme="minorHAnsi"/>
          <w:i/>
        </w:rPr>
        <w:t>The Anglo-Saxon Chronicles</w:t>
      </w:r>
      <w:r w:rsidRPr="00D0072A">
        <w:rPr>
          <w:rFonts w:asciiTheme="minorHAnsi" w:hAnsiTheme="minorHAnsi" w:cstheme="minorHAnsi"/>
        </w:rPr>
        <w:t>, trans. &amp; ed. by Michael Swanton (London: Phoenix Press, 2000).</w:t>
      </w:r>
    </w:p>
    <w:p w14:paraId="0B210DA8" w14:textId="591CB530" w:rsidR="00A554F2" w:rsidRPr="00D0072A" w:rsidRDefault="00BE205D" w:rsidP="00625839">
      <w:pPr>
        <w:pStyle w:val="NormalWeb"/>
        <w:spacing w:line="480" w:lineRule="auto"/>
        <w:rPr>
          <w:rFonts w:asciiTheme="minorHAnsi" w:hAnsiTheme="minorHAnsi" w:cstheme="minorHAnsi"/>
          <w:b/>
        </w:rPr>
      </w:pPr>
      <w:r w:rsidRPr="00D0072A">
        <w:rPr>
          <w:rFonts w:asciiTheme="minorHAnsi" w:hAnsiTheme="minorHAnsi" w:cstheme="minorHAnsi"/>
          <w:b/>
        </w:rPr>
        <w:t>Secondary</w:t>
      </w:r>
    </w:p>
    <w:p w14:paraId="353A7572" w14:textId="261BB751" w:rsidR="00D05251" w:rsidRPr="00D0072A" w:rsidRDefault="00BC70DF" w:rsidP="00625839">
      <w:pPr>
        <w:pStyle w:val="NormalWeb"/>
        <w:spacing w:line="480" w:lineRule="auto"/>
        <w:rPr>
          <w:rFonts w:asciiTheme="minorHAnsi" w:hAnsiTheme="minorHAnsi" w:cstheme="minorHAnsi"/>
        </w:rPr>
      </w:pPr>
      <w:r w:rsidRPr="00D0072A">
        <w:rPr>
          <w:rFonts w:asciiTheme="minorHAnsi" w:hAnsiTheme="minorHAnsi"/>
        </w:rPr>
        <w:t xml:space="preserve">EU Distance, Distance from Aachen, Germany to Nuremberg, Germany [online]. Available at: </w:t>
      </w:r>
      <w:hyperlink r:id="rId10" w:history="1">
        <w:r w:rsidR="00D05251" w:rsidRPr="00D0072A">
          <w:rPr>
            <w:rStyle w:val="Hyperlink"/>
            <w:rFonts w:asciiTheme="minorHAnsi" w:hAnsiTheme="minorHAnsi" w:cstheme="minorHAnsi"/>
          </w:rPr>
          <w:t>http://www.eudistance.com/distance/2312233-236</w:t>
        </w:r>
        <w:r w:rsidR="00D05251" w:rsidRPr="00D0072A">
          <w:rPr>
            <w:rStyle w:val="Hyperlink"/>
            <w:rFonts w:asciiTheme="minorHAnsi" w:hAnsiTheme="minorHAnsi" w:cstheme="minorHAnsi"/>
          </w:rPr>
          <w:t>8</w:t>
        </w:r>
        <w:r w:rsidR="00D05251" w:rsidRPr="00D0072A">
          <w:rPr>
            <w:rStyle w:val="Hyperlink"/>
            <w:rFonts w:asciiTheme="minorHAnsi" w:hAnsiTheme="minorHAnsi" w:cstheme="minorHAnsi"/>
          </w:rPr>
          <w:t>752</w:t>
        </w:r>
      </w:hyperlink>
      <w:r w:rsidRPr="00D0072A">
        <w:rPr>
          <w:rStyle w:val="Hyperlink"/>
          <w:rFonts w:asciiTheme="minorHAnsi" w:hAnsiTheme="minorHAnsi" w:cstheme="minorHAnsi"/>
          <w:color w:val="auto"/>
          <w:u w:val="none"/>
        </w:rPr>
        <w:t>.</w:t>
      </w:r>
      <w:r w:rsidR="00D05251" w:rsidRPr="00D0072A">
        <w:rPr>
          <w:rFonts w:asciiTheme="minorHAnsi" w:hAnsiTheme="minorHAnsi" w:cstheme="minorHAnsi"/>
        </w:rPr>
        <w:t xml:space="preserve"> </w:t>
      </w:r>
      <w:r w:rsidRPr="00D0072A">
        <w:rPr>
          <w:rFonts w:asciiTheme="minorHAnsi" w:hAnsiTheme="minorHAnsi" w:cstheme="minorHAnsi"/>
        </w:rPr>
        <w:t>(accessed: 24/11/17).</w:t>
      </w:r>
    </w:p>
    <w:p w14:paraId="69DF1102" w14:textId="4DCFEB38" w:rsidR="00FA04C5" w:rsidRPr="00D0072A" w:rsidRDefault="00BC70DF" w:rsidP="00625839">
      <w:pPr>
        <w:pStyle w:val="NormalWeb"/>
        <w:spacing w:line="480" w:lineRule="auto"/>
        <w:rPr>
          <w:rFonts w:asciiTheme="minorHAnsi" w:hAnsiTheme="minorHAnsi" w:cstheme="minorHAnsi"/>
        </w:rPr>
      </w:pPr>
      <w:bookmarkStart w:id="2" w:name="_Hlk499327760"/>
      <w:r w:rsidRPr="00D0072A">
        <w:rPr>
          <w:rFonts w:asciiTheme="minorHAnsi" w:hAnsiTheme="minorHAnsi"/>
        </w:rPr>
        <w:t xml:space="preserve">British Heart Foundation, Treks and Walks FAQs [online]. </w:t>
      </w:r>
      <w:hyperlink r:id="rId11" w:history="1">
        <w:r w:rsidR="00FA04C5" w:rsidRPr="00D0072A">
          <w:rPr>
            <w:rStyle w:val="Hyperlink"/>
            <w:rFonts w:asciiTheme="minorHAnsi" w:hAnsiTheme="minorHAnsi" w:cstheme="minorHAnsi"/>
          </w:rPr>
          <w:t>https://www.bhf.org.uk/g</w:t>
        </w:r>
        <w:r w:rsidR="00FA04C5" w:rsidRPr="00D0072A">
          <w:rPr>
            <w:rStyle w:val="Hyperlink"/>
            <w:rFonts w:asciiTheme="minorHAnsi" w:hAnsiTheme="minorHAnsi" w:cstheme="minorHAnsi"/>
          </w:rPr>
          <w:t>e</w:t>
        </w:r>
        <w:r w:rsidR="00FA04C5" w:rsidRPr="00D0072A">
          <w:rPr>
            <w:rStyle w:val="Hyperlink"/>
            <w:rFonts w:asciiTheme="minorHAnsi" w:hAnsiTheme="minorHAnsi" w:cstheme="minorHAnsi"/>
          </w:rPr>
          <w:t>t-involved/events/training-zone/walking-training-zone/walking-faqs</w:t>
        </w:r>
      </w:hyperlink>
      <w:r w:rsidRPr="00D0072A">
        <w:rPr>
          <w:rFonts w:asciiTheme="minorHAnsi" w:hAnsiTheme="minorHAnsi" w:cstheme="minorHAnsi"/>
        </w:rPr>
        <w:t xml:space="preserve">. </w:t>
      </w:r>
      <w:bookmarkEnd w:id="2"/>
      <w:r w:rsidRPr="00D0072A">
        <w:rPr>
          <w:rFonts w:asciiTheme="minorHAnsi" w:hAnsiTheme="minorHAnsi" w:cstheme="minorHAnsi"/>
        </w:rPr>
        <w:t>(accessed: 24/11/17).</w:t>
      </w:r>
    </w:p>
    <w:p w14:paraId="1AA5DB62"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lastRenderedPageBreak/>
        <w:t xml:space="preserve">Anderson, B., </w:t>
      </w:r>
      <w:r w:rsidRPr="00D0072A">
        <w:rPr>
          <w:rFonts w:asciiTheme="minorHAnsi" w:hAnsiTheme="minorHAnsi" w:cstheme="minorHAnsi"/>
          <w:i/>
        </w:rPr>
        <w:t>Imagined Communties: Reflections on the Origin and Spread of Nationalism</w:t>
      </w:r>
      <w:r w:rsidRPr="00D0072A">
        <w:rPr>
          <w:rFonts w:asciiTheme="minorHAnsi" w:hAnsiTheme="minorHAnsi" w:cstheme="minorHAnsi"/>
        </w:rPr>
        <w:t>, 3</w:t>
      </w:r>
      <w:r w:rsidRPr="00D0072A">
        <w:rPr>
          <w:rFonts w:asciiTheme="minorHAnsi" w:hAnsiTheme="minorHAnsi" w:cstheme="minorHAnsi"/>
          <w:vertAlign w:val="superscript"/>
        </w:rPr>
        <w:t>rd</w:t>
      </w:r>
      <w:r w:rsidRPr="00D0072A">
        <w:rPr>
          <w:rFonts w:asciiTheme="minorHAnsi" w:hAnsiTheme="minorHAnsi" w:cstheme="minorHAnsi"/>
        </w:rPr>
        <w:t xml:space="preserve"> edition. (London: Verso, 2006).</w:t>
      </w:r>
    </w:p>
    <w:p w14:paraId="67DDEC15"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Barraclough, G., </w:t>
      </w:r>
      <w:r w:rsidRPr="00D0072A">
        <w:rPr>
          <w:rFonts w:asciiTheme="minorHAnsi" w:hAnsiTheme="minorHAnsi" w:cstheme="minorHAnsi"/>
          <w:i/>
        </w:rPr>
        <w:t>The Medieval Papacy</w:t>
      </w:r>
      <w:r w:rsidRPr="00D0072A">
        <w:rPr>
          <w:rFonts w:asciiTheme="minorHAnsi" w:hAnsiTheme="minorHAnsi" w:cstheme="minorHAnsi"/>
        </w:rPr>
        <w:t xml:space="preserve"> (London: Thames and Hudson, 1992).</w:t>
      </w:r>
    </w:p>
    <w:p w14:paraId="47B6C549"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Bauer, S. W., </w:t>
      </w:r>
      <w:r w:rsidRPr="00D0072A">
        <w:rPr>
          <w:rFonts w:asciiTheme="minorHAnsi" w:hAnsiTheme="minorHAnsi" w:cstheme="minorHAnsi"/>
          <w:i/>
        </w:rPr>
        <w:t>The History of the Medieval World: from the Conversion of Constantine to the First Crusade</w:t>
      </w:r>
      <w:r w:rsidRPr="00D0072A">
        <w:rPr>
          <w:rFonts w:asciiTheme="minorHAnsi" w:hAnsiTheme="minorHAnsi" w:cstheme="minorHAnsi"/>
        </w:rPr>
        <w:t xml:space="preserve"> (New York: W. W. Norton &amp; Company, Inc., 2010).</w:t>
      </w:r>
    </w:p>
    <w:p w14:paraId="49BB4B53"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Bauer, S. W., </w:t>
      </w:r>
      <w:r w:rsidRPr="00D0072A">
        <w:rPr>
          <w:rFonts w:asciiTheme="minorHAnsi" w:hAnsiTheme="minorHAnsi" w:cstheme="minorHAnsi"/>
          <w:i/>
        </w:rPr>
        <w:t xml:space="preserve">The History of the Renaissance World: from the Rediscovery of Aristotle to the Conquest of Constantinople </w:t>
      </w:r>
      <w:r w:rsidRPr="00D0072A">
        <w:rPr>
          <w:rFonts w:asciiTheme="minorHAnsi" w:hAnsiTheme="minorHAnsi" w:cstheme="minorHAnsi"/>
        </w:rPr>
        <w:t>(New York: W. W. Norton &amp; Company, Inc., 2013).</w:t>
      </w:r>
    </w:p>
    <w:p w14:paraId="314585C5" w14:textId="77777777" w:rsidR="001F2875" w:rsidRPr="00D0072A" w:rsidRDefault="001F2875" w:rsidP="00625839">
      <w:pPr>
        <w:pStyle w:val="NormalWeb"/>
        <w:spacing w:before="0" w:line="480" w:lineRule="auto"/>
        <w:rPr>
          <w:rFonts w:asciiTheme="minorHAnsi" w:hAnsiTheme="minorHAnsi" w:cstheme="minorHAnsi"/>
        </w:rPr>
      </w:pPr>
      <w:r w:rsidRPr="00D0072A">
        <w:rPr>
          <w:rFonts w:asciiTheme="minorHAnsi" w:hAnsiTheme="minorHAnsi" w:cstheme="minorHAnsi"/>
        </w:rPr>
        <w:t xml:space="preserve">Cohn, N., </w:t>
      </w:r>
      <w:r w:rsidRPr="00D0072A">
        <w:rPr>
          <w:rFonts w:asciiTheme="minorHAnsi" w:hAnsiTheme="minorHAnsi" w:cstheme="minorHAnsi"/>
          <w:i/>
        </w:rPr>
        <w:t>The Pursuit of the Millennium</w:t>
      </w:r>
      <w:r w:rsidRPr="00D0072A">
        <w:rPr>
          <w:rFonts w:asciiTheme="minorHAnsi" w:hAnsiTheme="minorHAnsi" w:cstheme="minorHAnsi"/>
        </w:rPr>
        <w:t xml:space="preserve"> (London: Granada Publishing, 1978).</w:t>
      </w:r>
    </w:p>
    <w:p w14:paraId="5329AF81"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Gravett, C., Nicolle, D., </w:t>
      </w:r>
      <w:r w:rsidRPr="00D0072A">
        <w:rPr>
          <w:rFonts w:asciiTheme="minorHAnsi" w:hAnsiTheme="minorHAnsi" w:cstheme="minorHAnsi"/>
          <w:i/>
        </w:rPr>
        <w:t>The Normans:</w:t>
      </w:r>
      <w:r w:rsidRPr="00D0072A">
        <w:rPr>
          <w:rFonts w:asciiTheme="minorHAnsi" w:hAnsiTheme="minorHAnsi" w:cstheme="minorHAnsi"/>
        </w:rPr>
        <w:t xml:space="preserve"> </w:t>
      </w:r>
      <w:r w:rsidRPr="00D0072A">
        <w:rPr>
          <w:rFonts w:asciiTheme="minorHAnsi" w:hAnsiTheme="minorHAnsi" w:cstheme="minorHAnsi"/>
          <w:i/>
        </w:rPr>
        <w:t xml:space="preserve">Warrior Knights and their Castles </w:t>
      </w:r>
      <w:r w:rsidRPr="00D0072A">
        <w:rPr>
          <w:rFonts w:asciiTheme="minorHAnsi" w:hAnsiTheme="minorHAnsi" w:cstheme="minorHAnsi"/>
        </w:rPr>
        <w:t xml:space="preserve">(Oxford: Osprey Publishing, 2006). </w:t>
      </w:r>
    </w:p>
    <w:p w14:paraId="013ED902"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Jordan, W. C., </w:t>
      </w:r>
      <w:r w:rsidRPr="00D0072A">
        <w:rPr>
          <w:rFonts w:asciiTheme="minorHAnsi" w:hAnsiTheme="minorHAnsi" w:cstheme="minorHAnsi"/>
          <w:i/>
        </w:rPr>
        <w:t>Europe in the High Middle Ages</w:t>
      </w:r>
      <w:r w:rsidRPr="00D0072A">
        <w:rPr>
          <w:rFonts w:asciiTheme="minorHAnsi" w:hAnsiTheme="minorHAnsi" w:cstheme="minorHAnsi"/>
        </w:rPr>
        <w:t xml:space="preserve"> (London: The Penguin Group, 2002).</w:t>
      </w:r>
    </w:p>
    <w:p w14:paraId="6317DFD7"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Keen, M., </w:t>
      </w:r>
      <w:r w:rsidRPr="00D0072A">
        <w:rPr>
          <w:rFonts w:asciiTheme="minorHAnsi" w:hAnsiTheme="minorHAnsi" w:cstheme="minorHAnsi"/>
          <w:i/>
        </w:rPr>
        <w:t>Chivalry</w:t>
      </w:r>
      <w:r w:rsidRPr="00D0072A">
        <w:rPr>
          <w:rFonts w:asciiTheme="minorHAnsi" w:hAnsiTheme="minorHAnsi" w:cstheme="minorHAnsi"/>
        </w:rPr>
        <w:t xml:space="preserve"> (New Haven: Yale University Press, 2005).</w:t>
      </w:r>
    </w:p>
    <w:p w14:paraId="25F32B34"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i/>
        </w:rPr>
        <w:t>Medieval Warfare: A History</w:t>
      </w:r>
      <w:r w:rsidRPr="00D0072A">
        <w:rPr>
          <w:rFonts w:asciiTheme="minorHAnsi" w:hAnsiTheme="minorHAnsi" w:cstheme="minorHAnsi"/>
        </w:rPr>
        <w:t>, edited by Maurice Keen (Oxford: Oxford University Press, 1999).</w:t>
      </w:r>
    </w:p>
    <w:p w14:paraId="7CCD1EA3"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Murray, A., </w:t>
      </w:r>
      <w:r w:rsidRPr="00D0072A">
        <w:rPr>
          <w:rFonts w:asciiTheme="minorHAnsi" w:hAnsiTheme="minorHAnsi" w:cstheme="minorHAnsi"/>
          <w:i/>
        </w:rPr>
        <w:t>Reason and Society in the Middle Ages</w:t>
      </w:r>
      <w:r w:rsidRPr="00D0072A">
        <w:rPr>
          <w:rFonts w:asciiTheme="minorHAnsi" w:hAnsiTheme="minorHAnsi" w:cstheme="minorHAnsi"/>
        </w:rPr>
        <w:t xml:space="preserve"> (Oxford: Oxford University Press, 1978).</w:t>
      </w:r>
    </w:p>
    <w:p w14:paraId="641D4E9F"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Noel, G., </w:t>
      </w:r>
      <w:r w:rsidRPr="00D0072A">
        <w:rPr>
          <w:rFonts w:asciiTheme="minorHAnsi" w:hAnsiTheme="minorHAnsi" w:cstheme="minorHAnsi"/>
          <w:i/>
        </w:rPr>
        <w:t>The Journey of the Popes: A Papal Curiosity Shop</w:t>
      </w:r>
      <w:r w:rsidRPr="00D0072A">
        <w:rPr>
          <w:rFonts w:asciiTheme="minorHAnsi" w:hAnsiTheme="minorHAnsi" w:cstheme="minorHAnsi"/>
        </w:rPr>
        <w:t xml:space="preserve"> (London: Catholic Herald, 2011).</w:t>
      </w:r>
    </w:p>
    <w:p w14:paraId="535E09E5"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North, M., </w:t>
      </w:r>
      <w:r w:rsidRPr="00D0072A">
        <w:rPr>
          <w:rFonts w:asciiTheme="minorHAnsi" w:hAnsiTheme="minorHAnsi" w:cstheme="minorHAnsi"/>
          <w:i/>
        </w:rPr>
        <w:t>The Expansion of Europe, 1250-1500</w:t>
      </w:r>
      <w:r w:rsidRPr="00D0072A">
        <w:rPr>
          <w:rFonts w:asciiTheme="minorHAnsi" w:hAnsiTheme="minorHAnsi" w:cstheme="minorHAnsi"/>
        </w:rPr>
        <w:t>, translated by Pamela Selwyn (Manchester: Manchester University Press, 2012).</w:t>
      </w:r>
    </w:p>
    <w:p w14:paraId="59AE71C1"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lastRenderedPageBreak/>
        <w:t xml:space="preserve">Pluskowski, A., </w:t>
      </w:r>
      <w:r w:rsidRPr="00D0072A">
        <w:rPr>
          <w:rFonts w:asciiTheme="minorHAnsi" w:hAnsiTheme="minorHAnsi" w:cstheme="minorHAnsi"/>
          <w:i/>
        </w:rPr>
        <w:t xml:space="preserve">The Archaeology of the Prussian Crusade: Holy War and Colonisation </w:t>
      </w:r>
      <w:r w:rsidRPr="00D0072A">
        <w:rPr>
          <w:rFonts w:asciiTheme="minorHAnsi" w:hAnsiTheme="minorHAnsi" w:cstheme="minorHAnsi"/>
        </w:rPr>
        <w:t>(Oxford: Routledge, 2013).</w:t>
      </w:r>
    </w:p>
    <w:p w14:paraId="144ED19B"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Russel, J. C., </w:t>
      </w:r>
      <w:r w:rsidRPr="00D0072A">
        <w:rPr>
          <w:rFonts w:asciiTheme="minorHAnsi" w:hAnsiTheme="minorHAnsi" w:cstheme="minorHAnsi"/>
          <w:i/>
        </w:rPr>
        <w:t>Medieval Regions and their Cities</w:t>
      </w:r>
      <w:r w:rsidRPr="00D0072A">
        <w:rPr>
          <w:rFonts w:asciiTheme="minorHAnsi" w:hAnsiTheme="minorHAnsi" w:cstheme="minorHAnsi"/>
        </w:rPr>
        <w:t xml:space="preserve"> (Newton Abbot: South &amp; Charles (Publishers) Limited, 1972).</w:t>
      </w:r>
    </w:p>
    <w:p w14:paraId="2ECBEEA4"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Seward, D., </w:t>
      </w:r>
      <w:r w:rsidRPr="00D0072A">
        <w:rPr>
          <w:rFonts w:asciiTheme="minorHAnsi" w:hAnsiTheme="minorHAnsi" w:cstheme="minorHAnsi"/>
          <w:i/>
        </w:rPr>
        <w:t>The Monks of War: The Military Orders</w:t>
      </w:r>
      <w:r w:rsidRPr="00D0072A">
        <w:rPr>
          <w:rFonts w:asciiTheme="minorHAnsi" w:hAnsiTheme="minorHAnsi" w:cstheme="minorHAnsi"/>
        </w:rPr>
        <w:t xml:space="preserve"> (London: The Folio Society, 2000).</w:t>
      </w:r>
    </w:p>
    <w:p w14:paraId="608EE06B" w14:textId="03667C7D"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i/>
        </w:rPr>
        <w:t>The Oxford History of Medieval Europe</w:t>
      </w:r>
      <w:r w:rsidRPr="00D0072A">
        <w:rPr>
          <w:rFonts w:asciiTheme="minorHAnsi" w:hAnsiTheme="minorHAnsi" w:cstheme="minorHAnsi"/>
        </w:rPr>
        <w:t>, edited by G. Holmes (Oxford: Oxford University Press, 2001).</w:t>
      </w:r>
    </w:p>
    <w:p w14:paraId="0DC26CF4" w14:textId="75E5DC28" w:rsidR="00D0072A" w:rsidRPr="00D0072A" w:rsidRDefault="00D0072A" w:rsidP="00625839">
      <w:pPr>
        <w:pStyle w:val="NormalWeb"/>
        <w:spacing w:line="480" w:lineRule="auto"/>
        <w:rPr>
          <w:rFonts w:asciiTheme="minorHAnsi" w:hAnsiTheme="minorHAnsi" w:cstheme="minorHAnsi"/>
        </w:rPr>
      </w:pPr>
      <w:r w:rsidRPr="00D0072A">
        <w:rPr>
          <w:rFonts w:asciiTheme="minorHAnsi" w:hAnsiTheme="minorHAnsi"/>
        </w:rPr>
        <w:t>Whitton,</w:t>
      </w:r>
      <w:r w:rsidRPr="00D0072A">
        <w:rPr>
          <w:rFonts w:asciiTheme="minorHAnsi" w:hAnsiTheme="minorHAnsi"/>
        </w:rPr>
        <w:t xml:space="preserve"> D.,</w:t>
      </w:r>
      <w:r w:rsidRPr="00D0072A">
        <w:rPr>
          <w:rFonts w:asciiTheme="minorHAnsi" w:hAnsiTheme="minorHAnsi"/>
        </w:rPr>
        <w:t xml:space="preserve"> ‘The society of Northern Europe in the High Middle Ages, 900-1200’, </w:t>
      </w:r>
      <w:r w:rsidRPr="00D0072A">
        <w:rPr>
          <w:rFonts w:asciiTheme="minorHAnsi" w:hAnsiTheme="minorHAnsi" w:cstheme="minorHAnsi"/>
          <w:i/>
        </w:rPr>
        <w:t>The Oxford History of Medieval Europe</w:t>
      </w:r>
      <w:r w:rsidRPr="00D0072A">
        <w:rPr>
          <w:rFonts w:asciiTheme="minorHAnsi" w:hAnsiTheme="minorHAnsi" w:cstheme="minorHAnsi"/>
        </w:rPr>
        <w:t>, edited by G. Holmes (Oxford: Oxford University Press, 2001</w:t>
      </w:r>
      <w:r w:rsidRPr="00D0072A">
        <w:rPr>
          <w:rFonts w:asciiTheme="minorHAnsi" w:hAnsiTheme="minorHAnsi" w:cstheme="minorHAnsi"/>
        </w:rPr>
        <w:t>)</w:t>
      </w:r>
    </w:p>
    <w:p w14:paraId="644456B7"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i/>
        </w:rPr>
        <w:t>The Oxford Illustrated History of Medieval Europe</w:t>
      </w:r>
      <w:r w:rsidRPr="00D0072A">
        <w:rPr>
          <w:rFonts w:asciiTheme="minorHAnsi" w:hAnsiTheme="minorHAnsi" w:cstheme="minorHAnsi"/>
        </w:rPr>
        <w:t>, edited by G. Holmes (Oxford: Oxford University Press, 1988).</w:t>
      </w:r>
    </w:p>
    <w:p w14:paraId="2CBF8F43"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Tuchman, B., </w:t>
      </w:r>
      <w:r w:rsidRPr="00D0072A">
        <w:rPr>
          <w:rFonts w:asciiTheme="minorHAnsi" w:hAnsiTheme="minorHAnsi" w:cstheme="minorHAnsi"/>
          <w:i/>
        </w:rPr>
        <w:t>A Distant Mirror: The Calamitous 14</w:t>
      </w:r>
      <w:r w:rsidRPr="00D0072A">
        <w:rPr>
          <w:rFonts w:asciiTheme="minorHAnsi" w:hAnsiTheme="minorHAnsi" w:cstheme="minorHAnsi"/>
          <w:i/>
          <w:vertAlign w:val="superscript"/>
        </w:rPr>
        <w:t>th</w:t>
      </w:r>
      <w:r w:rsidRPr="00D0072A">
        <w:rPr>
          <w:rFonts w:asciiTheme="minorHAnsi" w:hAnsiTheme="minorHAnsi" w:cstheme="minorHAnsi"/>
          <w:i/>
        </w:rPr>
        <w:t xml:space="preserve"> Century</w:t>
      </w:r>
      <w:r w:rsidRPr="00D0072A">
        <w:rPr>
          <w:rFonts w:asciiTheme="minorHAnsi" w:hAnsiTheme="minorHAnsi" w:cstheme="minorHAnsi"/>
        </w:rPr>
        <w:t xml:space="preserve"> (London: PAPERMAC, 1989).</w:t>
      </w:r>
    </w:p>
    <w:p w14:paraId="4BE7BC94"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Wilson, P. H., </w:t>
      </w:r>
      <w:r w:rsidRPr="00D0072A">
        <w:rPr>
          <w:rFonts w:asciiTheme="minorHAnsi" w:hAnsiTheme="minorHAnsi" w:cstheme="minorHAnsi"/>
          <w:i/>
        </w:rPr>
        <w:t>The Holy Roman Empire: A Thousand Years of Europe’s History</w:t>
      </w:r>
      <w:r w:rsidRPr="00D0072A">
        <w:rPr>
          <w:rFonts w:asciiTheme="minorHAnsi" w:hAnsiTheme="minorHAnsi" w:cstheme="minorHAnsi"/>
        </w:rPr>
        <w:t xml:space="preserve"> (London: Allen Lane, 2016).</w:t>
      </w:r>
    </w:p>
    <w:p w14:paraId="143A5F4C" w14:textId="77777777" w:rsidR="001F2875" w:rsidRPr="00D0072A" w:rsidRDefault="001F2875" w:rsidP="00625839">
      <w:pPr>
        <w:pStyle w:val="NormalWeb"/>
        <w:spacing w:line="480" w:lineRule="auto"/>
        <w:rPr>
          <w:rFonts w:asciiTheme="minorHAnsi" w:hAnsiTheme="minorHAnsi" w:cstheme="minorHAnsi"/>
        </w:rPr>
      </w:pPr>
      <w:r w:rsidRPr="00D0072A">
        <w:rPr>
          <w:rFonts w:asciiTheme="minorHAnsi" w:hAnsiTheme="minorHAnsi" w:cstheme="minorHAnsi"/>
        </w:rPr>
        <w:t xml:space="preserve">Ziegler, P., </w:t>
      </w:r>
      <w:r w:rsidRPr="00D0072A">
        <w:rPr>
          <w:rFonts w:asciiTheme="minorHAnsi" w:hAnsiTheme="minorHAnsi" w:cstheme="minorHAnsi"/>
          <w:i/>
        </w:rPr>
        <w:t>The Black Death</w:t>
      </w:r>
      <w:r w:rsidRPr="00D0072A">
        <w:rPr>
          <w:rFonts w:asciiTheme="minorHAnsi" w:hAnsiTheme="minorHAnsi" w:cstheme="minorHAnsi"/>
        </w:rPr>
        <w:t xml:space="preserve"> (Stroud: Sutton Publishing Limited, 2003).</w:t>
      </w:r>
    </w:p>
    <w:sectPr w:rsidR="001F2875" w:rsidRPr="00D0072A">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A0B035" w14:textId="77777777" w:rsidR="00BE08AC" w:rsidRDefault="00BE08AC" w:rsidP="00A554F2">
      <w:pPr>
        <w:spacing w:after="0" w:line="240" w:lineRule="auto"/>
      </w:pPr>
      <w:r>
        <w:separator/>
      </w:r>
    </w:p>
  </w:endnote>
  <w:endnote w:type="continuationSeparator" w:id="0">
    <w:p w14:paraId="4EC99CB2" w14:textId="77777777" w:rsidR="00BE08AC" w:rsidRDefault="00BE08AC" w:rsidP="00A55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9828125"/>
      <w:docPartObj>
        <w:docPartGallery w:val="Page Numbers (Bottom of Page)"/>
        <w:docPartUnique/>
      </w:docPartObj>
    </w:sdtPr>
    <w:sdtEndPr>
      <w:rPr>
        <w:noProof/>
      </w:rPr>
    </w:sdtEndPr>
    <w:sdtContent>
      <w:p w14:paraId="7203141E" w14:textId="326A3230" w:rsidR="00EA0F57" w:rsidRDefault="00EA0F57">
        <w:pPr>
          <w:pStyle w:val="Footer"/>
          <w:jc w:val="right"/>
        </w:pPr>
        <w:r>
          <w:fldChar w:fldCharType="begin"/>
        </w:r>
        <w:r>
          <w:instrText xml:space="preserve"> PAGE   \* MERGEFORMAT </w:instrText>
        </w:r>
        <w:r>
          <w:fldChar w:fldCharType="separate"/>
        </w:r>
        <w:r w:rsidR="007C2659">
          <w:rPr>
            <w:noProof/>
          </w:rPr>
          <w:t>6</w:t>
        </w:r>
        <w:r>
          <w:rPr>
            <w:noProof/>
          </w:rPr>
          <w:fldChar w:fldCharType="end"/>
        </w:r>
      </w:p>
    </w:sdtContent>
  </w:sdt>
  <w:p w14:paraId="78F57E95" w14:textId="6532312E" w:rsidR="00A738E7" w:rsidRDefault="00A738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D239ED" w14:textId="77777777" w:rsidR="00BE08AC" w:rsidRDefault="00BE08AC" w:rsidP="00A554F2">
      <w:pPr>
        <w:spacing w:after="0" w:line="240" w:lineRule="auto"/>
      </w:pPr>
      <w:r>
        <w:separator/>
      </w:r>
    </w:p>
  </w:footnote>
  <w:footnote w:type="continuationSeparator" w:id="0">
    <w:p w14:paraId="10CDDAAE" w14:textId="77777777" w:rsidR="00BE08AC" w:rsidRDefault="00BE08AC" w:rsidP="00A554F2">
      <w:pPr>
        <w:spacing w:after="0" w:line="240" w:lineRule="auto"/>
      </w:pPr>
      <w:r>
        <w:continuationSeparator/>
      </w:r>
    </w:p>
  </w:footnote>
  <w:footnote w:id="1">
    <w:p w14:paraId="2937B20B" w14:textId="67FA9477" w:rsidR="00844633" w:rsidRPr="002C7AC6" w:rsidRDefault="00844633" w:rsidP="00844633">
      <w:pPr>
        <w:pStyle w:val="FootnoteText"/>
        <w:rPr>
          <w:highlight w:val="green"/>
        </w:rPr>
      </w:pPr>
      <w:r w:rsidRPr="002C7AC6">
        <w:rPr>
          <w:rStyle w:val="FootnoteReference"/>
        </w:rPr>
        <w:footnoteRef/>
      </w:r>
      <w:r w:rsidRPr="002C7AC6">
        <w:t xml:space="preserve"> </w:t>
      </w:r>
      <w:r w:rsidR="001F2875" w:rsidRPr="002C7AC6">
        <w:t xml:space="preserve">P. H. </w:t>
      </w:r>
      <w:r w:rsidRPr="002C7AC6">
        <w:t>Wilson</w:t>
      </w:r>
      <w:r w:rsidR="001F2875" w:rsidRPr="002C7AC6">
        <w:rPr>
          <w:rFonts w:cstheme="minorHAnsi"/>
        </w:rPr>
        <w:t xml:space="preserve">, </w:t>
      </w:r>
      <w:r w:rsidR="001F2875" w:rsidRPr="002C7AC6">
        <w:rPr>
          <w:rFonts w:cstheme="minorHAnsi"/>
          <w:i/>
        </w:rPr>
        <w:t>The Holy Roman Empire: A Thousand Years of Europe’s History</w:t>
      </w:r>
      <w:r w:rsidR="001F2875" w:rsidRPr="002C7AC6">
        <w:rPr>
          <w:rFonts w:cstheme="minorHAnsi"/>
        </w:rPr>
        <w:t xml:space="preserve"> (London: Allen Lane, 2016),</w:t>
      </w:r>
      <w:r w:rsidR="001F2875" w:rsidRPr="002C7AC6">
        <w:t xml:space="preserve"> pp</w:t>
      </w:r>
      <w:r w:rsidRPr="002C7AC6">
        <w:t xml:space="preserve"> 4</w:t>
      </w:r>
      <w:r w:rsidR="001F2875" w:rsidRPr="002C7AC6">
        <w:t>.</w:t>
      </w:r>
    </w:p>
  </w:footnote>
  <w:footnote w:id="2">
    <w:p w14:paraId="454A0516" w14:textId="2E52C390" w:rsidR="00844633" w:rsidRPr="002C7AC6" w:rsidRDefault="00844633" w:rsidP="00844633">
      <w:pPr>
        <w:pStyle w:val="FootnoteText"/>
      </w:pPr>
      <w:r w:rsidRPr="002C7AC6">
        <w:rPr>
          <w:rStyle w:val="FootnoteReference"/>
        </w:rPr>
        <w:footnoteRef/>
      </w:r>
      <w:r w:rsidRPr="002C7AC6">
        <w:t xml:space="preserve"> </w:t>
      </w:r>
      <w:r w:rsidR="001F2875" w:rsidRPr="002C7AC6">
        <w:t xml:space="preserve">M. North, </w:t>
      </w:r>
      <w:r w:rsidR="001F2875" w:rsidRPr="002C7AC6">
        <w:rPr>
          <w:rFonts w:cstheme="minorHAnsi"/>
          <w:i/>
        </w:rPr>
        <w:t>The Expansion of Europe, 1250-1500</w:t>
      </w:r>
      <w:r w:rsidR="001F2875" w:rsidRPr="002C7AC6">
        <w:rPr>
          <w:rFonts w:cstheme="minorHAnsi"/>
        </w:rPr>
        <w:t>, translated by Pamela Selwyn (Manchester: Man</w:t>
      </w:r>
      <w:r w:rsidR="001F2875" w:rsidRPr="002C7AC6">
        <w:rPr>
          <w:rFonts w:cstheme="minorHAnsi"/>
        </w:rPr>
        <w:t>chester University Press, 2012), pp 158.</w:t>
      </w:r>
    </w:p>
  </w:footnote>
  <w:footnote w:id="3">
    <w:p w14:paraId="1B1D58C9" w14:textId="6A9D248E" w:rsidR="00BE205D" w:rsidRPr="002C7AC6" w:rsidRDefault="00BE205D">
      <w:pPr>
        <w:pStyle w:val="FootnoteText"/>
      </w:pPr>
      <w:r w:rsidRPr="002C7AC6">
        <w:rPr>
          <w:rStyle w:val="FootnoteReference"/>
        </w:rPr>
        <w:footnoteRef/>
      </w:r>
      <w:r w:rsidRPr="002C7AC6">
        <w:t xml:space="preserve"> </w:t>
      </w:r>
      <w:r w:rsidR="001F2875" w:rsidRPr="002C7AC6">
        <w:rPr>
          <w:rFonts w:cstheme="minorHAnsi"/>
          <w:i/>
        </w:rPr>
        <w:t>Tacitus: Agricola</w:t>
      </w:r>
      <w:r w:rsidR="001F2875" w:rsidRPr="002C7AC6">
        <w:t xml:space="preserve"> </w:t>
      </w:r>
      <w:r w:rsidR="001F2875" w:rsidRPr="002C7AC6">
        <w:rPr>
          <w:i/>
        </w:rPr>
        <w:t>and Germania</w:t>
      </w:r>
      <w:r w:rsidR="001F2875" w:rsidRPr="002C7AC6">
        <w:t>, trans. Harold Mattingly (</w:t>
      </w:r>
      <w:r w:rsidR="001F2875" w:rsidRPr="002C7AC6">
        <w:t xml:space="preserve">London: Penguin Classics, 2009), pp </w:t>
      </w:r>
      <w:r w:rsidRPr="002C7AC6">
        <w:t>37</w:t>
      </w:r>
      <w:r w:rsidR="001F2875" w:rsidRPr="002C7AC6">
        <w:t>.</w:t>
      </w:r>
    </w:p>
  </w:footnote>
  <w:footnote w:id="4">
    <w:p w14:paraId="43B1FCAD" w14:textId="2AF0AECB" w:rsidR="00844633" w:rsidRPr="002C7AC6" w:rsidRDefault="00844633" w:rsidP="00844633">
      <w:pPr>
        <w:pStyle w:val="FootnoteText"/>
      </w:pPr>
      <w:r w:rsidRPr="002C7AC6">
        <w:rPr>
          <w:rStyle w:val="FootnoteReference"/>
        </w:rPr>
        <w:footnoteRef/>
      </w:r>
      <w:r w:rsidRPr="002C7AC6">
        <w:t xml:space="preserve"> </w:t>
      </w:r>
      <w:r w:rsidR="001F2875" w:rsidRPr="002C7AC6">
        <w:t xml:space="preserve">M. </w:t>
      </w:r>
      <w:r w:rsidRPr="002C7AC6">
        <w:t>North,</w:t>
      </w:r>
      <w:r w:rsidR="001F2875" w:rsidRPr="002C7AC6">
        <w:t xml:space="preserve"> </w:t>
      </w:r>
      <w:r w:rsidR="001F2875" w:rsidRPr="002C7AC6">
        <w:rPr>
          <w:rFonts w:cstheme="minorHAnsi"/>
          <w:i/>
        </w:rPr>
        <w:t>The Expansion of Europe, 1250-1500</w:t>
      </w:r>
      <w:r w:rsidR="001F2875" w:rsidRPr="002C7AC6">
        <w:rPr>
          <w:rFonts w:cstheme="minorHAnsi"/>
        </w:rPr>
        <w:t>, translated by Pamela</w:t>
      </w:r>
      <w:r w:rsidR="001F2875" w:rsidRPr="002C7AC6">
        <w:rPr>
          <w:rFonts w:cstheme="minorHAnsi"/>
        </w:rPr>
        <w:t xml:space="preserve"> Selwyn,</w:t>
      </w:r>
      <w:r w:rsidR="001F2875" w:rsidRPr="002C7AC6">
        <w:t xml:space="preserve"> pp</w:t>
      </w:r>
      <w:r w:rsidRPr="002C7AC6">
        <w:t xml:space="preserve"> 159</w:t>
      </w:r>
      <w:r w:rsidR="001F2875" w:rsidRPr="002C7AC6">
        <w:t>.</w:t>
      </w:r>
    </w:p>
  </w:footnote>
  <w:footnote w:id="5">
    <w:p w14:paraId="1E3750F7" w14:textId="6002F9F5" w:rsidR="00844633" w:rsidRPr="002C7AC6" w:rsidRDefault="00844633" w:rsidP="00844633">
      <w:pPr>
        <w:pStyle w:val="FootnoteText"/>
      </w:pPr>
      <w:r w:rsidRPr="002C7AC6">
        <w:rPr>
          <w:rStyle w:val="FootnoteReference"/>
        </w:rPr>
        <w:footnoteRef/>
      </w:r>
      <w:r w:rsidRPr="002C7AC6">
        <w:t xml:space="preserve"> </w:t>
      </w:r>
      <w:r w:rsidR="00A738E7" w:rsidRPr="002C7AC6">
        <w:t xml:space="preserve">Yale Law School, The Avalon Project, ‘The Golden Bull of the Emperor Charles IV 1356 AD’ [online]. Available at </w:t>
      </w:r>
      <w:hyperlink r:id="rId1" w:history="1">
        <w:r w:rsidR="00A738E7" w:rsidRPr="002C7AC6">
          <w:rPr>
            <w:rStyle w:val="Hyperlink"/>
            <w:rFonts w:cstheme="minorHAnsi"/>
          </w:rPr>
          <w:t>http://avalon.law.yale.edu/medieval/golden.asp</w:t>
        </w:r>
      </w:hyperlink>
    </w:p>
  </w:footnote>
  <w:footnote w:id="6">
    <w:p w14:paraId="4B29DE95" w14:textId="542D07DE" w:rsidR="00844633" w:rsidRPr="002C7AC6" w:rsidRDefault="00844633" w:rsidP="00844633">
      <w:pPr>
        <w:pStyle w:val="FootnoteText"/>
      </w:pPr>
      <w:bookmarkStart w:id="0" w:name="_Hlk499327803"/>
      <w:r w:rsidRPr="002C7AC6">
        <w:rPr>
          <w:rStyle w:val="FootnoteReference"/>
        </w:rPr>
        <w:footnoteRef/>
      </w:r>
      <w:r w:rsidRPr="002C7AC6">
        <w:t xml:space="preserve"> </w:t>
      </w:r>
      <w:r w:rsidR="00A738E7" w:rsidRPr="002C7AC6">
        <w:t>P. H. Wilson</w:t>
      </w:r>
      <w:r w:rsidR="00A738E7" w:rsidRPr="002C7AC6">
        <w:rPr>
          <w:rFonts w:cstheme="minorHAnsi"/>
        </w:rPr>
        <w:t xml:space="preserve">, </w:t>
      </w:r>
      <w:r w:rsidR="00A738E7" w:rsidRPr="002C7AC6">
        <w:rPr>
          <w:rFonts w:cstheme="minorHAnsi"/>
          <w:i/>
        </w:rPr>
        <w:t>The Holy Roman Empire: A Thousand Years of Europe’s History</w:t>
      </w:r>
      <w:r w:rsidR="00A738E7" w:rsidRPr="002C7AC6">
        <w:rPr>
          <w:rFonts w:cstheme="minorHAnsi"/>
          <w:i/>
        </w:rPr>
        <w:t>,</w:t>
      </w:r>
      <w:bookmarkEnd w:id="0"/>
      <w:r w:rsidR="00A738E7" w:rsidRPr="002C7AC6">
        <w:rPr>
          <w:rFonts w:cstheme="minorHAnsi"/>
          <w:i/>
        </w:rPr>
        <w:t xml:space="preserve"> pp</w:t>
      </w:r>
      <w:r w:rsidR="00A738E7" w:rsidRPr="002C7AC6">
        <w:t xml:space="preserve"> </w:t>
      </w:r>
      <w:r w:rsidRPr="002C7AC6">
        <w:t>727</w:t>
      </w:r>
      <w:r w:rsidR="00A738E7" w:rsidRPr="002C7AC6">
        <w:t>.</w:t>
      </w:r>
    </w:p>
  </w:footnote>
  <w:footnote w:id="7">
    <w:p w14:paraId="204CE594" w14:textId="5E84F143" w:rsidR="00844633" w:rsidRPr="002C7AC6" w:rsidRDefault="00844633" w:rsidP="00844633">
      <w:pPr>
        <w:pStyle w:val="FootnoteText"/>
      </w:pPr>
      <w:r w:rsidRPr="002C7AC6">
        <w:rPr>
          <w:rStyle w:val="FootnoteReference"/>
        </w:rPr>
        <w:footnoteRef/>
      </w:r>
      <w:r w:rsidRPr="002C7AC6">
        <w:t xml:space="preserve"> </w:t>
      </w:r>
      <w:r w:rsidR="00A738E7" w:rsidRPr="002C7AC6">
        <w:t xml:space="preserve">M. North, </w:t>
      </w:r>
      <w:r w:rsidR="00A738E7" w:rsidRPr="002C7AC6">
        <w:rPr>
          <w:rFonts w:cstheme="minorHAnsi"/>
          <w:i/>
        </w:rPr>
        <w:t>The Expansion of Europe, 1250-1500</w:t>
      </w:r>
      <w:r w:rsidR="00A738E7" w:rsidRPr="002C7AC6">
        <w:rPr>
          <w:rFonts w:cstheme="minorHAnsi"/>
        </w:rPr>
        <w:t>, translated by Pamela Selwyn</w:t>
      </w:r>
      <w:r w:rsidR="00A738E7" w:rsidRPr="002C7AC6">
        <w:rPr>
          <w:rFonts w:cstheme="minorHAnsi"/>
        </w:rPr>
        <w:t>, pp.</w:t>
      </w:r>
      <w:r w:rsidR="00A738E7" w:rsidRPr="002C7AC6">
        <w:t xml:space="preserve"> </w:t>
      </w:r>
      <w:r w:rsidRPr="002C7AC6">
        <w:t>161-62</w:t>
      </w:r>
      <w:r w:rsidR="00A738E7" w:rsidRPr="002C7AC6">
        <w:t>.</w:t>
      </w:r>
    </w:p>
  </w:footnote>
  <w:footnote w:id="8">
    <w:p w14:paraId="41102460" w14:textId="3D0DF687" w:rsidR="00844633" w:rsidRPr="002C7AC6" w:rsidRDefault="00844633" w:rsidP="00844633">
      <w:pPr>
        <w:pStyle w:val="FootnoteText"/>
      </w:pPr>
      <w:r w:rsidRPr="002C7AC6">
        <w:rPr>
          <w:rStyle w:val="FootnoteReference"/>
        </w:rPr>
        <w:footnoteRef/>
      </w:r>
      <w:r w:rsidRPr="002C7AC6">
        <w:t xml:space="preserve"> </w:t>
      </w:r>
      <w:r w:rsidR="00A738E7" w:rsidRPr="002C7AC6">
        <w:t xml:space="preserve">EU Distance, Distance from Aachen, Germany to Nuremberg, Germany [online]. Available at: </w:t>
      </w:r>
      <w:hyperlink r:id="rId2" w:history="1">
        <w:r w:rsidR="00A738E7" w:rsidRPr="002C7AC6">
          <w:rPr>
            <w:rStyle w:val="Hyperlink"/>
            <w:rFonts w:cstheme="minorHAnsi"/>
          </w:rPr>
          <w:t>http://www.eudistance.com/distance/2312233-2368752</w:t>
        </w:r>
      </w:hyperlink>
      <w:r w:rsidR="00A738E7" w:rsidRPr="002C7AC6">
        <w:rPr>
          <w:rStyle w:val="Hyperlink"/>
          <w:rFonts w:cstheme="minorHAnsi"/>
          <w:color w:val="auto"/>
          <w:u w:val="none"/>
        </w:rPr>
        <w:t>.</w:t>
      </w:r>
    </w:p>
  </w:footnote>
  <w:footnote w:id="9">
    <w:p w14:paraId="235046E7" w14:textId="6C1862D1" w:rsidR="00844633" w:rsidRPr="002C7AC6" w:rsidRDefault="00844633" w:rsidP="00844633">
      <w:pPr>
        <w:pStyle w:val="FootnoteText"/>
      </w:pPr>
      <w:r w:rsidRPr="002C7AC6">
        <w:rPr>
          <w:rStyle w:val="FootnoteReference"/>
        </w:rPr>
        <w:footnoteRef/>
      </w:r>
      <w:r w:rsidRPr="002C7AC6">
        <w:t xml:space="preserve"> </w:t>
      </w:r>
      <w:r w:rsidR="00A738E7" w:rsidRPr="002C7AC6">
        <w:t xml:space="preserve">British Heart Foundation, Treks and Walks FAQs [online]. </w:t>
      </w:r>
      <w:hyperlink r:id="rId3" w:history="1">
        <w:r w:rsidR="00A738E7" w:rsidRPr="002C7AC6">
          <w:rPr>
            <w:rStyle w:val="Hyperlink"/>
            <w:rFonts w:cstheme="minorHAnsi"/>
          </w:rPr>
          <w:t>https://www.bhf.org.uk/get-involved/events/training-zone/walking-training-zone/walking-faqs</w:t>
        </w:r>
      </w:hyperlink>
      <w:r w:rsidR="00A738E7" w:rsidRPr="002C7AC6">
        <w:rPr>
          <w:rFonts w:cstheme="minorHAnsi"/>
        </w:rPr>
        <w:t>.</w:t>
      </w:r>
    </w:p>
  </w:footnote>
  <w:footnote w:id="10">
    <w:p w14:paraId="147280F8" w14:textId="7A10EC82" w:rsidR="00411995" w:rsidRPr="002C7AC6" w:rsidRDefault="00411995" w:rsidP="00411995">
      <w:pPr>
        <w:pStyle w:val="FootnoteText"/>
      </w:pPr>
      <w:r w:rsidRPr="002C7AC6">
        <w:rPr>
          <w:rStyle w:val="FootnoteReference"/>
        </w:rPr>
        <w:footnoteRef/>
      </w:r>
      <w:r w:rsidRPr="002C7AC6">
        <w:t xml:space="preserve"> </w:t>
      </w:r>
      <w:r w:rsidR="00A738E7" w:rsidRPr="002C7AC6">
        <w:t>P. H. Wilson</w:t>
      </w:r>
      <w:r w:rsidR="00A738E7" w:rsidRPr="002C7AC6">
        <w:rPr>
          <w:rFonts w:cstheme="minorHAnsi"/>
        </w:rPr>
        <w:t xml:space="preserve">, </w:t>
      </w:r>
      <w:r w:rsidR="00A738E7" w:rsidRPr="002C7AC6">
        <w:rPr>
          <w:rFonts w:cstheme="minorHAnsi"/>
          <w:i/>
        </w:rPr>
        <w:t>The Holy Roman Empire: A Thousand Years of Europe’s History,</w:t>
      </w:r>
      <w:r w:rsidR="00A738E7" w:rsidRPr="002C7AC6">
        <w:rPr>
          <w:rFonts w:cstheme="minorHAnsi"/>
          <w:i/>
        </w:rPr>
        <w:t xml:space="preserve"> </w:t>
      </w:r>
      <w:r w:rsidR="00A738E7" w:rsidRPr="002C7AC6">
        <w:rPr>
          <w:rFonts w:cstheme="minorHAnsi"/>
        </w:rPr>
        <w:t>pp</w:t>
      </w:r>
      <w:r w:rsidRPr="002C7AC6">
        <w:rPr>
          <w:rFonts w:cstheme="minorHAnsi"/>
        </w:rPr>
        <w:t xml:space="preserve"> 6</w:t>
      </w:r>
      <w:r w:rsidR="00A738E7" w:rsidRPr="002C7AC6">
        <w:rPr>
          <w:rFonts w:cstheme="minorHAnsi"/>
        </w:rPr>
        <w:t>.</w:t>
      </w:r>
    </w:p>
  </w:footnote>
  <w:footnote w:id="11">
    <w:p w14:paraId="489633D9" w14:textId="27C90213" w:rsidR="007103C1" w:rsidRPr="002C7AC6" w:rsidRDefault="007103C1" w:rsidP="007103C1">
      <w:pPr>
        <w:pStyle w:val="FootnoteText"/>
      </w:pPr>
      <w:r w:rsidRPr="002C7AC6">
        <w:rPr>
          <w:rStyle w:val="FootnoteReference"/>
        </w:rPr>
        <w:footnoteRef/>
      </w:r>
      <w:r w:rsidRPr="002C7AC6">
        <w:t xml:space="preserve"> </w:t>
      </w:r>
      <w:r w:rsidR="00A738E7" w:rsidRPr="002C7AC6">
        <w:rPr>
          <w:rFonts w:cstheme="minorHAnsi"/>
        </w:rPr>
        <w:t>W. C. Jordan,</w:t>
      </w:r>
      <w:r w:rsidR="00A738E7" w:rsidRPr="002C7AC6">
        <w:rPr>
          <w:rFonts w:cstheme="minorHAnsi"/>
        </w:rPr>
        <w:t xml:space="preserve"> </w:t>
      </w:r>
      <w:r w:rsidR="00A738E7" w:rsidRPr="002C7AC6">
        <w:rPr>
          <w:rFonts w:cstheme="minorHAnsi"/>
          <w:i/>
        </w:rPr>
        <w:t>Europe in the High Middle Ages</w:t>
      </w:r>
      <w:r w:rsidR="00A738E7" w:rsidRPr="002C7AC6">
        <w:rPr>
          <w:rFonts w:cstheme="minorHAnsi"/>
        </w:rPr>
        <w:t xml:space="preserve"> (London: The Penguin Group, 2002</w:t>
      </w:r>
      <w:r w:rsidR="00A738E7" w:rsidRPr="002C7AC6">
        <w:rPr>
          <w:rFonts w:cstheme="minorHAnsi"/>
        </w:rPr>
        <w:t xml:space="preserve">), pp </w:t>
      </w:r>
      <w:r w:rsidRPr="002C7AC6">
        <w:t>85</w:t>
      </w:r>
      <w:r w:rsidR="00A738E7" w:rsidRPr="002C7AC6">
        <w:t>.</w:t>
      </w:r>
    </w:p>
  </w:footnote>
  <w:footnote w:id="12">
    <w:p w14:paraId="1BAC033F" w14:textId="389F59D6" w:rsidR="002C7AC6" w:rsidRPr="002C7AC6" w:rsidRDefault="002C7AC6">
      <w:pPr>
        <w:pStyle w:val="FootnoteText"/>
      </w:pPr>
      <w:r w:rsidRPr="002C7AC6">
        <w:rPr>
          <w:rStyle w:val="FootnoteReference"/>
        </w:rPr>
        <w:footnoteRef/>
      </w:r>
      <w:r w:rsidRPr="002C7AC6">
        <w:t xml:space="preserve"> M. Keen</w:t>
      </w:r>
      <w:r>
        <w:t>,</w:t>
      </w:r>
      <w:r w:rsidRPr="002C7AC6">
        <w:t xml:space="preserve"> </w:t>
      </w:r>
      <w:r w:rsidRPr="002C7AC6">
        <w:rPr>
          <w:rFonts w:cstheme="minorHAnsi"/>
          <w:i/>
        </w:rPr>
        <w:t>Chivalry</w:t>
      </w:r>
      <w:r w:rsidRPr="002C7AC6">
        <w:rPr>
          <w:rFonts w:cstheme="minorHAnsi"/>
        </w:rPr>
        <w:t xml:space="preserve"> (New Haven: Yale University Press, 2005</w:t>
      </w:r>
      <w:r w:rsidRPr="002C7AC6">
        <w:rPr>
          <w:rFonts w:cstheme="minorHAnsi"/>
        </w:rPr>
        <w:t>), pp 34.</w:t>
      </w:r>
    </w:p>
  </w:footnote>
  <w:footnote w:id="13">
    <w:p w14:paraId="5ABE6D31" w14:textId="7F2590B9" w:rsidR="004F4397" w:rsidRPr="004F4397" w:rsidRDefault="004F4397">
      <w:pPr>
        <w:pStyle w:val="FootnoteText"/>
        <w:rPr>
          <w:i/>
        </w:rPr>
      </w:pPr>
      <w:r>
        <w:rPr>
          <w:rStyle w:val="FootnoteReference"/>
        </w:rPr>
        <w:footnoteRef/>
      </w:r>
      <w:r>
        <w:t xml:space="preserve"> </w:t>
      </w:r>
      <w:r>
        <w:rPr>
          <w:i/>
        </w:rPr>
        <w:t>Ibid., pp 35.</w:t>
      </w:r>
    </w:p>
  </w:footnote>
  <w:footnote w:id="14">
    <w:p w14:paraId="74DE87D1" w14:textId="4575A58C" w:rsidR="007103C1" w:rsidRPr="002C7AC6" w:rsidRDefault="007103C1" w:rsidP="007103C1">
      <w:pPr>
        <w:pStyle w:val="FootnoteText"/>
      </w:pPr>
      <w:r w:rsidRPr="002C7AC6">
        <w:rPr>
          <w:rStyle w:val="FootnoteReference"/>
        </w:rPr>
        <w:footnoteRef/>
      </w:r>
      <w:r w:rsidRPr="002C7AC6">
        <w:t xml:space="preserve"> </w:t>
      </w:r>
      <w:r w:rsidR="00A738E7" w:rsidRPr="002C7AC6">
        <w:t xml:space="preserve">M. North, </w:t>
      </w:r>
      <w:r w:rsidR="00A738E7" w:rsidRPr="002C7AC6">
        <w:rPr>
          <w:rFonts w:cstheme="minorHAnsi"/>
          <w:i/>
        </w:rPr>
        <w:t>The Expansion of Europe, 1250-1500</w:t>
      </w:r>
      <w:r w:rsidR="00A738E7" w:rsidRPr="002C7AC6">
        <w:rPr>
          <w:rFonts w:cstheme="minorHAnsi"/>
        </w:rPr>
        <w:t>, translated by Pamela Selwyn</w:t>
      </w:r>
      <w:r w:rsidR="00A738E7" w:rsidRPr="002C7AC6">
        <w:t>, pp 164.</w:t>
      </w:r>
    </w:p>
  </w:footnote>
  <w:footnote w:id="15">
    <w:p w14:paraId="180D5DE1" w14:textId="7E2913AF" w:rsidR="007103C1" w:rsidRPr="002C7AC6" w:rsidRDefault="007103C1" w:rsidP="007103C1">
      <w:pPr>
        <w:pStyle w:val="FootnoteText"/>
      </w:pPr>
      <w:r w:rsidRPr="002C7AC6">
        <w:rPr>
          <w:rStyle w:val="FootnoteReference"/>
        </w:rPr>
        <w:footnoteRef/>
      </w:r>
      <w:r w:rsidRPr="002C7AC6">
        <w:t xml:space="preserve"> </w:t>
      </w:r>
      <w:r w:rsidR="00A738E7" w:rsidRPr="002C7AC6">
        <w:t xml:space="preserve">C. </w:t>
      </w:r>
      <w:r w:rsidR="00A738E7" w:rsidRPr="002C7AC6">
        <w:rPr>
          <w:rFonts w:cstheme="minorHAnsi"/>
        </w:rPr>
        <w:t>Gravett, D.</w:t>
      </w:r>
      <w:r w:rsidR="00A738E7" w:rsidRPr="002C7AC6">
        <w:rPr>
          <w:rFonts w:cstheme="minorHAnsi"/>
        </w:rPr>
        <w:t xml:space="preserve"> Nicolle, </w:t>
      </w:r>
      <w:r w:rsidR="00A738E7" w:rsidRPr="002C7AC6">
        <w:rPr>
          <w:rFonts w:cstheme="minorHAnsi"/>
          <w:i/>
        </w:rPr>
        <w:t>The Normans:</w:t>
      </w:r>
      <w:r w:rsidR="00A738E7" w:rsidRPr="002C7AC6">
        <w:rPr>
          <w:rFonts w:cstheme="minorHAnsi"/>
        </w:rPr>
        <w:t xml:space="preserve"> </w:t>
      </w:r>
      <w:r w:rsidR="00A738E7" w:rsidRPr="002C7AC6">
        <w:rPr>
          <w:rFonts w:cstheme="minorHAnsi"/>
          <w:i/>
        </w:rPr>
        <w:t xml:space="preserve">Warrior Knights and their Castles </w:t>
      </w:r>
      <w:r w:rsidR="00A738E7" w:rsidRPr="002C7AC6">
        <w:rPr>
          <w:rFonts w:cstheme="minorHAnsi"/>
        </w:rPr>
        <w:t>(Oxford: Osprey Publishing, 2006</w:t>
      </w:r>
      <w:r w:rsidR="00A738E7" w:rsidRPr="002C7AC6">
        <w:rPr>
          <w:rFonts w:cstheme="minorHAnsi"/>
        </w:rPr>
        <w:t>), pp1</w:t>
      </w:r>
      <w:r w:rsidRPr="002C7AC6">
        <w:t xml:space="preserve"> 112</w:t>
      </w:r>
      <w:r w:rsidR="00A738E7" w:rsidRPr="002C7AC6">
        <w:t>.</w:t>
      </w:r>
    </w:p>
  </w:footnote>
  <w:footnote w:id="16">
    <w:p w14:paraId="53D74B71" w14:textId="3BE32E91" w:rsidR="007103C1" w:rsidRPr="002C7AC6" w:rsidRDefault="007103C1" w:rsidP="007103C1">
      <w:pPr>
        <w:pStyle w:val="FootnoteText"/>
      </w:pPr>
      <w:r w:rsidRPr="002C7AC6">
        <w:rPr>
          <w:rStyle w:val="FootnoteReference"/>
        </w:rPr>
        <w:footnoteRef/>
      </w:r>
      <w:r w:rsidRPr="002C7AC6">
        <w:t xml:space="preserve"> </w:t>
      </w:r>
      <w:r w:rsidR="00D0072A" w:rsidRPr="002C7AC6">
        <w:t xml:space="preserve">D. Whitton, ‘The society of Northern Europe in the High Middle Ages, 900-1200’, </w:t>
      </w:r>
      <w:r w:rsidR="00D0072A" w:rsidRPr="002C7AC6">
        <w:rPr>
          <w:rFonts w:cstheme="minorHAnsi"/>
          <w:i/>
        </w:rPr>
        <w:t>The Oxford History of Medieval Europe</w:t>
      </w:r>
      <w:r w:rsidR="00D0072A" w:rsidRPr="002C7AC6">
        <w:rPr>
          <w:rFonts w:cstheme="minorHAnsi"/>
        </w:rPr>
        <w:t>, edited by G. Holmes (Oxford: Oxford University Press, 2001</w:t>
      </w:r>
      <w:r w:rsidR="00D0072A" w:rsidRPr="002C7AC6">
        <w:rPr>
          <w:rFonts w:cstheme="minorHAnsi"/>
        </w:rPr>
        <w:t>), pp 118.</w:t>
      </w:r>
    </w:p>
  </w:footnote>
  <w:footnote w:id="17">
    <w:p w14:paraId="05760B91" w14:textId="1A5AB409" w:rsidR="007103C1" w:rsidRPr="002C7AC6" w:rsidRDefault="007103C1" w:rsidP="007103C1">
      <w:pPr>
        <w:pStyle w:val="FootnoteText"/>
      </w:pPr>
      <w:r w:rsidRPr="002C7AC6">
        <w:rPr>
          <w:rStyle w:val="FootnoteReference"/>
        </w:rPr>
        <w:footnoteRef/>
      </w:r>
      <w:r w:rsidRPr="002C7AC6">
        <w:t xml:space="preserve"> </w:t>
      </w:r>
      <w:r w:rsidR="00D0072A" w:rsidRPr="002C7AC6">
        <w:rPr>
          <w:i/>
        </w:rPr>
        <w:t xml:space="preserve">Ibid. </w:t>
      </w:r>
      <w:r w:rsidR="00D0072A" w:rsidRPr="002C7AC6">
        <w:t>pp, 119.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BA0E07" w14:textId="374F595D" w:rsidR="00625839" w:rsidRDefault="00625839">
    <w:pPr>
      <w:pStyle w:val="Header"/>
    </w:pPr>
    <w:r>
      <w:t>1502041</w:t>
    </w:r>
    <w:r>
      <w:ptab w:relativeTo="margin" w:alignment="center" w:leader="none"/>
    </w:r>
    <w:r>
      <w:ptab w:relativeTo="margin" w:alignment="right" w:leader="none"/>
    </w:r>
    <w:r w:rsidR="00EA0F57">
      <w:t>AHMS5003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375F7"/>
    <w:multiLevelType w:val="hybridMultilevel"/>
    <w:tmpl w:val="C7302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3748D"/>
    <w:multiLevelType w:val="hybridMultilevel"/>
    <w:tmpl w:val="6E8EAB06"/>
    <w:lvl w:ilvl="0" w:tplc="E528C33C">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255D7F"/>
    <w:multiLevelType w:val="hybridMultilevel"/>
    <w:tmpl w:val="4A30A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3DA5"/>
    <w:rsid w:val="00026786"/>
    <w:rsid w:val="00040BBC"/>
    <w:rsid w:val="00041972"/>
    <w:rsid w:val="0006769A"/>
    <w:rsid w:val="00091C43"/>
    <w:rsid w:val="000A765B"/>
    <w:rsid w:val="000B0B77"/>
    <w:rsid w:val="000F3E47"/>
    <w:rsid w:val="0015467F"/>
    <w:rsid w:val="001B2CAB"/>
    <w:rsid w:val="001F2875"/>
    <w:rsid w:val="0027501D"/>
    <w:rsid w:val="00294240"/>
    <w:rsid w:val="002B3B79"/>
    <w:rsid w:val="002C3104"/>
    <w:rsid w:val="002C7AC6"/>
    <w:rsid w:val="003363CA"/>
    <w:rsid w:val="00340282"/>
    <w:rsid w:val="003878C2"/>
    <w:rsid w:val="003B4F08"/>
    <w:rsid w:val="003E0A14"/>
    <w:rsid w:val="00411995"/>
    <w:rsid w:val="00413314"/>
    <w:rsid w:val="00437A3E"/>
    <w:rsid w:val="004A12CD"/>
    <w:rsid w:val="004E4F7F"/>
    <w:rsid w:val="004E6B14"/>
    <w:rsid w:val="004F4397"/>
    <w:rsid w:val="0050390E"/>
    <w:rsid w:val="00551A34"/>
    <w:rsid w:val="00554CFE"/>
    <w:rsid w:val="005C4CF1"/>
    <w:rsid w:val="005D1A39"/>
    <w:rsid w:val="005E2977"/>
    <w:rsid w:val="006166CD"/>
    <w:rsid w:val="00617EE0"/>
    <w:rsid w:val="00625839"/>
    <w:rsid w:val="00631F4B"/>
    <w:rsid w:val="007103C1"/>
    <w:rsid w:val="00743DA5"/>
    <w:rsid w:val="007C2659"/>
    <w:rsid w:val="007E6A52"/>
    <w:rsid w:val="00844633"/>
    <w:rsid w:val="008A160B"/>
    <w:rsid w:val="008A2984"/>
    <w:rsid w:val="008A2D05"/>
    <w:rsid w:val="008B4D14"/>
    <w:rsid w:val="008C099B"/>
    <w:rsid w:val="008E2A85"/>
    <w:rsid w:val="008E6548"/>
    <w:rsid w:val="009107A7"/>
    <w:rsid w:val="00913A73"/>
    <w:rsid w:val="009509E6"/>
    <w:rsid w:val="00990EA0"/>
    <w:rsid w:val="009A6670"/>
    <w:rsid w:val="009B30B1"/>
    <w:rsid w:val="009C3693"/>
    <w:rsid w:val="009D6F43"/>
    <w:rsid w:val="009E4FD8"/>
    <w:rsid w:val="009E605E"/>
    <w:rsid w:val="009F764B"/>
    <w:rsid w:val="00A06DAB"/>
    <w:rsid w:val="00A51E1D"/>
    <w:rsid w:val="00A554F2"/>
    <w:rsid w:val="00A738E7"/>
    <w:rsid w:val="00AC5702"/>
    <w:rsid w:val="00B03EE9"/>
    <w:rsid w:val="00B46762"/>
    <w:rsid w:val="00B6242A"/>
    <w:rsid w:val="00B6539E"/>
    <w:rsid w:val="00B95F71"/>
    <w:rsid w:val="00BB19A6"/>
    <w:rsid w:val="00BB6861"/>
    <w:rsid w:val="00BC70DF"/>
    <w:rsid w:val="00BE08AC"/>
    <w:rsid w:val="00BE205D"/>
    <w:rsid w:val="00BF4CEA"/>
    <w:rsid w:val="00C03CDA"/>
    <w:rsid w:val="00C23426"/>
    <w:rsid w:val="00C46EC6"/>
    <w:rsid w:val="00C547F0"/>
    <w:rsid w:val="00C67F25"/>
    <w:rsid w:val="00C90DA7"/>
    <w:rsid w:val="00CC457B"/>
    <w:rsid w:val="00CE65DE"/>
    <w:rsid w:val="00D0072A"/>
    <w:rsid w:val="00D05251"/>
    <w:rsid w:val="00D11686"/>
    <w:rsid w:val="00DB041A"/>
    <w:rsid w:val="00DC3178"/>
    <w:rsid w:val="00DE350D"/>
    <w:rsid w:val="00E13542"/>
    <w:rsid w:val="00E14301"/>
    <w:rsid w:val="00E97E59"/>
    <w:rsid w:val="00EA0F57"/>
    <w:rsid w:val="00EB540F"/>
    <w:rsid w:val="00F04158"/>
    <w:rsid w:val="00F1077C"/>
    <w:rsid w:val="00F12532"/>
    <w:rsid w:val="00F2667F"/>
    <w:rsid w:val="00F40F1A"/>
    <w:rsid w:val="00F65716"/>
    <w:rsid w:val="00F723AA"/>
    <w:rsid w:val="00FA04C5"/>
    <w:rsid w:val="00FB140A"/>
    <w:rsid w:val="00FF0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AC85D7"/>
  <w15:docId w15:val="{9EF1B534-E61E-4B64-AC98-FED00572C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743D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A554F2"/>
    <w:rPr>
      <w:sz w:val="16"/>
      <w:szCs w:val="16"/>
    </w:rPr>
  </w:style>
  <w:style w:type="paragraph" w:styleId="CommentText">
    <w:name w:val="annotation text"/>
    <w:basedOn w:val="Normal"/>
    <w:link w:val="CommentTextChar"/>
    <w:uiPriority w:val="99"/>
    <w:semiHidden/>
    <w:unhideWhenUsed/>
    <w:rsid w:val="00A554F2"/>
    <w:pPr>
      <w:spacing w:line="240" w:lineRule="auto"/>
    </w:pPr>
    <w:rPr>
      <w:sz w:val="20"/>
      <w:szCs w:val="20"/>
    </w:rPr>
  </w:style>
  <w:style w:type="character" w:customStyle="1" w:styleId="CommentTextChar">
    <w:name w:val="Comment Text Char"/>
    <w:basedOn w:val="DefaultParagraphFont"/>
    <w:link w:val="CommentText"/>
    <w:uiPriority w:val="99"/>
    <w:semiHidden/>
    <w:rsid w:val="00A554F2"/>
    <w:rPr>
      <w:sz w:val="20"/>
      <w:szCs w:val="20"/>
    </w:rPr>
  </w:style>
  <w:style w:type="paragraph" w:styleId="FootnoteText">
    <w:name w:val="footnote text"/>
    <w:basedOn w:val="Normal"/>
    <w:link w:val="FootnoteTextChar"/>
    <w:uiPriority w:val="99"/>
    <w:semiHidden/>
    <w:unhideWhenUsed/>
    <w:rsid w:val="00A554F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54F2"/>
    <w:rPr>
      <w:sz w:val="20"/>
      <w:szCs w:val="20"/>
    </w:rPr>
  </w:style>
  <w:style w:type="character" w:styleId="FootnoteReference">
    <w:name w:val="footnote reference"/>
    <w:basedOn w:val="DefaultParagraphFont"/>
    <w:uiPriority w:val="99"/>
    <w:semiHidden/>
    <w:unhideWhenUsed/>
    <w:rsid w:val="00A554F2"/>
    <w:rPr>
      <w:vertAlign w:val="superscript"/>
    </w:rPr>
  </w:style>
  <w:style w:type="character" w:styleId="Hyperlink">
    <w:name w:val="Hyperlink"/>
    <w:basedOn w:val="DefaultParagraphFont"/>
    <w:uiPriority w:val="99"/>
    <w:unhideWhenUsed/>
    <w:rsid w:val="00A554F2"/>
    <w:rPr>
      <w:color w:val="0563C1" w:themeColor="hyperlink"/>
      <w:u w:val="single"/>
    </w:rPr>
  </w:style>
  <w:style w:type="paragraph" w:styleId="BalloonText">
    <w:name w:val="Balloon Text"/>
    <w:basedOn w:val="Normal"/>
    <w:link w:val="BalloonTextChar"/>
    <w:uiPriority w:val="99"/>
    <w:semiHidden/>
    <w:unhideWhenUsed/>
    <w:rsid w:val="00A554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54F2"/>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026786"/>
    <w:rPr>
      <w:b/>
      <w:bCs/>
    </w:rPr>
  </w:style>
  <w:style w:type="character" w:customStyle="1" w:styleId="CommentSubjectChar">
    <w:name w:val="Comment Subject Char"/>
    <w:basedOn w:val="CommentTextChar"/>
    <w:link w:val="CommentSubject"/>
    <w:uiPriority w:val="99"/>
    <w:semiHidden/>
    <w:rsid w:val="00026786"/>
    <w:rPr>
      <w:b/>
      <w:bCs/>
      <w:sz w:val="20"/>
      <w:szCs w:val="20"/>
    </w:rPr>
  </w:style>
  <w:style w:type="character" w:customStyle="1" w:styleId="UnresolvedMention1">
    <w:name w:val="Unresolved Mention1"/>
    <w:basedOn w:val="DefaultParagraphFont"/>
    <w:uiPriority w:val="99"/>
    <w:semiHidden/>
    <w:unhideWhenUsed/>
    <w:rsid w:val="00D05251"/>
    <w:rPr>
      <w:color w:val="808080"/>
      <w:shd w:val="clear" w:color="auto" w:fill="E6E6E6"/>
    </w:rPr>
  </w:style>
  <w:style w:type="character" w:styleId="FollowedHyperlink">
    <w:name w:val="FollowedHyperlink"/>
    <w:basedOn w:val="DefaultParagraphFont"/>
    <w:uiPriority w:val="99"/>
    <w:semiHidden/>
    <w:unhideWhenUsed/>
    <w:rsid w:val="001F2875"/>
    <w:rPr>
      <w:color w:val="954F72" w:themeColor="followedHyperlink"/>
      <w:u w:val="single"/>
    </w:rPr>
  </w:style>
  <w:style w:type="paragraph" w:styleId="Header">
    <w:name w:val="header"/>
    <w:basedOn w:val="Normal"/>
    <w:link w:val="HeaderChar"/>
    <w:uiPriority w:val="99"/>
    <w:unhideWhenUsed/>
    <w:rsid w:val="006258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839"/>
  </w:style>
  <w:style w:type="paragraph" w:styleId="Footer">
    <w:name w:val="footer"/>
    <w:basedOn w:val="Normal"/>
    <w:link w:val="FooterChar"/>
    <w:uiPriority w:val="99"/>
    <w:unhideWhenUsed/>
    <w:rsid w:val="006258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8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Halsall/source/imptrooplevy1422.asp"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hf.org.uk/get-involved/events/training-zone/walking-training-zone/walking-faqs"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www.eudistance.com/distance/2312233-2368752" TargetMode="External"/><Relationship Id="rId4" Type="http://schemas.openxmlformats.org/officeDocument/2006/relationships/settings" Target="settings.xml"/><Relationship Id="rId9" Type="http://schemas.openxmlformats.org/officeDocument/2006/relationships/hyperlink" Target="http://avalon.law.yale.edu/medieval/golden.asp"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bhf.org.uk/get-involved/events/training-zone/walking-training-zone/walking-faqs" TargetMode="External"/><Relationship Id="rId2" Type="http://schemas.openxmlformats.org/officeDocument/2006/relationships/hyperlink" Target="http://www.eudistance.com/distance/2312233-2368752" TargetMode="External"/><Relationship Id="rId1" Type="http://schemas.openxmlformats.org/officeDocument/2006/relationships/hyperlink" Target="http://avalon.law.yale.edu/medieval/golden.as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04"/>
    <w:rsid w:val="006363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E1A6C269054AA78FA21416395D5543">
    <w:name w:val="2CE1A6C269054AA78FA21416395D5543"/>
    <w:rsid w:val="006363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5621D0-2490-40FE-B928-88EF78CD2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2440</Words>
  <Characters>13706</Characters>
  <Application>Microsoft Office Word</Application>
  <DocSecurity>0</DocSecurity>
  <Lines>240</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c:creator>
  <cp:keywords/>
  <dc:description/>
  <cp:lastModifiedBy>Ben</cp:lastModifiedBy>
  <cp:revision>3</cp:revision>
  <dcterms:created xsi:type="dcterms:W3CDTF">2017-11-24T23:39:00Z</dcterms:created>
  <dcterms:modified xsi:type="dcterms:W3CDTF">2017-11-24T23:40:00Z</dcterms:modified>
</cp:coreProperties>
</file>