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450316" w14:textId="77777777" w:rsidR="00C503FA" w:rsidRDefault="00C503FA"/>
    <w:p w14:paraId="639433D7" w14:textId="77777777" w:rsidR="00C503FA" w:rsidRDefault="00C503FA"/>
    <w:p w14:paraId="47959892" w14:textId="77777777" w:rsidR="00C503FA" w:rsidRDefault="00C503FA">
      <w:pPr>
        <w:rPr>
          <w:sz w:val="40"/>
          <w:szCs w:val="40"/>
        </w:rPr>
      </w:pPr>
    </w:p>
    <w:p w14:paraId="510AEE3B" w14:textId="00A2C161" w:rsidR="00C503FA" w:rsidRDefault="00000000">
      <w:pPr>
        <w:jc w:val="center"/>
        <w:rPr>
          <w:b/>
          <w:bCs/>
          <w:sz w:val="40"/>
          <w:szCs w:val="40"/>
        </w:rPr>
      </w:pPr>
      <w:r>
        <w:rPr>
          <w:b/>
          <w:bCs/>
          <w:sz w:val="40"/>
          <w:szCs w:val="40"/>
        </w:rPr>
        <w:t xml:space="preserve">International Financial Management </w:t>
      </w:r>
    </w:p>
    <w:p w14:paraId="7EE1622D" w14:textId="531980AC" w:rsidR="00BF2ACA" w:rsidRDefault="00BF2ACA">
      <w:pPr>
        <w:jc w:val="center"/>
        <w:rPr>
          <w:b/>
          <w:bCs/>
          <w:sz w:val="40"/>
          <w:szCs w:val="40"/>
        </w:rPr>
      </w:pPr>
      <w:r>
        <w:rPr>
          <w:b/>
          <w:bCs/>
          <w:sz w:val="40"/>
          <w:szCs w:val="40"/>
        </w:rPr>
        <w:t>LCBB6002- Assignment 1</w:t>
      </w:r>
    </w:p>
    <w:p w14:paraId="146A2738" w14:textId="462D6DC6" w:rsidR="00BF2ACA" w:rsidRDefault="00BF2ACA">
      <w:pPr>
        <w:jc w:val="center"/>
        <w:rPr>
          <w:b/>
          <w:bCs/>
          <w:sz w:val="40"/>
          <w:szCs w:val="40"/>
        </w:rPr>
      </w:pPr>
      <w:r>
        <w:rPr>
          <w:b/>
          <w:bCs/>
          <w:sz w:val="40"/>
          <w:szCs w:val="40"/>
        </w:rPr>
        <w:t xml:space="preserve">Student name: </w:t>
      </w:r>
      <w:proofErr w:type="spellStart"/>
      <w:r>
        <w:rPr>
          <w:b/>
          <w:bCs/>
          <w:sz w:val="40"/>
          <w:szCs w:val="40"/>
        </w:rPr>
        <w:t>Iliya</w:t>
      </w:r>
      <w:proofErr w:type="spellEnd"/>
      <w:r>
        <w:rPr>
          <w:b/>
          <w:bCs/>
          <w:sz w:val="40"/>
          <w:szCs w:val="40"/>
        </w:rPr>
        <w:t xml:space="preserve"> </w:t>
      </w:r>
      <w:proofErr w:type="spellStart"/>
      <w:r>
        <w:rPr>
          <w:b/>
          <w:bCs/>
          <w:sz w:val="40"/>
          <w:szCs w:val="40"/>
        </w:rPr>
        <w:t>Georgiev</w:t>
      </w:r>
      <w:proofErr w:type="spellEnd"/>
      <w:r>
        <w:rPr>
          <w:b/>
          <w:bCs/>
          <w:sz w:val="40"/>
          <w:szCs w:val="40"/>
        </w:rPr>
        <w:t xml:space="preserve"> </w:t>
      </w:r>
      <w:proofErr w:type="spellStart"/>
      <w:r>
        <w:rPr>
          <w:b/>
          <w:bCs/>
          <w:sz w:val="40"/>
          <w:szCs w:val="40"/>
        </w:rPr>
        <w:t>Radichev</w:t>
      </w:r>
      <w:proofErr w:type="spellEnd"/>
    </w:p>
    <w:p w14:paraId="57D90E35" w14:textId="70DCE808" w:rsidR="00BF2ACA" w:rsidRDefault="00BF2ACA">
      <w:pPr>
        <w:jc w:val="center"/>
        <w:rPr>
          <w:b/>
          <w:bCs/>
          <w:sz w:val="40"/>
          <w:szCs w:val="40"/>
        </w:rPr>
      </w:pPr>
      <w:r>
        <w:rPr>
          <w:b/>
          <w:bCs/>
          <w:sz w:val="40"/>
          <w:szCs w:val="40"/>
        </w:rPr>
        <w:t>Student ID: 2023563</w:t>
      </w:r>
    </w:p>
    <w:p w14:paraId="2B623B6E" w14:textId="77777777" w:rsidR="00C503FA" w:rsidRDefault="00C503FA">
      <w:pPr>
        <w:jc w:val="center"/>
        <w:rPr>
          <w:b/>
          <w:bCs/>
        </w:rPr>
      </w:pPr>
    </w:p>
    <w:p w14:paraId="728EB74F" w14:textId="77777777" w:rsidR="00C503FA" w:rsidRDefault="00C503FA">
      <w:pPr>
        <w:jc w:val="center"/>
        <w:rPr>
          <w:b/>
          <w:bCs/>
        </w:rPr>
      </w:pPr>
    </w:p>
    <w:p w14:paraId="681B556C" w14:textId="77777777" w:rsidR="00C503FA" w:rsidRDefault="00C503FA">
      <w:pPr>
        <w:jc w:val="center"/>
        <w:rPr>
          <w:b/>
          <w:bCs/>
        </w:rPr>
      </w:pPr>
    </w:p>
    <w:p w14:paraId="7BA8F6A8" w14:textId="77777777" w:rsidR="00C503FA" w:rsidRDefault="00C503FA">
      <w:pPr>
        <w:jc w:val="center"/>
        <w:rPr>
          <w:b/>
          <w:bCs/>
        </w:rPr>
      </w:pPr>
    </w:p>
    <w:p w14:paraId="1C0B96DA" w14:textId="77777777" w:rsidR="00C503FA" w:rsidRDefault="00C503FA">
      <w:pPr>
        <w:jc w:val="center"/>
        <w:rPr>
          <w:b/>
          <w:bCs/>
        </w:rPr>
      </w:pPr>
    </w:p>
    <w:p w14:paraId="03A6DA94" w14:textId="77777777" w:rsidR="00C503FA" w:rsidRDefault="00C503FA">
      <w:pPr>
        <w:jc w:val="center"/>
        <w:rPr>
          <w:b/>
          <w:bCs/>
        </w:rPr>
      </w:pPr>
    </w:p>
    <w:p w14:paraId="331C07C7" w14:textId="77777777" w:rsidR="00C503FA" w:rsidRDefault="00C503FA">
      <w:pPr>
        <w:jc w:val="center"/>
        <w:rPr>
          <w:b/>
          <w:bCs/>
        </w:rPr>
      </w:pPr>
    </w:p>
    <w:p w14:paraId="556336FB" w14:textId="77777777" w:rsidR="00C503FA" w:rsidRDefault="00C503FA">
      <w:pPr>
        <w:jc w:val="center"/>
        <w:rPr>
          <w:b/>
          <w:bCs/>
        </w:rPr>
      </w:pPr>
    </w:p>
    <w:p w14:paraId="5A412548" w14:textId="77777777" w:rsidR="00C503FA" w:rsidRDefault="00C503FA">
      <w:pPr>
        <w:jc w:val="center"/>
        <w:rPr>
          <w:b/>
          <w:bCs/>
        </w:rPr>
      </w:pPr>
    </w:p>
    <w:p w14:paraId="10401CCB" w14:textId="77777777" w:rsidR="00C503FA" w:rsidRDefault="00C503FA">
      <w:pPr>
        <w:jc w:val="center"/>
        <w:rPr>
          <w:b/>
          <w:bCs/>
        </w:rPr>
      </w:pPr>
    </w:p>
    <w:p w14:paraId="069D3EDD" w14:textId="77777777" w:rsidR="00C503FA" w:rsidRDefault="00C503FA">
      <w:pPr>
        <w:jc w:val="center"/>
        <w:rPr>
          <w:b/>
          <w:bCs/>
        </w:rPr>
      </w:pPr>
    </w:p>
    <w:p w14:paraId="65F7D759" w14:textId="77777777" w:rsidR="00C503FA" w:rsidRDefault="00C503FA" w:rsidP="00BF2ACA">
      <w:pPr>
        <w:rPr>
          <w:b/>
          <w:bCs/>
        </w:rPr>
      </w:pPr>
    </w:p>
    <w:p w14:paraId="700D5535" w14:textId="77777777" w:rsidR="00C503FA" w:rsidRDefault="00C503FA">
      <w:pPr>
        <w:jc w:val="center"/>
        <w:rPr>
          <w:b/>
          <w:bCs/>
        </w:rPr>
      </w:pPr>
    </w:p>
    <w:p w14:paraId="4A8AD754" w14:textId="77777777" w:rsidR="00C503FA" w:rsidRDefault="00C503FA">
      <w:pPr>
        <w:jc w:val="center"/>
        <w:rPr>
          <w:b/>
          <w:bCs/>
        </w:rPr>
      </w:pPr>
    </w:p>
    <w:p w14:paraId="4B737BC5" w14:textId="77777777" w:rsidR="00C503FA" w:rsidRDefault="00C503FA">
      <w:pPr>
        <w:jc w:val="center"/>
        <w:rPr>
          <w:b/>
          <w:bCs/>
        </w:rPr>
      </w:pPr>
    </w:p>
    <w:sdt>
      <w:sdtPr>
        <w:rPr>
          <w:rFonts w:ascii="Times New Roman" w:eastAsiaTheme="minorHAnsi" w:hAnsi="Times New Roman" w:cstheme="minorBidi"/>
          <w:b w:val="0"/>
          <w:bCs w:val="0"/>
          <w:color w:val="auto"/>
          <w:sz w:val="24"/>
          <w:lang w:bidi="bn-IN"/>
        </w:rPr>
        <w:id w:val="875588485"/>
        <w:docPartObj>
          <w:docPartGallery w:val="Table of Contents"/>
          <w:docPartUnique/>
        </w:docPartObj>
      </w:sdtPr>
      <w:sdtEndPr>
        <w:rPr>
          <w:noProof/>
        </w:rPr>
      </w:sdtEndPr>
      <w:sdtContent>
        <w:p w14:paraId="37A8D64D" w14:textId="58A3AC5E" w:rsidR="00B44CD6" w:rsidRDefault="00B44CD6">
          <w:pPr>
            <w:pStyle w:val="TOCHeading"/>
          </w:pPr>
          <w:r>
            <w:t>Table of Contents</w:t>
          </w:r>
        </w:p>
        <w:p w14:paraId="43F9452F" w14:textId="2F18B5AD" w:rsidR="00B44CD6" w:rsidRDefault="00B44CD6">
          <w:pPr>
            <w:pStyle w:val="TOC1"/>
            <w:tabs>
              <w:tab w:val="right" w:leader="dot" w:pos="9350"/>
            </w:tabs>
            <w:rPr>
              <w:rFonts w:eastAsiaTheme="minorEastAsia"/>
              <w:b w:val="0"/>
              <w:bCs w:val="0"/>
              <w:i w:val="0"/>
              <w:iCs w:val="0"/>
              <w:noProof/>
              <w:szCs w:val="30"/>
              <w:lang w:eastAsia="en-GB"/>
            </w:rPr>
          </w:pPr>
          <w:r>
            <w:rPr>
              <w:b w:val="0"/>
              <w:bCs w:val="0"/>
            </w:rPr>
            <w:fldChar w:fldCharType="begin"/>
          </w:r>
          <w:r>
            <w:instrText xml:space="preserve"> TOC \o "1-3" \h \z \u </w:instrText>
          </w:r>
          <w:r>
            <w:rPr>
              <w:b w:val="0"/>
              <w:bCs w:val="0"/>
            </w:rPr>
            <w:fldChar w:fldCharType="separate"/>
          </w:r>
          <w:hyperlink w:anchor="_Toc133281671" w:history="1">
            <w:r w:rsidRPr="00030EB9">
              <w:rPr>
                <w:rStyle w:val="Hyperlink"/>
                <w:noProof/>
              </w:rPr>
              <w:t>Introduction</w:t>
            </w:r>
            <w:r>
              <w:rPr>
                <w:noProof/>
                <w:webHidden/>
              </w:rPr>
              <w:tab/>
            </w:r>
            <w:r>
              <w:rPr>
                <w:noProof/>
                <w:webHidden/>
              </w:rPr>
              <w:fldChar w:fldCharType="begin"/>
            </w:r>
            <w:r>
              <w:rPr>
                <w:noProof/>
                <w:webHidden/>
              </w:rPr>
              <w:instrText xml:space="preserve"> PAGEREF _Toc133281671 \h </w:instrText>
            </w:r>
            <w:r>
              <w:rPr>
                <w:noProof/>
                <w:webHidden/>
              </w:rPr>
            </w:r>
            <w:r>
              <w:rPr>
                <w:noProof/>
                <w:webHidden/>
              </w:rPr>
              <w:fldChar w:fldCharType="separate"/>
            </w:r>
            <w:r>
              <w:rPr>
                <w:noProof/>
                <w:webHidden/>
              </w:rPr>
              <w:t>2</w:t>
            </w:r>
            <w:r>
              <w:rPr>
                <w:noProof/>
                <w:webHidden/>
              </w:rPr>
              <w:fldChar w:fldCharType="end"/>
            </w:r>
          </w:hyperlink>
        </w:p>
        <w:p w14:paraId="4CDFFA8F" w14:textId="7B45DD68" w:rsidR="00B44CD6" w:rsidRDefault="00000000">
          <w:pPr>
            <w:pStyle w:val="TOC1"/>
            <w:tabs>
              <w:tab w:val="right" w:leader="dot" w:pos="9350"/>
            </w:tabs>
            <w:rPr>
              <w:rFonts w:eastAsiaTheme="minorEastAsia"/>
              <w:b w:val="0"/>
              <w:bCs w:val="0"/>
              <w:i w:val="0"/>
              <w:iCs w:val="0"/>
              <w:noProof/>
              <w:szCs w:val="30"/>
              <w:lang w:eastAsia="en-GB"/>
            </w:rPr>
          </w:pPr>
          <w:hyperlink w:anchor="_Toc133281672" w:history="1">
            <w:r w:rsidR="00B44CD6" w:rsidRPr="00030EB9">
              <w:rPr>
                <w:rStyle w:val="Hyperlink"/>
                <w:noProof/>
              </w:rPr>
              <w:t>The dividend policies that are being followed by the Standard Chartered</w:t>
            </w:r>
            <w:r w:rsidR="00B44CD6">
              <w:rPr>
                <w:noProof/>
                <w:webHidden/>
              </w:rPr>
              <w:tab/>
            </w:r>
            <w:r w:rsidR="00B44CD6">
              <w:rPr>
                <w:noProof/>
                <w:webHidden/>
              </w:rPr>
              <w:fldChar w:fldCharType="begin"/>
            </w:r>
            <w:r w:rsidR="00B44CD6">
              <w:rPr>
                <w:noProof/>
                <w:webHidden/>
              </w:rPr>
              <w:instrText xml:space="preserve"> PAGEREF _Toc133281672 \h </w:instrText>
            </w:r>
            <w:r w:rsidR="00B44CD6">
              <w:rPr>
                <w:noProof/>
                <w:webHidden/>
              </w:rPr>
            </w:r>
            <w:r w:rsidR="00B44CD6">
              <w:rPr>
                <w:noProof/>
                <w:webHidden/>
              </w:rPr>
              <w:fldChar w:fldCharType="separate"/>
            </w:r>
            <w:r w:rsidR="00B44CD6">
              <w:rPr>
                <w:noProof/>
                <w:webHidden/>
              </w:rPr>
              <w:t>3</w:t>
            </w:r>
            <w:r w:rsidR="00B44CD6">
              <w:rPr>
                <w:noProof/>
                <w:webHidden/>
              </w:rPr>
              <w:fldChar w:fldCharType="end"/>
            </w:r>
          </w:hyperlink>
        </w:p>
        <w:p w14:paraId="479C1BA9" w14:textId="2971FC5A" w:rsidR="00B44CD6" w:rsidRDefault="00000000">
          <w:pPr>
            <w:pStyle w:val="TOC1"/>
            <w:tabs>
              <w:tab w:val="right" w:leader="dot" w:pos="9350"/>
            </w:tabs>
            <w:rPr>
              <w:rFonts w:eastAsiaTheme="minorEastAsia"/>
              <w:b w:val="0"/>
              <w:bCs w:val="0"/>
              <w:i w:val="0"/>
              <w:iCs w:val="0"/>
              <w:noProof/>
              <w:szCs w:val="30"/>
              <w:lang w:eastAsia="en-GB"/>
            </w:rPr>
          </w:pPr>
          <w:hyperlink w:anchor="_Toc133281673" w:history="1">
            <w:r w:rsidR="00B44CD6" w:rsidRPr="00030EB9">
              <w:rPr>
                <w:rStyle w:val="Hyperlink"/>
                <w:noProof/>
              </w:rPr>
              <w:t>Standard Chartered’s method of appraising projects</w:t>
            </w:r>
            <w:r w:rsidR="00B44CD6">
              <w:rPr>
                <w:noProof/>
                <w:webHidden/>
              </w:rPr>
              <w:tab/>
            </w:r>
            <w:r w:rsidR="00B44CD6">
              <w:rPr>
                <w:noProof/>
                <w:webHidden/>
              </w:rPr>
              <w:fldChar w:fldCharType="begin"/>
            </w:r>
            <w:r w:rsidR="00B44CD6">
              <w:rPr>
                <w:noProof/>
                <w:webHidden/>
              </w:rPr>
              <w:instrText xml:space="preserve"> PAGEREF _Toc133281673 \h </w:instrText>
            </w:r>
            <w:r w:rsidR="00B44CD6">
              <w:rPr>
                <w:noProof/>
                <w:webHidden/>
              </w:rPr>
            </w:r>
            <w:r w:rsidR="00B44CD6">
              <w:rPr>
                <w:noProof/>
                <w:webHidden/>
              </w:rPr>
              <w:fldChar w:fldCharType="separate"/>
            </w:r>
            <w:r w:rsidR="00B44CD6">
              <w:rPr>
                <w:noProof/>
                <w:webHidden/>
              </w:rPr>
              <w:t>4</w:t>
            </w:r>
            <w:r w:rsidR="00B44CD6">
              <w:rPr>
                <w:noProof/>
                <w:webHidden/>
              </w:rPr>
              <w:fldChar w:fldCharType="end"/>
            </w:r>
          </w:hyperlink>
        </w:p>
        <w:p w14:paraId="4ADE08D2" w14:textId="2A4A7CED" w:rsidR="00B44CD6" w:rsidRDefault="00000000">
          <w:pPr>
            <w:pStyle w:val="TOC1"/>
            <w:tabs>
              <w:tab w:val="right" w:leader="dot" w:pos="9350"/>
            </w:tabs>
            <w:rPr>
              <w:rFonts w:eastAsiaTheme="minorEastAsia"/>
              <w:b w:val="0"/>
              <w:bCs w:val="0"/>
              <w:i w:val="0"/>
              <w:iCs w:val="0"/>
              <w:noProof/>
              <w:szCs w:val="30"/>
              <w:lang w:eastAsia="en-GB"/>
            </w:rPr>
          </w:pPr>
          <w:hyperlink w:anchor="_Toc133281674" w:history="1">
            <w:r w:rsidR="00B44CD6" w:rsidRPr="00030EB9">
              <w:rPr>
                <w:rStyle w:val="Hyperlink"/>
                <w:noProof/>
              </w:rPr>
              <w:t>Conclusion</w:t>
            </w:r>
            <w:r w:rsidR="00B44CD6">
              <w:rPr>
                <w:noProof/>
                <w:webHidden/>
              </w:rPr>
              <w:tab/>
            </w:r>
            <w:r w:rsidR="00B44CD6">
              <w:rPr>
                <w:noProof/>
                <w:webHidden/>
              </w:rPr>
              <w:fldChar w:fldCharType="begin"/>
            </w:r>
            <w:r w:rsidR="00B44CD6">
              <w:rPr>
                <w:noProof/>
                <w:webHidden/>
              </w:rPr>
              <w:instrText xml:space="preserve"> PAGEREF _Toc133281674 \h </w:instrText>
            </w:r>
            <w:r w:rsidR="00B44CD6">
              <w:rPr>
                <w:noProof/>
                <w:webHidden/>
              </w:rPr>
            </w:r>
            <w:r w:rsidR="00B44CD6">
              <w:rPr>
                <w:noProof/>
                <w:webHidden/>
              </w:rPr>
              <w:fldChar w:fldCharType="separate"/>
            </w:r>
            <w:r w:rsidR="00B44CD6">
              <w:rPr>
                <w:noProof/>
                <w:webHidden/>
              </w:rPr>
              <w:t>6</w:t>
            </w:r>
            <w:r w:rsidR="00B44CD6">
              <w:rPr>
                <w:noProof/>
                <w:webHidden/>
              </w:rPr>
              <w:fldChar w:fldCharType="end"/>
            </w:r>
          </w:hyperlink>
        </w:p>
        <w:p w14:paraId="63321D50" w14:textId="430545BE" w:rsidR="00B44CD6" w:rsidRDefault="00B44CD6">
          <w:r>
            <w:rPr>
              <w:b/>
              <w:bCs/>
              <w:noProof/>
            </w:rPr>
            <w:fldChar w:fldCharType="end"/>
          </w:r>
        </w:p>
      </w:sdtContent>
    </w:sdt>
    <w:p w14:paraId="6A47375E" w14:textId="77777777" w:rsidR="00B44CD6" w:rsidRDefault="00B44CD6" w:rsidP="00B44CD6">
      <w:bookmarkStart w:id="0" w:name="_Toc133281671"/>
    </w:p>
    <w:p w14:paraId="069268B1" w14:textId="77777777" w:rsidR="00B44CD6" w:rsidRDefault="00B44CD6" w:rsidP="00B44CD6"/>
    <w:p w14:paraId="22E99D7A" w14:textId="77777777" w:rsidR="00B44CD6" w:rsidRDefault="00B44CD6" w:rsidP="00B44CD6"/>
    <w:p w14:paraId="5EF4AC94" w14:textId="77777777" w:rsidR="00B44CD6" w:rsidRDefault="00B44CD6" w:rsidP="00B44CD6"/>
    <w:p w14:paraId="314348DC" w14:textId="77777777" w:rsidR="00B44CD6" w:rsidRDefault="00B44CD6" w:rsidP="00B44CD6"/>
    <w:p w14:paraId="55BA2E96" w14:textId="77777777" w:rsidR="00B44CD6" w:rsidRDefault="00B44CD6" w:rsidP="00B44CD6"/>
    <w:p w14:paraId="4B152A58" w14:textId="77777777" w:rsidR="00B44CD6" w:rsidRDefault="00B44CD6" w:rsidP="00B44CD6"/>
    <w:p w14:paraId="399FE0FE" w14:textId="77777777" w:rsidR="00B44CD6" w:rsidRDefault="00B44CD6" w:rsidP="00B44CD6"/>
    <w:p w14:paraId="73807D34" w14:textId="77777777" w:rsidR="00B44CD6" w:rsidRDefault="00B44CD6" w:rsidP="00B44CD6"/>
    <w:p w14:paraId="5433ADC3" w14:textId="77777777" w:rsidR="00B44CD6" w:rsidRDefault="00B44CD6" w:rsidP="00B44CD6"/>
    <w:p w14:paraId="0F5B98E5" w14:textId="77777777" w:rsidR="00B44CD6" w:rsidRDefault="00B44CD6" w:rsidP="00B44CD6"/>
    <w:p w14:paraId="0B23673D" w14:textId="77777777" w:rsidR="00B44CD6" w:rsidRDefault="00B44CD6" w:rsidP="00B44CD6"/>
    <w:p w14:paraId="69DB2423" w14:textId="77777777" w:rsidR="00B44CD6" w:rsidRDefault="00B44CD6" w:rsidP="00B44CD6"/>
    <w:p w14:paraId="64D39F24" w14:textId="77777777" w:rsidR="00B44CD6" w:rsidRDefault="00B44CD6" w:rsidP="00B44CD6"/>
    <w:p w14:paraId="311E9D0C" w14:textId="77777777" w:rsidR="00B44CD6" w:rsidRDefault="00B44CD6" w:rsidP="00B44CD6"/>
    <w:p w14:paraId="699E2D77" w14:textId="77777777" w:rsidR="00B44CD6" w:rsidRDefault="00B44CD6" w:rsidP="00B44CD6"/>
    <w:p w14:paraId="28600EA2" w14:textId="551D90C2" w:rsidR="00C503FA" w:rsidRDefault="00000000" w:rsidP="00B44CD6">
      <w:pPr>
        <w:pStyle w:val="Heading1"/>
      </w:pPr>
      <w:r>
        <w:t>Introduction</w:t>
      </w:r>
      <w:bookmarkEnd w:id="0"/>
      <w:r>
        <w:t xml:space="preserve"> </w:t>
      </w:r>
    </w:p>
    <w:p w14:paraId="081E1D12" w14:textId="77777777" w:rsidR="00C503FA" w:rsidRDefault="00000000">
      <w:r>
        <w:t xml:space="preserve">As this era of globalization has reduced the restrictions of the business organizations to remain captive in a country’s boundary thus business organizations have become multinational and global entities operating their business on a global scale. Standard Chartered is one of the world’s largest global banking organizations which started its operation back in the year 1969 in collaboration with two banks which were </w:t>
      </w:r>
      <w:proofErr w:type="gramStart"/>
      <w:r>
        <w:t>The</w:t>
      </w:r>
      <w:proofErr w:type="gramEnd"/>
      <w:r>
        <w:t xml:space="preserve"> chartered bank of India, Australia, and China and another one is the Standard Bank of British South Africa (</w:t>
      </w:r>
      <w:proofErr w:type="spellStart"/>
      <w:r>
        <w:t>Panicker</w:t>
      </w:r>
      <w:proofErr w:type="spellEnd"/>
      <w:r>
        <w:t xml:space="preserve"> and Seshadri, 2013). Standard Chartered Bank is operating its business in the banking and financial service industry with an employee base consisting of 85,000 members serving on behalf of the bank in different locations in different countries around the world (Jun and Yoon, 2020). In this essay, there will be an analysis of Standard </w:t>
      </w:r>
      <w:proofErr w:type="spellStart"/>
      <w:r>
        <w:t>Chartered’s</w:t>
      </w:r>
      <w:proofErr w:type="spellEnd"/>
      <w:r>
        <w:t xml:space="preserve"> dividend policies, and the project appraisal approaches to evaluate the efficiency of the practices. This essay will also briefly discuss the efficient market hypothesis model in the context of the operational activities that are being undertaken by the organization. </w:t>
      </w:r>
    </w:p>
    <w:p w14:paraId="064DE235" w14:textId="77777777" w:rsidR="00C503FA" w:rsidRDefault="00C503FA"/>
    <w:p w14:paraId="74EBB43D" w14:textId="77777777" w:rsidR="00C503FA" w:rsidRDefault="00C503FA"/>
    <w:p w14:paraId="116E6FB7" w14:textId="77777777" w:rsidR="00C503FA" w:rsidRDefault="00C503FA"/>
    <w:p w14:paraId="54C07427" w14:textId="77777777" w:rsidR="00C503FA" w:rsidRDefault="00C503FA"/>
    <w:p w14:paraId="7634F09B" w14:textId="77777777" w:rsidR="00C503FA" w:rsidRDefault="00C503FA"/>
    <w:p w14:paraId="67FF4E7C" w14:textId="77777777" w:rsidR="00C503FA" w:rsidRDefault="00C503FA"/>
    <w:p w14:paraId="4872E5B4" w14:textId="77777777" w:rsidR="00C503FA" w:rsidRDefault="00C503FA"/>
    <w:p w14:paraId="7AE3117D" w14:textId="77777777" w:rsidR="00C503FA" w:rsidRDefault="00C503FA"/>
    <w:p w14:paraId="7422E636" w14:textId="77777777" w:rsidR="00C503FA" w:rsidRDefault="00C503FA"/>
    <w:p w14:paraId="79E6A4EB" w14:textId="77777777" w:rsidR="00C503FA" w:rsidRDefault="00C503FA"/>
    <w:p w14:paraId="2051BC97" w14:textId="77777777" w:rsidR="00C503FA" w:rsidRDefault="00C503FA"/>
    <w:p w14:paraId="7ABCB203" w14:textId="77777777" w:rsidR="00C503FA" w:rsidRDefault="00C503FA"/>
    <w:p w14:paraId="34061008" w14:textId="77777777" w:rsidR="00C503FA" w:rsidRDefault="00000000" w:rsidP="00B44CD6">
      <w:pPr>
        <w:pStyle w:val="Heading1"/>
      </w:pPr>
      <w:bookmarkStart w:id="1" w:name="_Toc133281672"/>
      <w:r>
        <w:t>The dividend policies that are being followed by the Standard Chartered</w:t>
      </w:r>
      <w:bookmarkEnd w:id="1"/>
      <w:r>
        <w:t xml:space="preserve"> </w:t>
      </w:r>
    </w:p>
    <w:p w14:paraId="67A1CEF5" w14:textId="77777777" w:rsidR="00C503FA" w:rsidRDefault="00000000">
      <w:r>
        <w:t>The dividend policies that are being followed by the Standard Charted have been considered one of the most significant aspects of the whole financial strategy of the organization to be considered (</w:t>
      </w:r>
      <w:proofErr w:type="spellStart"/>
      <w:r>
        <w:t>Mumo</w:t>
      </w:r>
      <w:proofErr w:type="spellEnd"/>
      <w:r>
        <w:t xml:space="preserve">, 2020). The bank has designed its dividend policies in such a way that it can keep a balance between the organization’s retained earnings which is very essential for the growth of the organization and upholding the interest of the stakeholders of the business by providing them the return that they expect to have from the money that they have invested. The bank has a reputation to be able to have designed its dividend policies in such a way that it symbolizes sustainability. Standard Chartered has upheld its reputation to design its dividend policies very progressively. The dividend-paying percentage of the bank is something between 40% to 60% of the organization's earnings per share for the very long term (Sahoo and </w:t>
      </w:r>
      <w:proofErr w:type="spellStart"/>
      <w:r>
        <w:t>Sureshkumar</w:t>
      </w:r>
      <w:proofErr w:type="spellEnd"/>
      <w:r>
        <w:t xml:space="preserve">, 2021). The organization’s ability to maintain this dividend payout percentage for a very long term has created a sense of stability in the mind of the shareholders and this predictable behavior of the organization has been working as the building block of trust among the shareholders. Back in the year 2015 and 2016, the organization didn't maintain consistency in its dividend payment practices which made the bank face criticism from the shareholders and investors (Jun and Yoon, 2020). The company’s tendency of maintaining a high payout ratio for the long term has limited the company’s exposure to growth though company this trend has been proven to be beneficial for investors who are up for short-term benefits. </w:t>
      </w:r>
      <w:proofErr w:type="gramStart"/>
      <w:r>
        <w:t>So</w:t>
      </w:r>
      <w:proofErr w:type="gramEnd"/>
      <w:r>
        <w:t xml:space="preserve"> it can be said that although Standard </w:t>
      </w:r>
      <w:proofErr w:type="spellStart"/>
      <w:r>
        <w:t>Chartered’s</w:t>
      </w:r>
      <w:proofErr w:type="spellEnd"/>
      <w:r>
        <w:t xml:space="preserve"> dividend policy has been considered to be sustainable and progressive the company’s keeping up the consistent dividend payout ratio irrespective of the financial position of a particular fiscal year has hindered the businesses opportunity to growth and thus for this the dividend policy of the standard charted has faced significant criticism over the time. </w:t>
      </w:r>
    </w:p>
    <w:p w14:paraId="458D74DB" w14:textId="77777777" w:rsidR="00C503FA" w:rsidRDefault="00000000">
      <w:pPr>
        <w:rPr>
          <w:b/>
          <w:bCs/>
        </w:rPr>
      </w:pPr>
      <w:r>
        <w:rPr>
          <w:b/>
          <w:bCs/>
        </w:rPr>
        <w:t xml:space="preserve">Analyzing the Efficient Market Hypothesis Theory based on Standard </w:t>
      </w:r>
      <w:proofErr w:type="spellStart"/>
      <w:r>
        <w:rPr>
          <w:b/>
          <w:bCs/>
        </w:rPr>
        <w:t>Chartered’s</w:t>
      </w:r>
      <w:proofErr w:type="spellEnd"/>
      <w:r>
        <w:rPr>
          <w:b/>
          <w:bCs/>
        </w:rPr>
        <w:t xml:space="preserve"> operational activities </w:t>
      </w:r>
    </w:p>
    <w:p w14:paraId="5EC8C5F5" w14:textId="77777777" w:rsidR="00C503FA" w:rsidRDefault="00000000">
      <w:r>
        <w:t xml:space="preserve">According to the Efficient Market Hypothesis theory it has been stated that the financial market has all the essential information available for evaluating a resource or a stock. It has also been stated that the prices of all the resources and the stocks in the financial market are the reflections </w:t>
      </w:r>
      <w:r>
        <w:lastRenderedPageBreak/>
        <w:t>of the information available at any time</w:t>
      </w:r>
      <w:r>
        <w:rPr>
          <w:rFonts w:ascii="Arial" w:hAnsi="Arial" w:cs="Arial"/>
          <w:color w:val="006621"/>
          <w:sz w:val="20"/>
          <w:szCs w:val="20"/>
          <w:shd w:val="clear" w:color="auto" w:fill="FFFFFF"/>
        </w:rPr>
        <w:t xml:space="preserve"> (</w:t>
      </w:r>
      <w:proofErr w:type="spellStart"/>
      <w:r>
        <w:t>Fakhry</w:t>
      </w:r>
      <w:proofErr w:type="spellEnd"/>
      <w:r>
        <w:t xml:space="preserve">, 2016). No stock can outperform for a very long time in the market as all the information already there existing in the market. As all the information is already available in the market as per EMH theory of finances so Standard Chartered can't have higher returns from the market. The other additional services that the bank has been providing to the customers include different sorts of fees and commissions and other revenue-earning streams, so it can be said that these cannot have a direct impact on the financial theory of the Efficient market hypothesis. Though this theory claims that the prices of the stocks and resources prevailing in the market have been considered as the reflection of the information available in the </w:t>
      </w:r>
      <w:proofErr w:type="gramStart"/>
      <w:r>
        <w:t>market</w:t>
      </w:r>
      <w:proofErr w:type="gramEnd"/>
      <w:r>
        <w:t xml:space="preserve"> but it can also be possible that the bank has access to information that is not available in the market such as prevailing macroeconomic trends that are there happening in a specific market or how much creditworthy a borrower is. The theory of EMH has not yet had its universal acceptance and there is a significant number of </w:t>
      </w:r>
      <w:proofErr w:type="gramStart"/>
      <w:r>
        <w:t>criticism</w:t>
      </w:r>
      <w:proofErr w:type="gramEnd"/>
      <w:r>
        <w:t xml:space="preserve"> are there in the market against the implication and credibility of this theory. It will not be a wise decision to make investment decisions based on the information available in the market rather it will be more beneficial for the investors to consider analyzing Standard </w:t>
      </w:r>
      <w:proofErr w:type="spellStart"/>
      <w:r>
        <w:t>Chartered’s</w:t>
      </w:r>
      <w:proofErr w:type="spellEnd"/>
      <w:r>
        <w:t xml:space="preserve"> full range of operational activities before coming to any conclusion. The financial theory of EMH is still not universally accepted to be considered the benchmark for coming to any kind of prompt conclusion without giving it a second thought</w:t>
      </w:r>
      <w:r>
        <w:rPr>
          <w:rFonts w:ascii="Arial" w:hAnsi="Arial" w:cs="Arial"/>
          <w:color w:val="006621"/>
          <w:sz w:val="20"/>
          <w:szCs w:val="20"/>
          <w:shd w:val="clear" w:color="auto" w:fill="FFFFFF"/>
        </w:rPr>
        <w:t xml:space="preserve"> (</w:t>
      </w:r>
      <w:proofErr w:type="spellStart"/>
      <w:r>
        <w:t>Ţiţan</w:t>
      </w:r>
      <w:proofErr w:type="spellEnd"/>
      <w:r>
        <w:t xml:space="preserve">, 2015). This financial theory has been prone to a significant amount of criticism over time by financial analysts and investors to be used without any judgment in the first place. </w:t>
      </w:r>
    </w:p>
    <w:p w14:paraId="575F1E05" w14:textId="77777777" w:rsidR="00C503FA" w:rsidRDefault="00000000" w:rsidP="00B44CD6">
      <w:pPr>
        <w:pStyle w:val="Heading1"/>
      </w:pPr>
      <w:bookmarkStart w:id="2" w:name="_Toc133281673"/>
      <w:r>
        <w:t xml:space="preserve">Standard </w:t>
      </w:r>
      <w:proofErr w:type="spellStart"/>
      <w:r>
        <w:t>Chartered’s</w:t>
      </w:r>
      <w:proofErr w:type="spellEnd"/>
      <w:r>
        <w:t xml:space="preserve"> method of appraising projects</w:t>
      </w:r>
      <w:bookmarkEnd w:id="2"/>
      <w:r>
        <w:t xml:space="preserve"> </w:t>
      </w:r>
    </w:p>
    <w:p w14:paraId="770F93BC" w14:textId="77777777" w:rsidR="00C503FA" w:rsidRDefault="00000000">
      <w:r>
        <w:t xml:space="preserve">Standard Chartered is operating its business in the global financial services and banking industry and thus the bank has a wide range of financial services included in its service base to be provided to the customers. Other than depositing the capital of the customers, Standard Chartered offers services like financing projects as an investment of the bank, and financing projects on behalf of the clients for personal usage or different industries (Costello and Willcocks, 2018). Standard Chartered has designed its whole project appraisal process consisting of several analytical techniques of several steps such as analysis of the financial credibility of the project, analyzing the risks associated with the project, and examining the feasibility of the project. Standard Chartered in its method of the appraising project always tries to use data that is up-to-date and authentic so that the result from the analysis can have the credibility to reflect the current market condition. </w:t>
      </w:r>
      <w:r>
        <w:lastRenderedPageBreak/>
        <w:t xml:space="preserve">Assumptions and different kinds of methodologies have been used for the appraisal. Standard Chartered has always given significance to using assumptions and methodologies that are transparent and tested vigorously to ensure that these are valid. From the perspective of corporate social responsibility, Standard Chartered has also seen to take into consideration of the environmental and social impact of the project as a part of the project appraisal process (Sahoo and </w:t>
      </w:r>
      <w:proofErr w:type="spellStart"/>
      <w:r>
        <w:t>Sureshkumar</w:t>
      </w:r>
      <w:proofErr w:type="spellEnd"/>
      <w:r>
        <w:t xml:space="preserve">, 2021). The bank has been analyzing the business risks and the external risks over which the bank has no control such as the associated political risks, risks associated with the market, and the risks that are associated with the regulatory issues of the business. Proper analytical and computerized software is being used by the bank to analyze and evaluate these risks associated with the project so that it can get easier the projection of the risks and take appropriate actions to mitigate them. As a global brand in the banking and financial service industry of the world, Standard Chartered has significant expertise in the field of appraising projects as the bank has developed teams that consist of the world’s best financial analysts and strategy developers. </w:t>
      </w:r>
      <w:proofErr w:type="gramStart"/>
      <w:r>
        <w:t>So</w:t>
      </w:r>
      <w:proofErr w:type="gramEnd"/>
      <w:r>
        <w:t xml:space="preserve"> the project appraising method that has been used by the Bank would be a reasonable one to have the trust on. </w:t>
      </w:r>
    </w:p>
    <w:p w14:paraId="2BA37F0C" w14:textId="77777777" w:rsidR="00C503FA" w:rsidRDefault="00C503FA"/>
    <w:p w14:paraId="3A4DAAA1" w14:textId="77777777" w:rsidR="00C503FA" w:rsidRDefault="00C503FA"/>
    <w:p w14:paraId="5097AFF7" w14:textId="77777777" w:rsidR="00C503FA" w:rsidRDefault="00C503FA"/>
    <w:p w14:paraId="66466986" w14:textId="77777777" w:rsidR="00C503FA" w:rsidRDefault="00C503FA"/>
    <w:p w14:paraId="364B2EDE" w14:textId="77777777" w:rsidR="00C503FA" w:rsidRDefault="00C503FA"/>
    <w:p w14:paraId="7D51D7C8" w14:textId="77777777" w:rsidR="00C503FA" w:rsidRDefault="00C503FA"/>
    <w:p w14:paraId="47D00B64" w14:textId="77777777" w:rsidR="00C503FA" w:rsidRDefault="00C503FA"/>
    <w:p w14:paraId="1351DF5C" w14:textId="77777777" w:rsidR="00C503FA" w:rsidRDefault="00C503FA"/>
    <w:p w14:paraId="46F292B4" w14:textId="77777777" w:rsidR="00C503FA" w:rsidRDefault="00C503FA"/>
    <w:p w14:paraId="62F2EBC4" w14:textId="77777777" w:rsidR="00C503FA" w:rsidRDefault="00C503FA"/>
    <w:p w14:paraId="1C4B9905" w14:textId="77777777" w:rsidR="00C503FA" w:rsidRDefault="00C503FA"/>
    <w:p w14:paraId="1B3A0DFD" w14:textId="77777777" w:rsidR="00C503FA" w:rsidRDefault="00C503FA"/>
    <w:p w14:paraId="1D376D17" w14:textId="77777777" w:rsidR="00C503FA" w:rsidRDefault="00000000" w:rsidP="00B44CD6">
      <w:pPr>
        <w:pStyle w:val="Heading1"/>
      </w:pPr>
      <w:bookmarkStart w:id="3" w:name="_Toc133281674"/>
      <w:r>
        <w:lastRenderedPageBreak/>
        <w:t>Conclusion</w:t>
      </w:r>
      <w:bookmarkEnd w:id="3"/>
      <w:r>
        <w:t xml:space="preserve"> </w:t>
      </w:r>
    </w:p>
    <w:p w14:paraId="7260DE73" w14:textId="77777777" w:rsidR="00C503FA" w:rsidRDefault="00000000">
      <w:r>
        <w:t xml:space="preserve">Standard Chartered has been considered as a brand in the global banking industry which has its operation running almost worldwide. The bank has a reputation to be able to keep its dividend payout ratio steady over the years but still the dividend policies that are being followed by the bank have to face criticism for not being able to retain earnings and then paying a high percentage of dividends for the growth purpose. The EMH theory outlines the idea that the required information to justify the prices of a stock is always available in the market which is not feasible in every situation as there remains information that can have an indirect impact on the prices of the stock which is yet not published in the market. </w:t>
      </w:r>
      <w:proofErr w:type="gramStart"/>
      <w:r>
        <w:t>So</w:t>
      </w:r>
      <w:proofErr w:type="gramEnd"/>
      <w:r>
        <w:t xml:space="preserve"> the theory is prone to significant debates and the investors should opt for analyzing in-depth analysis of the information of Standard Chartered so that can get the authentic information. Standard Chartered has designed its project appraisal in such a way that it considers all the risks and possibilities in consideration so that the results remain transparent and authentic. </w:t>
      </w:r>
    </w:p>
    <w:p w14:paraId="0942CC7B" w14:textId="77777777" w:rsidR="00C503FA" w:rsidRDefault="00C503FA"/>
    <w:p w14:paraId="62AB30F8" w14:textId="77777777" w:rsidR="00C503FA" w:rsidRDefault="00C503FA"/>
    <w:p w14:paraId="5C829354" w14:textId="77777777" w:rsidR="00C503FA" w:rsidRDefault="00C503FA"/>
    <w:p w14:paraId="185AD350" w14:textId="77777777" w:rsidR="00C503FA" w:rsidRDefault="00C503FA"/>
    <w:p w14:paraId="6F6956B6" w14:textId="77777777" w:rsidR="00C503FA" w:rsidRDefault="00C503FA"/>
    <w:p w14:paraId="37307C3A" w14:textId="77777777" w:rsidR="00C503FA" w:rsidRDefault="00C503FA"/>
    <w:p w14:paraId="5A1A9D80" w14:textId="77777777" w:rsidR="00C503FA" w:rsidRDefault="00C503FA"/>
    <w:p w14:paraId="4A192EEF" w14:textId="77777777" w:rsidR="00C503FA" w:rsidRDefault="00C503FA"/>
    <w:p w14:paraId="432A7532" w14:textId="77777777" w:rsidR="00C503FA" w:rsidRDefault="00C503FA"/>
    <w:p w14:paraId="4EDEC7FE" w14:textId="77777777" w:rsidR="00C503FA" w:rsidRDefault="00C503FA"/>
    <w:p w14:paraId="53AB4A64" w14:textId="77777777" w:rsidR="00C503FA" w:rsidRDefault="00C503FA"/>
    <w:p w14:paraId="6D51C67A" w14:textId="77777777" w:rsidR="00C503FA" w:rsidRDefault="00C503FA"/>
    <w:p w14:paraId="75382297" w14:textId="77777777" w:rsidR="00C503FA" w:rsidRDefault="00C503FA"/>
    <w:p w14:paraId="0593E6D5" w14:textId="77777777" w:rsidR="00C503FA" w:rsidRDefault="00000000">
      <w:pPr>
        <w:rPr>
          <w:b/>
          <w:bCs/>
        </w:rPr>
      </w:pPr>
      <w:r>
        <w:rPr>
          <w:b/>
          <w:bCs/>
        </w:rPr>
        <w:lastRenderedPageBreak/>
        <w:t xml:space="preserve">References </w:t>
      </w:r>
    </w:p>
    <w:p w14:paraId="160B231E" w14:textId="77777777" w:rsidR="00C503FA" w:rsidRDefault="00000000">
      <w:r>
        <w:t>Costello, G., and Willcocks, L. P. (2018). Innovating customer relationship management cloud services at Standard Chartered Bank. </w:t>
      </w:r>
      <w:r>
        <w:rPr>
          <w:i/>
          <w:iCs/>
        </w:rPr>
        <w:t>Dynamic Innovation in Outsourcing: Theories, Cases and Practices</w:t>
      </w:r>
      <w:r>
        <w:t>, 239-268.</w:t>
      </w:r>
    </w:p>
    <w:p w14:paraId="444EF00B" w14:textId="77777777" w:rsidR="00C503FA" w:rsidRDefault="00000000">
      <w:proofErr w:type="spellStart"/>
      <w:r>
        <w:t>Fakhry</w:t>
      </w:r>
      <w:proofErr w:type="spellEnd"/>
      <w:r>
        <w:t>, B. (2016). A literature review of the efficient market hypothesis. European</w:t>
      </w:r>
      <w:r>
        <w:rPr>
          <w:i/>
          <w:iCs/>
        </w:rPr>
        <w:t xml:space="preserve"> Economic Review</w:t>
      </w:r>
      <w:r>
        <w:t>, </w:t>
      </w:r>
      <w:r>
        <w:rPr>
          <w:i/>
          <w:iCs/>
        </w:rPr>
        <w:t>3</w:t>
      </w:r>
      <w:r>
        <w:t>(3), 431-442.</w:t>
      </w:r>
    </w:p>
    <w:p w14:paraId="235BAE0A" w14:textId="77777777" w:rsidR="00C503FA" w:rsidRDefault="00000000">
      <w:r>
        <w:t>Jun, B. W., and Yoon, S. M. (2020). Foreign banks acquisition strategy and the business approach of domestic bank: a case of standard chartered bank. </w:t>
      </w:r>
      <w:r>
        <w:rPr>
          <w:i/>
          <w:iCs/>
        </w:rPr>
        <w:t>Asian Economic and Financial Review</w:t>
      </w:r>
      <w:r>
        <w:t>, </w:t>
      </w:r>
      <w:r>
        <w:rPr>
          <w:i/>
          <w:iCs/>
        </w:rPr>
        <w:t>10</w:t>
      </w:r>
      <w:r>
        <w:t>(7), 861-874.</w:t>
      </w:r>
    </w:p>
    <w:p w14:paraId="0F307985" w14:textId="77777777" w:rsidR="00C503FA" w:rsidRDefault="00000000">
      <w:proofErr w:type="spellStart"/>
      <w:r>
        <w:t>Mumo</w:t>
      </w:r>
      <w:proofErr w:type="spellEnd"/>
      <w:r>
        <w:t>, M. N. (2020). </w:t>
      </w:r>
      <w:r>
        <w:rPr>
          <w:i/>
          <w:iCs/>
        </w:rPr>
        <w:t>Strategies used by standard chartered bank in building a sustainable competitive advantage in international markets</w:t>
      </w:r>
      <w:r>
        <w:t> (Doctoral dissertation).</w:t>
      </w:r>
    </w:p>
    <w:p w14:paraId="51B2AC85" w14:textId="77777777" w:rsidR="00C503FA" w:rsidRDefault="00000000">
      <w:proofErr w:type="spellStart"/>
      <w:r>
        <w:t>Panicker</w:t>
      </w:r>
      <w:proofErr w:type="spellEnd"/>
      <w:r>
        <w:t>, S., and Seshadri, V. (2013). Devising a balanced scorecard to determine Standard Chartered Bank's Performance: A case Study. </w:t>
      </w:r>
      <w:r>
        <w:rPr>
          <w:i/>
          <w:iCs/>
        </w:rPr>
        <w:t>International Journal of Business Research and Development</w:t>
      </w:r>
      <w:r>
        <w:t>, </w:t>
      </w:r>
      <w:r>
        <w:rPr>
          <w:i/>
          <w:iCs/>
        </w:rPr>
        <w:t>2</w:t>
      </w:r>
      <w:r>
        <w:t>(2).</w:t>
      </w:r>
    </w:p>
    <w:p w14:paraId="4E9155EA" w14:textId="77777777" w:rsidR="00C503FA" w:rsidRDefault="00000000">
      <w:r>
        <w:t xml:space="preserve">Sahoo, D., and </w:t>
      </w:r>
      <w:proofErr w:type="spellStart"/>
      <w:r>
        <w:t>Sureshkumar</w:t>
      </w:r>
      <w:proofErr w:type="spellEnd"/>
      <w:r>
        <w:t>, S. (2021). Strategies for Successful Customer Retention in Multinational Bank with Reference to Standard Chartered Bank. </w:t>
      </w:r>
      <w:r>
        <w:rPr>
          <w:i/>
          <w:iCs/>
        </w:rPr>
        <w:t>Journal of Contemporary Research in Management</w:t>
      </w:r>
      <w:r>
        <w:t>, </w:t>
      </w:r>
      <w:r>
        <w:rPr>
          <w:i/>
          <w:iCs/>
        </w:rPr>
        <w:t>6</w:t>
      </w:r>
      <w:r>
        <w:t>(1), 1.</w:t>
      </w:r>
    </w:p>
    <w:p w14:paraId="3899C58E" w14:textId="77777777" w:rsidR="00C503FA" w:rsidRDefault="00000000">
      <w:proofErr w:type="spellStart"/>
      <w:r>
        <w:t>Ţiţan</w:t>
      </w:r>
      <w:proofErr w:type="spellEnd"/>
      <w:r>
        <w:t>, A. G. (2015). The efficient market hypothesis: Review of specialized literature and empirical research. </w:t>
      </w:r>
      <w:r>
        <w:rPr>
          <w:i/>
          <w:iCs/>
        </w:rPr>
        <w:t>Procedia Economics and Finance</w:t>
      </w:r>
      <w:r>
        <w:t>, </w:t>
      </w:r>
      <w:r>
        <w:rPr>
          <w:i/>
          <w:iCs/>
        </w:rPr>
        <w:t>32</w:t>
      </w:r>
      <w:r>
        <w:t>, 442-449.</w:t>
      </w:r>
    </w:p>
    <w:p w14:paraId="7E3CA05D" w14:textId="77777777" w:rsidR="00C503FA" w:rsidRDefault="00C503FA"/>
    <w:sectPr w:rsidR="00C503FA">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50B9E6" w14:textId="77777777" w:rsidR="00384728" w:rsidRDefault="00384728">
      <w:pPr>
        <w:spacing w:line="240" w:lineRule="auto"/>
      </w:pPr>
      <w:r>
        <w:separator/>
      </w:r>
    </w:p>
  </w:endnote>
  <w:endnote w:type="continuationSeparator" w:id="0">
    <w:p w14:paraId="449A23CD" w14:textId="77777777" w:rsidR="00384728" w:rsidRDefault="0038472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B2135C" w14:textId="77777777" w:rsidR="00384728" w:rsidRDefault="00384728">
      <w:pPr>
        <w:spacing w:after="0"/>
      </w:pPr>
      <w:r>
        <w:separator/>
      </w:r>
    </w:p>
  </w:footnote>
  <w:footnote w:type="continuationSeparator" w:id="0">
    <w:p w14:paraId="244FDAB9" w14:textId="77777777" w:rsidR="00384728" w:rsidRDefault="00384728">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M1tTAwsjQxMTc2MDJR0lEKTi0uzszPAykwrAUA2Qm8cCwAAAA="/>
  </w:docVars>
  <w:rsids>
    <w:rsidRoot w:val="00A6017A"/>
    <w:rsid w:val="0003601B"/>
    <w:rsid w:val="000C441B"/>
    <w:rsid w:val="00132C5E"/>
    <w:rsid w:val="00171EF1"/>
    <w:rsid w:val="001C7853"/>
    <w:rsid w:val="00246E1A"/>
    <w:rsid w:val="002C3E52"/>
    <w:rsid w:val="00331A53"/>
    <w:rsid w:val="00367DDE"/>
    <w:rsid w:val="00381DDC"/>
    <w:rsid w:val="00384728"/>
    <w:rsid w:val="003E0473"/>
    <w:rsid w:val="004344E0"/>
    <w:rsid w:val="0044312E"/>
    <w:rsid w:val="005C1C78"/>
    <w:rsid w:val="005E754A"/>
    <w:rsid w:val="00677A01"/>
    <w:rsid w:val="006D6469"/>
    <w:rsid w:val="007571EA"/>
    <w:rsid w:val="007C71B5"/>
    <w:rsid w:val="008901FD"/>
    <w:rsid w:val="008B54F8"/>
    <w:rsid w:val="0095521A"/>
    <w:rsid w:val="009B0DD2"/>
    <w:rsid w:val="009D0CE1"/>
    <w:rsid w:val="00A3015B"/>
    <w:rsid w:val="00A6017A"/>
    <w:rsid w:val="00AA39BE"/>
    <w:rsid w:val="00AD4173"/>
    <w:rsid w:val="00B44CD6"/>
    <w:rsid w:val="00B604B5"/>
    <w:rsid w:val="00BF2ACA"/>
    <w:rsid w:val="00C503FA"/>
    <w:rsid w:val="00C82B75"/>
    <w:rsid w:val="00CC484D"/>
    <w:rsid w:val="00CE2F19"/>
    <w:rsid w:val="00D2490F"/>
    <w:rsid w:val="00E00AA6"/>
    <w:rsid w:val="00EF3482"/>
    <w:rsid w:val="00F63792"/>
    <w:rsid w:val="00F76E08"/>
    <w:rsid w:val="07BC542A"/>
    <w:rsid w:val="2D93278D"/>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decimalSymbol w:val="."/>
  <w:listSeparator w:val=","/>
  <w14:docId w14:val="41C4C8EB"/>
  <w15:docId w15:val="{22D2DCDC-74B2-0449-89DF-3D8E537286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lang w:eastAsia="en-GB" w:bidi="bn-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360" w:lineRule="auto"/>
      <w:jc w:val="both"/>
    </w:pPr>
    <w:rPr>
      <w:rFonts w:ascii="Times New Roman" w:hAnsi="Times New Roman"/>
      <w:sz w:val="24"/>
      <w:szCs w:val="28"/>
      <w:lang w:val="en-US" w:eastAsia="en-US"/>
    </w:rPr>
  </w:style>
  <w:style w:type="paragraph" w:styleId="Heading1">
    <w:name w:val="heading 1"/>
    <w:basedOn w:val="Normal"/>
    <w:next w:val="Normal"/>
    <w:link w:val="Heading1Char"/>
    <w:uiPriority w:val="9"/>
    <w:qFormat/>
    <w:rsid w:val="00B44CD6"/>
    <w:pPr>
      <w:keepNext/>
      <w:keepLines/>
      <w:spacing w:before="240" w:after="0"/>
      <w:outlineLvl w:val="0"/>
    </w:pPr>
    <w:rPr>
      <w:rFonts w:asciiTheme="majorHAnsi" w:eastAsiaTheme="majorEastAsia" w:hAnsiTheme="majorHAnsi" w:cstheme="majorBidi"/>
      <w:color w:val="2E74B5" w:themeColor="accent1" w:themeShade="BF"/>
      <w:sz w:val="32"/>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sid w:val="00B44CD6"/>
    <w:rPr>
      <w:rFonts w:asciiTheme="majorHAnsi" w:eastAsiaTheme="majorEastAsia" w:hAnsiTheme="majorHAnsi" w:cstheme="majorBidi"/>
      <w:color w:val="2E74B5" w:themeColor="accent1" w:themeShade="BF"/>
      <w:sz w:val="32"/>
      <w:szCs w:val="40"/>
      <w:lang w:val="en-US" w:eastAsia="en-US"/>
    </w:rPr>
  </w:style>
  <w:style w:type="paragraph" w:styleId="TOCHeading">
    <w:name w:val="TOC Heading"/>
    <w:basedOn w:val="Heading1"/>
    <w:next w:val="Normal"/>
    <w:uiPriority w:val="39"/>
    <w:unhideWhenUsed/>
    <w:qFormat/>
    <w:rsid w:val="00B44CD6"/>
    <w:pPr>
      <w:spacing w:before="480" w:line="276" w:lineRule="auto"/>
      <w:jc w:val="left"/>
      <w:outlineLvl w:val="9"/>
    </w:pPr>
    <w:rPr>
      <w:b/>
      <w:bCs/>
      <w:sz w:val="28"/>
      <w:szCs w:val="28"/>
      <w:lang w:bidi="ar-SA"/>
    </w:rPr>
  </w:style>
  <w:style w:type="paragraph" w:styleId="TOC1">
    <w:name w:val="toc 1"/>
    <w:basedOn w:val="Normal"/>
    <w:next w:val="Normal"/>
    <w:autoRedefine/>
    <w:uiPriority w:val="39"/>
    <w:unhideWhenUsed/>
    <w:rsid w:val="00B44CD6"/>
    <w:pPr>
      <w:spacing w:before="120" w:after="0"/>
      <w:jc w:val="left"/>
    </w:pPr>
    <w:rPr>
      <w:rFonts w:asciiTheme="minorHAnsi" w:hAnsiTheme="minorHAnsi" w:cs="Vrinda"/>
      <w:b/>
      <w:bCs/>
      <w:i/>
      <w:iCs/>
      <w:szCs w:val="24"/>
    </w:rPr>
  </w:style>
  <w:style w:type="paragraph" w:styleId="TOC2">
    <w:name w:val="toc 2"/>
    <w:basedOn w:val="Normal"/>
    <w:next w:val="Normal"/>
    <w:autoRedefine/>
    <w:uiPriority w:val="39"/>
    <w:semiHidden/>
    <w:unhideWhenUsed/>
    <w:rsid w:val="00B44CD6"/>
    <w:pPr>
      <w:spacing w:before="120" w:after="0"/>
      <w:ind w:left="240"/>
      <w:jc w:val="left"/>
    </w:pPr>
    <w:rPr>
      <w:rFonts w:asciiTheme="minorHAnsi" w:hAnsiTheme="minorHAnsi" w:cs="Vrinda"/>
      <w:b/>
      <w:bCs/>
      <w:sz w:val="22"/>
      <w:szCs w:val="22"/>
    </w:rPr>
  </w:style>
  <w:style w:type="paragraph" w:styleId="TOC3">
    <w:name w:val="toc 3"/>
    <w:basedOn w:val="Normal"/>
    <w:next w:val="Normal"/>
    <w:autoRedefine/>
    <w:uiPriority w:val="39"/>
    <w:semiHidden/>
    <w:unhideWhenUsed/>
    <w:rsid w:val="00B44CD6"/>
    <w:pPr>
      <w:spacing w:after="0"/>
      <w:ind w:left="480"/>
      <w:jc w:val="left"/>
    </w:pPr>
    <w:rPr>
      <w:rFonts w:asciiTheme="minorHAnsi" w:hAnsiTheme="minorHAnsi" w:cs="Vrinda"/>
      <w:sz w:val="20"/>
      <w:szCs w:val="20"/>
    </w:rPr>
  </w:style>
  <w:style w:type="paragraph" w:styleId="TOC4">
    <w:name w:val="toc 4"/>
    <w:basedOn w:val="Normal"/>
    <w:next w:val="Normal"/>
    <w:autoRedefine/>
    <w:uiPriority w:val="39"/>
    <w:semiHidden/>
    <w:unhideWhenUsed/>
    <w:rsid w:val="00B44CD6"/>
    <w:pPr>
      <w:spacing w:after="0"/>
      <w:ind w:left="720"/>
      <w:jc w:val="left"/>
    </w:pPr>
    <w:rPr>
      <w:rFonts w:asciiTheme="minorHAnsi" w:hAnsiTheme="minorHAnsi" w:cs="Vrinda"/>
      <w:sz w:val="20"/>
      <w:szCs w:val="20"/>
    </w:rPr>
  </w:style>
  <w:style w:type="paragraph" w:styleId="TOC5">
    <w:name w:val="toc 5"/>
    <w:basedOn w:val="Normal"/>
    <w:next w:val="Normal"/>
    <w:autoRedefine/>
    <w:uiPriority w:val="39"/>
    <w:semiHidden/>
    <w:unhideWhenUsed/>
    <w:rsid w:val="00B44CD6"/>
    <w:pPr>
      <w:spacing w:after="0"/>
      <w:ind w:left="960"/>
      <w:jc w:val="left"/>
    </w:pPr>
    <w:rPr>
      <w:rFonts w:asciiTheme="minorHAnsi" w:hAnsiTheme="minorHAnsi" w:cs="Vrinda"/>
      <w:sz w:val="20"/>
      <w:szCs w:val="20"/>
    </w:rPr>
  </w:style>
  <w:style w:type="paragraph" w:styleId="TOC6">
    <w:name w:val="toc 6"/>
    <w:basedOn w:val="Normal"/>
    <w:next w:val="Normal"/>
    <w:autoRedefine/>
    <w:uiPriority w:val="39"/>
    <w:semiHidden/>
    <w:unhideWhenUsed/>
    <w:rsid w:val="00B44CD6"/>
    <w:pPr>
      <w:spacing w:after="0"/>
      <w:ind w:left="1200"/>
      <w:jc w:val="left"/>
    </w:pPr>
    <w:rPr>
      <w:rFonts w:asciiTheme="minorHAnsi" w:hAnsiTheme="minorHAnsi" w:cs="Vrinda"/>
      <w:sz w:val="20"/>
      <w:szCs w:val="20"/>
    </w:rPr>
  </w:style>
  <w:style w:type="paragraph" w:styleId="TOC7">
    <w:name w:val="toc 7"/>
    <w:basedOn w:val="Normal"/>
    <w:next w:val="Normal"/>
    <w:autoRedefine/>
    <w:uiPriority w:val="39"/>
    <w:semiHidden/>
    <w:unhideWhenUsed/>
    <w:rsid w:val="00B44CD6"/>
    <w:pPr>
      <w:spacing w:after="0"/>
      <w:ind w:left="1440"/>
      <w:jc w:val="left"/>
    </w:pPr>
    <w:rPr>
      <w:rFonts w:asciiTheme="minorHAnsi" w:hAnsiTheme="minorHAnsi" w:cs="Vrinda"/>
      <w:sz w:val="20"/>
      <w:szCs w:val="20"/>
    </w:rPr>
  </w:style>
  <w:style w:type="paragraph" w:styleId="TOC8">
    <w:name w:val="toc 8"/>
    <w:basedOn w:val="Normal"/>
    <w:next w:val="Normal"/>
    <w:autoRedefine/>
    <w:uiPriority w:val="39"/>
    <w:semiHidden/>
    <w:unhideWhenUsed/>
    <w:rsid w:val="00B44CD6"/>
    <w:pPr>
      <w:spacing w:after="0"/>
      <w:ind w:left="1680"/>
      <w:jc w:val="left"/>
    </w:pPr>
    <w:rPr>
      <w:rFonts w:asciiTheme="minorHAnsi" w:hAnsiTheme="minorHAnsi" w:cs="Vrinda"/>
      <w:sz w:val="20"/>
      <w:szCs w:val="20"/>
    </w:rPr>
  </w:style>
  <w:style w:type="paragraph" w:styleId="TOC9">
    <w:name w:val="toc 9"/>
    <w:basedOn w:val="Normal"/>
    <w:next w:val="Normal"/>
    <w:autoRedefine/>
    <w:uiPriority w:val="39"/>
    <w:semiHidden/>
    <w:unhideWhenUsed/>
    <w:rsid w:val="00B44CD6"/>
    <w:pPr>
      <w:spacing w:after="0"/>
      <w:ind w:left="1920"/>
      <w:jc w:val="left"/>
    </w:pPr>
    <w:rPr>
      <w:rFonts w:asciiTheme="minorHAnsi" w:hAnsiTheme="minorHAnsi" w:cs="Vrinda"/>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DCD156D-CEF2-FB4F-9FEA-C181569BCF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199</TotalTime>
  <Pages>8</Pages>
  <Words>1638</Words>
  <Characters>9340</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Manager/>
  <Company>HP</Company>
  <LinksUpToDate>false</LinksUpToDate>
  <CharactersWithSpaces>10957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Florans Miteva</cp:lastModifiedBy>
  <cp:revision>38</cp:revision>
  <dcterms:created xsi:type="dcterms:W3CDTF">2023-04-21T13:40:00Z</dcterms:created>
  <dcterms:modified xsi:type="dcterms:W3CDTF">2023-04-25T16:16:00Z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1033-11.2.0.11486</vt:lpwstr>
  </property>
  <property fmtid="{D5CDD505-2E9C-101B-9397-08002B2CF9AE}" pid="3" name="ICV">
    <vt:lpwstr>6DF255F8813F407CB97DE847A5354163</vt:lpwstr>
  </property>
</Properties>
</file>