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DB133A" w:rsidP="00DB133A">
              <w:pPr>
                <w:pStyle w:val="NoSpacing"/>
                <w:pBdr>
                  <w:top w:val="single" w:sz="6" w:space="6" w:color="5B9BD5" w:themeColor="accent1"/>
                  <w:bottom w:val="single" w:sz="6" w:space="6" w:color="5B9BD5" w:themeColor="accent1"/>
                </w:pBdr>
                <w:spacing w:after="240"/>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budgeting principles and approaches - edwards</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rsidR="007D1947" w:rsidRDefault="004B79BE" w:rsidP="004B79BE">
              <w:pPr>
                <w:pStyle w:val="NoSpacing"/>
                <w:jc w:val="center"/>
                <w:rPr>
                  <w:color w:val="5B9BD5" w:themeColor="accent1"/>
                  <w:sz w:val="28"/>
                  <w:szCs w:val="28"/>
                </w:rPr>
              </w:pPr>
              <w:r>
                <w:rPr>
                  <w:color w:val="5B9BD5" w:themeColor="accent1"/>
                  <w:sz w:val="28"/>
                  <w:szCs w:val="28"/>
                </w:rPr>
                <w:t xml:space="preserve">Irina </w:t>
              </w:r>
              <w:proofErr w:type="spellStart"/>
              <w:r>
                <w:rPr>
                  <w:color w:val="5B9BD5" w:themeColor="accent1"/>
                  <w:sz w:val="28"/>
                  <w:szCs w:val="28"/>
                </w:rPr>
                <w:t>Kitley</w:t>
              </w:r>
              <w:proofErr w:type="spellEnd"/>
              <w:r>
                <w:rPr>
                  <w:color w:val="5B9BD5" w:themeColor="accent1"/>
                  <w:sz w:val="28"/>
                  <w:szCs w:val="28"/>
                </w:rPr>
                <w:t xml:space="preserve"> 2219546 </w:t>
              </w:r>
            </w:p>
          </w:sdtContent>
        </w:sdt>
        <w:p w:rsidR="007D1947" w:rsidRDefault="00E53189">
          <w:pPr>
            <w:pStyle w:val="NoSpacing"/>
            <w:spacing w:before="480"/>
            <w:jc w:val="center"/>
            <w:rPr>
              <w:color w:val="5B9BD5" w:themeColor="accent1"/>
            </w:rPr>
          </w:pPr>
          <w:r>
            <w:rPr>
              <w:noProof/>
              <w:color w:val="5B9BD5" w:themeColor="accent1"/>
              <w:lang w:val="en-GB" w:eastAsia="en-GB"/>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next-textbox:#Text Box 142;mso-fit-shape-to-text:t" inset="0,0,0,0">
                  <w:txbxContent>
                    <w:sdt>
                      <w:sdtPr>
                        <w:rPr>
                          <w:caps/>
                          <w:color w:val="5B9BD5" w:themeColor="accent1"/>
                          <w:sz w:val="28"/>
                          <w:szCs w:val="28"/>
                        </w:rPr>
                        <w:alias w:val="Date"/>
                        <w:tag w:val=""/>
                        <w:id w:val="136160178"/>
                        <w:dataBinding w:prefixMappings="xmlns:ns0='http://schemas.microsoft.com/office/2006/coverPageProps' " w:xpath="/ns0:CoverPageProperties[1]/ns0:PublishDate[1]" w:storeItemID="{55AF091B-3C7A-41E3-B477-F2FDAA23CFDA}"/>
                        <w:date w:fullDate="2024-04-15T00:00:00Z">
                          <w:dateFormat w:val="MMMM d, yyyy"/>
                          <w:lid w:val="en-US"/>
                          <w:storeMappedDataAs w:val="dateTime"/>
                          <w:calendar w:val="gregorian"/>
                        </w:date>
                      </w:sdtPr>
                      <w:sdtContent>
                        <w:p w:rsidR="009260DE" w:rsidRDefault="009260DE">
                          <w:pPr>
                            <w:pStyle w:val="NoSpacing"/>
                            <w:spacing w:after="40"/>
                            <w:jc w:val="center"/>
                            <w:rPr>
                              <w:caps/>
                              <w:color w:val="5B9BD5" w:themeColor="accent1"/>
                              <w:sz w:val="28"/>
                              <w:szCs w:val="28"/>
                            </w:rPr>
                          </w:pPr>
                          <w:r>
                            <w:rPr>
                              <w:caps/>
                              <w:color w:val="5B9BD5" w:themeColor="accent1"/>
                              <w:sz w:val="28"/>
                              <w:szCs w:val="28"/>
                            </w:rPr>
                            <w:t>April 15, 2024</w:t>
                          </w:r>
                        </w:p>
                      </w:sdtContent>
                    </w:sdt>
                    <w:p w:rsidR="009260DE" w:rsidRDefault="009260DE">
                      <w:pPr>
                        <w:pStyle w:val="NoSpacing"/>
                        <w:jc w:val="center"/>
                        <w:rPr>
                          <w:color w:val="5B9BD5" w:themeColor="accent1"/>
                        </w:rPr>
                      </w:pPr>
                      <w:sdt>
                        <w:sdtPr>
                          <w:rPr>
                            <w:caps/>
                            <w:color w:val="5B9BD5" w:themeColor="accent1"/>
                          </w:rPr>
                          <w:alias w:val="Company"/>
                          <w:tag w:val=""/>
                          <w:id w:val="136160179"/>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9260DE" w:rsidRDefault="009260DE">
                      <w:pPr>
                        <w:pStyle w:val="NoSpacing"/>
                        <w:jc w:val="center"/>
                        <w:rPr>
                          <w:color w:val="5B9BD5" w:themeColor="accent1"/>
                        </w:rPr>
                      </w:pPr>
                      <w:sdt>
                        <w:sdtPr>
                          <w:rPr>
                            <w:color w:val="5B9BD5" w:themeColor="accent1"/>
                          </w:rPr>
                          <w:alias w:val="Address"/>
                          <w:tag w:val=""/>
                          <w:id w:val="136160180"/>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w:r>
          <w:r w:rsidR="007D1947">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58952" cy="478932"/>
                        </a:xfrm>
                        <a:prstGeom prst="rect">
                          <a:avLst/>
                        </a:prstGeom>
                      </pic:spPr>
                    </pic:pic>
                  </a:graphicData>
                </a:graphic>
              </wp:inline>
            </w:drawing>
          </w:r>
        </w:p>
        <w:p w:rsidR="007D1947" w:rsidRDefault="007D1947" w:rsidP="007D1947">
          <w:pPr>
            <w:pStyle w:val="Heading1"/>
          </w:pPr>
          <w:r>
            <w:br w:type="page"/>
          </w:r>
          <w:bookmarkStart w:id="0" w:name="_Toc163400376"/>
          <w:r>
            <w:lastRenderedPageBreak/>
            <w:t>Executive Summary</w:t>
          </w:r>
          <w:bookmarkEnd w:id="0"/>
        </w:p>
        <w:p w:rsidR="00D854A5" w:rsidRDefault="00931CAA">
          <w:r>
            <w:t xml:space="preserve">.  </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6E7EE0" w:rsidRDefault="006E7EE0">
          <w: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1F05CF" w:rsidRDefault="00E53189">
              <w:pPr>
                <w:pStyle w:val="TOC1"/>
                <w:tabs>
                  <w:tab w:val="right" w:leader="dot" w:pos="9016"/>
                </w:tabs>
                <w:rPr>
                  <w:rFonts w:eastAsiaTheme="minorEastAsia"/>
                  <w:noProof/>
                  <w:lang w:eastAsia="en-GB"/>
                </w:rPr>
              </w:pPr>
              <w:r w:rsidRPr="00E53189">
                <w:fldChar w:fldCharType="begin"/>
              </w:r>
              <w:r w:rsidR="007D1947">
                <w:instrText xml:space="preserve"> TOC \o "1-3" \h \z \u </w:instrText>
              </w:r>
              <w:r w:rsidRPr="00E53189">
                <w:fldChar w:fldCharType="separate"/>
              </w:r>
              <w:hyperlink w:anchor="_Toc163400376" w:history="1">
                <w:r w:rsidR="001F05CF" w:rsidRPr="00807127">
                  <w:rPr>
                    <w:rStyle w:val="Hyperlink"/>
                    <w:noProof/>
                  </w:rPr>
                  <w:t>Executive Summary</w:t>
                </w:r>
                <w:r w:rsidR="001F05CF">
                  <w:rPr>
                    <w:noProof/>
                    <w:webHidden/>
                  </w:rPr>
                  <w:tab/>
                </w:r>
                <w:r w:rsidR="001F05CF">
                  <w:rPr>
                    <w:noProof/>
                    <w:webHidden/>
                  </w:rPr>
                  <w:fldChar w:fldCharType="begin"/>
                </w:r>
                <w:r w:rsidR="001F05CF">
                  <w:rPr>
                    <w:noProof/>
                    <w:webHidden/>
                  </w:rPr>
                  <w:instrText xml:space="preserve"> PAGEREF _Toc163400376 \h </w:instrText>
                </w:r>
                <w:r w:rsidR="001F05CF">
                  <w:rPr>
                    <w:noProof/>
                    <w:webHidden/>
                  </w:rPr>
                </w:r>
                <w:r w:rsidR="001F05CF">
                  <w:rPr>
                    <w:noProof/>
                    <w:webHidden/>
                  </w:rPr>
                  <w:fldChar w:fldCharType="separate"/>
                </w:r>
                <w:r w:rsidR="001F05CF">
                  <w:rPr>
                    <w:noProof/>
                    <w:webHidden/>
                  </w:rPr>
                  <w:t>1</w:t>
                </w:r>
                <w:r w:rsidR="001F05CF">
                  <w:rPr>
                    <w:noProof/>
                    <w:webHidden/>
                  </w:rPr>
                  <w:fldChar w:fldCharType="end"/>
                </w:r>
              </w:hyperlink>
            </w:p>
            <w:p w:rsidR="001F05CF" w:rsidRDefault="001F05CF">
              <w:pPr>
                <w:pStyle w:val="TOC1"/>
                <w:tabs>
                  <w:tab w:val="right" w:leader="dot" w:pos="9016"/>
                </w:tabs>
                <w:rPr>
                  <w:rFonts w:eastAsiaTheme="minorEastAsia"/>
                  <w:noProof/>
                  <w:lang w:eastAsia="en-GB"/>
                </w:rPr>
              </w:pPr>
              <w:hyperlink w:anchor="_Toc163400377" w:history="1">
                <w:r w:rsidRPr="00807127">
                  <w:rPr>
                    <w:rStyle w:val="Hyperlink"/>
                    <w:noProof/>
                  </w:rPr>
                  <w:t>Introduction</w:t>
                </w:r>
                <w:r>
                  <w:rPr>
                    <w:noProof/>
                    <w:webHidden/>
                  </w:rPr>
                  <w:tab/>
                </w:r>
                <w:r>
                  <w:rPr>
                    <w:noProof/>
                    <w:webHidden/>
                  </w:rPr>
                  <w:fldChar w:fldCharType="begin"/>
                </w:r>
                <w:r>
                  <w:rPr>
                    <w:noProof/>
                    <w:webHidden/>
                  </w:rPr>
                  <w:instrText xml:space="preserve"> PAGEREF _Toc163400377 \h </w:instrText>
                </w:r>
                <w:r>
                  <w:rPr>
                    <w:noProof/>
                    <w:webHidden/>
                  </w:rPr>
                </w:r>
                <w:r>
                  <w:rPr>
                    <w:noProof/>
                    <w:webHidden/>
                  </w:rPr>
                  <w:fldChar w:fldCharType="separate"/>
                </w:r>
                <w:r>
                  <w:rPr>
                    <w:noProof/>
                    <w:webHidden/>
                  </w:rPr>
                  <w:t>3</w:t>
                </w:r>
                <w:r>
                  <w:rPr>
                    <w:noProof/>
                    <w:webHidden/>
                  </w:rPr>
                  <w:fldChar w:fldCharType="end"/>
                </w:r>
              </w:hyperlink>
            </w:p>
            <w:p w:rsidR="001F05CF" w:rsidRDefault="001F05CF">
              <w:pPr>
                <w:pStyle w:val="TOC1"/>
                <w:tabs>
                  <w:tab w:val="right" w:leader="dot" w:pos="9016"/>
                </w:tabs>
                <w:rPr>
                  <w:rFonts w:eastAsiaTheme="minorEastAsia"/>
                  <w:noProof/>
                  <w:lang w:eastAsia="en-GB"/>
                </w:rPr>
              </w:pPr>
              <w:hyperlink w:anchor="_Toc163400378" w:history="1">
                <w:r w:rsidRPr="00807127">
                  <w:rPr>
                    <w:rStyle w:val="Hyperlink"/>
                    <w:noProof/>
                  </w:rPr>
                  <w:t>Main Findings</w:t>
                </w:r>
                <w:r>
                  <w:rPr>
                    <w:noProof/>
                    <w:webHidden/>
                  </w:rPr>
                  <w:tab/>
                </w:r>
                <w:r>
                  <w:rPr>
                    <w:noProof/>
                    <w:webHidden/>
                  </w:rPr>
                  <w:fldChar w:fldCharType="begin"/>
                </w:r>
                <w:r>
                  <w:rPr>
                    <w:noProof/>
                    <w:webHidden/>
                  </w:rPr>
                  <w:instrText xml:space="preserve"> PAGEREF _Toc163400378 \h </w:instrText>
                </w:r>
                <w:r>
                  <w:rPr>
                    <w:noProof/>
                    <w:webHidden/>
                  </w:rPr>
                </w:r>
                <w:r>
                  <w:rPr>
                    <w:noProof/>
                    <w:webHidden/>
                  </w:rPr>
                  <w:fldChar w:fldCharType="separate"/>
                </w:r>
                <w:r>
                  <w:rPr>
                    <w:noProof/>
                    <w:webHidden/>
                  </w:rPr>
                  <w:t>4</w:t>
                </w:r>
                <w:r>
                  <w:rPr>
                    <w:noProof/>
                    <w:webHidden/>
                  </w:rPr>
                  <w:fldChar w:fldCharType="end"/>
                </w:r>
              </w:hyperlink>
            </w:p>
            <w:p w:rsidR="001F05CF" w:rsidRDefault="001F05CF">
              <w:pPr>
                <w:pStyle w:val="TOC2"/>
                <w:tabs>
                  <w:tab w:val="left" w:pos="660"/>
                  <w:tab w:val="right" w:leader="dot" w:pos="9016"/>
                </w:tabs>
                <w:rPr>
                  <w:rFonts w:eastAsiaTheme="minorEastAsia"/>
                  <w:noProof/>
                  <w:lang w:eastAsia="en-GB"/>
                </w:rPr>
              </w:pPr>
              <w:hyperlink w:anchor="_Toc163400379" w:history="1">
                <w:r w:rsidRPr="00807127">
                  <w:rPr>
                    <w:rStyle w:val="Hyperlink"/>
                    <w:noProof/>
                  </w:rPr>
                  <w:t>1.</w:t>
                </w:r>
                <w:r>
                  <w:rPr>
                    <w:rFonts w:eastAsiaTheme="minorEastAsia"/>
                    <w:noProof/>
                    <w:lang w:eastAsia="en-GB"/>
                  </w:rPr>
                  <w:tab/>
                </w:r>
                <w:r w:rsidRPr="00807127">
                  <w:rPr>
                    <w:rStyle w:val="Hyperlink"/>
                    <w:noProof/>
                  </w:rPr>
                  <w:t>Edwards’ Six Months Budget Forecast</w:t>
                </w:r>
                <w:r>
                  <w:rPr>
                    <w:noProof/>
                    <w:webHidden/>
                  </w:rPr>
                  <w:tab/>
                </w:r>
                <w:r>
                  <w:rPr>
                    <w:noProof/>
                    <w:webHidden/>
                  </w:rPr>
                  <w:fldChar w:fldCharType="begin"/>
                </w:r>
                <w:r>
                  <w:rPr>
                    <w:noProof/>
                    <w:webHidden/>
                  </w:rPr>
                  <w:instrText xml:space="preserve"> PAGEREF _Toc163400379 \h </w:instrText>
                </w:r>
                <w:r>
                  <w:rPr>
                    <w:noProof/>
                    <w:webHidden/>
                  </w:rPr>
                </w:r>
                <w:r>
                  <w:rPr>
                    <w:noProof/>
                    <w:webHidden/>
                  </w:rPr>
                  <w:fldChar w:fldCharType="separate"/>
                </w:r>
                <w:r>
                  <w:rPr>
                    <w:noProof/>
                    <w:webHidden/>
                  </w:rPr>
                  <w:t>4</w:t>
                </w:r>
                <w:r>
                  <w:rPr>
                    <w:noProof/>
                    <w:webHidden/>
                  </w:rPr>
                  <w:fldChar w:fldCharType="end"/>
                </w:r>
              </w:hyperlink>
            </w:p>
            <w:p w:rsidR="001F05CF" w:rsidRDefault="001F05CF">
              <w:pPr>
                <w:pStyle w:val="TOC2"/>
                <w:tabs>
                  <w:tab w:val="left" w:pos="660"/>
                  <w:tab w:val="right" w:leader="dot" w:pos="9016"/>
                </w:tabs>
                <w:rPr>
                  <w:rFonts w:eastAsiaTheme="minorEastAsia"/>
                  <w:noProof/>
                  <w:lang w:eastAsia="en-GB"/>
                </w:rPr>
              </w:pPr>
              <w:hyperlink w:anchor="_Toc163400380" w:history="1">
                <w:r w:rsidRPr="00807127">
                  <w:rPr>
                    <w:rStyle w:val="Hyperlink"/>
                    <w:noProof/>
                  </w:rPr>
                  <w:t>2.</w:t>
                </w:r>
                <w:r>
                  <w:rPr>
                    <w:rFonts w:eastAsiaTheme="minorEastAsia"/>
                    <w:noProof/>
                    <w:lang w:eastAsia="en-GB"/>
                  </w:rPr>
                  <w:tab/>
                </w:r>
                <w:r w:rsidRPr="00807127">
                  <w:rPr>
                    <w:rStyle w:val="Hyperlink"/>
                    <w:noProof/>
                  </w:rPr>
                  <w:t>An Analysis of the Six Months Budget Forecast</w:t>
                </w:r>
                <w:r>
                  <w:rPr>
                    <w:noProof/>
                    <w:webHidden/>
                  </w:rPr>
                  <w:tab/>
                </w:r>
                <w:r>
                  <w:rPr>
                    <w:noProof/>
                    <w:webHidden/>
                  </w:rPr>
                  <w:fldChar w:fldCharType="begin"/>
                </w:r>
                <w:r>
                  <w:rPr>
                    <w:noProof/>
                    <w:webHidden/>
                  </w:rPr>
                  <w:instrText xml:space="preserve"> PAGEREF _Toc163400380 \h </w:instrText>
                </w:r>
                <w:r>
                  <w:rPr>
                    <w:noProof/>
                    <w:webHidden/>
                  </w:rPr>
                </w:r>
                <w:r>
                  <w:rPr>
                    <w:noProof/>
                    <w:webHidden/>
                  </w:rPr>
                  <w:fldChar w:fldCharType="separate"/>
                </w:r>
                <w:r>
                  <w:rPr>
                    <w:noProof/>
                    <w:webHidden/>
                  </w:rPr>
                  <w:t>5</w:t>
                </w:r>
                <w:r>
                  <w:rPr>
                    <w:noProof/>
                    <w:webHidden/>
                  </w:rPr>
                  <w:fldChar w:fldCharType="end"/>
                </w:r>
              </w:hyperlink>
            </w:p>
            <w:p w:rsidR="001F05CF" w:rsidRDefault="001F05CF">
              <w:pPr>
                <w:pStyle w:val="TOC2"/>
                <w:tabs>
                  <w:tab w:val="right" w:leader="dot" w:pos="9016"/>
                </w:tabs>
                <w:rPr>
                  <w:rFonts w:eastAsiaTheme="minorEastAsia"/>
                  <w:noProof/>
                  <w:lang w:eastAsia="en-GB"/>
                </w:rPr>
              </w:pPr>
              <w:hyperlink w:anchor="_Toc163400381" w:history="1">
                <w:r w:rsidRPr="00807127">
                  <w:rPr>
                    <w:rStyle w:val="Hyperlink"/>
                    <w:noProof/>
                  </w:rPr>
                  <w:t>3.Budgeting and budgetary controls</w:t>
                </w:r>
                <w:r>
                  <w:rPr>
                    <w:noProof/>
                    <w:webHidden/>
                  </w:rPr>
                  <w:tab/>
                </w:r>
                <w:r>
                  <w:rPr>
                    <w:noProof/>
                    <w:webHidden/>
                  </w:rPr>
                  <w:fldChar w:fldCharType="begin"/>
                </w:r>
                <w:r>
                  <w:rPr>
                    <w:noProof/>
                    <w:webHidden/>
                  </w:rPr>
                  <w:instrText xml:space="preserve"> PAGEREF _Toc163400381 \h </w:instrText>
                </w:r>
                <w:r>
                  <w:rPr>
                    <w:noProof/>
                    <w:webHidden/>
                  </w:rPr>
                </w:r>
                <w:r>
                  <w:rPr>
                    <w:noProof/>
                    <w:webHidden/>
                  </w:rPr>
                  <w:fldChar w:fldCharType="separate"/>
                </w:r>
                <w:r>
                  <w:rPr>
                    <w:noProof/>
                    <w:webHidden/>
                  </w:rPr>
                  <w:t>7</w:t>
                </w:r>
                <w:r>
                  <w:rPr>
                    <w:noProof/>
                    <w:webHidden/>
                  </w:rPr>
                  <w:fldChar w:fldCharType="end"/>
                </w:r>
              </w:hyperlink>
            </w:p>
            <w:p w:rsidR="001F05CF" w:rsidRDefault="001F05CF">
              <w:pPr>
                <w:pStyle w:val="TOC2"/>
                <w:tabs>
                  <w:tab w:val="right" w:leader="dot" w:pos="9016"/>
                </w:tabs>
                <w:rPr>
                  <w:rFonts w:eastAsiaTheme="minorEastAsia"/>
                  <w:noProof/>
                  <w:lang w:eastAsia="en-GB"/>
                </w:rPr>
              </w:pPr>
              <w:hyperlink w:anchor="_Toc163400382" w:history="1">
                <w:r w:rsidRPr="00807127">
                  <w:rPr>
                    <w:rStyle w:val="Hyperlink"/>
                    <w:noProof/>
                  </w:rPr>
                  <w:t>4.Critical evaluation of traditional approaches to budgeting</w:t>
                </w:r>
                <w:r>
                  <w:rPr>
                    <w:noProof/>
                    <w:webHidden/>
                  </w:rPr>
                  <w:tab/>
                </w:r>
                <w:r>
                  <w:rPr>
                    <w:noProof/>
                    <w:webHidden/>
                  </w:rPr>
                  <w:fldChar w:fldCharType="begin"/>
                </w:r>
                <w:r>
                  <w:rPr>
                    <w:noProof/>
                    <w:webHidden/>
                  </w:rPr>
                  <w:instrText xml:space="preserve"> PAGEREF _Toc163400382 \h </w:instrText>
                </w:r>
                <w:r>
                  <w:rPr>
                    <w:noProof/>
                    <w:webHidden/>
                  </w:rPr>
                </w:r>
                <w:r>
                  <w:rPr>
                    <w:noProof/>
                    <w:webHidden/>
                  </w:rPr>
                  <w:fldChar w:fldCharType="separate"/>
                </w:r>
                <w:r>
                  <w:rPr>
                    <w:noProof/>
                    <w:webHidden/>
                  </w:rPr>
                  <w:t>8</w:t>
                </w:r>
                <w:r>
                  <w:rPr>
                    <w:noProof/>
                    <w:webHidden/>
                  </w:rPr>
                  <w:fldChar w:fldCharType="end"/>
                </w:r>
              </w:hyperlink>
            </w:p>
            <w:p w:rsidR="001F05CF" w:rsidRDefault="001F05CF">
              <w:pPr>
                <w:pStyle w:val="TOC1"/>
                <w:tabs>
                  <w:tab w:val="right" w:leader="dot" w:pos="9016"/>
                </w:tabs>
                <w:rPr>
                  <w:rFonts w:eastAsiaTheme="minorEastAsia"/>
                  <w:noProof/>
                  <w:lang w:eastAsia="en-GB"/>
                </w:rPr>
              </w:pPr>
              <w:hyperlink w:anchor="_Toc163400383" w:history="1">
                <w:r w:rsidRPr="00807127">
                  <w:rPr>
                    <w:rStyle w:val="Hyperlink"/>
                    <w:noProof/>
                  </w:rPr>
                  <w:t>Conclusion (average of 10% of word count)</w:t>
                </w:r>
                <w:r>
                  <w:rPr>
                    <w:noProof/>
                    <w:webHidden/>
                  </w:rPr>
                  <w:tab/>
                </w:r>
                <w:r>
                  <w:rPr>
                    <w:noProof/>
                    <w:webHidden/>
                  </w:rPr>
                  <w:fldChar w:fldCharType="begin"/>
                </w:r>
                <w:r>
                  <w:rPr>
                    <w:noProof/>
                    <w:webHidden/>
                  </w:rPr>
                  <w:instrText xml:space="preserve"> PAGEREF _Toc163400383 \h </w:instrText>
                </w:r>
                <w:r>
                  <w:rPr>
                    <w:noProof/>
                    <w:webHidden/>
                  </w:rPr>
                </w:r>
                <w:r>
                  <w:rPr>
                    <w:noProof/>
                    <w:webHidden/>
                  </w:rPr>
                  <w:fldChar w:fldCharType="separate"/>
                </w:r>
                <w:r>
                  <w:rPr>
                    <w:noProof/>
                    <w:webHidden/>
                  </w:rPr>
                  <w:t>9</w:t>
                </w:r>
                <w:r>
                  <w:rPr>
                    <w:noProof/>
                    <w:webHidden/>
                  </w:rPr>
                  <w:fldChar w:fldCharType="end"/>
                </w:r>
              </w:hyperlink>
            </w:p>
            <w:p w:rsidR="001F05CF" w:rsidRDefault="001F05CF">
              <w:pPr>
                <w:pStyle w:val="TOC1"/>
                <w:tabs>
                  <w:tab w:val="right" w:leader="dot" w:pos="9016"/>
                </w:tabs>
                <w:rPr>
                  <w:rFonts w:eastAsiaTheme="minorEastAsia"/>
                  <w:noProof/>
                  <w:lang w:eastAsia="en-GB"/>
                </w:rPr>
              </w:pPr>
              <w:hyperlink w:anchor="_Toc163400384" w:history="1">
                <w:r w:rsidRPr="00807127">
                  <w:rPr>
                    <w:rStyle w:val="Hyperlink"/>
                    <w:noProof/>
                  </w:rPr>
                  <w:t>Appendix 1</w:t>
                </w:r>
                <w:r>
                  <w:rPr>
                    <w:noProof/>
                    <w:webHidden/>
                  </w:rPr>
                  <w:tab/>
                </w:r>
                <w:r>
                  <w:rPr>
                    <w:noProof/>
                    <w:webHidden/>
                  </w:rPr>
                  <w:fldChar w:fldCharType="begin"/>
                </w:r>
                <w:r>
                  <w:rPr>
                    <w:noProof/>
                    <w:webHidden/>
                  </w:rPr>
                  <w:instrText xml:space="preserve"> PAGEREF _Toc163400384 \h </w:instrText>
                </w:r>
                <w:r>
                  <w:rPr>
                    <w:noProof/>
                    <w:webHidden/>
                  </w:rPr>
                </w:r>
                <w:r>
                  <w:rPr>
                    <w:noProof/>
                    <w:webHidden/>
                  </w:rPr>
                  <w:fldChar w:fldCharType="separate"/>
                </w:r>
                <w:r>
                  <w:rPr>
                    <w:noProof/>
                    <w:webHidden/>
                  </w:rPr>
                  <w:t>10</w:t>
                </w:r>
                <w:r>
                  <w:rPr>
                    <w:noProof/>
                    <w:webHidden/>
                  </w:rPr>
                  <w:fldChar w:fldCharType="end"/>
                </w:r>
              </w:hyperlink>
            </w:p>
            <w:p w:rsidR="001F05CF" w:rsidRDefault="001F05CF">
              <w:pPr>
                <w:pStyle w:val="TOC1"/>
                <w:tabs>
                  <w:tab w:val="right" w:leader="dot" w:pos="9016"/>
                </w:tabs>
                <w:rPr>
                  <w:rFonts w:eastAsiaTheme="minorEastAsia"/>
                  <w:noProof/>
                  <w:lang w:eastAsia="en-GB"/>
                </w:rPr>
              </w:pPr>
              <w:hyperlink w:anchor="_Toc163400385" w:history="1">
                <w:r w:rsidRPr="00807127">
                  <w:rPr>
                    <w:rStyle w:val="Hyperlink"/>
                    <w:noProof/>
                  </w:rPr>
                  <w:t>Bibliography</w:t>
                </w:r>
                <w:r>
                  <w:rPr>
                    <w:noProof/>
                    <w:webHidden/>
                  </w:rPr>
                  <w:tab/>
                </w:r>
                <w:r>
                  <w:rPr>
                    <w:noProof/>
                    <w:webHidden/>
                  </w:rPr>
                  <w:fldChar w:fldCharType="begin"/>
                </w:r>
                <w:r>
                  <w:rPr>
                    <w:noProof/>
                    <w:webHidden/>
                  </w:rPr>
                  <w:instrText xml:space="preserve"> PAGEREF _Toc163400385 \h </w:instrText>
                </w:r>
                <w:r>
                  <w:rPr>
                    <w:noProof/>
                    <w:webHidden/>
                  </w:rPr>
                </w:r>
                <w:r>
                  <w:rPr>
                    <w:noProof/>
                    <w:webHidden/>
                  </w:rPr>
                  <w:fldChar w:fldCharType="separate"/>
                </w:r>
                <w:r>
                  <w:rPr>
                    <w:noProof/>
                    <w:webHidden/>
                  </w:rPr>
                  <w:t>12</w:t>
                </w:r>
                <w:r>
                  <w:rPr>
                    <w:noProof/>
                    <w:webHidden/>
                  </w:rPr>
                  <w:fldChar w:fldCharType="end"/>
                </w:r>
              </w:hyperlink>
            </w:p>
            <w:p w:rsidR="007D1947" w:rsidRDefault="00E53189">
              <w:r>
                <w:rPr>
                  <w:b/>
                  <w:bCs/>
                  <w:noProof/>
                </w:rPr>
                <w:fldChar w:fldCharType="end"/>
              </w:r>
              <w:r w:rsidR="006E7EE0">
                <w:rPr>
                  <w:b/>
                  <w:bCs/>
                  <w:noProof/>
                </w:rPr>
                <w:t xml:space="preserve"> </w:t>
              </w:r>
            </w:p>
          </w:sdtContent>
        </w:sdt>
        <w:p w:rsidR="007D1947" w:rsidRDefault="006E7EE0" w:rsidP="006E7EE0">
          <w:pPr>
            <w:tabs>
              <w:tab w:val="left" w:pos="949"/>
            </w:tabs>
          </w:pPr>
          <w:r>
            <w:tab/>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084E65" w:rsidRDefault="00084E65"/>
        <w:p w:rsidR="00084E65" w:rsidRDefault="00084E65"/>
        <w:p w:rsidR="00084E65" w:rsidRDefault="00084E65"/>
        <w:p w:rsidR="00084E65" w:rsidRDefault="00084E65"/>
        <w:p w:rsidR="00084E65" w:rsidRDefault="00084E65"/>
        <w:p w:rsidR="007D1947" w:rsidRDefault="007D1947"/>
        <w:p w:rsidR="007D1947" w:rsidRDefault="007D1947"/>
        <w:p w:rsidR="007D1947" w:rsidRDefault="007D1947"/>
        <w:p w:rsidR="007D1947" w:rsidRDefault="007D1947" w:rsidP="008F4809">
          <w:pPr>
            <w:pStyle w:val="Heading1"/>
          </w:pPr>
          <w:bookmarkStart w:id="1" w:name="_Toc163400377"/>
          <w:r>
            <w:t>Introduction</w:t>
          </w:r>
          <w:bookmarkEnd w:id="1"/>
          <w:r w:rsidR="00480872">
            <w:t xml:space="preserve"> </w:t>
          </w:r>
        </w:p>
        <w:p w:rsidR="008F4809" w:rsidRPr="008F4809" w:rsidRDefault="008F4809" w:rsidP="008F4809"/>
        <w:p w:rsidR="004A11F6" w:rsidRDefault="00E7324D" w:rsidP="00E7324D">
          <w:pPr>
            <w:jc w:val="both"/>
          </w:pPr>
          <w:r>
            <w:t xml:space="preserve">      According to Drury (2020, p.4), Accounting is ‘the process of identifying, measuring and communicating economic information to permit informed judgements and decisions by users of the information’.</w:t>
          </w:r>
          <w:r w:rsidR="00647B4B">
            <w:t xml:space="preserve"> Accounting and financial information are extremely important for any organisation or household and for the government, as they can be used when making decisions and setting the </w:t>
          </w:r>
          <w:r w:rsidR="00922832">
            <w:t>way forward (Dyson, 2020).</w:t>
          </w:r>
        </w:p>
        <w:p w:rsidR="00530657" w:rsidRDefault="00530657" w:rsidP="00E7324D">
          <w:pPr>
            <w:jc w:val="both"/>
          </w:pPr>
          <w:r>
            <w:t xml:space="preserve">      Financial accounting focuses on the past performance of an organisation and it is mainly compiled in order to present it to shareholders, creditors and other people from outside the organisation. Management accounting offers essential information to the managers who work inside the organisation and this information </w:t>
          </w:r>
          <w:proofErr w:type="gramStart"/>
          <w:r>
            <w:t>is</w:t>
          </w:r>
          <w:proofErr w:type="gramEnd"/>
          <w:r>
            <w:t xml:space="preserve"> used when deciding how the organisations are run</w:t>
          </w:r>
          <w:r w:rsidR="009E19C5">
            <w:t xml:space="preserve"> </w:t>
          </w:r>
          <w:sdt>
            <w:sdtPr>
              <w:id w:val="42791912"/>
              <w:citation/>
            </w:sdtPr>
            <w:sdtContent>
              <w:fldSimple w:instr=" CITATION Had21 \l 2057 ">
                <w:r w:rsidR="009E19C5" w:rsidRPr="009E19C5">
                  <w:rPr>
                    <w:noProof/>
                  </w:rPr>
                  <w:t>(Hadid &amp; Al-Sayed, 2021)</w:t>
                </w:r>
              </w:fldSimple>
            </w:sdtContent>
          </w:sdt>
          <w:r w:rsidR="009E19C5">
            <w:t>.</w:t>
          </w:r>
        </w:p>
        <w:p w:rsidR="00EA2F9B" w:rsidRDefault="00EA2F9B" w:rsidP="00E7324D">
          <w:pPr>
            <w:jc w:val="both"/>
          </w:pPr>
          <w:r>
            <w:t xml:space="preserve">      This report </w:t>
          </w:r>
          <w:r w:rsidR="00B810EC">
            <w:t>presents the importance of management accounting through a budgeting exercise and its analysis and the decisions that the organisation’s management can make based on this forecast. It then goes on to present budgetary control systems and types of budgets and ends with a critical analysis of the traditional approaches to budgeting.</w:t>
          </w:r>
        </w:p>
        <w:p w:rsidR="004A11F6" w:rsidRDefault="00520743" w:rsidP="007D1947">
          <w:r>
            <w:t xml:space="preserve">      </w:t>
          </w:r>
        </w:p>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F821EC" w:rsidRDefault="00F821EC">
          <w:pPr>
            <w:rPr>
              <w:rFonts w:asciiTheme="majorHAnsi" w:eastAsiaTheme="majorEastAsia" w:hAnsiTheme="majorHAnsi" w:cstheme="majorBidi"/>
              <w:color w:val="2E74B5" w:themeColor="accent1" w:themeShade="BF"/>
              <w:sz w:val="32"/>
              <w:szCs w:val="32"/>
            </w:rPr>
          </w:pPr>
        </w:p>
        <w:p w:rsidR="00480872" w:rsidRDefault="00480872" w:rsidP="00AA2A91">
          <w:pPr>
            <w:pStyle w:val="Heading1"/>
          </w:pPr>
          <w:bookmarkStart w:id="2" w:name="_Toc163400378"/>
          <w:r>
            <w:t>Main Findings</w:t>
          </w:r>
          <w:bookmarkEnd w:id="2"/>
        </w:p>
        <w:p w:rsidR="00E85A0B" w:rsidRDefault="00E85A0B" w:rsidP="00E85A0B">
          <w:pPr>
            <w:pStyle w:val="Heading2"/>
          </w:pPr>
        </w:p>
        <w:p w:rsidR="00E85A0B" w:rsidRPr="00E85A0B" w:rsidRDefault="00E85A0B" w:rsidP="00E85A0B">
          <w:pPr>
            <w:pStyle w:val="Heading2"/>
            <w:numPr>
              <w:ilvl w:val="0"/>
              <w:numId w:val="3"/>
            </w:numPr>
          </w:pPr>
          <w:bookmarkStart w:id="3" w:name="_Toc163400379"/>
          <w:r>
            <w:t>Edwards’ Six Months Budget Forecast</w:t>
          </w:r>
          <w:bookmarkEnd w:id="3"/>
        </w:p>
        <w:p w:rsidR="008F4B79" w:rsidRPr="008F4B79" w:rsidRDefault="008F4B79" w:rsidP="008F4B79"/>
        <w:p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stock budget for the six months to 30 November is:</w:t>
          </w:r>
        </w:p>
        <w:tbl>
          <w:tblPr>
            <w:tblStyle w:val="TableGrid"/>
            <w:tblW w:w="8476"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tblPr>
          <w:tblGrid>
            <w:gridCol w:w="2551"/>
            <w:gridCol w:w="992"/>
            <w:gridCol w:w="992"/>
            <w:gridCol w:w="964"/>
            <w:gridCol w:w="993"/>
            <w:gridCol w:w="992"/>
            <w:gridCol w:w="992"/>
          </w:tblGrid>
          <w:tr w:rsidR="008F4B79" w:rsidTr="009260DE">
            <w:tc>
              <w:tcPr>
                <w:tcW w:w="2551" w:type="dxa"/>
              </w:tcPr>
              <w:p w:rsidR="008F4B79" w:rsidRDefault="008F4B79" w:rsidP="009260DE">
                <w:pPr>
                  <w:jc w:val="center"/>
                  <w:rPr>
                    <w:rFonts w:ascii="Arial" w:hAnsi="Arial" w:cs="Arial"/>
                  </w:rPr>
                </w:pPr>
              </w:p>
            </w:tc>
            <w:tc>
              <w:tcPr>
                <w:tcW w:w="992" w:type="dxa"/>
              </w:tcPr>
              <w:p w:rsidR="008F4B79" w:rsidRPr="004D6C12" w:rsidRDefault="008F4B79" w:rsidP="009260DE">
                <w:pPr>
                  <w:jc w:val="right"/>
                  <w:rPr>
                    <w:rFonts w:ascii="Arial" w:hAnsi="Arial" w:cs="Arial"/>
                    <w:b/>
                  </w:rPr>
                </w:pPr>
                <w:r w:rsidRPr="004D6C12">
                  <w:rPr>
                    <w:rFonts w:ascii="Arial" w:hAnsi="Arial" w:cs="Arial"/>
                    <w:b/>
                  </w:rPr>
                  <w:t>June</w:t>
                </w:r>
              </w:p>
            </w:tc>
            <w:tc>
              <w:tcPr>
                <w:tcW w:w="992" w:type="dxa"/>
              </w:tcPr>
              <w:p w:rsidR="008F4B79" w:rsidRPr="004D6C12" w:rsidRDefault="008F4B79" w:rsidP="009260DE">
                <w:pPr>
                  <w:jc w:val="right"/>
                  <w:rPr>
                    <w:rFonts w:ascii="Arial" w:hAnsi="Arial" w:cs="Arial"/>
                    <w:b/>
                  </w:rPr>
                </w:pPr>
                <w:r w:rsidRPr="004D6C12">
                  <w:rPr>
                    <w:rFonts w:ascii="Arial" w:hAnsi="Arial" w:cs="Arial"/>
                    <w:b/>
                  </w:rPr>
                  <w:t>July</w:t>
                </w:r>
              </w:p>
            </w:tc>
            <w:tc>
              <w:tcPr>
                <w:tcW w:w="964" w:type="dxa"/>
              </w:tcPr>
              <w:p w:rsidR="008F4B79" w:rsidRPr="004D6C12" w:rsidRDefault="008F4B79" w:rsidP="009260DE">
                <w:pPr>
                  <w:jc w:val="right"/>
                  <w:rPr>
                    <w:rFonts w:ascii="Arial" w:hAnsi="Arial" w:cs="Arial"/>
                    <w:b/>
                  </w:rPr>
                </w:pPr>
                <w:r w:rsidRPr="004D6C12">
                  <w:rPr>
                    <w:rFonts w:ascii="Arial" w:hAnsi="Arial" w:cs="Arial"/>
                    <w:b/>
                  </w:rPr>
                  <w:t>Aug</w:t>
                </w:r>
              </w:p>
            </w:tc>
            <w:tc>
              <w:tcPr>
                <w:tcW w:w="993" w:type="dxa"/>
              </w:tcPr>
              <w:p w:rsidR="008F4B79" w:rsidRPr="004D6C12" w:rsidRDefault="008F4B79" w:rsidP="009260DE">
                <w:pPr>
                  <w:jc w:val="right"/>
                  <w:rPr>
                    <w:rFonts w:ascii="Arial" w:hAnsi="Arial" w:cs="Arial"/>
                    <w:b/>
                  </w:rPr>
                </w:pPr>
                <w:r w:rsidRPr="004D6C12">
                  <w:rPr>
                    <w:rFonts w:ascii="Arial" w:hAnsi="Arial" w:cs="Arial"/>
                    <w:b/>
                  </w:rPr>
                  <w:t>Sept</w:t>
                </w:r>
              </w:p>
            </w:tc>
            <w:tc>
              <w:tcPr>
                <w:tcW w:w="992" w:type="dxa"/>
              </w:tcPr>
              <w:p w:rsidR="008F4B79" w:rsidRPr="004D6C12" w:rsidRDefault="008F4B79" w:rsidP="009260DE">
                <w:pPr>
                  <w:jc w:val="right"/>
                  <w:rPr>
                    <w:rFonts w:ascii="Arial" w:hAnsi="Arial" w:cs="Arial"/>
                    <w:b/>
                  </w:rPr>
                </w:pPr>
                <w:r w:rsidRPr="004D6C12">
                  <w:rPr>
                    <w:rFonts w:ascii="Arial" w:hAnsi="Arial" w:cs="Arial"/>
                    <w:b/>
                  </w:rPr>
                  <w:t>Oct</w:t>
                </w:r>
              </w:p>
            </w:tc>
            <w:tc>
              <w:tcPr>
                <w:tcW w:w="992" w:type="dxa"/>
              </w:tcPr>
              <w:p w:rsidR="008F4B79" w:rsidRPr="004D6C12" w:rsidRDefault="008F4B79" w:rsidP="009260DE">
                <w:pPr>
                  <w:jc w:val="right"/>
                  <w:rPr>
                    <w:rFonts w:ascii="Arial" w:hAnsi="Arial" w:cs="Arial"/>
                    <w:b/>
                  </w:rPr>
                </w:pPr>
                <w:r w:rsidRPr="004D6C12">
                  <w:rPr>
                    <w:rFonts w:ascii="Arial" w:hAnsi="Arial" w:cs="Arial"/>
                    <w:b/>
                  </w:rPr>
                  <w:t>Nov</w:t>
                </w:r>
              </w:p>
            </w:tc>
          </w:tr>
          <w:tr w:rsidR="008F4B79" w:rsidTr="009260DE">
            <w:trPr>
              <w:trHeight w:val="281"/>
            </w:trPr>
            <w:tc>
              <w:tcPr>
                <w:tcW w:w="2551" w:type="dxa"/>
              </w:tcPr>
              <w:p w:rsidR="008F4B79" w:rsidRDefault="008F4B79" w:rsidP="009260DE">
                <w:pPr>
                  <w:rPr>
                    <w:rFonts w:ascii="Arial" w:hAnsi="Arial" w:cs="Arial"/>
                  </w:rPr>
                </w:pPr>
              </w:p>
            </w:tc>
            <w:tc>
              <w:tcPr>
                <w:tcW w:w="992" w:type="dxa"/>
              </w:tcPr>
              <w:p w:rsidR="008F4B79" w:rsidRPr="004D6C12" w:rsidRDefault="008F4B79" w:rsidP="009260DE">
                <w:pPr>
                  <w:jc w:val="right"/>
                  <w:rPr>
                    <w:rFonts w:ascii="Arial" w:hAnsi="Arial" w:cs="Arial"/>
                    <w:sz w:val="20"/>
                    <w:szCs w:val="20"/>
                  </w:rPr>
                </w:pPr>
                <w:r w:rsidRPr="004D6C12">
                  <w:rPr>
                    <w:rFonts w:ascii="Arial" w:hAnsi="Arial" w:cs="Arial"/>
                    <w:sz w:val="20"/>
                    <w:szCs w:val="20"/>
                  </w:rPr>
                  <w:t>£000</w:t>
                </w:r>
              </w:p>
            </w:tc>
            <w:tc>
              <w:tcPr>
                <w:tcW w:w="992" w:type="dxa"/>
              </w:tcPr>
              <w:p w:rsidR="008F4B79" w:rsidRPr="004D6C12" w:rsidRDefault="008F4B79" w:rsidP="009260DE">
                <w:pPr>
                  <w:jc w:val="right"/>
                  <w:rPr>
                    <w:rFonts w:ascii="Arial" w:hAnsi="Arial" w:cs="Arial"/>
                    <w:sz w:val="20"/>
                    <w:szCs w:val="20"/>
                  </w:rPr>
                </w:pPr>
                <w:r w:rsidRPr="004D6C12">
                  <w:rPr>
                    <w:rFonts w:ascii="Arial" w:hAnsi="Arial" w:cs="Arial"/>
                    <w:sz w:val="20"/>
                    <w:szCs w:val="20"/>
                  </w:rPr>
                  <w:t>£000</w:t>
                </w:r>
              </w:p>
            </w:tc>
            <w:tc>
              <w:tcPr>
                <w:tcW w:w="964" w:type="dxa"/>
              </w:tcPr>
              <w:p w:rsidR="008F4B79" w:rsidRPr="004D6C12" w:rsidRDefault="008F4B79" w:rsidP="009260DE">
                <w:pPr>
                  <w:jc w:val="right"/>
                  <w:rPr>
                    <w:rFonts w:ascii="Arial" w:hAnsi="Arial" w:cs="Arial"/>
                    <w:sz w:val="20"/>
                    <w:szCs w:val="20"/>
                  </w:rPr>
                </w:pPr>
                <w:r w:rsidRPr="004D6C12">
                  <w:rPr>
                    <w:rFonts w:ascii="Arial" w:hAnsi="Arial" w:cs="Arial"/>
                    <w:sz w:val="20"/>
                    <w:szCs w:val="20"/>
                  </w:rPr>
                  <w:t>£000</w:t>
                </w:r>
              </w:p>
            </w:tc>
            <w:tc>
              <w:tcPr>
                <w:tcW w:w="993" w:type="dxa"/>
              </w:tcPr>
              <w:p w:rsidR="008F4B79" w:rsidRPr="004D6C12" w:rsidRDefault="008F4B79" w:rsidP="009260DE">
                <w:pPr>
                  <w:jc w:val="right"/>
                  <w:rPr>
                    <w:rFonts w:ascii="Arial" w:hAnsi="Arial" w:cs="Arial"/>
                    <w:sz w:val="20"/>
                    <w:szCs w:val="20"/>
                  </w:rPr>
                </w:pPr>
                <w:r w:rsidRPr="004D6C12">
                  <w:rPr>
                    <w:rFonts w:ascii="Arial" w:hAnsi="Arial" w:cs="Arial"/>
                    <w:sz w:val="20"/>
                    <w:szCs w:val="20"/>
                  </w:rPr>
                  <w:t>£000</w:t>
                </w:r>
              </w:p>
            </w:tc>
            <w:tc>
              <w:tcPr>
                <w:tcW w:w="992" w:type="dxa"/>
              </w:tcPr>
              <w:p w:rsidR="008F4B79" w:rsidRPr="004D6C12" w:rsidRDefault="008F4B79" w:rsidP="009260DE">
                <w:pPr>
                  <w:jc w:val="right"/>
                  <w:rPr>
                    <w:rFonts w:ascii="Arial" w:hAnsi="Arial" w:cs="Arial"/>
                    <w:sz w:val="20"/>
                    <w:szCs w:val="20"/>
                  </w:rPr>
                </w:pPr>
                <w:r w:rsidRPr="004D6C12">
                  <w:rPr>
                    <w:rFonts w:ascii="Arial" w:hAnsi="Arial" w:cs="Arial"/>
                    <w:sz w:val="20"/>
                    <w:szCs w:val="20"/>
                  </w:rPr>
                  <w:t>£000</w:t>
                </w:r>
              </w:p>
            </w:tc>
            <w:tc>
              <w:tcPr>
                <w:tcW w:w="992" w:type="dxa"/>
              </w:tcPr>
              <w:p w:rsidR="008F4B79" w:rsidRPr="004D6C12" w:rsidRDefault="008F4B79" w:rsidP="009260DE">
                <w:pPr>
                  <w:jc w:val="right"/>
                  <w:rPr>
                    <w:rFonts w:ascii="Arial" w:hAnsi="Arial" w:cs="Arial"/>
                    <w:sz w:val="20"/>
                    <w:szCs w:val="20"/>
                  </w:rPr>
                </w:pPr>
                <w:r w:rsidRPr="004D6C12">
                  <w:rPr>
                    <w:rFonts w:ascii="Arial" w:hAnsi="Arial" w:cs="Arial"/>
                    <w:sz w:val="20"/>
                    <w:szCs w:val="20"/>
                  </w:rPr>
                  <w:t>£000</w:t>
                </w:r>
              </w:p>
            </w:tc>
          </w:tr>
          <w:tr w:rsidR="008F4B79" w:rsidTr="009260DE">
            <w:tc>
              <w:tcPr>
                <w:tcW w:w="2551" w:type="dxa"/>
              </w:tcPr>
              <w:p w:rsidR="008F4B79" w:rsidRDefault="008F4B79" w:rsidP="009260DE">
                <w:pPr>
                  <w:rPr>
                    <w:rFonts w:ascii="Arial" w:hAnsi="Arial" w:cs="Arial"/>
                  </w:rPr>
                </w:pPr>
                <w:r>
                  <w:rPr>
                    <w:rFonts w:ascii="Arial" w:hAnsi="Arial" w:cs="Arial"/>
                  </w:rPr>
                  <w:t>Opening balance</w:t>
                </w:r>
              </w:p>
            </w:tc>
            <w:tc>
              <w:tcPr>
                <w:tcW w:w="992" w:type="dxa"/>
              </w:tcPr>
              <w:p w:rsidR="008F4B79" w:rsidRPr="006368CE" w:rsidRDefault="00731443" w:rsidP="009260DE">
                <w:pPr>
                  <w:jc w:val="right"/>
                  <w:rPr>
                    <w:rFonts w:ascii="Arial" w:hAnsi="Arial" w:cs="Arial"/>
                  </w:rPr>
                </w:pPr>
                <w:r w:rsidRPr="006368CE">
                  <w:rPr>
                    <w:rFonts w:ascii="Arial" w:hAnsi="Arial" w:cs="Arial"/>
                  </w:rPr>
                  <w:t>125</w:t>
                </w:r>
                <w:r w:rsidR="008F4B79" w:rsidRPr="006368CE">
                  <w:rPr>
                    <w:rFonts w:ascii="Arial" w:hAnsi="Arial" w:cs="Arial"/>
                  </w:rPr>
                  <w:t xml:space="preserve"> </w:t>
                </w:r>
              </w:p>
            </w:tc>
            <w:tc>
              <w:tcPr>
                <w:tcW w:w="992" w:type="dxa"/>
              </w:tcPr>
              <w:p w:rsidR="008F4B79" w:rsidRDefault="0023314B" w:rsidP="009260DE">
                <w:pPr>
                  <w:jc w:val="right"/>
                  <w:rPr>
                    <w:rFonts w:ascii="Arial" w:hAnsi="Arial" w:cs="Arial"/>
                  </w:rPr>
                </w:pPr>
                <w:r>
                  <w:rPr>
                    <w:rFonts w:ascii="Arial" w:hAnsi="Arial" w:cs="Arial"/>
                  </w:rPr>
                  <w:t>123</w:t>
                </w:r>
                <w:r w:rsidR="008F4B79">
                  <w:rPr>
                    <w:rFonts w:ascii="Arial" w:hAnsi="Arial" w:cs="Arial"/>
                  </w:rPr>
                  <w:t xml:space="preserve"> </w:t>
                </w:r>
              </w:p>
            </w:tc>
            <w:tc>
              <w:tcPr>
                <w:tcW w:w="964" w:type="dxa"/>
              </w:tcPr>
              <w:p w:rsidR="008F4B79" w:rsidRDefault="0023314B" w:rsidP="009260DE">
                <w:pPr>
                  <w:jc w:val="right"/>
                  <w:rPr>
                    <w:rFonts w:ascii="Arial" w:hAnsi="Arial" w:cs="Arial"/>
                  </w:rPr>
                </w:pPr>
                <w:r>
                  <w:rPr>
                    <w:rFonts w:ascii="Arial" w:hAnsi="Arial" w:cs="Arial"/>
                  </w:rPr>
                  <w:t>104</w:t>
                </w:r>
                <w:r w:rsidR="008F4B79">
                  <w:rPr>
                    <w:rFonts w:ascii="Arial" w:hAnsi="Arial" w:cs="Arial"/>
                  </w:rPr>
                  <w:t xml:space="preserve"> </w:t>
                </w:r>
              </w:p>
            </w:tc>
            <w:tc>
              <w:tcPr>
                <w:tcW w:w="993" w:type="dxa"/>
              </w:tcPr>
              <w:p w:rsidR="008F4B79" w:rsidRDefault="0023314B" w:rsidP="009260DE">
                <w:pPr>
                  <w:jc w:val="right"/>
                  <w:rPr>
                    <w:rFonts w:ascii="Arial" w:hAnsi="Arial" w:cs="Arial"/>
                  </w:rPr>
                </w:pPr>
                <w:r>
                  <w:rPr>
                    <w:rFonts w:ascii="Arial" w:hAnsi="Arial" w:cs="Arial"/>
                  </w:rPr>
                  <w:t>118</w:t>
                </w:r>
                <w:r w:rsidR="008F4B79">
                  <w:rPr>
                    <w:rFonts w:ascii="Arial" w:hAnsi="Arial" w:cs="Arial"/>
                  </w:rPr>
                  <w:t xml:space="preserve"> </w:t>
                </w:r>
              </w:p>
            </w:tc>
            <w:tc>
              <w:tcPr>
                <w:tcW w:w="992" w:type="dxa"/>
              </w:tcPr>
              <w:p w:rsidR="008F4B79" w:rsidRDefault="0023314B" w:rsidP="009260DE">
                <w:pPr>
                  <w:jc w:val="right"/>
                  <w:rPr>
                    <w:rFonts w:ascii="Arial" w:hAnsi="Arial" w:cs="Arial"/>
                  </w:rPr>
                </w:pPr>
                <w:r>
                  <w:rPr>
                    <w:rFonts w:ascii="Arial" w:hAnsi="Arial" w:cs="Arial"/>
                  </w:rPr>
                  <w:t>164</w:t>
                </w:r>
                <w:r w:rsidR="008F4B79">
                  <w:rPr>
                    <w:rFonts w:ascii="Arial" w:hAnsi="Arial" w:cs="Arial"/>
                  </w:rPr>
                  <w:t xml:space="preserve"> </w:t>
                </w:r>
              </w:p>
            </w:tc>
            <w:tc>
              <w:tcPr>
                <w:tcW w:w="992" w:type="dxa"/>
              </w:tcPr>
              <w:p w:rsidR="008F4B79" w:rsidRDefault="0023314B" w:rsidP="009260DE">
                <w:pPr>
                  <w:jc w:val="right"/>
                  <w:rPr>
                    <w:rFonts w:ascii="Arial" w:hAnsi="Arial" w:cs="Arial"/>
                  </w:rPr>
                </w:pPr>
                <w:r>
                  <w:rPr>
                    <w:rFonts w:ascii="Arial" w:hAnsi="Arial" w:cs="Arial"/>
                  </w:rPr>
                  <w:t>197</w:t>
                </w:r>
                <w:r w:rsidR="008F4B79">
                  <w:rPr>
                    <w:rFonts w:ascii="Arial" w:hAnsi="Arial" w:cs="Arial"/>
                  </w:rPr>
                  <w:t xml:space="preserve"> </w:t>
                </w:r>
              </w:p>
            </w:tc>
          </w:tr>
          <w:tr w:rsidR="008F4B79" w:rsidTr="009260DE">
            <w:tc>
              <w:tcPr>
                <w:tcW w:w="2551" w:type="dxa"/>
              </w:tcPr>
              <w:p w:rsidR="008F4B79" w:rsidRDefault="008F4B79" w:rsidP="009260DE">
                <w:pPr>
                  <w:ind w:left="-675" w:firstLine="675"/>
                  <w:rPr>
                    <w:rFonts w:ascii="Arial" w:hAnsi="Arial" w:cs="Arial"/>
                  </w:rPr>
                </w:pPr>
                <w:r>
                  <w:rPr>
                    <w:rFonts w:ascii="Arial" w:hAnsi="Arial" w:cs="Arial"/>
                  </w:rPr>
                  <w:t>Stock purchased</w:t>
                </w:r>
              </w:p>
            </w:tc>
            <w:tc>
              <w:tcPr>
                <w:tcW w:w="992" w:type="dxa"/>
              </w:tcPr>
              <w:p w:rsidR="008F4B79" w:rsidRPr="00BC19FF" w:rsidRDefault="00731443" w:rsidP="009260DE">
                <w:pPr>
                  <w:jc w:val="right"/>
                  <w:rPr>
                    <w:rFonts w:ascii="Arial" w:hAnsi="Arial" w:cs="Arial"/>
                    <w:u w:val="single"/>
                  </w:rPr>
                </w:pPr>
                <w:r>
                  <w:rPr>
                    <w:rFonts w:ascii="Arial" w:hAnsi="Arial" w:cs="Arial"/>
                    <w:u w:val="single"/>
                  </w:rPr>
                  <w:t>180</w:t>
                </w:r>
                <w:r w:rsidR="008F4B79">
                  <w:rPr>
                    <w:rFonts w:ascii="Arial" w:hAnsi="Arial" w:cs="Arial"/>
                    <w:u w:val="single"/>
                  </w:rPr>
                  <w:t xml:space="preserve"> </w:t>
                </w:r>
              </w:p>
            </w:tc>
            <w:tc>
              <w:tcPr>
                <w:tcW w:w="992" w:type="dxa"/>
              </w:tcPr>
              <w:p w:rsidR="008F4B79" w:rsidRPr="00BC19FF" w:rsidRDefault="0023314B" w:rsidP="009260DE">
                <w:pPr>
                  <w:jc w:val="right"/>
                  <w:rPr>
                    <w:rFonts w:ascii="Arial" w:hAnsi="Arial" w:cs="Arial"/>
                    <w:u w:val="single"/>
                  </w:rPr>
                </w:pPr>
                <w:r>
                  <w:rPr>
                    <w:rFonts w:ascii="Arial" w:hAnsi="Arial" w:cs="Arial"/>
                    <w:u w:val="single"/>
                  </w:rPr>
                  <w:t>170</w:t>
                </w:r>
                <w:r w:rsidR="008F4B79">
                  <w:rPr>
                    <w:rFonts w:ascii="Arial" w:hAnsi="Arial" w:cs="Arial"/>
                    <w:u w:val="single"/>
                  </w:rPr>
                  <w:t xml:space="preserve">  </w:t>
                </w:r>
              </w:p>
            </w:tc>
            <w:tc>
              <w:tcPr>
                <w:tcW w:w="964" w:type="dxa"/>
              </w:tcPr>
              <w:p w:rsidR="008F4B79" w:rsidRPr="00BC19FF" w:rsidRDefault="0023314B" w:rsidP="009260DE">
                <w:pPr>
                  <w:jc w:val="right"/>
                  <w:rPr>
                    <w:rFonts w:ascii="Arial" w:hAnsi="Arial" w:cs="Arial"/>
                    <w:u w:val="single"/>
                  </w:rPr>
                </w:pPr>
                <w:r>
                  <w:rPr>
                    <w:rFonts w:ascii="Arial" w:hAnsi="Arial" w:cs="Arial"/>
                    <w:u w:val="single"/>
                  </w:rPr>
                  <w:t>203</w:t>
                </w:r>
                <w:r w:rsidR="008F4B79">
                  <w:rPr>
                    <w:rFonts w:ascii="Arial" w:hAnsi="Arial" w:cs="Arial"/>
                    <w:u w:val="single"/>
                  </w:rPr>
                  <w:t xml:space="preserve"> </w:t>
                </w:r>
              </w:p>
            </w:tc>
            <w:tc>
              <w:tcPr>
                <w:tcW w:w="993" w:type="dxa"/>
              </w:tcPr>
              <w:p w:rsidR="008F4B79" w:rsidRPr="00BC19FF" w:rsidRDefault="0023314B" w:rsidP="009260DE">
                <w:pPr>
                  <w:jc w:val="right"/>
                  <w:rPr>
                    <w:rFonts w:ascii="Arial" w:hAnsi="Arial" w:cs="Arial"/>
                    <w:u w:val="single"/>
                  </w:rPr>
                </w:pPr>
                <w:r>
                  <w:rPr>
                    <w:rFonts w:ascii="Arial" w:hAnsi="Arial" w:cs="Arial"/>
                    <w:u w:val="single"/>
                  </w:rPr>
                  <w:t>200</w:t>
                </w:r>
                <w:r w:rsidR="008F4B79">
                  <w:rPr>
                    <w:rFonts w:ascii="Arial" w:hAnsi="Arial" w:cs="Arial"/>
                    <w:u w:val="single"/>
                  </w:rPr>
                  <w:t xml:space="preserve"> </w:t>
                </w:r>
              </w:p>
            </w:tc>
            <w:tc>
              <w:tcPr>
                <w:tcW w:w="992" w:type="dxa"/>
              </w:tcPr>
              <w:p w:rsidR="008F4B79" w:rsidRPr="00BC19FF" w:rsidRDefault="0023314B" w:rsidP="009260DE">
                <w:pPr>
                  <w:jc w:val="right"/>
                  <w:rPr>
                    <w:rFonts w:ascii="Arial" w:hAnsi="Arial" w:cs="Arial"/>
                    <w:u w:val="single"/>
                  </w:rPr>
                </w:pPr>
                <w:r>
                  <w:rPr>
                    <w:rFonts w:ascii="Arial" w:hAnsi="Arial" w:cs="Arial"/>
                    <w:u w:val="single"/>
                  </w:rPr>
                  <w:t>180</w:t>
                </w:r>
                <w:r w:rsidR="008F4B79">
                  <w:rPr>
                    <w:rFonts w:ascii="Arial" w:hAnsi="Arial" w:cs="Arial"/>
                    <w:u w:val="single"/>
                  </w:rPr>
                  <w:t xml:space="preserve"> </w:t>
                </w:r>
              </w:p>
            </w:tc>
            <w:tc>
              <w:tcPr>
                <w:tcW w:w="992" w:type="dxa"/>
              </w:tcPr>
              <w:p w:rsidR="008F4B79" w:rsidRPr="00BC19FF" w:rsidRDefault="0023314B" w:rsidP="009260DE">
                <w:pPr>
                  <w:jc w:val="right"/>
                  <w:rPr>
                    <w:rFonts w:ascii="Arial" w:hAnsi="Arial" w:cs="Arial"/>
                    <w:u w:val="single"/>
                  </w:rPr>
                </w:pPr>
                <w:r>
                  <w:rPr>
                    <w:rFonts w:ascii="Arial" w:hAnsi="Arial" w:cs="Arial"/>
                    <w:u w:val="single"/>
                  </w:rPr>
                  <w:t>195</w:t>
                </w:r>
                <w:r w:rsidR="008F4B79">
                  <w:rPr>
                    <w:rFonts w:ascii="Arial" w:hAnsi="Arial" w:cs="Arial"/>
                    <w:u w:val="single"/>
                  </w:rPr>
                  <w:t xml:space="preserve"> </w:t>
                </w:r>
              </w:p>
            </w:tc>
          </w:tr>
          <w:tr w:rsidR="008F4B79" w:rsidTr="009260DE">
            <w:tc>
              <w:tcPr>
                <w:tcW w:w="2551" w:type="dxa"/>
              </w:tcPr>
              <w:p w:rsidR="008F4B79" w:rsidRDefault="008F4B79" w:rsidP="009260DE">
                <w:pPr>
                  <w:rPr>
                    <w:rFonts w:ascii="Arial" w:hAnsi="Arial" w:cs="Arial"/>
                  </w:rPr>
                </w:pPr>
              </w:p>
            </w:tc>
            <w:tc>
              <w:tcPr>
                <w:tcW w:w="992" w:type="dxa"/>
              </w:tcPr>
              <w:p w:rsidR="008F4B79" w:rsidRDefault="00731443" w:rsidP="009260DE">
                <w:pPr>
                  <w:jc w:val="right"/>
                  <w:rPr>
                    <w:rFonts w:ascii="Arial" w:hAnsi="Arial" w:cs="Arial"/>
                  </w:rPr>
                </w:pPr>
                <w:r>
                  <w:rPr>
                    <w:rFonts w:ascii="Arial" w:hAnsi="Arial" w:cs="Arial"/>
                  </w:rPr>
                  <w:t>305</w:t>
                </w:r>
                <w:r w:rsidR="008F4B79">
                  <w:rPr>
                    <w:rFonts w:ascii="Arial" w:hAnsi="Arial" w:cs="Arial"/>
                  </w:rPr>
                  <w:t xml:space="preserve"> </w:t>
                </w:r>
              </w:p>
            </w:tc>
            <w:tc>
              <w:tcPr>
                <w:tcW w:w="992" w:type="dxa"/>
              </w:tcPr>
              <w:p w:rsidR="008F4B79" w:rsidRDefault="0023314B" w:rsidP="009260DE">
                <w:pPr>
                  <w:jc w:val="right"/>
                  <w:rPr>
                    <w:rFonts w:ascii="Arial" w:hAnsi="Arial" w:cs="Arial"/>
                  </w:rPr>
                </w:pPr>
                <w:r>
                  <w:rPr>
                    <w:rFonts w:ascii="Arial" w:hAnsi="Arial" w:cs="Arial"/>
                  </w:rPr>
                  <w:t>293</w:t>
                </w:r>
                <w:r w:rsidR="008F4B79">
                  <w:rPr>
                    <w:rFonts w:ascii="Arial" w:hAnsi="Arial" w:cs="Arial"/>
                  </w:rPr>
                  <w:t xml:space="preserve">  </w:t>
                </w:r>
              </w:p>
            </w:tc>
            <w:tc>
              <w:tcPr>
                <w:tcW w:w="964" w:type="dxa"/>
              </w:tcPr>
              <w:p w:rsidR="008F4B79" w:rsidRDefault="0023314B" w:rsidP="009260DE">
                <w:pPr>
                  <w:jc w:val="right"/>
                  <w:rPr>
                    <w:rFonts w:ascii="Arial" w:hAnsi="Arial" w:cs="Arial"/>
                  </w:rPr>
                </w:pPr>
                <w:r>
                  <w:rPr>
                    <w:rFonts w:ascii="Arial" w:hAnsi="Arial" w:cs="Arial"/>
                  </w:rPr>
                  <w:t>307</w:t>
                </w:r>
                <w:r w:rsidR="008F4B79">
                  <w:rPr>
                    <w:rFonts w:ascii="Arial" w:hAnsi="Arial" w:cs="Arial"/>
                  </w:rPr>
                  <w:t xml:space="preserve"> </w:t>
                </w:r>
              </w:p>
            </w:tc>
            <w:tc>
              <w:tcPr>
                <w:tcW w:w="993" w:type="dxa"/>
              </w:tcPr>
              <w:p w:rsidR="008F4B79" w:rsidRDefault="0023314B" w:rsidP="009260DE">
                <w:pPr>
                  <w:jc w:val="right"/>
                  <w:rPr>
                    <w:rFonts w:ascii="Arial" w:hAnsi="Arial" w:cs="Arial"/>
                  </w:rPr>
                </w:pPr>
                <w:r>
                  <w:rPr>
                    <w:rFonts w:ascii="Arial" w:hAnsi="Arial" w:cs="Arial"/>
                  </w:rPr>
                  <w:t>318</w:t>
                </w:r>
                <w:r w:rsidR="008F4B79">
                  <w:rPr>
                    <w:rFonts w:ascii="Arial" w:hAnsi="Arial" w:cs="Arial"/>
                  </w:rPr>
                  <w:t xml:space="preserve"> </w:t>
                </w:r>
              </w:p>
            </w:tc>
            <w:tc>
              <w:tcPr>
                <w:tcW w:w="992" w:type="dxa"/>
              </w:tcPr>
              <w:p w:rsidR="008F4B79" w:rsidRDefault="0023314B" w:rsidP="009260DE">
                <w:pPr>
                  <w:jc w:val="right"/>
                  <w:rPr>
                    <w:rFonts w:ascii="Arial" w:hAnsi="Arial" w:cs="Arial"/>
                  </w:rPr>
                </w:pPr>
                <w:r>
                  <w:rPr>
                    <w:rFonts w:ascii="Arial" w:hAnsi="Arial" w:cs="Arial"/>
                  </w:rPr>
                  <w:t>344</w:t>
                </w:r>
                <w:r w:rsidR="008F4B79">
                  <w:rPr>
                    <w:rFonts w:ascii="Arial" w:hAnsi="Arial" w:cs="Arial"/>
                  </w:rPr>
                  <w:t xml:space="preserve"> </w:t>
                </w:r>
              </w:p>
            </w:tc>
            <w:tc>
              <w:tcPr>
                <w:tcW w:w="992" w:type="dxa"/>
              </w:tcPr>
              <w:p w:rsidR="008F4B79" w:rsidRDefault="0023314B" w:rsidP="009260DE">
                <w:pPr>
                  <w:jc w:val="right"/>
                  <w:rPr>
                    <w:rFonts w:ascii="Arial" w:hAnsi="Arial" w:cs="Arial"/>
                  </w:rPr>
                </w:pPr>
                <w:r>
                  <w:rPr>
                    <w:rFonts w:ascii="Arial" w:hAnsi="Arial" w:cs="Arial"/>
                  </w:rPr>
                  <w:t>392</w:t>
                </w:r>
                <w:r w:rsidR="008F4B79">
                  <w:rPr>
                    <w:rFonts w:ascii="Arial" w:hAnsi="Arial" w:cs="Arial"/>
                  </w:rPr>
                  <w:t xml:space="preserve"> </w:t>
                </w:r>
              </w:p>
            </w:tc>
          </w:tr>
          <w:tr w:rsidR="008F4B79" w:rsidTr="009260DE">
            <w:tc>
              <w:tcPr>
                <w:tcW w:w="2551" w:type="dxa"/>
              </w:tcPr>
              <w:p w:rsidR="008F4B79" w:rsidRDefault="008F4B79" w:rsidP="009260DE">
                <w:pPr>
                  <w:rPr>
                    <w:rFonts w:ascii="Arial" w:hAnsi="Arial" w:cs="Arial"/>
                  </w:rPr>
                </w:pPr>
                <w:r>
                  <w:rPr>
                    <w:rFonts w:ascii="Arial" w:hAnsi="Arial" w:cs="Arial"/>
                  </w:rPr>
                  <w:t>Cost of Stock sold</w:t>
                </w:r>
              </w:p>
            </w:tc>
            <w:tc>
              <w:tcPr>
                <w:tcW w:w="992" w:type="dxa"/>
              </w:tcPr>
              <w:p w:rsidR="008F4B79" w:rsidRDefault="008F4B79" w:rsidP="009260DE">
                <w:pPr>
                  <w:jc w:val="right"/>
                  <w:rPr>
                    <w:rFonts w:ascii="Arial" w:hAnsi="Arial" w:cs="Arial"/>
                  </w:rPr>
                </w:pPr>
              </w:p>
            </w:tc>
            <w:tc>
              <w:tcPr>
                <w:tcW w:w="992" w:type="dxa"/>
              </w:tcPr>
              <w:p w:rsidR="008F4B79" w:rsidRDefault="008F4B79" w:rsidP="009260DE">
                <w:pPr>
                  <w:jc w:val="right"/>
                  <w:rPr>
                    <w:rFonts w:ascii="Arial" w:hAnsi="Arial" w:cs="Arial"/>
                  </w:rPr>
                </w:pPr>
              </w:p>
            </w:tc>
            <w:tc>
              <w:tcPr>
                <w:tcW w:w="964" w:type="dxa"/>
              </w:tcPr>
              <w:p w:rsidR="008F4B79" w:rsidRDefault="008F4B79" w:rsidP="009260DE">
                <w:pPr>
                  <w:jc w:val="right"/>
                  <w:rPr>
                    <w:rFonts w:ascii="Arial" w:hAnsi="Arial" w:cs="Arial"/>
                  </w:rPr>
                </w:pPr>
              </w:p>
            </w:tc>
            <w:tc>
              <w:tcPr>
                <w:tcW w:w="993" w:type="dxa"/>
              </w:tcPr>
              <w:p w:rsidR="008F4B79" w:rsidRDefault="008F4B79" w:rsidP="009260DE">
                <w:pPr>
                  <w:jc w:val="right"/>
                  <w:rPr>
                    <w:rFonts w:ascii="Arial" w:hAnsi="Arial" w:cs="Arial"/>
                  </w:rPr>
                </w:pPr>
              </w:p>
            </w:tc>
            <w:tc>
              <w:tcPr>
                <w:tcW w:w="992" w:type="dxa"/>
              </w:tcPr>
              <w:p w:rsidR="008F4B79" w:rsidRDefault="008F4B79" w:rsidP="009260DE">
                <w:pPr>
                  <w:jc w:val="right"/>
                  <w:rPr>
                    <w:rFonts w:ascii="Arial" w:hAnsi="Arial" w:cs="Arial"/>
                  </w:rPr>
                </w:pPr>
              </w:p>
            </w:tc>
            <w:tc>
              <w:tcPr>
                <w:tcW w:w="992" w:type="dxa"/>
              </w:tcPr>
              <w:p w:rsidR="008F4B79" w:rsidRDefault="008F4B79" w:rsidP="009260DE">
                <w:pPr>
                  <w:jc w:val="right"/>
                  <w:rPr>
                    <w:rFonts w:ascii="Arial" w:hAnsi="Arial" w:cs="Arial"/>
                  </w:rPr>
                </w:pPr>
              </w:p>
            </w:tc>
          </w:tr>
          <w:tr w:rsidR="008F4B79" w:rsidTr="009260DE">
            <w:tc>
              <w:tcPr>
                <w:tcW w:w="2551" w:type="dxa"/>
              </w:tcPr>
              <w:p w:rsidR="008F4B79" w:rsidRDefault="00731443" w:rsidP="009260DE">
                <w:pPr>
                  <w:rPr>
                    <w:rFonts w:ascii="Arial" w:hAnsi="Arial" w:cs="Arial"/>
                  </w:rPr>
                </w:pPr>
                <w:r>
                  <w:rPr>
                    <w:rFonts w:ascii="Arial" w:hAnsi="Arial" w:cs="Arial"/>
                  </w:rPr>
                  <w:t>(7</w:t>
                </w:r>
                <w:r w:rsidR="008F4B79">
                  <w:rPr>
                    <w:rFonts w:ascii="Arial" w:hAnsi="Arial" w:cs="Arial"/>
                  </w:rPr>
                  <w:t>0% of sales)</w:t>
                </w:r>
              </w:p>
            </w:tc>
            <w:tc>
              <w:tcPr>
                <w:tcW w:w="992" w:type="dxa"/>
              </w:tcPr>
              <w:p w:rsidR="008F4B79" w:rsidRPr="00BC19FF" w:rsidRDefault="008F4B79" w:rsidP="009260DE">
                <w:pPr>
                  <w:jc w:val="right"/>
                  <w:rPr>
                    <w:rFonts w:ascii="Arial" w:hAnsi="Arial" w:cs="Arial"/>
                    <w:u w:val="single"/>
                  </w:rPr>
                </w:pPr>
                <w:r>
                  <w:rPr>
                    <w:rFonts w:ascii="Arial" w:hAnsi="Arial" w:cs="Arial"/>
                    <w:u w:val="single"/>
                  </w:rPr>
                  <w:t xml:space="preserve">( </w:t>
                </w:r>
                <w:r w:rsidR="0023314B">
                  <w:rPr>
                    <w:rFonts w:ascii="Arial" w:hAnsi="Arial" w:cs="Arial"/>
                    <w:u w:val="single"/>
                  </w:rPr>
                  <w:t>182</w:t>
                </w:r>
                <w:r>
                  <w:rPr>
                    <w:rFonts w:ascii="Arial" w:hAnsi="Arial" w:cs="Arial"/>
                    <w:u w:val="single"/>
                  </w:rPr>
                  <w:t xml:space="preserve"> )</w:t>
                </w:r>
              </w:p>
            </w:tc>
            <w:tc>
              <w:tcPr>
                <w:tcW w:w="992" w:type="dxa"/>
              </w:tcPr>
              <w:p w:rsidR="008F4B79" w:rsidRPr="00BC19FF" w:rsidRDefault="008F4B79" w:rsidP="009260DE">
                <w:pPr>
                  <w:jc w:val="right"/>
                  <w:rPr>
                    <w:rFonts w:ascii="Arial" w:hAnsi="Arial" w:cs="Arial"/>
                    <w:u w:val="single"/>
                  </w:rPr>
                </w:pPr>
                <w:r>
                  <w:rPr>
                    <w:rFonts w:ascii="Arial" w:hAnsi="Arial" w:cs="Arial"/>
                    <w:u w:val="single"/>
                  </w:rPr>
                  <w:t>(</w:t>
                </w:r>
                <w:r w:rsidR="0023314B">
                  <w:rPr>
                    <w:rFonts w:ascii="Arial" w:hAnsi="Arial" w:cs="Arial"/>
                    <w:u w:val="single"/>
                  </w:rPr>
                  <w:t xml:space="preserve">189  </w:t>
                </w:r>
                <w:r>
                  <w:rPr>
                    <w:rFonts w:ascii="Arial" w:hAnsi="Arial" w:cs="Arial"/>
                    <w:u w:val="single"/>
                  </w:rPr>
                  <w:t>)</w:t>
                </w:r>
              </w:p>
            </w:tc>
            <w:tc>
              <w:tcPr>
                <w:tcW w:w="964" w:type="dxa"/>
              </w:tcPr>
              <w:p w:rsidR="008F4B79" w:rsidRPr="00BC19FF" w:rsidRDefault="0023314B" w:rsidP="009260DE">
                <w:pPr>
                  <w:jc w:val="right"/>
                  <w:rPr>
                    <w:rFonts w:ascii="Arial" w:hAnsi="Arial" w:cs="Arial"/>
                    <w:u w:val="single"/>
                  </w:rPr>
                </w:pPr>
                <w:r>
                  <w:rPr>
                    <w:rFonts w:ascii="Arial" w:hAnsi="Arial" w:cs="Arial"/>
                    <w:u w:val="single"/>
                  </w:rPr>
                  <w:t xml:space="preserve">( </w:t>
                </w:r>
                <w:r w:rsidR="008F4B79">
                  <w:rPr>
                    <w:rFonts w:ascii="Arial" w:hAnsi="Arial" w:cs="Arial"/>
                    <w:u w:val="single"/>
                  </w:rPr>
                  <w:t xml:space="preserve"> </w:t>
                </w:r>
                <w:r>
                  <w:rPr>
                    <w:rFonts w:ascii="Arial" w:hAnsi="Arial" w:cs="Arial"/>
                    <w:u w:val="single"/>
                  </w:rPr>
                  <w:t>189</w:t>
                </w:r>
                <w:r w:rsidR="008F4B79">
                  <w:rPr>
                    <w:rFonts w:ascii="Arial" w:hAnsi="Arial" w:cs="Arial"/>
                    <w:u w:val="single"/>
                  </w:rPr>
                  <w:t xml:space="preserve"> )</w:t>
                </w:r>
              </w:p>
            </w:tc>
            <w:tc>
              <w:tcPr>
                <w:tcW w:w="993" w:type="dxa"/>
              </w:tcPr>
              <w:p w:rsidR="008F4B79" w:rsidRPr="00BC19FF" w:rsidRDefault="008F4B79" w:rsidP="009260DE">
                <w:pPr>
                  <w:jc w:val="right"/>
                  <w:rPr>
                    <w:rFonts w:ascii="Arial" w:hAnsi="Arial" w:cs="Arial"/>
                    <w:u w:val="single"/>
                  </w:rPr>
                </w:pPr>
                <w:r>
                  <w:rPr>
                    <w:rFonts w:ascii="Arial" w:hAnsi="Arial" w:cs="Arial"/>
                    <w:u w:val="single"/>
                  </w:rPr>
                  <w:t xml:space="preserve">(  </w:t>
                </w:r>
                <w:r w:rsidR="0023314B">
                  <w:rPr>
                    <w:rFonts w:ascii="Arial" w:hAnsi="Arial" w:cs="Arial"/>
                    <w:u w:val="single"/>
                  </w:rPr>
                  <w:t>154</w:t>
                </w:r>
                <w:r>
                  <w:rPr>
                    <w:rFonts w:ascii="Arial" w:hAnsi="Arial" w:cs="Arial"/>
                    <w:u w:val="single"/>
                  </w:rPr>
                  <w:t xml:space="preserve">  )</w:t>
                </w:r>
              </w:p>
            </w:tc>
            <w:tc>
              <w:tcPr>
                <w:tcW w:w="992" w:type="dxa"/>
              </w:tcPr>
              <w:p w:rsidR="008F4B79" w:rsidRPr="00BC19FF" w:rsidRDefault="008F4B79" w:rsidP="009260DE">
                <w:pPr>
                  <w:jc w:val="right"/>
                  <w:rPr>
                    <w:rFonts w:ascii="Arial" w:hAnsi="Arial" w:cs="Arial"/>
                    <w:u w:val="single"/>
                  </w:rPr>
                </w:pPr>
                <w:r>
                  <w:rPr>
                    <w:rFonts w:ascii="Arial" w:hAnsi="Arial" w:cs="Arial"/>
                    <w:u w:val="single"/>
                  </w:rPr>
                  <w:t xml:space="preserve">(   </w:t>
                </w:r>
                <w:r w:rsidR="0023314B">
                  <w:rPr>
                    <w:rFonts w:ascii="Arial" w:hAnsi="Arial" w:cs="Arial"/>
                    <w:u w:val="single"/>
                  </w:rPr>
                  <w:t>147</w:t>
                </w:r>
                <w:r>
                  <w:rPr>
                    <w:rFonts w:ascii="Arial" w:hAnsi="Arial" w:cs="Arial"/>
                    <w:u w:val="single"/>
                  </w:rPr>
                  <w:t xml:space="preserve"> )</w:t>
                </w:r>
              </w:p>
            </w:tc>
            <w:tc>
              <w:tcPr>
                <w:tcW w:w="992" w:type="dxa"/>
              </w:tcPr>
              <w:p w:rsidR="008F4B79" w:rsidRPr="00BC19FF" w:rsidRDefault="008F4B79" w:rsidP="009260DE">
                <w:pPr>
                  <w:jc w:val="right"/>
                  <w:rPr>
                    <w:rFonts w:ascii="Arial" w:hAnsi="Arial" w:cs="Arial"/>
                    <w:u w:val="single"/>
                  </w:rPr>
                </w:pPr>
                <w:r>
                  <w:rPr>
                    <w:rFonts w:ascii="Arial" w:hAnsi="Arial" w:cs="Arial"/>
                    <w:u w:val="single"/>
                  </w:rPr>
                  <w:t xml:space="preserve">(   </w:t>
                </w:r>
                <w:r w:rsidR="0023314B">
                  <w:rPr>
                    <w:rFonts w:ascii="Arial" w:hAnsi="Arial" w:cs="Arial"/>
                    <w:u w:val="single"/>
                  </w:rPr>
                  <w:t>133</w:t>
                </w:r>
                <w:r>
                  <w:rPr>
                    <w:rFonts w:ascii="Arial" w:hAnsi="Arial" w:cs="Arial"/>
                    <w:u w:val="single"/>
                  </w:rPr>
                  <w:t>)</w:t>
                </w:r>
              </w:p>
            </w:tc>
          </w:tr>
          <w:tr w:rsidR="008F4B79" w:rsidTr="009260DE">
            <w:tc>
              <w:tcPr>
                <w:tcW w:w="2551" w:type="dxa"/>
              </w:tcPr>
              <w:p w:rsidR="008F4B79" w:rsidRDefault="008F4B79" w:rsidP="009260DE">
                <w:pPr>
                  <w:rPr>
                    <w:rFonts w:ascii="Arial" w:hAnsi="Arial" w:cs="Arial"/>
                  </w:rPr>
                </w:pPr>
                <w:r>
                  <w:rPr>
                    <w:rFonts w:ascii="Arial" w:hAnsi="Arial" w:cs="Arial"/>
                  </w:rPr>
                  <w:t>Therefore Closing stock</w:t>
                </w:r>
              </w:p>
            </w:tc>
            <w:tc>
              <w:tcPr>
                <w:tcW w:w="992" w:type="dxa"/>
              </w:tcPr>
              <w:p w:rsidR="008F4B79" w:rsidRPr="00BC19FF" w:rsidRDefault="0023314B" w:rsidP="009260DE">
                <w:pPr>
                  <w:jc w:val="right"/>
                  <w:rPr>
                    <w:rFonts w:ascii="Arial" w:hAnsi="Arial" w:cs="Arial"/>
                    <w:u w:val="single"/>
                  </w:rPr>
                </w:pPr>
                <w:r>
                  <w:rPr>
                    <w:rFonts w:ascii="Arial" w:hAnsi="Arial" w:cs="Arial"/>
                    <w:u w:val="single"/>
                  </w:rPr>
                  <w:t>123</w:t>
                </w:r>
                <w:r w:rsidR="008F4B79">
                  <w:rPr>
                    <w:rFonts w:ascii="Arial" w:hAnsi="Arial" w:cs="Arial"/>
                    <w:u w:val="single"/>
                  </w:rPr>
                  <w:t xml:space="preserve">   </w:t>
                </w:r>
              </w:p>
            </w:tc>
            <w:tc>
              <w:tcPr>
                <w:tcW w:w="992" w:type="dxa"/>
              </w:tcPr>
              <w:p w:rsidR="008F4B79" w:rsidRPr="00BC19FF" w:rsidRDefault="0023314B" w:rsidP="009260DE">
                <w:pPr>
                  <w:jc w:val="right"/>
                  <w:rPr>
                    <w:rFonts w:ascii="Arial" w:hAnsi="Arial" w:cs="Arial"/>
                    <w:u w:val="single"/>
                  </w:rPr>
                </w:pPr>
                <w:r>
                  <w:rPr>
                    <w:rFonts w:ascii="Arial" w:hAnsi="Arial" w:cs="Arial"/>
                    <w:u w:val="single"/>
                  </w:rPr>
                  <w:t>104</w:t>
                </w:r>
                <w:r w:rsidR="008F4B79">
                  <w:rPr>
                    <w:rFonts w:ascii="Arial" w:hAnsi="Arial" w:cs="Arial"/>
                    <w:u w:val="single"/>
                  </w:rPr>
                  <w:t xml:space="preserve">   </w:t>
                </w:r>
              </w:p>
            </w:tc>
            <w:tc>
              <w:tcPr>
                <w:tcW w:w="964" w:type="dxa"/>
              </w:tcPr>
              <w:p w:rsidR="008F4B79" w:rsidRPr="00BC19FF" w:rsidRDefault="0023314B" w:rsidP="009260DE">
                <w:pPr>
                  <w:jc w:val="right"/>
                  <w:rPr>
                    <w:rFonts w:ascii="Arial" w:hAnsi="Arial" w:cs="Arial"/>
                    <w:u w:val="single"/>
                  </w:rPr>
                </w:pPr>
                <w:r>
                  <w:rPr>
                    <w:rFonts w:ascii="Arial" w:hAnsi="Arial" w:cs="Arial"/>
                    <w:u w:val="single"/>
                  </w:rPr>
                  <w:t>118</w:t>
                </w:r>
                <w:r w:rsidR="008F4B79">
                  <w:rPr>
                    <w:rFonts w:ascii="Arial" w:hAnsi="Arial" w:cs="Arial"/>
                    <w:u w:val="single"/>
                  </w:rPr>
                  <w:t xml:space="preserve">     </w:t>
                </w:r>
              </w:p>
            </w:tc>
            <w:tc>
              <w:tcPr>
                <w:tcW w:w="993" w:type="dxa"/>
              </w:tcPr>
              <w:p w:rsidR="008F4B79" w:rsidRPr="00BC19FF" w:rsidRDefault="0023314B" w:rsidP="009260DE">
                <w:pPr>
                  <w:jc w:val="right"/>
                  <w:rPr>
                    <w:rFonts w:ascii="Arial" w:hAnsi="Arial" w:cs="Arial"/>
                    <w:u w:val="single"/>
                  </w:rPr>
                </w:pPr>
                <w:r>
                  <w:rPr>
                    <w:rFonts w:ascii="Arial" w:hAnsi="Arial" w:cs="Arial"/>
                    <w:u w:val="single"/>
                  </w:rPr>
                  <w:t>164</w:t>
                </w:r>
                <w:r w:rsidR="008F4B79">
                  <w:rPr>
                    <w:rFonts w:ascii="Arial" w:hAnsi="Arial" w:cs="Arial"/>
                    <w:u w:val="single"/>
                  </w:rPr>
                  <w:t xml:space="preserve"> </w:t>
                </w:r>
              </w:p>
            </w:tc>
            <w:tc>
              <w:tcPr>
                <w:tcW w:w="992" w:type="dxa"/>
              </w:tcPr>
              <w:p w:rsidR="008F4B79" w:rsidRPr="00BC19FF" w:rsidRDefault="0023314B" w:rsidP="009260DE">
                <w:pPr>
                  <w:jc w:val="right"/>
                  <w:rPr>
                    <w:rFonts w:ascii="Arial" w:hAnsi="Arial" w:cs="Arial"/>
                    <w:u w:val="single"/>
                  </w:rPr>
                </w:pPr>
                <w:r>
                  <w:rPr>
                    <w:rFonts w:ascii="Arial" w:hAnsi="Arial" w:cs="Arial"/>
                    <w:u w:val="single"/>
                  </w:rPr>
                  <w:t>197</w:t>
                </w:r>
                <w:r w:rsidR="008F4B79">
                  <w:rPr>
                    <w:rFonts w:ascii="Arial" w:hAnsi="Arial" w:cs="Arial"/>
                    <w:u w:val="single"/>
                  </w:rPr>
                  <w:t xml:space="preserve"> </w:t>
                </w:r>
              </w:p>
            </w:tc>
            <w:tc>
              <w:tcPr>
                <w:tcW w:w="992" w:type="dxa"/>
              </w:tcPr>
              <w:p w:rsidR="008F4B79" w:rsidRPr="00BC19FF" w:rsidRDefault="0023314B" w:rsidP="009260DE">
                <w:pPr>
                  <w:jc w:val="right"/>
                  <w:rPr>
                    <w:rFonts w:ascii="Arial" w:hAnsi="Arial" w:cs="Arial"/>
                    <w:u w:val="single"/>
                  </w:rPr>
                </w:pPr>
                <w:r>
                  <w:rPr>
                    <w:rFonts w:ascii="Arial" w:hAnsi="Arial" w:cs="Arial"/>
                    <w:u w:val="single"/>
                  </w:rPr>
                  <w:t>259</w:t>
                </w:r>
                <w:r w:rsidR="008F4B79">
                  <w:rPr>
                    <w:rFonts w:ascii="Arial" w:hAnsi="Arial" w:cs="Arial"/>
                    <w:u w:val="single"/>
                  </w:rPr>
                  <w:t xml:space="preserve"> </w:t>
                </w:r>
              </w:p>
            </w:tc>
          </w:tr>
        </w:tbl>
        <w:p w:rsidR="008F4B79" w:rsidRDefault="008F4B79" w:rsidP="008F4B79">
          <w:pPr>
            <w:spacing w:line="240" w:lineRule="auto"/>
            <w:ind w:left="360" w:firstLine="360"/>
            <w:rPr>
              <w:rFonts w:ascii="Arial" w:hAnsi="Arial" w:cs="Arial"/>
            </w:rPr>
          </w:pPr>
        </w:p>
        <w:p w:rsidR="008F4B79" w:rsidRPr="003B62C4" w:rsidRDefault="008F4B79" w:rsidP="008F4B79">
          <w:pPr>
            <w:pStyle w:val="ListParagraph"/>
            <w:numPr>
              <w:ilvl w:val="0"/>
              <w:numId w:val="1"/>
            </w:numPr>
            <w:ind w:left="851"/>
            <w:jc w:val="both"/>
            <w:rPr>
              <w:rFonts w:ascii="Arial" w:hAnsi="Arial" w:cs="Arial"/>
            </w:rPr>
          </w:pPr>
          <w:r>
            <w:rPr>
              <w:rFonts w:ascii="Arial" w:hAnsi="Arial" w:cs="Arial"/>
            </w:rPr>
            <w:t>The cash budget for the period to 30 November is:</w:t>
          </w:r>
        </w:p>
        <w:tbl>
          <w:tblPr>
            <w:tblStyle w:val="TableGrid"/>
            <w:tblW w:w="9213" w:type="dxa"/>
            <w:tblInd w:w="5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tblPr>
          <w:tblGrid>
            <w:gridCol w:w="3260"/>
            <w:gridCol w:w="992"/>
            <w:gridCol w:w="992"/>
            <w:gridCol w:w="993"/>
            <w:gridCol w:w="992"/>
            <w:gridCol w:w="992"/>
            <w:gridCol w:w="992"/>
          </w:tblGrid>
          <w:tr w:rsidR="008F4B79" w:rsidTr="009260DE">
            <w:tc>
              <w:tcPr>
                <w:tcW w:w="3260" w:type="dxa"/>
              </w:tcPr>
              <w:p w:rsidR="008F4B79" w:rsidRDefault="008F4B79" w:rsidP="009260DE">
                <w:pPr>
                  <w:jc w:val="center"/>
                  <w:rPr>
                    <w:rFonts w:ascii="Arial" w:hAnsi="Arial" w:cs="Arial"/>
                  </w:rPr>
                </w:pPr>
              </w:p>
            </w:tc>
            <w:tc>
              <w:tcPr>
                <w:tcW w:w="992" w:type="dxa"/>
              </w:tcPr>
              <w:p w:rsidR="008F4B79" w:rsidRPr="004D6C12" w:rsidRDefault="008F4B79" w:rsidP="009260DE">
                <w:pPr>
                  <w:jc w:val="center"/>
                  <w:rPr>
                    <w:rFonts w:ascii="Arial" w:hAnsi="Arial" w:cs="Arial"/>
                    <w:b/>
                  </w:rPr>
                </w:pPr>
                <w:r w:rsidRPr="004D6C12">
                  <w:rPr>
                    <w:rFonts w:ascii="Arial" w:hAnsi="Arial" w:cs="Arial"/>
                    <w:b/>
                  </w:rPr>
                  <w:t>June</w:t>
                </w:r>
              </w:p>
            </w:tc>
            <w:tc>
              <w:tcPr>
                <w:tcW w:w="992" w:type="dxa"/>
              </w:tcPr>
              <w:p w:rsidR="008F4B79" w:rsidRPr="004D6C12" w:rsidRDefault="008F4B79" w:rsidP="009260DE">
                <w:pPr>
                  <w:jc w:val="center"/>
                  <w:rPr>
                    <w:rFonts w:ascii="Arial" w:hAnsi="Arial" w:cs="Arial"/>
                    <w:b/>
                  </w:rPr>
                </w:pPr>
                <w:r w:rsidRPr="004D6C12">
                  <w:rPr>
                    <w:rFonts w:ascii="Arial" w:hAnsi="Arial" w:cs="Arial"/>
                    <w:b/>
                  </w:rPr>
                  <w:t>July</w:t>
                </w:r>
              </w:p>
            </w:tc>
            <w:tc>
              <w:tcPr>
                <w:tcW w:w="993" w:type="dxa"/>
              </w:tcPr>
              <w:p w:rsidR="008F4B79" w:rsidRPr="004D6C12" w:rsidRDefault="008F4B79" w:rsidP="009260DE">
                <w:pPr>
                  <w:jc w:val="center"/>
                  <w:rPr>
                    <w:rFonts w:ascii="Arial" w:hAnsi="Arial" w:cs="Arial"/>
                    <w:b/>
                  </w:rPr>
                </w:pPr>
                <w:r w:rsidRPr="004D6C12">
                  <w:rPr>
                    <w:rFonts w:ascii="Arial" w:hAnsi="Arial" w:cs="Arial"/>
                    <w:b/>
                  </w:rPr>
                  <w:t>Aug</w:t>
                </w:r>
              </w:p>
            </w:tc>
            <w:tc>
              <w:tcPr>
                <w:tcW w:w="992" w:type="dxa"/>
              </w:tcPr>
              <w:p w:rsidR="008F4B79" w:rsidRPr="004D6C12" w:rsidRDefault="008F4B79" w:rsidP="009260DE">
                <w:pPr>
                  <w:jc w:val="center"/>
                  <w:rPr>
                    <w:rFonts w:ascii="Arial" w:hAnsi="Arial" w:cs="Arial"/>
                    <w:b/>
                  </w:rPr>
                </w:pPr>
                <w:r w:rsidRPr="004D6C12">
                  <w:rPr>
                    <w:rFonts w:ascii="Arial" w:hAnsi="Arial" w:cs="Arial"/>
                    <w:b/>
                  </w:rPr>
                  <w:t>Sept</w:t>
                </w:r>
              </w:p>
            </w:tc>
            <w:tc>
              <w:tcPr>
                <w:tcW w:w="992" w:type="dxa"/>
              </w:tcPr>
              <w:p w:rsidR="008F4B79" w:rsidRPr="004D6C12" w:rsidRDefault="008F4B79" w:rsidP="009260DE">
                <w:pPr>
                  <w:jc w:val="center"/>
                  <w:rPr>
                    <w:rFonts w:ascii="Arial" w:hAnsi="Arial" w:cs="Arial"/>
                    <w:b/>
                  </w:rPr>
                </w:pPr>
                <w:r w:rsidRPr="004D6C12">
                  <w:rPr>
                    <w:rFonts w:ascii="Arial" w:hAnsi="Arial" w:cs="Arial"/>
                    <w:b/>
                  </w:rPr>
                  <w:t>Oct</w:t>
                </w:r>
              </w:p>
            </w:tc>
            <w:tc>
              <w:tcPr>
                <w:tcW w:w="992" w:type="dxa"/>
              </w:tcPr>
              <w:p w:rsidR="008F4B79" w:rsidRPr="004D6C12" w:rsidRDefault="008F4B79" w:rsidP="009260DE">
                <w:pPr>
                  <w:jc w:val="center"/>
                  <w:rPr>
                    <w:rFonts w:ascii="Arial" w:hAnsi="Arial" w:cs="Arial"/>
                    <w:b/>
                  </w:rPr>
                </w:pPr>
                <w:r w:rsidRPr="004D6C12">
                  <w:rPr>
                    <w:rFonts w:ascii="Arial" w:hAnsi="Arial" w:cs="Arial"/>
                    <w:b/>
                  </w:rPr>
                  <w:t>Nov</w:t>
                </w:r>
              </w:p>
            </w:tc>
          </w:tr>
          <w:tr w:rsidR="008F4B79" w:rsidTr="009260DE">
            <w:tc>
              <w:tcPr>
                <w:tcW w:w="3260" w:type="dxa"/>
              </w:tcPr>
              <w:p w:rsidR="008F4B79" w:rsidRDefault="008F4B79" w:rsidP="009260DE">
                <w:pPr>
                  <w:rPr>
                    <w:rFonts w:ascii="Arial" w:hAnsi="Arial" w:cs="Arial"/>
                  </w:rPr>
                </w:pPr>
              </w:p>
            </w:tc>
            <w:tc>
              <w:tcPr>
                <w:tcW w:w="992" w:type="dxa"/>
              </w:tcPr>
              <w:p w:rsidR="008F4B79" w:rsidRPr="004D6C12" w:rsidRDefault="008F4B79" w:rsidP="009260DE">
                <w:pPr>
                  <w:jc w:val="center"/>
                  <w:rPr>
                    <w:rFonts w:ascii="Arial" w:hAnsi="Arial" w:cs="Arial"/>
                    <w:sz w:val="20"/>
                    <w:szCs w:val="20"/>
                  </w:rPr>
                </w:pPr>
                <w:r w:rsidRPr="004D6C12">
                  <w:rPr>
                    <w:rFonts w:ascii="Arial" w:hAnsi="Arial" w:cs="Arial"/>
                    <w:sz w:val="20"/>
                    <w:szCs w:val="20"/>
                  </w:rPr>
                  <w:t>£000</w:t>
                </w:r>
              </w:p>
            </w:tc>
            <w:tc>
              <w:tcPr>
                <w:tcW w:w="992" w:type="dxa"/>
              </w:tcPr>
              <w:p w:rsidR="008F4B79" w:rsidRPr="004D6C12" w:rsidRDefault="008F4B79" w:rsidP="009260DE">
                <w:pPr>
                  <w:jc w:val="center"/>
                  <w:rPr>
                    <w:rFonts w:ascii="Arial" w:hAnsi="Arial" w:cs="Arial"/>
                    <w:sz w:val="20"/>
                    <w:szCs w:val="20"/>
                  </w:rPr>
                </w:pPr>
                <w:r w:rsidRPr="004D6C12">
                  <w:rPr>
                    <w:rFonts w:ascii="Arial" w:hAnsi="Arial" w:cs="Arial"/>
                    <w:sz w:val="20"/>
                    <w:szCs w:val="20"/>
                  </w:rPr>
                  <w:t>£000</w:t>
                </w:r>
              </w:p>
            </w:tc>
            <w:tc>
              <w:tcPr>
                <w:tcW w:w="993" w:type="dxa"/>
              </w:tcPr>
              <w:p w:rsidR="008F4B79" w:rsidRPr="004D6C12" w:rsidRDefault="008F4B79" w:rsidP="009260DE">
                <w:pPr>
                  <w:jc w:val="center"/>
                  <w:rPr>
                    <w:rFonts w:ascii="Arial" w:hAnsi="Arial" w:cs="Arial"/>
                    <w:sz w:val="20"/>
                    <w:szCs w:val="20"/>
                  </w:rPr>
                </w:pPr>
                <w:r w:rsidRPr="004D6C12">
                  <w:rPr>
                    <w:rFonts w:ascii="Arial" w:hAnsi="Arial" w:cs="Arial"/>
                    <w:sz w:val="20"/>
                    <w:szCs w:val="20"/>
                  </w:rPr>
                  <w:t>£000</w:t>
                </w:r>
              </w:p>
            </w:tc>
            <w:tc>
              <w:tcPr>
                <w:tcW w:w="992" w:type="dxa"/>
              </w:tcPr>
              <w:p w:rsidR="008F4B79" w:rsidRPr="004D6C12" w:rsidRDefault="008F4B79" w:rsidP="009260DE">
                <w:pPr>
                  <w:jc w:val="center"/>
                  <w:rPr>
                    <w:rFonts w:ascii="Arial" w:hAnsi="Arial" w:cs="Arial"/>
                    <w:sz w:val="20"/>
                    <w:szCs w:val="20"/>
                  </w:rPr>
                </w:pPr>
                <w:r w:rsidRPr="004D6C12">
                  <w:rPr>
                    <w:rFonts w:ascii="Arial" w:hAnsi="Arial" w:cs="Arial"/>
                    <w:sz w:val="20"/>
                    <w:szCs w:val="20"/>
                  </w:rPr>
                  <w:t>£000</w:t>
                </w:r>
              </w:p>
            </w:tc>
            <w:tc>
              <w:tcPr>
                <w:tcW w:w="992" w:type="dxa"/>
              </w:tcPr>
              <w:p w:rsidR="008F4B79" w:rsidRPr="004D6C12" w:rsidRDefault="008F4B79" w:rsidP="009260DE">
                <w:pPr>
                  <w:jc w:val="center"/>
                  <w:rPr>
                    <w:rFonts w:ascii="Arial" w:hAnsi="Arial" w:cs="Arial"/>
                    <w:sz w:val="20"/>
                    <w:szCs w:val="20"/>
                  </w:rPr>
                </w:pPr>
                <w:r w:rsidRPr="004D6C12">
                  <w:rPr>
                    <w:rFonts w:ascii="Arial" w:hAnsi="Arial" w:cs="Arial"/>
                    <w:sz w:val="20"/>
                    <w:szCs w:val="20"/>
                  </w:rPr>
                  <w:t>£000</w:t>
                </w:r>
              </w:p>
            </w:tc>
            <w:tc>
              <w:tcPr>
                <w:tcW w:w="992" w:type="dxa"/>
              </w:tcPr>
              <w:p w:rsidR="008F4B79" w:rsidRPr="004D6C12" w:rsidRDefault="008F4B79" w:rsidP="009260DE">
                <w:pPr>
                  <w:jc w:val="center"/>
                  <w:rPr>
                    <w:rFonts w:ascii="Arial" w:hAnsi="Arial" w:cs="Arial"/>
                    <w:sz w:val="20"/>
                    <w:szCs w:val="20"/>
                  </w:rPr>
                </w:pPr>
                <w:r w:rsidRPr="004D6C12">
                  <w:rPr>
                    <w:rFonts w:ascii="Arial" w:hAnsi="Arial" w:cs="Arial"/>
                    <w:sz w:val="20"/>
                    <w:szCs w:val="20"/>
                  </w:rPr>
                  <w:t>£000</w:t>
                </w:r>
              </w:p>
            </w:tc>
          </w:tr>
          <w:tr w:rsidR="008F4B79" w:rsidTr="009260DE">
            <w:tc>
              <w:tcPr>
                <w:tcW w:w="3260" w:type="dxa"/>
              </w:tcPr>
              <w:p w:rsidR="008F4B79" w:rsidRDefault="008F4B79" w:rsidP="009260DE">
                <w:pPr>
                  <w:rPr>
                    <w:rFonts w:ascii="Arial" w:hAnsi="Arial" w:cs="Arial"/>
                    <w:b/>
                  </w:rPr>
                </w:pPr>
                <w:r w:rsidRPr="00493559">
                  <w:rPr>
                    <w:rFonts w:ascii="Arial" w:hAnsi="Arial" w:cs="Arial"/>
                    <w:b/>
                  </w:rPr>
                  <w:t>Cash receipts</w:t>
                </w:r>
                <w:r>
                  <w:rPr>
                    <w:rFonts w:ascii="Arial" w:hAnsi="Arial" w:cs="Arial"/>
                    <w:b/>
                  </w:rPr>
                  <w:t xml:space="preserve"> </w:t>
                </w:r>
              </w:p>
              <w:p w:rsidR="008F4B79" w:rsidRDefault="008F4B79" w:rsidP="009260DE">
                <w:pPr>
                  <w:rPr>
                    <w:rFonts w:ascii="Arial" w:hAnsi="Arial" w:cs="Arial"/>
                  </w:rPr>
                </w:pPr>
                <w:r>
                  <w:rPr>
                    <w:rFonts w:ascii="Arial" w:hAnsi="Arial" w:cs="Arial"/>
                  </w:rPr>
                  <w:t xml:space="preserve">Sales net of  </w:t>
                </w:r>
                <w:r w:rsidR="005E4900">
                  <w:rPr>
                    <w:rFonts w:ascii="Arial" w:hAnsi="Arial" w:cs="Arial"/>
                  </w:rPr>
                  <w:t>0.6x3%</w:t>
                </w:r>
              </w:p>
            </w:tc>
            <w:tc>
              <w:tcPr>
                <w:tcW w:w="992" w:type="dxa"/>
              </w:tcPr>
              <w:p w:rsidR="008F4B79" w:rsidRDefault="008F4B79" w:rsidP="009260DE">
                <w:pPr>
                  <w:jc w:val="center"/>
                  <w:rPr>
                    <w:rFonts w:ascii="Arial" w:hAnsi="Arial" w:cs="Arial"/>
                  </w:rPr>
                </w:pPr>
              </w:p>
              <w:p w:rsidR="008F4B79" w:rsidRDefault="00570C36" w:rsidP="009260DE">
                <w:pPr>
                  <w:jc w:val="center"/>
                  <w:rPr>
                    <w:rFonts w:ascii="Arial" w:hAnsi="Arial" w:cs="Arial"/>
                  </w:rPr>
                </w:pPr>
                <w:r>
                  <w:rPr>
                    <w:rFonts w:ascii="Arial" w:hAnsi="Arial" w:cs="Arial"/>
                  </w:rPr>
                  <w:t>255</w:t>
                </w:r>
                <w:r w:rsidR="008F4B79">
                  <w:rPr>
                    <w:rFonts w:ascii="Arial" w:hAnsi="Arial" w:cs="Arial"/>
                  </w:rPr>
                  <w:t xml:space="preserve"> </w:t>
                </w:r>
              </w:p>
            </w:tc>
            <w:tc>
              <w:tcPr>
                <w:tcW w:w="992" w:type="dxa"/>
              </w:tcPr>
              <w:p w:rsidR="008F4B79" w:rsidRDefault="008F4B79" w:rsidP="009260DE">
                <w:pPr>
                  <w:jc w:val="center"/>
                  <w:rPr>
                    <w:rFonts w:ascii="Arial" w:hAnsi="Arial" w:cs="Arial"/>
                  </w:rPr>
                </w:pPr>
              </w:p>
              <w:p w:rsidR="008F4B79" w:rsidRDefault="00570C36" w:rsidP="009260DE">
                <w:pPr>
                  <w:jc w:val="center"/>
                  <w:rPr>
                    <w:rFonts w:ascii="Arial" w:hAnsi="Arial" w:cs="Arial"/>
                  </w:rPr>
                </w:pPr>
                <w:r>
                  <w:rPr>
                    <w:rFonts w:ascii="Arial" w:hAnsi="Arial" w:cs="Arial"/>
                  </w:rPr>
                  <w:t>265</w:t>
                </w:r>
                <w:r w:rsidR="008F4B79">
                  <w:rPr>
                    <w:rFonts w:ascii="Arial" w:hAnsi="Arial" w:cs="Arial"/>
                  </w:rPr>
                  <w:t xml:space="preserve"> </w:t>
                </w:r>
              </w:p>
            </w:tc>
            <w:tc>
              <w:tcPr>
                <w:tcW w:w="993" w:type="dxa"/>
              </w:tcPr>
              <w:p w:rsidR="008F4B79" w:rsidRDefault="008F4B79" w:rsidP="009260DE">
                <w:pPr>
                  <w:jc w:val="center"/>
                  <w:rPr>
                    <w:rFonts w:ascii="Arial" w:hAnsi="Arial" w:cs="Arial"/>
                  </w:rPr>
                </w:pPr>
              </w:p>
              <w:p w:rsidR="008F4B79" w:rsidRDefault="00570C36" w:rsidP="009260DE">
                <w:pPr>
                  <w:jc w:val="center"/>
                  <w:rPr>
                    <w:rFonts w:ascii="Arial" w:hAnsi="Arial" w:cs="Arial"/>
                  </w:rPr>
                </w:pPr>
                <w:r>
                  <w:rPr>
                    <w:rFonts w:ascii="Arial" w:hAnsi="Arial" w:cs="Arial"/>
                  </w:rPr>
                  <w:t>265</w:t>
                </w:r>
                <w:r w:rsidR="008F4B79">
                  <w:rPr>
                    <w:rFonts w:ascii="Arial" w:hAnsi="Arial" w:cs="Arial"/>
                  </w:rPr>
                  <w:t xml:space="preserve"> </w:t>
                </w:r>
              </w:p>
            </w:tc>
            <w:tc>
              <w:tcPr>
                <w:tcW w:w="992" w:type="dxa"/>
              </w:tcPr>
              <w:p w:rsidR="008F4B79" w:rsidRDefault="008F4B79" w:rsidP="009260DE">
                <w:pPr>
                  <w:jc w:val="center"/>
                  <w:rPr>
                    <w:rFonts w:ascii="Arial" w:hAnsi="Arial" w:cs="Arial"/>
                  </w:rPr>
                </w:pPr>
              </w:p>
              <w:p w:rsidR="008F4B79" w:rsidRDefault="00570C36" w:rsidP="009260DE">
                <w:pPr>
                  <w:jc w:val="center"/>
                  <w:rPr>
                    <w:rFonts w:ascii="Arial" w:hAnsi="Arial" w:cs="Arial"/>
                  </w:rPr>
                </w:pPr>
                <w:r>
                  <w:rPr>
                    <w:rFonts w:ascii="Arial" w:hAnsi="Arial" w:cs="Arial"/>
                  </w:rPr>
                  <w:t>216</w:t>
                </w:r>
                <w:r w:rsidR="008F4B79">
                  <w:rPr>
                    <w:rFonts w:ascii="Arial" w:hAnsi="Arial" w:cs="Arial"/>
                  </w:rPr>
                  <w:t xml:space="preserve"> </w:t>
                </w:r>
              </w:p>
            </w:tc>
            <w:tc>
              <w:tcPr>
                <w:tcW w:w="992" w:type="dxa"/>
              </w:tcPr>
              <w:p w:rsidR="008F4B79" w:rsidRDefault="008F4B79" w:rsidP="009260DE">
                <w:pPr>
                  <w:jc w:val="center"/>
                  <w:rPr>
                    <w:rFonts w:ascii="Arial" w:hAnsi="Arial" w:cs="Arial"/>
                  </w:rPr>
                </w:pPr>
              </w:p>
              <w:p w:rsidR="008F4B79" w:rsidRDefault="00570C36" w:rsidP="009260DE">
                <w:pPr>
                  <w:jc w:val="center"/>
                  <w:rPr>
                    <w:rFonts w:ascii="Arial" w:hAnsi="Arial" w:cs="Arial"/>
                  </w:rPr>
                </w:pPr>
                <w:r>
                  <w:rPr>
                    <w:rFonts w:ascii="Arial" w:hAnsi="Arial" w:cs="Arial"/>
                  </w:rPr>
                  <w:t>206</w:t>
                </w:r>
                <w:r w:rsidR="008F4B79">
                  <w:rPr>
                    <w:rFonts w:ascii="Arial" w:hAnsi="Arial" w:cs="Arial"/>
                  </w:rPr>
                  <w:t xml:space="preserve"> </w:t>
                </w:r>
              </w:p>
            </w:tc>
            <w:tc>
              <w:tcPr>
                <w:tcW w:w="992" w:type="dxa"/>
              </w:tcPr>
              <w:p w:rsidR="008F4B79" w:rsidRDefault="008F4B79" w:rsidP="009260DE">
                <w:pPr>
                  <w:jc w:val="center"/>
                  <w:rPr>
                    <w:rFonts w:ascii="Arial" w:hAnsi="Arial" w:cs="Arial"/>
                  </w:rPr>
                </w:pPr>
              </w:p>
              <w:p w:rsidR="008F4B79" w:rsidRDefault="00570C36" w:rsidP="009260DE">
                <w:pPr>
                  <w:jc w:val="center"/>
                  <w:rPr>
                    <w:rFonts w:ascii="Arial" w:hAnsi="Arial" w:cs="Arial"/>
                  </w:rPr>
                </w:pPr>
                <w:r>
                  <w:rPr>
                    <w:rFonts w:ascii="Arial" w:hAnsi="Arial" w:cs="Arial"/>
                  </w:rPr>
                  <w:t>187</w:t>
                </w:r>
                <w:r w:rsidR="008F4B79">
                  <w:rPr>
                    <w:rFonts w:ascii="Arial" w:hAnsi="Arial" w:cs="Arial"/>
                  </w:rPr>
                  <w:t xml:space="preserve"> </w:t>
                </w:r>
              </w:p>
            </w:tc>
          </w:tr>
          <w:tr w:rsidR="008F4B79" w:rsidTr="009260DE">
            <w:tc>
              <w:tcPr>
                <w:tcW w:w="3260" w:type="dxa"/>
              </w:tcPr>
              <w:p w:rsidR="008F4B79" w:rsidRPr="00493559" w:rsidRDefault="008F4B79" w:rsidP="009260DE">
                <w:pPr>
                  <w:rPr>
                    <w:rFonts w:ascii="Arial" w:hAnsi="Arial" w:cs="Arial"/>
                    <w:b/>
                  </w:rPr>
                </w:pPr>
                <w:r w:rsidRPr="00493559">
                  <w:rPr>
                    <w:rFonts w:ascii="Arial" w:hAnsi="Arial" w:cs="Arial"/>
                    <w:b/>
                  </w:rPr>
                  <w:t>Cash payments</w:t>
                </w:r>
              </w:p>
              <w:p w:rsidR="008F4B79" w:rsidRDefault="008F4B79" w:rsidP="009260DE">
                <w:pPr>
                  <w:rPr>
                    <w:rFonts w:ascii="Arial" w:hAnsi="Arial" w:cs="Arial"/>
                  </w:rPr>
                </w:pPr>
                <w:r>
                  <w:rPr>
                    <w:rFonts w:ascii="Arial" w:hAnsi="Arial" w:cs="Arial"/>
                  </w:rPr>
                  <w:t xml:space="preserve">Administration  </w:t>
                </w:r>
              </w:p>
            </w:tc>
            <w:tc>
              <w:tcPr>
                <w:tcW w:w="992" w:type="dxa"/>
                <w:vAlign w:val="center"/>
              </w:tcPr>
              <w:p w:rsidR="008F4B79" w:rsidRDefault="008F4B79" w:rsidP="009260DE">
                <w:pPr>
                  <w:jc w:val="center"/>
                  <w:rPr>
                    <w:rFonts w:ascii="Arial" w:hAnsi="Arial" w:cs="Arial"/>
                  </w:rPr>
                </w:pPr>
                <w:r>
                  <w:rPr>
                    <w:rFonts w:ascii="Arial" w:hAnsi="Arial" w:cs="Arial"/>
                  </w:rPr>
                  <w:t xml:space="preserve">(   </w:t>
                </w:r>
                <w:r w:rsidR="007119F9">
                  <w:rPr>
                    <w:rFonts w:ascii="Arial" w:hAnsi="Arial" w:cs="Arial"/>
                  </w:rPr>
                  <w:t>21</w:t>
                </w:r>
                <w:r>
                  <w:rPr>
                    <w:rFonts w:ascii="Arial" w:hAnsi="Arial" w:cs="Arial"/>
                  </w:rPr>
                  <w:t xml:space="preserve">   )</w:t>
                </w:r>
              </w:p>
            </w:tc>
            <w:tc>
              <w:tcPr>
                <w:tcW w:w="992" w:type="dxa"/>
                <w:vAlign w:val="center"/>
              </w:tcPr>
              <w:p w:rsidR="008F4B79" w:rsidRDefault="008F4B79" w:rsidP="009260DE">
                <w:pPr>
                  <w:jc w:val="center"/>
                  <w:rPr>
                    <w:rFonts w:ascii="Arial" w:hAnsi="Arial" w:cs="Arial"/>
                  </w:rPr>
                </w:pPr>
                <w:r>
                  <w:rPr>
                    <w:rFonts w:ascii="Arial" w:hAnsi="Arial" w:cs="Arial"/>
                  </w:rPr>
                  <w:t xml:space="preserve">( </w:t>
                </w:r>
                <w:r w:rsidR="007119F9">
                  <w:rPr>
                    <w:rFonts w:ascii="Arial" w:hAnsi="Arial" w:cs="Arial"/>
                  </w:rPr>
                  <w:t>20</w:t>
                </w:r>
                <w:r>
                  <w:rPr>
                    <w:rFonts w:ascii="Arial" w:hAnsi="Arial" w:cs="Arial"/>
                  </w:rPr>
                  <w:t xml:space="preserve">    )</w:t>
                </w:r>
              </w:p>
            </w:tc>
            <w:tc>
              <w:tcPr>
                <w:tcW w:w="993" w:type="dxa"/>
                <w:vAlign w:val="center"/>
              </w:tcPr>
              <w:p w:rsidR="008F4B79" w:rsidRDefault="008F4B79" w:rsidP="009260DE">
                <w:pPr>
                  <w:jc w:val="center"/>
                  <w:rPr>
                    <w:rFonts w:ascii="Arial" w:hAnsi="Arial" w:cs="Arial"/>
                  </w:rPr>
                </w:pPr>
                <w:r>
                  <w:rPr>
                    <w:rFonts w:ascii="Arial" w:hAnsi="Arial" w:cs="Arial"/>
                  </w:rPr>
                  <w:t xml:space="preserve">(   </w:t>
                </w:r>
                <w:r w:rsidR="007119F9">
                  <w:rPr>
                    <w:rFonts w:ascii="Arial" w:hAnsi="Arial" w:cs="Arial"/>
                  </w:rPr>
                  <w:t>18</w:t>
                </w:r>
                <w:r>
                  <w:rPr>
                    <w:rFonts w:ascii="Arial" w:hAnsi="Arial" w:cs="Arial"/>
                  </w:rPr>
                  <w:t xml:space="preserve">  )</w:t>
                </w:r>
              </w:p>
            </w:tc>
            <w:tc>
              <w:tcPr>
                <w:tcW w:w="992" w:type="dxa"/>
                <w:vAlign w:val="center"/>
              </w:tcPr>
              <w:p w:rsidR="008F4B79" w:rsidRDefault="008F4B79" w:rsidP="009260DE">
                <w:pPr>
                  <w:jc w:val="center"/>
                  <w:rPr>
                    <w:rFonts w:ascii="Arial" w:hAnsi="Arial" w:cs="Arial"/>
                  </w:rPr>
                </w:pPr>
                <w:r>
                  <w:rPr>
                    <w:rFonts w:ascii="Arial" w:hAnsi="Arial" w:cs="Arial"/>
                  </w:rPr>
                  <w:t xml:space="preserve">(   </w:t>
                </w:r>
                <w:r w:rsidR="007119F9">
                  <w:rPr>
                    <w:rFonts w:ascii="Arial" w:hAnsi="Arial" w:cs="Arial"/>
                  </w:rPr>
                  <w:t>19</w:t>
                </w:r>
                <w:r>
                  <w:rPr>
                    <w:rFonts w:ascii="Arial" w:hAnsi="Arial" w:cs="Arial"/>
                  </w:rPr>
                  <w:t xml:space="preserve">  )</w:t>
                </w:r>
              </w:p>
            </w:tc>
            <w:tc>
              <w:tcPr>
                <w:tcW w:w="992" w:type="dxa"/>
                <w:vAlign w:val="center"/>
              </w:tcPr>
              <w:p w:rsidR="008F4B79" w:rsidRDefault="008F4B79" w:rsidP="009260DE">
                <w:pPr>
                  <w:jc w:val="center"/>
                  <w:rPr>
                    <w:rFonts w:ascii="Arial" w:hAnsi="Arial" w:cs="Arial"/>
                  </w:rPr>
                </w:pPr>
                <w:r>
                  <w:rPr>
                    <w:rFonts w:ascii="Arial" w:hAnsi="Arial" w:cs="Arial"/>
                  </w:rPr>
                  <w:t xml:space="preserve">(   </w:t>
                </w:r>
                <w:r w:rsidR="007119F9">
                  <w:rPr>
                    <w:rFonts w:ascii="Arial" w:hAnsi="Arial" w:cs="Arial"/>
                  </w:rPr>
                  <w:t>19</w:t>
                </w:r>
                <w:r>
                  <w:rPr>
                    <w:rFonts w:ascii="Arial" w:hAnsi="Arial" w:cs="Arial"/>
                  </w:rPr>
                  <w:t xml:space="preserve">  )</w:t>
                </w:r>
              </w:p>
            </w:tc>
            <w:tc>
              <w:tcPr>
                <w:tcW w:w="992" w:type="dxa"/>
                <w:vAlign w:val="center"/>
              </w:tcPr>
              <w:p w:rsidR="008F4B79" w:rsidRDefault="008F4B79" w:rsidP="009260DE">
                <w:pPr>
                  <w:jc w:val="center"/>
                  <w:rPr>
                    <w:rFonts w:ascii="Arial" w:hAnsi="Arial" w:cs="Arial"/>
                  </w:rPr>
                </w:pPr>
                <w:r>
                  <w:rPr>
                    <w:rFonts w:ascii="Arial" w:hAnsi="Arial" w:cs="Arial"/>
                  </w:rPr>
                  <w:t xml:space="preserve">( </w:t>
                </w:r>
                <w:r w:rsidR="007119F9">
                  <w:rPr>
                    <w:rFonts w:ascii="Arial" w:hAnsi="Arial" w:cs="Arial"/>
                  </w:rPr>
                  <w:t>17</w:t>
                </w:r>
                <w:r>
                  <w:rPr>
                    <w:rFonts w:ascii="Arial" w:hAnsi="Arial" w:cs="Arial"/>
                  </w:rPr>
                  <w:t xml:space="preserve">   )</w:t>
                </w:r>
              </w:p>
            </w:tc>
          </w:tr>
          <w:tr w:rsidR="008F4B79" w:rsidTr="009260DE">
            <w:trPr>
              <w:trHeight w:val="400"/>
            </w:trPr>
            <w:tc>
              <w:tcPr>
                <w:tcW w:w="3260" w:type="dxa"/>
              </w:tcPr>
              <w:p w:rsidR="008F4B79" w:rsidRDefault="008F4B79" w:rsidP="009260DE">
                <w:pPr>
                  <w:rPr>
                    <w:rFonts w:ascii="Arial" w:hAnsi="Arial" w:cs="Arial"/>
                  </w:rPr>
                </w:pPr>
                <w:r>
                  <w:rPr>
                    <w:rFonts w:ascii="Arial" w:hAnsi="Arial" w:cs="Arial"/>
                  </w:rPr>
                  <w:t xml:space="preserve">Stock purchased  </w:t>
                </w:r>
              </w:p>
            </w:tc>
            <w:tc>
              <w:tcPr>
                <w:tcW w:w="992" w:type="dxa"/>
              </w:tcPr>
              <w:p w:rsidR="008F4B79" w:rsidRDefault="007119F9" w:rsidP="009260DE">
                <w:pPr>
                  <w:jc w:val="center"/>
                  <w:rPr>
                    <w:rFonts w:ascii="Arial" w:hAnsi="Arial" w:cs="Arial"/>
                  </w:rPr>
                </w:pPr>
                <w:r>
                  <w:rPr>
                    <w:rFonts w:ascii="Arial" w:hAnsi="Arial" w:cs="Arial"/>
                  </w:rPr>
                  <w:t>(  205</w:t>
                </w:r>
                <w:r w:rsidR="008F4B79">
                  <w:rPr>
                    <w:rFonts w:ascii="Arial" w:hAnsi="Arial" w:cs="Arial"/>
                  </w:rPr>
                  <w:t xml:space="preserve">  )</w:t>
                </w:r>
              </w:p>
            </w:tc>
            <w:tc>
              <w:tcPr>
                <w:tcW w:w="992" w:type="dxa"/>
              </w:tcPr>
              <w:p w:rsidR="008F4B79" w:rsidRDefault="007119F9" w:rsidP="009260DE">
                <w:pPr>
                  <w:jc w:val="center"/>
                  <w:rPr>
                    <w:rFonts w:ascii="Arial" w:hAnsi="Arial" w:cs="Arial"/>
                  </w:rPr>
                </w:pPr>
                <w:r>
                  <w:rPr>
                    <w:rFonts w:ascii="Arial" w:hAnsi="Arial" w:cs="Arial"/>
                  </w:rPr>
                  <w:t>(   180</w:t>
                </w:r>
                <w:r w:rsidR="008F4B79">
                  <w:rPr>
                    <w:rFonts w:ascii="Arial" w:hAnsi="Arial" w:cs="Arial"/>
                  </w:rPr>
                  <w:t xml:space="preserve"> )</w:t>
                </w:r>
              </w:p>
            </w:tc>
            <w:tc>
              <w:tcPr>
                <w:tcW w:w="993" w:type="dxa"/>
              </w:tcPr>
              <w:p w:rsidR="008F4B79" w:rsidRDefault="007119F9" w:rsidP="009260DE">
                <w:pPr>
                  <w:jc w:val="center"/>
                  <w:rPr>
                    <w:rFonts w:ascii="Arial" w:hAnsi="Arial" w:cs="Arial"/>
                  </w:rPr>
                </w:pPr>
                <w:r>
                  <w:rPr>
                    <w:rFonts w:ascii="Arial" w:hAnsi="Arial" w:cs="Arial"/>
                  </w:rPr>
                  <w:t xml:space="preserve">(170  </w:t>
                </w:r>
                <w:r w:rsidR="008F4B79">
                  <w:rPr>
                    <w:rFonts w:ascii="Arial" w:hAnsi="Arial" w:cs="Arial"/>
                  </w:rPr>
                  <w:t xml:space="preserve"> )</w:t>
                </w:r>
              </w:p>
            </w:tc>
            <w:tc>
              <w:tcPr>
                <w:tcW w:w="992" w:type="dxa"/>
              </w:tcPr>
              <w:p w:rsidR="008F4B79" w:rsidRDefault="007119F9" w:rsidP="009260DE">
                <w:pPr>
                  <w:jc w:val="center"/>
                  <w:rPr>
                    <w:rFonts w:ascii="Arial" w:hAnsi="Arial" w:cs="Arial"/>
                  </w:rPr>
                </w:pPr>
                <w:r>
                  <w:rPr>
                    <w:rFonts w:ascii="Arial" w:hAnsi="Arial" w:cs="Arial"/>
                  </w:rPr>
                  <w:t>(  203</w:t>
                </w:r>
                <w:r w:rsidR="008F4B79">
                  <w:rPr>
                    <w:rFonts w:ascii="Arial" w:hAnsi="Arial" w:cs="Arial"/>
                  </w:rPr>
                  <w:t xml:space="preserve">  )</w:t>
                </w:r>
              </w:p>
            </w:tc>
            <w:tc>
              <w:tcPr>
                <w:tcW w:w="992" w:type="dxa"/>
              </w:tcPr>
              <w:p w:rsidR="008F4B79" w:rsidRDefault="007119F9" w:rsidP="009260DE">
                <w:pPr>
                  <w:jc w:val="center"/>
                  <w:rPr>
                    <w:rFonts w:ascii="Arial" w:hAnsi="Arial" w:cs="Arial"/>
                  </w:rPr>
                </w:pPr>
                <w:r>
                  <w:rPr>
                    <w:rFonts w:ascii="Arial" w:hAnsi="Arial" w:cs="Arial"/>
                  </w:rPr>
                  <w:t>(  200</w:t>
                </w:r>
                <w:r w:rsidR="008F4B79">
                  <w:rPr>
                    <w:rFonts w:ascii="Arial" w:hAnsi="Arial" w:cs="Arial"/>
                  </w:rPr>
                  <w:t xml:space="preserve">  )</w:t>
                </w:r>
              </w:p>
            </w:tc>
            <w:tc>
              <w:tcPr>
                <w:tcW w:w="992" w:type="dxa"/>
              </w:tcPr>
              <w:p w:rsidR="008F4B79" w:rsidRDefault="007119F9" w:rsidP="009260DE">
                <w:pPr>
                  <w:jc w:val="center"/>
                  <w:rPr>
                    <w:rFonts w:ascii="Arial" w:hAnsi="Arial" w:cs="Arial"/>
                  </w:rPr>
                </w:pPr>
                <w:r>
                  <w:rPr>
                    <w:rFonts w:ascii="Arial" w:hAnsi="Arial" w:cs="Arial"/>
                  </w:rPr>
                  <w:t xml:space="preserve">(180 </w:t>
                </w:r>
                <w:r w:rsidR="008F4B79">
                  <w:rPr>
                    <w:rFonts w:ascii="Arial" w:hAnsi="Arial" w:cs="Arial"/>
                  </w:rPr>
                  <w:t xml:space="preserve"> )</w:t>
                </w:r>
              </w:p>
            </w:tc>
          </w:tr>
          <w:tr w:rsidR="008F4B79" w:rsidTr="009260DE">
            <w:trPr>
              <w:trHeight w:val="421"/>
            </w:trPr>
            <w:tc>
              <w:tcPr>
                <w:tcW w:w="3260" w:type="dxa"/>
              </w:tcPr>
              <w:p w:rsidR="008F4B79" w:rsidRDefault="008F4B79" w:rsidP="009260DE">
                <w:pPr>
                  <w:rPr>
                    <w:rFonts w:ascii="Arial" w:hAnsi="Arial" w:cs="Arial"/>
                  </w:rPr>
                </w:pPr>
                <w:r>
                  <w:rPr>
                    <w:rFonts w:ascii="Arial" w:hAnsi="Arial" w:cs="Arial"/>
                  </w:rPr>
                  <w:t xml:space="preserve">Repayments of loan  </w:t>
                </w:r>
              </w:p>
            </w:tc>
            <w:tc>
              <w:tcPr>
                <w:tcW w:w="992" w:type="dxa"/>
              </w:tcPr>
              <w:p w:rsidR="008F4B79" w:rsidRDefault="008F4B79" w:rsidP="009260DE">
                <w:pPr>
                  <w:jc w:val="center"/>
                  <w:rPr>
                    <w:rFonts w:ascii="Arial" w:hAnsi="Arial" w:cs="Arial"/>
                  </w:rPr>
                </w:pPr>
                <w:r>
                  <w:rPr>
                    <w:rFonts w:ascii="Arial" w:hAnsi="Arial" w:cs="Arial"/>
                  </w:rPr>
                  <w:t>(</w:t>
                </w:r>
                <w:r w:rsidR="007119F9">
                  <w:rPr>
                    <w:rFonts w:ascii="Arial" w:hAnsi="Arial" w:cs="Arial"/>
                  </w:rPr>
                  <w:t>7</w:t>
                </w:r>
                <w:r>
                  <w:rPr>
                    <w:rFonts w:ascii="Arial" w:hAnsi="Arial" w:cs="Arial"/>
                  </w:rPr>
                  <w:t xml:space="preserve">   )</w:t>
                </w:r>
              </w:p>
            </w:tc>
            <w:tc>
              <w:tcPr>
                <w:tcW w:w="992" w:type="dxa"/>
              </w:tcPr>
              <w:p w:rsidR="008F4B79" w:rsidRDefault="008F4B79" w:rsidP="009260DE">
                <w:pPr>
                  <w:jc w:val="center"/>
                  <w:rPr>
                    <w:rFonts w:ascii="Arial" w:hAnsi="Arial" w:cs="Arial"/>
                  </w:rPr>
                </w:pPr>
                <w:r>
                  <w:rPr>
                    <w:rFonts w:ascii="Arial" w:hAnsi="Arial" w:cs="Arial"/>
                  </w:rPr>
                  <w:t xml:space="preserve">( </w:t>
                </w:r>
                <w:r w:rsidR="007119F9">
                  <w:rPr>
                    <w:rFonts w:ascii="Arial" w:hAnsi="Arial" w:cs="Arial"/>
                  </w:rPr>
                  <w:t>7</w:t>
                </w:r>
                <w:r>
                  <w:rPr>
                    <w:rFonts w:ascii="Arial" w:hAnsi="Arial" w:cs="Arial"/>
                  </w:rPr>
                  <w:t xml:space="preserve">   )</w:t>
                </w:r>
              </w:p>
            </w:tc>
            <w:tc>
              <w:tcPr>
                <w:tcW w:w="993" w:type="dxa"/>
              </w:tcPr>
              <w:p w:rsidR="008F4B79" w:rsidRDefault="008F4B79" w:rsidP="009260DE">
                <w:pPr>
                  <w:jc w:val="center"/>
                  <w:rPr>
                    <w:rFonts w:ascii="Arial" w:hAnsi="Arial" w:cs="Arial"/>
                  </w:rPr>
                </w:pPr>
                <w:r>
                  <w:rPr>
                    <w:rFonts w:ascii="Arial" w:hAnsi="Arial" w:cs="Arial"/>
                  </w:rPr>
                  <w:t xml:space="preserve">(  </w:t>
                </w:r>
                <w:r w:rsidR="007119F9">
                  <w:rPr>
                    <w:rFonts w:ascii="Arial" w:hAnsi="Arial" w:cs="Arial"/>
                  </w:rPr>
                  <w:t>7</w:t>
                </w:r>
                <w:r>
                  <w:rPr>
                    <w:rFonts w:ascii="Arial" w:hAnsi="Arial" w:cs="Arial"/>
                  </w:rPr>
                  <w:t xml:space="preserve">   )</w:t>
                </w:r>
              </w:p>
            </w:tc>
            <w:tc>
              <w:tcPr>
                <w:tcW w:w="992" w:type="dxa"/>
              </w:tcPr>
              <w:p w:rsidR="008F4B79" w:rsidRDefault="008F4B79" w:rsidP="009260DE">
                <w:pPr>
                  <w:jc w:val="center"/>
                  <w:rPr>
                    <w:rFonts w:ascii="Arial" w:hAnsi="Arial" w:cs="Arial"/>
                  </w:rPr>
                </w:pPr>
                <w:r>
                  <w:rPr>
                    <w:rFonts w:ascii="Arial" w:hAnsi="Arial" w:cs="Arial"/>
                  </w:rPr>
                  <w:t xml:space="preserve">(   </w:t>
                </w:r>
                <w:r w:rsidR="007119F9">
                  <w:rPr>
                    <w:rFonts w:ascii="Arial" w:hAnsi="Arial" w:cs="Arial"/>
                  </w:rPr>
                  <w:t>7</w:t>
                </w:r>
                <w:r>
                  <w:rPr>
                    <w:rFonts w:ascii="Arial" w:hAnsi="Arial" w:cs="Arial"/>
                  </w:rPr>
                  <w:t xml:space="preserve">  )</w:t>
                </w:r>
              </w:p>
            </w:tc>
            <w:tc>
              <w:tcPr>
                <w:tcW w:w="992" w:type="dxa"/>
              </w:tcPr>
              <w:p w:rsidR="008F4B79" w:rsidRDefault="008F4B79" w:rsidP="009260DE">
                <w:pPr>
                  <w:jc w:val="center"/>
                  <w:rPr>
                    <w:rFonts w:ascii="Arial" w:hAnsi="Arial" w:cs="Arial"/>
                  </w:rPr>
                </w:pPr>
                <w:r>
                  <w:rPr>
                    <w:rFonts w:ascii="Arial" w:hAnsi="Arial" w:cs="Arial"/>
                  </w:rPr>
                  <w:t xml:space="preserve">(  </w:t>
                </w:r>
                <w:r w:rsidR="007119F9">
                  <w:rPr>
                    <w:rFonts w:ascii="Arial" w:hAnsi="Arial" w:cs="Arial"/>
                  </w:rPr>
                  <w:t>7</w:t>
                </w:r>
                <w:r>
                  <w:rPr>
                    <w:rFonts w:ascii="Arial" w:hAnsi="Arial" w:cs="Arial"/>
                  </w:rPr>
                  <w:t xml:space="preserve">  )</w:t>
                </w:r>
              </w:p>
            </w:tc>
            <w:tc>
              <w:tcPr>
                <w:tcW w:w="992" w:type="dxa"/>
              </w:tcPr>
              <w:p w:rsidR="008F4B79" w:rsidRDefault="008F4B79" w:rsidP="009260DE">
                <w:pPr>
                  <w:jc w:val="center"/>
                  <w:rPr>
                    <w:rFonts w:ascii="Arial" w:hAnsi="Arial" w:cs="Arial"/>
                  </w:rPr>
                </w:pPr>
                <w:r>
                  <w:rPr>
                    <w:rFonts w:ascii="Arial" w:hAnsi="Arial" w:cs="Arial"/>
                  </w:rPr>
                  <w:t xml:space="preserve">(   </w:t>
                </w:r>
                <w:r w:rsidR="007119F9">
                  <w:rPr>
                    <w:rFonts w:ascii="Arial" w:hAnsi="Arial" w:cs="Arial"/>
                  </w:rPr>
                  <w:t>7</w:t>
                </w:r>
                <w:r>
                  <w:rPr>
                    <w:rFonts w:ascii="Arial" w:hAnsi="Arial" w:cs="Arial"/>
                  </w:rPr>
                  <w:t xml:space="preserve">  )</w:t>
                </w:r>
              </w:p>
            </w:tc>
          </w:tr>
          <w:tr w:rsidR="008F4B79" w:rsidTr="009260DE">
            <w:trPr>
              <w:trHeight w:val="413"/>
            </w:trPr>
            <w:tc>
              <w:tcPr>
                <w:tcW w:w="3260" w:type="dxa"/>
              </w:tcPr>
              <w:p w:rsidR="008F4B79" w:rsidRDefault="008F4B79" w:rsidP="009260DE">
                <w:pPr>
                  <w:rPr>
                    <w:rFonts w:ascii="Arial" w:hAnsi="Arial" w:cs="Arial"/>
                  </w:rPr>
                </w:pPr>
                <w:r>
                  <w:rPr>
                    <w:rFonts w:ascii="Arial" w:hAnsi="Arial" w:cs="Arial"/>
                  </w:rPr>
                  <w:t xml:space="preserve">Selling expenses  </w:t>
                </w:r>
              </w:p>
            </w:tc>
            <w:tc>
              <w:tcPr>
                <w:tcW w:w="992" w:type="dxa"/>
              </w:tcPr>
              <w:p w:rsidR="008F4B79" w:rsidRDefault="008F4B79" w:rsidP="009260DE">
                <w:pPr>
                  <w:jc w:val="center"/>
                  <w:rPr>
                    <w:rFonts w:ascii="Arial" w:hAnsi="Arial" w:cs="Arial"/>
                  </w:rPr>
                </w:pPr>
                <w:r>
                  <w:rPr>
                    <w:rFonts w:ascii="Arial" w:hAnsi="Arial" w:cs="Arial"/>
                  </w:rPr>
                  <w:t xml:space="preserve">(  </w:t>
                </w:r>
                <w:r w:rsidR="007119F9">
                  <w:rPr>
                    <w:rFonts w:ascii="Arial" w:hAnsi="Arial" w:cs="Arial"/>
                  </w:rPr>
                  <w:t>9</w:t>
                </w:r>
                <w:r>
                  <w:rPr>
                    <w:rFonts w:ascii="Arial" w:hAnsi="Arial" w:cs="Arial"/>
                  </w:rPr>
                  <w:t xml:space="preserve">  )</w:t>
                </w:r>
              </w:p>
            </w:tc>
            <w:tc>
              <w:tcPr>
                <w:tcW w:w="992" w:type="dxa"/>
              </w:tcPr>
              <w:p w:rsidR="008F4B79" w:rsidRDefault="008F4B79" w:rsidP="009260DE">
                <w:pPr>
                  <w:jc w:val="center"/>
                  <w:rPr>
                    <w:rFonts w:ascii="Arial" w:hAnsi="Arial" w:cs="Arial"/>
                  </w:rPr>
                </w:pPr>
                <w:r>
                  <w:rPr>
                    <w:rFonts w:ascii="Arial" w:hAnsi="Arial" w:cs="Arial"/>
                  </w:rPr>
                  <w:t xml:space="preserve">(  </w:t>
                </w:r>
                <w:r w:rsidR="007119F9">
                  <w:rPr>
                    <w:rFonts w:ascii="Arial" w:hAnsi="Arial" w:cs="Arial"/>
                  </w:rPr>
                  <w:t>8</w:t>
                </w:r>
                <w:r>
                  <w:rPr>
                    <w:rFonts w:ascii="Arial" w:hAnsi="Arial" w:cs="Arial"/>
                  </w:rPr>
                  <w:t xml:space="preserve">  )</w:t>
                </w:r>
              </w:p>
            </w:tc>
            <w:tc>
              <w:tcPr>
                <w:tcW w:w="993" w:type="dxa"/>
              </w:tcPr>
              <w:p w:rsidR="008F4B79" w:rsidRDefault="008F4B79" w:rsidP="009260DE">
                <w:pPr>
                  <w:jc w:val="center"/>
                  <w:rPr>
                    <w:rFonts w:ascii="Arial" w:hAnsi="Arial" w:cs="Arial"/>
                  </w:rPr>
                </w:pPr>
                <w:r>
                  <w:rPr>
                    <w:rFonts w:ascii="Arial" w:hAnsi="Arial" w:cs="Arial"/>
                  </w:rPr>
                  <w:t xml:space="preserve">(  </w:t>
                </w:r>
                <w:r w:rsidR="007119F9">
                  <w:rPr>
                    <w:rFonts w:ascii="Arial" w:hAnsi="Arial" w:cs="Arial"/>
                  </w:rPr>
                  <w:t>8</w:t>
                </w:r>
                <w:r>
                  <w:rPr>
                    <w:rFonts w:ascii="Arial" w:hAnsi="Arial" w:cs="Arial"/>
                  </w:rPr>
                  <w:t xml:space="preserve">  )</w:t>
                </w:r>
              </w:p>
            </w:tc>
            <w:tc>
              <w:tcPr>
                <w:tcW w:w="992" w:type="dxa"/>
              </w:tcPr>
              <w:p w:rsidR="008F4B79" w:rsidRDefault="008F4B79" w:rsidP="009260DE">
                <w:pPr>
                  <w:jc w:val="center"/>
                  <w:rPr>
                    <w:rFonts w:ascii="Arial" w:hAnsi="Arial" w:cs="Arial"/>
                  </w:rPr>
                </w:pPr>
                <w:r>
                  <w:rPr>
                    <w:rFonts w:ascii="Arial" w:hAnsi="Arial" w:cs="Arial"/>
                  </w:rPr>
                  <w:t>(</w:t>
                </w:r>
                <w:r w:rsidR="007119F9">
                  <w:rPr>
                    <w:rFonts w:ascii="Arial" w:hAnsi="Arial" w:cs="Arial"/>
                  </w:rPr>
                  <w:t>7</w:t>
                </w:r>
                <w:r>
                  <w:rPr>
                    <w:rFonts w:ascii="Arial" w:hAnsi="Arial" w:cs="Arial"/>
                  </w:rPr>
                  <w:t xml:space="preserve">  )</w:t>
                </w:r>
              </w:p>
            </w:tc>
            <w:tc>
              <w:tcPr>
                <w:tcW w:w="992" w:type="dxa"/>
              </w:tcPr>
              <w:p w:rsidR="008F4B79" w:rsidRDefault="008F4B79" w:rsidP="009260DE">
                <w:pPr>
                  <w:jc w:val="center"/>
                  <w:rPr>
                    <w:rFonts w:ascii="Arial" w:hAnsi="Arial" w:cs="Arial"/>
                  </w:rPr>
                </w:pPr>
                <w:r>
                  <w:rPr>
                    <w:rFonts w:ascii="Arial" w:hAnsi="Arial" w:cs="Arial"/>
                  </w:rPr>
                  <w:t xml:space="preserve">(   </w:t>
                </w:r>
                <w:r w:rsidR="007119F9">
                  <w:rPr>
                    <w:rFonts w:ascii="Arial" w:hAnsi="Arial" w:cs="Arial"/>
                  </w:rPr>
                  <w:t>6</w:t>
                </w:r>
                <w:r>
                  <w:rPr>
                    <w:rFonts w:ascii="Arial" w:hAnsi="Arial" w:cs="Arial"/>
                  </w:rPr>
                  <w:t xml:space="preserve"> )</w:t>
                </w:r>
              </w:p>
            </w:tc>
            <w:tc>
              <w:tcPr>
                <w:tcW w:w="992" w:type="dxa"/>
              </w:tcPr>
              <w:p w:rsidR="008F4B79" w:rsidRDefault="008F4B79" w:rsidP="009260DE">
                <w:pPr>
                  <w:jc w:val="center"/>
                  <w:rPr>
                    <w:rFonts w:ascii="Arial" w:hAnsi="Arial" w:cs="Arial"/>
                  </w:rPr>
                </w:pPr>
                <w:r>
                  <w:rPr>
                    <w:rFonts w:ascii="Arial" w:hAnsi="Arial" w:cs="Arial"/>
                  </w:rPr>
                  <w:t xml:space="preserve">(   </w:t>
                </w:r>
                <w:r w:rsidR="007119F9">
                  <w:rPr>
                    <w:rFonts w:ascii="Arial" w:hAnsi="Arial" w:cs="Arial"/>
                  </w:rPr>
                  <w:t>6</w:t>
                </w:r>
                <w:r>
                  <w:rPr>
                    <w:rFonts w:ascii="Arial" w:hAnsi="Arial" w:cs="Arial"/>
                  </w:rPr>
                  <w:t xml:space="preserve">  )</w:t>
                </w:r>
              </w:p>
            </w:tc>
          </w:tr>
          <w:tr w:rsidR="008F4B79" w:rsidTr="009260DE">
            <w:trPr>
              <w:trHeight w:val="419"/>
            </w:trPr>
            <w:tc>
              <w:tcPr>
                <w:tcW w:w="3260" w:type="dxa"/>
              </w:tcPr>
              <w:p w:rsidR="008F4B79" w:rsidRDefault="008F4B79" w:rsidP="009260DE">
                <w:pPr>
                  <w:rPr>
                    <w:rFonts w:ascii="Arial" w:hAnsi="Arial" w:cs="Arial"/>
                  </w:rPr>
                </w:pPr>
                <w:r>
                  <w:rPr>
                    <w:rFonts w:ascii="Arial" w:hAnsi="Arial" w:cs="Arial"/>
                  </w:rPr>
                  <w:t>Taxation paid</w:t>
                </w:r>
              </w:p>
            </w:tc>
            <w:tc>
              <w:tcPr>
                <w:tcW w:w="992" w:type="dxa"/>
              </w:tcPr>
              <w:p w:rsidR="008F4B79" w:rsidRDefault="008F4B79" w:rsidP="009260DE">
                <w:pPr>
                  <w:jc w:val="center"/>
                  <w:rPr>
                    <w:rFonts w:ascii="Arial" w:hAnsi="Arial" w:cs="Arial"/>
                  </w:rPr>
                </w:pPr>
                <w:r>
                  <w:rPr>
                    <w:rFonts w:ascii="Arial" w:hAnsi="Arial" w:cs="Arial"/>
                  </w:rPr>
                  <w:t>-</w:t>
                </w:r>
              </w:p>
            </w:tc>
            <w:tc>
              <w:tcPr>
                <w:tcW w:w="992" w:type="dxa"/>
              </w:tcPr>
              <w:p w:rsidR="008F4B79" w:rsidRDefault="008F4B79" w:rsidP="009260DE">
                <w:pPr>
                  <w:jc w:val="center"/>
                  <w:rPr>
                    <w:rFonts w:ascii="Arial" w:hAnsi="Arial" w:cs="Arial"/>
                  </w:rPr>
                </w:pPr>
                <w:r>
                  <w:rPr>
                    <w:rFonts w:ascii="Arial" w:hAnsi="Arial" w:cs="Arial"/>
                  </w:rPr>
                  <w:t>-</w:t>
                </w:r>
              </w:p>
            </w:tc>
            <w:tc>
              <w:tcPr>
                <w:tcW w:w="993" w:type="dxa"/>
              </w:tcPr>
              <w:p w:rsidR="008F4B79" w:rsidRDefault="008F4B79" w:rsidP="009260DE">
                <w:pPr>
                  <w:jc w:val="center"/>
                  <w:rPr>
                    <w:rFonts w:ascii="Arial" w:hAnsi="Arial" w:cs="Arial"/>
                  </w:rPr>
                </w:pPr>
                <w:r>
                  <w:rPr>
                    <w:rFonts w:ascii="Arial" w:hAnsi="Arial" w:cs="Arial"/>
                  </w:rPr>
                  <w:t xml:space="preserve">(  </w:t>
                </w:r>
                <w:r w:rsidR="007119F9">
                  <w:rPr>
                    <w:rFonts w:ascii="Arial" w:hAnsi="Arial" w:cs="Arial"/>
                  </w:rPr>
                  <w:t>20</w:t>
                </w:r>
                <w:r>
                  <w:rPr>
                    <w:rFonts w:ascii="Arial" w:hAnsi="Arial" w:cs="Arial"/>
                  </w:rPr>
                  <w:t xml:space="preserve">   )</w:t>
                </w:r>
              </w:p>
            </w:tc>
            <w:tc>
              <w:tcPr>
                <w:tcW w:w="992" w:type="dxa"/>
              </w:tcPr>
              <w:p w:rsidR="008F4B79" w:rsidRDefault="008F4B79" w:rsidP="009260DE">
                <w:pPr>
                  <w:jc w:val="center"/>
                  <w:rPr>
                    <w:rFonts w:ascii="Arial" w:hAnsi="Arial" w:cs="Arial"/>
                  </w:rPr>
                </w:pPr>
                <w:r>
                  <w:rPr>
                    <w:rFonts w:ascii="Arial" w:hAnsi="Arial" w:cs="Arial"/>
                  </w:rPr>
                  <w:t>-</w:t>
                </w:r>
              </w:p>
            </w:tc>
            <w:tc>
              <w:tcPr>
                <w:tcW w:w="992" w:type="dxa"/>
              </w:tcPr>
              <w:p w:rsidR="008F4B79" w:rsidRDefault="008F4B79" w:rsidP="009260DE">
                <w:pPr>
                  <w:jc w:val="center"/>
                  <w:rPr>
                    <w:rFonts w:ascii="Arial" w:hAnsi="Arial" w:cs="Arial"/>
                  </w:rPr>
                </w:pPr>
                <w:r>
                  <w:rPr>
                    <w:rFonts w:ascii="Arial" w:hAnsi="Arial" w:cs="Arial"/>
                  </w:rPr>
                  <w:t>-</w:t>
                </w:r>
              </w:p>
            </w:tc>
            <w:tc>
              <w:tcPr>
                <w:tcW w:w="992" w:type="dxa"/>
              </w:tcPr>
              <w:p w:rsidR="008F4B79" w:rsidRDefault="008F4B79" w:rsidP="009260DE">
                <w:pPr>
                  <w:jc w:val="center"/>
                  <w:rPr>
                    <w:rFonts w:ascii="Arial" w:hAnsi="Arial" w:cs="Arial"/>
                  </w:rPr>
                </w:pPr>
                <w:r>
                  <w:rPr>
                    <w:rFonts w:ascii="Arial" w:hAnsi="Arial" w:cs="Arial"/>
                  </w:rPr>
                  <w:t>-</w:t>
                </w:r>
              </w:p>
            </w:tc>
          </w:tr>
          <w:tr w:rsidR="008F4B79" w:rsidTr="009260DE">
            <w:trPr>
              <w:trHeight w:val="419"/>
            </w:trPr>
            <w:tc>
              <w:tcPr>
                <w:tcW w:w="3260" w:type="dxa"/>
              </w:tcPr>
              <w:p w:rsidR="008F4B79" w:rsidRDefault="008F4B79" w:rsidP="009260DE">
                <w:pPr>
                  <w:rPr>
                    <w:rFonts w:ascii="Arial" w:hAnsi="Arial" w:cs="Arial"/>
                  </w:rPr>
                </w:pPr>
                <w:r>
                  <w:rPr>
                    <w:rFonts w:ascii="Arial" w:hAnsi="Arial" w:cs="Arial"/>
                  </w:rPr>
                  <w:t>Interest payments</w:t>
                </w:r>
              </w:p>
            </w:tc>
            <w:tc>
              <w:tcPr>
                <w:tcW w:w="992" w:type="dxa"/>
              </w:tcPr>
              <w:p w:rsidR="008F4B79" w:rsidRDefault="008F4B79" w:rsidP="009260DE">
                <w:pPr>
                  <w:jc w:val="center"/>
                  <w:rPr>
                    <w:rFonts w:ascii="Arial" w:hAnsi="Arial" w:cs="Arial"/>
                  </w:rPr>
                </w:pPr>
                <w:r>
                  <w:rPr>
                    <w:rFonts w:ascii="Arial" w:hAnsi="Arial" w:cs="Arial"/>
                  </w:rPr>
                  <w:t xml:space="preserve">( </w:t>
                </w:r>
                <w:r w:rsidR="007119F9">
                  <w:rPr>
                    <w:rFonts w:ascii="Arial" w:hAnsi="Arial" w:cs="Arial"/>
                  </w:rPr>
                  <w:t>1</w:t>
                </w:r>
                <w:r>
                  <w:rPr>
                    <w:rFonts w:ascii="Arial" w:hAnsi="Arial" w:cs="Arial"/>
                  </w:rPr>
                  <w:t xml:space="preserve">  )</w:t>
                </w:r>
              </w:p>
            </w:tc>
            <w:tc>
              <w:tcPr>
                <w:tcW w:w="992" w:type="dxa"/>
              </w:tcPr>
              <w:p w:rsidR="008F4B79" w:rsidRDefault="008F4B79" w:rsidP="009260DE">
                <w:pPr>
                  <w:jc w:val="center"/>
                  <w:rPr>
                    <w:rFonts w:ascii="Arial" w:hAnsi="Arial" w:cs="Arial"/>
                  </w:rPr>
                </w:pPr>
                <w:r>
                  <w:rPr>
                    <w:rFonts w:ascii="Arial" w:hAnsi="Arial" w:cs="Arial"/>
                  </w:rPr>
                  <w:t xml:space="preserve">(   </w:t>
                </w:r>
                <w:r w:rsidR="007119F9">
                  <w:rPr>
                    <w:rFonts w:ascii="Arial" w:hAnsi="Arial" w:cs="Arial"/>
                  </w:rPr>
                  <w:t>1</w:t>
                </w:r>
                <w:r>
                  <w:rPr>
                    <w:rFonts w:ascii="Arial" w:hAnsi="Arial" w:cs="Arial"/>
                  </w:rPr>
                  <w:t xml:space="preserve">  )</w:t>
                </w:r>
              </w:p>
            </w:tc>
            <w:tc>
              <w:tcPr>
                <w:tcW w:w="993" w:type="dxa"/>
              </w:tcPr>
              <w:p w:rsidR="008F4B79" w:rsidRDefault="008F4B79" w:rsidP="009260DE">
                <w:pPr>
                  <w:jc w:val="center"/>
                  <w:rPr>
                    <w:rFonts w:ascii="Arial" w:hAnsi="Arial" w:cs="Arial"/>
                  </w:rPr>
                </w:pPr>
                <w:r>
                  <w:rPr>
                    <w:rFonts w:ascii="Arial" w:hAnsi="Arial" w:cs="Arial"/>
                  </w:rPr>
                  <w:t xml:space="preserve">( </w:t>
                </w:r>
                <w:r w:rsidR="007119F9">
                  <w:rPr>
                    <w:rFonts w:ascii="Arial" w:hAnsi="Arial" w:cs="Arial"/>
                  </w:rPr>
                  <w:t>1</w:t>
                </w:r>
                <w:r>
                  <w:rPr>
                    <w:rFonts w:ascii="Arial" w:hAnsi="Arial" w:cs="Arial"/>
                  </w:rPr>
                  <w:t xml:space="preserve">   )</w:t>
                </w:r>
              </w:p>
            </w:tc>
            <w:tc>
              <w:tcPr>
                <w:tcW w:w="992" w:type="dxa"/>
              </w:tcPr>
              <w:p w:rsidR="008F4B79" w:rsidRDefault="008F4B79" w:rsidP="009260DE">
                <w:pPr>
                  <w:jc w:val="center"/>
                  <w:rPr>
                    <w:rFonts w:ascii="Arial" w:hAnsi="Arial" w:cs="Arial"/>
                  </w:rPr>
                </w:pPr>
                <w:r>
                  <w:rPr>
                    <w:rFonts w:ascii="Arial" w:hAnsi="Arial" w:cs="Arial"/>
                  </w:rPr>
                  <w:t xml:space="preserve">(  </w:t>
                </w:r>
                <w:r w:rsidR="007119F9">
                  <w:rPr>
                    <w:rFonts w:ascii="Arial" w:hAnsi="Arial" w:cs="Arial"/>
                  </w:rPr>
                  <w:t>1</w:t>
                </w:r>
                <w:r>
                  <w:rPr>
                    <w:rFonts w:ascii="Arial" w:hAnsi="Arial" w:cs="Arial"/>
                  </w:rPr>
                  <w:t xml:space="preserve">  )</w:t>
                </w:r>
              </w:p>
            </w:tc>
            <w:tc>
              <w:tcPr>
                <w:tcW w:w="992" w:type="dxa"/>
              </w:tcPr>
              <w:p w:rsidR="008F4B79" w:rsidRDefault="008F4B79" w:rsidP="009260DE">
                <w:pPr>
                  <w:jc w:val="center"/>
                  <w:rPr>
                    <w:rFonts w:ascii="Arial" w:hAnsi="Arial" w:cs="Arial"/>
                  </w:rPr>
                </w:pPr>
                <w:r>
                  <w:rPr>
                    <w:rFonts w:ascii="Arial" w:hAnsi="Arial" w:cs="Arial"/>
                  </w:rPr>
                  <w:t xml:space="preserve">( </w:t>
                </w:r>
                <w:r w:rsidR="007119F9">
                  <w:rPr>
                    <w:rFonts w:ascii="Arial" w:hAnsi="Arial" w:cs="Arial"/>
                  </w:rPr>
                  <w:t>1</w:t>
                </w:r>
                <w:r>
                  <w:rPr>
                    <w:rFonts w:ascii="Arial" w:hAnsi="Arial" w:cs="Arial"/>
                  </w:rPr>
                  <w:t xml:space="preserve">  )</w:t>
                </w:r>
              </w:p>
            </w:tc>
            <w:tc>
              <w:tcPr>
                <w:tcW w:w="992" w:type="dxa"/>
              </w:tcPr>
              <w:p w:rsidR="008F4B79" w:rsidRDefault="008F4B79" w:rsidP="009260DE">
                <w:pPr>
                  <w:jc w:val="center"/>
                  <w:rPr>
                    <w:rFonts w:ascii="Arial" w:hAnsi="Arial" w:cs="Arial"/>
                  </w:rPr>
                </w:pPr>
                <w:r>
                  <w:rPr>
                    <w:rFonts w:ascii="Arial" w:hAnsi="Arial" w:cs="Arial"/>
                  </w:rPr>
                  <w:t xml:space="preserve">(    </w:t>
                </w:r>
                <w:r w:rsidR="007119F9">
                  <w:rPr>
                    <w:rFonts w:ascii="Arial" w:hAnsi="Arial" w:cs="Arial"/>
                  </w:rPr>
                  <w:t>1</w:t>
                </w:r>
                <w:r>
                  <w:rPr>
                    <w:rFonts w:ascii="Arial" w:hAnsi="Arial" w:cs="Arial"/>
                  </w:rPr>
                  <w:t xml:space="preserve"> )</w:t>
                </w:r>
              </w:p>
            </w:tc>
          </w:tr>
          <w:tr w:rsidR="008F4B79" w:rsidTr="009260DE">
            <w:trPr>
              <w:trHeight w:val="410"/>
            </w:trPr>
            <w:tc>
              <w:tcPr>
                <w:tcW w:w="3260" w:type="dxa"/>
              </w:tcPr>
              <w:p w:rsidR="008F4B79" w:rsidRDefault="008F4B79" w:rsidP="009260DE">
                <w:pPr>
                  <w:rPr>
                    <w:rFonts w:ascii="Arial" w:hAnsi="Arial" w:cs="Arial"/>
                  </w:rPr>
                </w:pPr>
                <w:r>
                  <w:rPr>
                    <w:rFonts w:ascii="Arial" w:hAnsi="Arial" w:cs="Arial"/>
                  </w:rPr>
                  <w:t>Shop refurbishment</w:t>
                </w:r>
              </w:p>
            </w:tc>
            <w:tc>
              <w:tcPr>
                <w:tcW w:w="992" w:type="dxa"/>
              </w:tcPr>
              <w:p w:rsidR="008F4B79" w:rsidRPr="007A65C7" w:rsidRDefault="008F4B79" w:rsidP="009260DE">
                <w:pPr>
                  <w:jc w:val="center"/>
                  <w:rPr>
                    <w:rFonts w:ascii="Arial" w:hAnsi="Arial" w:cs="Arial"/>
                    <w:u w:val="single"/>
                  </w:rPr>
                </w:pPr>
                <w:r w:rsidRPr="007A65C7">
                  <w:rPr>
                    <w:rFonts w:ascii="Arial" w:hAnsi="Arial" w:cs="Arial"/>
                    <w:u w:val="single"/>
                  </w:rPr>
                  <w:t xml:space="preserve"> </w:t>
                </w:r>
                <w:r w:rsidR="007119F9">
                  <w:rPr>
                    <w:rFonts w:ascii="Arial" w:hAnsi="Arial" w:cs="Arial"/>
                    <w:u w:val="single"/>
                  </w:rPr>
                  <w:t>(34)</w:t>
                </w:r>
                <w:r w:rsidRPr="007A65C7">
                  <w:rPr>
                    <w:rFonts w:ascii="Arial" w:hAnsi="Arial" w:cs="Arial"/>
                    <w:u w:val="single"/>
                  </w:rPr>
                  <w:t xml:space="preserve">      -</w:t>
                </w:r>
              </w:p>
            </w:tc>
            <w:tc>
              <w:tcPr>
                <w:tcW w:w="992" w:type="dxa"/>
              </w:tcPr>
              <w:p w:rsidR="008F4B79" w:rsidRPr="007A65C7" w:rsidRDefault="008F4B79" w:rsidP="009260DE">
                <w:pPr>
                  <w:jc w:val="center"/>
                  <w:rPr>
                    <w:rFonts w:ascii="Arial" w:hAnsi="Arial" w:cs="Arial"/>
                    <w:u w:val="single"/>
                  </w:rPr>
                </w:pPr>
                <w:r w:rsidRPr="007A65C7">
                  <w:rPr>
                    <w:rFonts w:ascii="Arial" w:hAnsi="Arial" w:cs="Arial"/>
                    <w:u w:val="single"/>
                  </w:rPr>
                  <w:t xml:space="preserve">  (</w:t>
                </w:r>
                <w:r>
                  <w:rPr>
                    <w:rFonts w:ascii="Arial" w:hAnsi="Arial" w:cs="Arial"/>
                    <w:u w:val="single"/>
                  </w:rPr>
                  <w:t xml:space="preserve"> </w:t>
                </w:r>
                <w:r w:rsidR="007119F9">
                  <w:rPr>
                    <w:rFonts w:ascii="Arial" w:hAnsi="Arial" w:cs="Arial"/>
                    <w:u w:val="single"/>
                  </w:rPr>
                  <w:t>26</w:t>
                </w:r>
                <w:r>
                  <w:rPr>
                    <w:rFonts w:ascii="Arial" w:hAnsi="Arial" w:cs="Arial"/>
                    <w:u w:val="single"/>
                  </w:rPr>
                  <w:t xml:space="preserve">   </w:t>
                </w:r>
                <w:r w:rsidRPr="007A65C7">
                  <w:rPr>
                    <w:rFonts w:ascii="Arial" w:hAnsi="Arial" w:cs="Arial"/>
                    <w:u w:val="single"/>
                  </w:rPr>
                  <w:t>)</w:t>
                </w:r>
              </w:p>
            </w:tc>
            <w:tc>
              <w:tcPr>
                <w:tcW w:w="993" w:type="dxa"/>
              </w:tcPr>
              <w:p w:rsidR="008F4B79" w:rsidRPr="007A65C7" w:rsidRDefault="008F4B79" w:rsidP="009260DE">
                <w:pPr>
                  <w:jc w:val="center"/>
                  <w:rPr>
                    <w:rFonts w:ascii="Arial" w:hAnsi="Arial" w:cs="Arial"/>
                    <w:u w:val="single"/>
                  </w:rPr>
                </w:pPr>
                <w:r w:rsidRPr="007A65C7">
                  <w:rPr>
                    <w:rFonts w:ascii="Arial" w:hAnsi="Arial" w:cs="Arial"/>
                    <w:u w:val="single"/>
                  </w:rPr>
                  <w:t xml:space="preserve"> (</w:t>
                </w:r>
                <w:r>
                  <w:rPr>
                    <w:rFonts w:ascii="Arial" w:hAnsi="Arial" w:cs="Arial"/>
                    <w:u w:val="single"/>
                  </w:rPr>
                  <w:t xml:space="preserve">  </w:t>
                </w:r>
                <w:r w:rsidR="007119F9">
                  <w:rPr>
                    <w:rFonts w:ascii="Arial" w:hAnsi="Arial" w:cs="Arial"/>
                    <w:u w:val="single"/>
                  </w:rPr>
                  <w:t>18</w:t>
                </w:r>
                <w:r>
                  <w:rPr>
                    <w:rFonts w:ascii="Arial" w:hAnsi="Arial" w:cs="Arial"/>
                    <w:u w:val="single"/>
                  </w:rPr>
                  <w:t xml:space="preserve">  </w:t>
                </w:r>
                <w:r w:rsidRPr="007A65C7">
                  <w:rPr>
                    <w:rFonts w:ascii="Arial" w:hAnsi="Arial" w:cs="Arial"/>
                    <w:u w:val="single"/>
                  </w:rPr>
                  <w:t>)</w:t>
                </w:r>
              </w:p>
            </w:tc>
            <w:tc>
              <w:tcPr>
                <w:tcW w:w="992" w:type="dxa"/>
              </w:tcPr>
              <w:p w:rsidR="008F4B79" w:rsidRPr="007A65C7" w:rsidRDefault="008F4B79" w:rsidP="009260DE">
                <w:pPr>
                  <w:jc w:val="center"/>
                  <w:rPr>
                    <w:rFonts w:ascii="Arial" w:hAnsi="Arial" w:cs="Arial"/>
                    <w:u w:val="single"/>
                  </w:rPr>
                </w:pPr>
                <w:r w:rsidRPr="007A65C7">
                  <w:rPr>
                    <w:rFonts w:ascii="Arial" w:hAnsi="Arial" w:cs="Arial"/>
                    <w:u w:val="single"/>
                  </w:rPr>
                  <w:t xml:space="preserve">    (</w:t>
                </w:r>
                <w:r>
                  <w:rPr>
                    <w:rFonts w:ascii="Arial" w:hAnsi="Arial" w:cs="Arial"/>
                    <w:u w:val="single"/>
                  </w:rPr>
                  <w:t xml:space="preserve">    </w:t>
                </w:r>
                <w:r w:rsidRPr="007A65C7">
                  <w:rPr>
                    <w:rFonts w:ascii="Arial" w:hAnsi="Arial" w:cs="Arial"/>
                    <w:u w:val="single"/>
                  </w:rPr>
                  <w:t>)</w:t>
                </w:r>
              </w:p>
            </w:tc>
            <w:tc>
              <w:tcPr>
                <w:tcW w:w="992" w:type="dxa"/>
              </w:tcPr>
              <w:p w:rsidR="008F4B79" w:rsidRPr="007A65C7" w:rsidRDefault="008F4B79" w:rsidP="009260DE">
                <w:pPr>
                  <w:jc w:val="center"/>
                  <w:rPr>
                    <w:rFonts w:ascii="Arial" w:hAnsi="Arial" w:cs="Arial"/>
                    <w:u w:val="single"/>
                  </w:rPr>
                </w:pPr>
                <w:r w:rsidRPr="007A65C7">
                  <w:rPr>
                    <w:rFonts w:ascii="Arial" w:hAnsi="Arial" w:cs="Arial"/>
                    <w:u w:val="single"/>
                  </w:rPr>
                  <w:t xml:space="preserve">       -</w:t>
                </w:r>
              </w:p>
            </w:tc>
            <w:tc>
              <w:tcPr>
                <w:tcW w:w="992" w:type="dxa"/>
              </w:tcPr>
              <w:p w:rsidR="008F4B79" w:rsidRPr="007A65C7" w:rsidRDefault="008F4B79" w:rsidP="009260DE">
                <w:pPr>
                  <w:jc w:val="center"/>
                  <w:rPr>
                    <w:rFonts w:ascii="Arial" w:hAnsi="Arial" w:cs="Arial"/>
                    <w:u w:val="single"/>
                  </w:rPr>
                </w:pPr>
                <w:r w:rsidRPr="007A65C7">
                  <w:rPr>
                    <w:rFonts w:ascii="Arial" w:hAnsi="Arial" w:cs="Arial"/>
                    <w:u w:val="single"/>
                  </w:rPr>
                  <w:t xml:space="preserve">       -</w:t>
                </w:r>
              </w:p>
            </w:tc>
          </w:tr>
          <w:tr w:rsidR="008F4B79" w:rsidTr="009260DE">
            <w:trPr>
              <w:trHeight w:val="423"/>
            </w:trPr>
            <w:tc>
              <w:tcPr>
                <w:tcW w:w="3260" w:type="dxa"/>
              </w:tcPr>
              <w:p w:rsidR="008F4B79" w:rsidRDefault="008F4B79" w:rsidP="009260DE">
                <w:pPr>
                  <w:rPr>
                    <w:rFonts w:ascii="Arial" w:hAnsi="Arial" w:cs="Arial"/>
                  </w:rPr>
                </w:pPr>
                <w:r>
                  <w:rPr>
                    <w:rFonts w:ascii="Arial" w:hAnsi="Arial" w:cs="Arial"/>
                  </w:rPr>
                  <w:t>Cash surplus (deficit)</w:t>
                </w:r>
              </w:p>
            </w:tc>
            <w:tc>
              <w:tcPr>
                <w:tcW w:w="992" w:type="dxa"/>
              </w:tcPr>
              <w:p w:rsidR="008F4B79" w:rsidRDefault="009F7016" w:rsidP="009260DE">
                <w:pPr>
                  <w:jc w:val="center"/>
                  <w:rPr>
                    <w:rFonts w:ascii="Arial" w:hAnsi="Arial" w:cs="Arial"/>
                  </w:rPr>
                </w:pPr>
                <w:r>
                  <w:rPr>
                    <w:rFonts w:ascii="Arial" w:hAnsi="Arial" w:cs="Arial"/>
                  </w:rPr>
                  <w:t>(22)</w:t>
                </w:r>
                <w:r w:rsidR="008F4B79">
                  <w:rPr>
                    <w:rFonts w:ascii="Arial" w:hAnsi="Arial" w:cs="Arial"/>
                  </w:rPr>
                  <w:t xml:space="preserve"> </w:t>
                </w:r>
              </w:p>
            </w:tc>
            <w:tc>
              <w:tcPr>
                <w:tcW w:w="992" w:type="dxa"/>
              </w:tcPr>
              <w:p w:rsidR="008F4B79" w:rsidRDefault="009F7016" w:rsidP="009260DE">
                <w:pPr>
                  <w:jc w:val="center"/>
                  <w:rPr>
                    <w:rFonts w:ascii="Arial" w:hAnsi="Arial" w:cs="Arial"/>
                  </w:rPr>
                </w:pPr>
                <w:r>
                  <w:rPr>
                    <w:rFonts w:ascii="Arial" w:hAnsi="Arial" w:cs="Arial"/>
                  </w:rPr>
                  <w:t>23</w:t>
                </w:r>
                <w:r w:rsidR="008F4B79">
                  <w:rPr>
                    <w:rFonts w:ascii="Arial" w:hAnsi="Arial" w:cs="Arial"/>
                  </w:rPr>
                  <w:t xml:space="preserve"> </w:t>
                </w:r>
              </w:p>
            </w:tc>
            <w:tc>
              <w:tcPr>
                <w:tcW w:w="993" w:type="dxa"/>
              </w:tcPr>
              <w:p w:rsidR="008F4B79" w:rsidRDefault="008F4B79" w:rsidP="009260DE">
                <w:pPr>
                  <w:jc w:val="center"/>
                  <w:rPr>
                    <w:rFonts w:ascii="Arial" w:hAnsi="Arial" w:cs="Arial"/>
                  </w:rPr>
                </w:pPr>
                <w:r>
                  <w:rPr>
                    <w:rFonts w:ascii="Arial" w:hAnsi="Arial" w:cs="Arial"/>
                  </w:rPr>
                  <w:t xml:space="preserve"> </w:t>
                </w:r>
                <w:r w:rsidR="009F7016">
                  <w:rPr>
                    <w:rFonts w:ascii="Arial" w:hAnsi="Arial" w:cs="Arial"/>
                  </w:rPr>
                  <w:t>23</w:t>
                </w:r>
              </w:p>
            </w:tc>
            <w:tc>
              <w:tcPr>
                <w:tcW w:w="992" w:type="dxa"/>
              </w:tcPr>
              <w:p w:rsidR="008F4B79" w:rsidRDefault="005F67E7" w:rsidP="009260DE">
                <w:pPr>
                  <w:jc w:val="center"/>
                  <w:rPr>
                    <w:rFonts w:ascii="Arial" w:hAnsi="Arial" w:cs="Arial"/>
                  </w:rPr>
                </w:pPr>
                <w:r>
                  <w:rPr>
                    <w:rFonts w:ascii="Arial" w:hAnsi="Arial" w:cs="Arial"/>
                  </w:rPr>
                  <w:t>(21)</w:t>
                </w:r>
                <w:r w:rsidR="008F4B79">
                  <w:rPr>
                    <w:rFonts w:ascii="Arial" w:hAnsi="Arial" w:cs="Arial"/>
                  </w:rPr>
                  <w:t xml:space="preserve"> </w:t>
                </w:r>
              </w:p>
            </w:tc>
            <w:tc>
              <w:tcPr>
                <w:tcW w:w="992" w:type="dxa"/>
              </w:tcPr>
              <w:p w:rsidR="008F4B79" w:rsidRDefault="005F67E7" w:rsidP="009260DE">
                <w:pPr>
                  <w:jc w:val="center"/>
                  <w:rPr>
                    <w:rFonts w:ascii="Arial" w:hAnsi="Arial" w:cs="Arial"/>
                  </w:rPr>
                </w:pPr>
                <w:r>
                  <w:rPr>
                    <w:rFonts w:ascii="Arial" w:hAnsi="Arial" w:cs="Arial"/>
                  </w:rPr>
                  <w:t>(27)</w:t>
                </w:r>
                <w:r w:rsidR="008F4B79">
                  <w:rPr>
                    <w:rFonts w:ascii="Arial" w:hAnsi="Arial" w:cs="Arial"/>
                  </w:rPr>
                  <w:t xml:space="preserve"> </w:t>
                </w:r>
              </w:p>
            </w:tc>
            <w:tc>
              <w:tcPr>
                <w:tcW w:w="992" w:type="dxa"/>
              </w:tcPr>
              <w:p w:rsidR="008F4B79" w:rsidRDefault="005F67E7" w:rsidP="009260DE">
                <w:pPr>
                  <w:jc w:val="center"/>
                  <w:rPr>
                    <w:rFonts w:ascii="Arial" w:hAnsi="Arial" w:cs="Arial"/>
                  </w:rPr>
                </w:pPr>
                <w:r>
                  <w:rPr>
                    <w:rFonts w:ascii="Arial" w:hAnsi="Arial" w:cs="Arial"/>
                  </w:rPr>
                  <w:t>(24)</w:t>
                </w:r>
                <w:r w:rsidR="008F4B79">
                  <w:rPr>
                    <w:rFonts w:ascii="Arial" w:hAnsi="Arial" w:cs="Arial"/>
                  </w:rPr>
                  <w:t xml:space="preserve"> </w:t>
                </w:r>
              </w:p>
            </w:tc>
          </w:tr>
          <w:tr w:rsidR="008F4B79" w:rsidTr="009260DE">
            <w:trPr>
              <w:trHeight w:val="407"/>
            </w:trPr>
            <w:tc>
              <w:tcPr>
                <w:tcW w:w="3260" w:type="dxa"/>
              </w:tcPr>
              <w:p w:rsidR="008F4B79" w:rsidRDefault="008F4B79" w:rsidP="009260DE">
                <w:pPr>
                  <w:rPr>
                    <w:rFonts w:ascii="Arial" w:hAnsi="Arial" w:cs="Arial"/>
                  </w:rPr>
                </w:pPr>
                <w:r>
                  <w:rPr>
                    <w:rFonts w:ascii="Arial" w:hAnsi="Arial" w:cs="Arial"/>
                  </w:rPr>
                  <w:t>Opening balance</w:t>
                </w:r>
              </w:p>
            </w:tc>
            <w:tc>
              <w:tcPr>
                <w:tcW w:w="992" w:type="dxa"/>
              </w:tcPr>
              <w:p w:rsidR="008F4B79" w:rsidRPr="007A65C7" w:rsidRDefault="005F67E7" w:rsidP="009260DE">
                <w:pPr>
                  <w:jc w:val="center"/>
                  <w:rPr>
                    <w:rFonts w:ascii="Arial" w:hAnsi="Arial" w:cs="Arial"/>
                    <w:u w:val="single"/>
                  </w:rPr>
                </w:pPr>
                <w:r>
                  <w:rPr>
                    <w:rFonts w:ascii="Arial" w:hAnsi="Arial" w:cs="Arial"/>
                    <w:u w:val="single"/>
                  </w:rPr>
                  <w:t>(25)</w:t>
                </w:r>
                <w:r w:rsidR="008F4B79">
                  <w:rPr>
                    <w:rFonts w:ascii="Arial" w:hAnsi="Arial" w:cs="Arial"/>
                    <w:u w:val="single"/>
                  </w:rPr>
                  <w:t xml:space="preserve"> </w:t>
                </w:r>
              </w:p>
            </w:tc>
            <w:tc>
              <w:tcPr>
                <w:tcW w:w="992" w:type="dxa"/>
              </w:tcPr>
              <w:p w:rsidR="008F4B79" w:rsidRPr="007A65C7" w:rsidRDefault="005F67E7" w:rsidP="009260DE">
                <w:pPr>
                  <w:jc w:val="center"/>
                  <w:rPr>
                    <w:rFonts w:ascii="Arial" w:hAnsi="Arial" w:cs="Arial"/>
                    <w:u w:val="single"/>
                  </w:rPr>
                </w:pPr>
                <w:r>
                  <w:rPr>
                    <w:rFonts w:ascii="Arial" w:hAnsi="Arial" w:cs="Arial"/>
                    <w:u w:val="single"/>
                  </w:rPr>
                  <w:t>(47)</w:t>
                </w:r>
                <w:r w:rsidR="008F4B79">
                  <w:rPr>
                    <w:rFonts w:ascii="Arial" w:hAnsi="Arial" w:cs="Arial"/>
                    <w:u w:val="single"/>
                  </w:rPr>
                  <w:t xml:space="preserve"> </w:t>
                </w:r>
              </w:p>
            </w:tc>
            <w:tc>
              <w:tcPr>
                <w:tcW w:w="993" w:type="dxa"/>
              </w:tcPr>
              <w:p w:rsidR="008F4B79" w:rsidRPr="007A65C7" w:rsidRDefault="005F67E7" w:rsidP="009260DE">
                <w:pPr>
                  <w:jc w:val="center"/>
                  <w:rPr>
                    <w:rFonts w:ascii="Arial" w:hAnsi="Arial" w:cs="Arial"/>
                    <w:u w:val="single"/>
                  </w:rPr>
                </w:pPr>
                <w:r>
                  <w:rPr>
                    <w:rFonts w:ascii="Arial" w:hAnsi="Arial" w:cs="Arial"/>
                    <w:u w:val="single"/>
                  </w:rPr>
                  <w:t>(24)</w:t>
                </w:r>
                <w:r w:rsidR="008F4B79">
                  <w:rPr>
                    <w:rFonts w:ascii="Arial" w:hAnsi="Arial" w:cs="Arial"/>
                    <w:u w:val="single"/>
                  </w:rPr>
                  <w:t xml:space="preserve"> </w:t>
                </w:r>
              </w:p>
            </w:tc>
            <w:tc>
              <w:tcPr>
                <w:tcW w:w="992" w:type="dxa"/>
              </w:tcPr>
              <w:p w:rsidR="008F4B79" w:rsidRPr="007A65C7" w:rsidRDefault="005F67E7" w:rsidP="009260DE">
                <w:pPr>
                  <w:jc w:val="center"/>
                  <w:rPr>
                    <w:rFonts w:ascii="Arial" w:hAnsi="Arial" w:cs="Arial"/>
                    <w:u w:val="single"/>
                  </w:rPr>
                </w:pPr>
                <w:r>
                  <w:rPr>
                    <w:rFonts w:ascii="Arial" w:hAnsi="Arial" w:cs="Arial"/>
                    <w:u w:val="single"/>
                  </w:rPr>
                  <w:t>(1)</w:t>
                </w:r>
                <w:r w:rsidR="008F4B79">
                  <w:rPr>
                    <w:rFonts w:ascii="Arial" w:hAnsi="Arial" w:cs="Arial"/>
                    <w:u w:val="single"/>
                  </w:rPr>
                  <w:t xml:space="preserve"> </w:t>
                </w:r>
              </w:p>
            </w:tc>
            <w:tc>
              <w:tcPr>
                <w:tcW w:w="992" w:type="dxa"/>
              </w:tcPr>
              <w:p w:rsidR="008F4B79" w:rsidRPr="007A65C7" w:rsidRDefault="005F67E7" w:rsidP="009260DE">
                <w:pPr>
                  <w:jc w:val="center"/>
                  <w:rPr>
                    <w:rFonts w:ascii="Arial" w:hAnsi="Arial" w:cs="Arial"/>
                    <w:u w:val="single"/>
                  </w:rPr>
                </w:pPr>
                <w:r>
                  <w:rPr>
                    <w:rFonts w:ascii="Arial" w:hAnsi="Arial" w:cs="Arial"/>
                    <w:u w:val="single"/>
                  </w:rPr>
                  <w:t>(22)</w:t>
                </w:r>
                <w:r w:rsidR="008F4B79">
                  <w:rPr>
                    <w:rFonts w:ascii="Arial" w:hAnsi="Arial" w:cs="Arial"/>
                    <w:u w:val="single"/>
                  </w:rPr>
                  <w:t xml:space="preserve"> </w:t>
                </w:r>
              </w:p>
            </w:tc>
            <w:tc>
              <w:tcPr>
                <w:tcW w:w="992" w:type="dxa"/>
              </w:tcPr>
              <w:p w:rsidR="008F4B79" w:rsidRPr="007A65C7" w:rsidRDefault="005F67E7" w:rsidP="009260DE">
                <w:pPr>
                  <w:jc w:val="center"/>
                  <w:rPr>
                    <w:rFonts w:ascii="Arial" w:hAnsi="Arial" w:cs="Arial"/>
                    <w:u w:val="single"/>
                  </w:rPr>
                </w:pPr>
                <w:r>
                  <w:rPr>
                    <w:rFonts w:ascii="Arial" w:hAnsi="Arial" w:cs="Arial"/>
                    <w:u w:val="single"/>
                  </w:rPr>
                  <w:t>(49)</w:t>
                </w:r>
                <w:r w:rsidR="008F4B79">
                  <w:rPr>
                    <w:rFonts w:ascii="Arial" w:hAnsi="Arial" w:cs="Arial"/>
                    <w:u w:val="single"/>
                  </w:rPr>
                  <w:t xml:space="preserve"> </w:t>
                </w:r>
              </w:p>
            </w:tc>
          </w:tr>
          <w:tr w:rsidR="008F4B79" w:rsidTr="009260DE">
            <w:trPr>
              <w:trHeight w:val="426"/>
            </w:trPr>
            <w:tc>
              <w:tcPr>
                <w:tcW w:w="3260" w:type="dxa"/>
              </w:tcPr>
              <w:p w:rsidR="008F4B79" w:rsidRDefault="008F4B79" w:rsidP="009260DE">
                <w:pPr>
                  <w:rPr>
                    <w:rFonts w:ascii="Arial" w:hAnsi="Arial" w:cs="Arial"/>
                  </w:rPr>
                </w:pPr>
                <w:r>
                  <w:rPr>
                    <w:rFonts w:ascii="Arial" w:hAnsi="Arial" w:cs="Arial"/>
                  </w:rPr>
                  <w:t>Closing balance</w:t>
                </w:r>
              </w:p>
            </w:tc>
            <w:tc>
              <w:tcPr>
                <w:tcW w:w="992" w:type="dxa"/>
              </w:tcPr>
              <w:p w:rsidR="008F4B79" w:rsidRPr="007A65C7" w:rsidRDefault="005F67E7" w:rsidP="009260DE">
                <w:pPr>
                  <w:jc w:val="center"/>
                  <w:rPr>
                    <w:rFonts w:ascii="Arial" w:hAnsi="Arial" w:cs="Arial"/>
                  </w:rPr>
                </w:pPr>
                <w:r>
                  <w:rPr>
                    <w:rFonts w:ascii="Arial" w:hAnsi="Arial" w:cs="Arial"/>
                  </w:rPr>
                  <w:t>(47)</w:t>
                </w:r>
                <w:r w:rsidR="008F4B79">
                  <w:rPr>
                    <w:rFonts w:ascii="Arial" w:hAnsi="Arial" w:cs="Arial"/>
                  </w:rPr>
                  <w:t xml:space="preserve"> </w:t>
                </w:r>
              </w:p>
            </w:tc>
            <w:tc>
              <w:tcPr>
                <w:tcW w:w="992" w:type="dxa"/>
              </w:tcPr>
              <w:p w:rsidR="008F4B79" w:rsidRPr="007A65C7" w:rsidRDefault="005F67E7" w:rsidP="009260DE">
                <w:pPr>
                  <w:jc w:val="center"/>
                  <w:rPr>
                    <w:rFonts w:ascii="Arial" w:hAnsi="Arial" w:cs="Arial"/>
                  </w:rPr>
                </w:pPr>
                <w:r>
                  <w:rPr>
                    <w:rFonts w:ascii="Arial" w:hAnsi="Arial" w:cs="Arial"/>
                  </w:rPr>
                  <w:t>(24)</w:t>
                </w:r>
                <w:r w:rsidR="008F4B79">
                  <w:rPr>
                    <w:rFonts w:ascii="Arial" w:hAnsi="Arial" w:cs="Arial"/>
                  </w:rPr>
                  <w:t xml:space="preserve"> </w:t>
                </w:r>
              </w:p>
            </w:tc>
            <w:tc>
              <w:tcPr>
                <w:tcW w:w="993" w:type="dxa"/>
              </w:tcPr>
              <w:p w:rsidR="008F4B79" w:rsidRPr="007A65C7" w:rsidRDefault="005F67E7" w:rsidP="009260DE">
                <w:pPr>
                  <w:jc w:val="center"/>
                  <w:rPr>
                    <w:rFonts w:ascii="Arial" w:hAnsi="Arial" w:cs="Arial"/>
                  </w:rPr>
                </w:pPr>
                <w:r>
                  <w:rPr>
                    <w:rFonts w:ascii="Arial" w:hAnsi="Arial" w:cs="Arial"/>
                  </w:rPr>
                  <w:t>(1)</w:t>
                </w:r>
                <w:r w:rsidR="008F4B79">
                  <w:rPr>
                    <w:rFonts w:ascii="Arial" w:hAnsi="Arial" w:cs="Arial"/>
                  </w:rPr>
                  <w:t xml:space="preserve"> </w:t>
                </w:r>
              </w:p>
            </w:tc>
            <w:tc>
              <w:tcPr>
                <w:tcW w:w="992" w:type="dxa"/>
              </w:tcPr>
              <w:p w:rsidR="008F4B79" w:rsidRPr="007A65C7" w:rsidRDefault="005F67E7" w:rsidP="009260DE">
                <w:pPr>
                  <w:jc w:val="center"/>
                  <w:rPr>
                    <w:rFonts w:ascii="Arial" w:hAnsi="Arial" w:cs="Arial"/>
                  </w:rPr>
                </w:pPr>
                <w:r>
                  <w:rPr>
                    <w:rFonts w:ascii="Arial" w:hAnsi="Arial" w:cs="Arial"/>
                  </w:rPr>
                  <w:t>(22)</w:t>
                </w:r>
                <w:r w:rsidR="008F4B79">
                  <w:rPr>
                    <w:rFonts w:ascii="Arial" w:hAnsi="Arial" w:cs="Arial"/>
                  </w:rPr>
                  <w:t xml:space="preserve"> </w:t>
                </w:r>
              </w:p>
            </w:tc>
            <w:tc>
              <w:tcPr>
                <w:tcW w:w="992" w:type="dxa"/>
              </w:tcPr>
              <w:p w:rsidR="008F4B79" w:rsidRPr="007A65C7" w:rsidRDefault="005F67E7" w:rsidP="009260DE">
                <w:pPr>
                  <w:jc w:val="center"/>
                  <w:rPr>
                    <w:rFonts w:ascii="Arial" w:hAnsi="Arial" w:cs="Arial"/>
                  </w:rPr>
                </w:pPr>
                <w:r>
                  <w:rPr>
                    <w:rFonts w:ascii="Arial" w:hAnsi="Arial" w:cs="Arial"/>
                  </w:rPr>
                  <w:t>(49)</w:t>
                </w:r>
                <w:r w:rsidR="008F4B79">
                  <w:rPr>
                    <w:rFonts w:ascii="Arial" w:hAnsi="Arial" w:cs="Arial"/>
                  </w:rPr>
                  <w:t xml:space="preserve"> </w:t>
                </w:r>
              </w:p>
            </w:tc>
            <w:tc>
              <w:tcPr>
                <w:tcW w:w="992" w:type="dxa"/>
              </w:tcPr>
              <w:p w:rsidR="008F4B79" w:rsidRPr="007A65C7" w:rsidRDefault="005F67E7" w:rsidP="009260DE">
                <w:pPr>
                  <w:jc w:val="center"/>
                  <w:rPr>
                    <w:rFonts w:ascii="Arial" w:hAnsi="Arial" w:cs="Arial"/>
                  </w:rPr>
                </w:pPr>
                <w:r>
                  <w:rPr>
                    <w:rFonts w:ascii="Arial" w:hAnsi="Arial" w:cs="Arial"/>
                  </w:rPr>
                  <w:t>(73)</w:t>
                </w:r>
                <w:r w:rsidR="008F4B79">
                  <w:rPr>
                    <w:rFonts w:ascii="Arial" w:hAnsi="Arial" w:cs="Arial"/>
                  </w:rPr>
                  <w:t xml:space="preserve"> </w:t>
                </w:r>
              </w:p>
            </w:tc>
          </w:tr>
          <w:tr w:rsidR="003444C4" w:rsidTr="009260DE">
            <w:trPr>
              <w:trHeight w:val="426"/>
            </w:trPr>
            <w:tc>
              <w:tcPr>
                <w:tcW w:w="3260" w:type="dxa"/>
              </w:tcPr>
              <w:p w:rsidR="003444C4" w:rsidRPr="003444C4" w:rsidRDefault="003444C4" w:rsidP="009260DE">
                <w:pPr>
                  <w:rPr>
                    <w:rFonts w:ascii="Arial" w:hAnsi="Arial" w:cs="Arial"/>
                    <w:i/>
                  </w:rPr>
                </w:pPr>
                <w:r w:rsidRPr="003444C4">
                  <w:rPr>
                    <w:rFonts w:ascii="Arial" w:hAnsi="Arial" w:cs="Arial"/>
                    <w:i/>
                  </w:rPr>
                  <w:t>Please find the calculations for the cost of stock and cash receipts in Appendix 1.</w:t>
                </w:r>
              </w:p>
            </w:tc>
            <w:tc>
              <w:tcPr>
                <w:tcW w:w="992" w:type="dxa"/>
              </w:tcPr>
              <w:p w:rsidR="003444C4" w:rsidRDefault="003444C4" w:rsidP="009260DE">
                <w:pPr>
                  <w:jc w:val="center"/>
                  <w:rPr>
                    <w:rFonts w:ascii="Arial" w:hAnsi="Arial" w:cs="Arial"/>
                  </w:rPr>
                </w:pPr>
              </w:p>
            </w:tc>
            <w:tc>
              <w:tcPr>
                <w:tcW w:w="992" w:type="dxa"/>
              </w:tcPr>
              <w:p w:rsidR="003444C4" w:rsidRDefault="003444C4" w:rsidP="009260DE">
                <w:pPr>
                  <w:jc w:val="center"/>
                  <w:rPr>
                    <w:rFonts w:ascii="Arial" w:hAnsi="Arial" w:cs="Arial"/>
                  </w:rPr>
                </w:pPr>
              </w:p>
            </w:tc>
            <w:tc>
              <w:tcPr>
                <w:tcW w:w="993" w:type="dxa"/>
              </w:tcPr>
              <w:p w:rsidR="003444C4" w:rsidRDefault="003444C4" w:rsidP="009260DE">
                <w:pPr>
                  <w:jc w:val="center"/>
                  <w:rPr>
                    <w:rFonts w:ascii="Arial" w:hAnsi="Arial" w:cs="Arial"/>
                  </w:rPr>
                </w:pPr>
              </w:p>
            </w:tc>
            <w:tc>
              <w:tcPr>
                <w:tcW w:w="992" w:type="dxa"/>
              </w:tcPr>
              <w:p w:rsidR="003444C4" w:rsidRDefault="003444C4" w:rsidP="009260DE">
                <w:pPr>
                  <w:jc w:val="center"/>
                  <w:rPr>
                    <w:rFonts w:ascii="Arial" w:hAnsi="Arial" w:cs="Arial"/>
                  </w:rPr>
                </w:pPr>
              </w:p>
            </w:tc>
            <w:tc>
              <w:tcPr>
                <w:tcW w:w="992" w:type="dxa"/>
              </w:tcPr>
              <w:p w:rsidR="003444C4" w:rsidRDefault="003444C4" w:rsidP="009260DE">
                <w:pPr>
                  <w:jc w:val="center"/>
                  <w:rPr>
                    <w:rFonts w:ascii="Arial" w:hAnsi="Arial" w:cs="Arial"/>
                  </w:rPr>
                </w:pPr>
              </w:p>
            </w:tc>
            <w:tc>
              <w:tcPr>
                <w:tcW w:w="992" w:type="dxa"/>
              </w:tcPr>
              <w:p w:rsidR="003444C4" w:rsidRDefault="003444C4" w:rsidP="009260DE">
                <w:pPr>
                  <w:jc w:val="center"/>
                  <w:rPr>
                    <w:rFonts w:ascii="Arial" w:hAnsi="Arial" w:cs="Arial"/>
                  </w:rPr>
                </w:pPr>
              </w:p>
            </w:tc>
          </w:tr>
        </w:tbl>
        <w:p w:rsidR="008F4B79" w:rsidRDefault="008F4B79" w:rsidP="008F4B79">
          <w:pPr>
            <w:spacing w:line="240" w:lineRule="auto"/>
            <w:ind w:left="360" w:firstLine="360"/>
            <w:rPr>
              <w:rFonts w:ascii="Arial" w:hAnsi="Arial" w:cs="Arial"/>
            </w:rPr>
          </w:pPr>
        </w:p>
        <w:p w:rsidR="008F4B79" w:rsidRPr="003B62C4" w:rsidRDefault="008F4B79" w:rsidP="008F4B79">
          <w:pPr>
            <w:pStyle w:val="ListParagraph"/>
            <w:numPr>
              <w:ilvl w:val="0"/>
              <w:numId w:val="1"/>
            </w:numPr>
            <w:ind w:left="851"/>
            <w:jc w:val="both"/>
            <w:rPr>
              <w:rFonts w:ascii="Arial" w:hAnsi="Arial" w:cs="Arial"/>
            </w:rPr>
          </w:pPr>
          <w:bookmarkStart w:id="4" w:name="OLE_LINK1"/>
          <w:bookmarkStart w:id="5" w:name="OLE_LINK2"/>
          <w:r>
            <w:rPr>
              <w:rFonts w:ascii="Arial" w:hAnsi="Arial" w:cs="Arial"/>
            </w:rPr>
            <w:t>The (</w:t>
          </w:r>
          <w:r w:rsidRPr="001174D4">
            <w:rPr>
              <w:rFonts w:ascii="Arial" w:hAnsi="Arial" w:cs="Arial"/>
              <w:i/>
            </w:rPr>
            <w:t>accruals-based)</w:t>
          </w:r>
          <w:r>
            <w:rPr>
              <w:rFonts w:ascii="Arial" w:hAnsi="Arial" w:cs="Arial"/>
            </w:rPr>
            <w:t xml:space="preserve"> budgeted Profit &amp; Loss Account for the six months ending 30 November is:</w:t>
          </w:r>
        </w:p>
        <w:bookmarkEnd w:id="4"/>
        <w:bookmarkEnd w:id="5"/>
        <w:tbl>
          <w:tblPr>
            <w:tblStyle w:val="TableGrid"/>
            <w:tblW w:w="0" w:type="auto"/>
            <w:tblInd w:w="1101"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2409"/>
            <w:gridCol w:w="1134"/>
            <w:gridCol w:w="3544"/>
          </w:tblGrid>
          <w:tr w:rsidR="008F4B79" w:rsidTr="009260DE">
            <w:tc>
              <w:tcPr>
                <w:tcW w:w="2409" w:type="dxa"/>
              </w:tcPr>
              <w:p w:rsidR="008F4B79" w:rsidRDefault="008F4B79" w:rsidP="009260DE">
                <w:pPr>
                  <w:rPr>
                    <w:rFonts w:ascii="Arial" w:hAnsi="Arial" w:cs="Arial"/>
                  </w:rPr>
                </w:pPr>
              </w:p>
            </w:tc>
            <w:tc>
              <w:tcPr>
                <w:tcW w:w="1134" w:type="dxa"/>
              </w:tcPr>
              <w:p w:rsidR="008F4B79" w:rsidRPr="004D6C12" w:rsidRDefault="008F4B79" w:rsidP="009260DE">
                <w:pPr>
                  <w:jc w:val="right"/>
                  <w:rPr>
                    <w:rFonts w:ascii="Arial" w:hAnsi="Arial" w:cs="Arial"/>
                    <w:b/>
                  </w:rPr>
                </w:pPr>
                <w:r w:rsidRPr="004D6C12">
                  <w:rPr>
                    <w:rFonts w:ascii="Arial" w:hAnsi="Arial" w:cs="Arial"/>
                    <w:b/>
                  </w:rPr>
                  <w:t>£000</w:t>
                </w:r>
              </w:p>
            </w:tc>
            <w:tc>
              <w:tcPr>
                <w:tcW w:w="3544" w:type="dxa"/>
              </w:tcPr>
              <w:p w:rsidR="008F4B79" w:rsidRPr="004D6C12" w:rsidRDefault="008F4B79" w:rsidP="009260DE">
                <w:pPr>
                  <w:rPr>
                    <w:rFonts w:ascii="Arial" w:hAnsi="Arial" w:cs="Arial"/>
                    <w:b/>
                  </w:rPr>
                </w:pPr>
                <w:r w:rsidRPr="004D6C12">
                  <w:rPr>
                    <w:rFonts w:ascii="Arial" w:hAnsi="Arial" w:cs="Arial"/>
                    <w:b/>
                  </w:rPr>
                  <w:t>Calculation</w:t>
                </w:r>
              </w:p>
            </w:tc>
          </w:tr>
          <w:tr w:rsidR="008F4B79" w:rsidTr="009260DE">
            <w:trPr>
              <w:trHeight w:val="439"/>
            </w:trPr>
            <w:tc>
              <w:tcPr>
                <w:tcW w:w="2409" w:type="dxa"/>
              </w:tcPr>
              <w:p w:rsidR="008F4B79" w:rsidRDefault="008F4B79" w:rsidP="009260DE">
                <w:pPr>
                  <w:rPr>
                    <w:rFonts w:ascii="Arial" w:hAnsi="Arial" w:cs="Arial"/>
                  </w:rPr>
                </w:pPr>
                <w:r>
                  <w:rPr>
                    <w:rFonts w:ascii="Arial" w:hAnsi="Arial" w:cs="Arial"/>
                  </w:rPr>
                  <w:t xml:space="preserve">Sales </w:t>
                </w:r>
              </w:p>
            </w:tc>
            <w:tc>
              <w:tcPr>
                <w:tcW w:w="1134" w:type="dxa"/>
              </w:tcPr>
              <w:p w:rsidR="008F4B79" w:rsidRDefault="005760E2" w:rsidP="009260DE">
                <w:pPr>
                  <w:jc w:val="right"/>
                  <w:rPr>
                    <w:rFonts w:ascii="Arial" w:hAnsi="Arial" w:cs="Arial"/>
                  </w:rPr>
                </w:pPr>
                <w:r>
                  <w:rPr>
                    <w:rFonts w:ascii="Arial" w:hAnsi="Arial" w:cs="Arial"/>
                  </w:rPr>
                  <w:t>1420</w:t>
                </w:r>
                <w:r w:rsidR="008F4B79">
                  <w:rPr>
                    <w:rFonts w:ascii="Arial" w:hAnsi="Arial" w:cs="Arial"/>
                  </w:rPr>
                  <w:t xml:space="preserve"> </w:t>
                </w:r>
              </w:p>
            </w:tc>
            <w:tc>
              <w:tcPr>
                <w:tcW w:w="3544" w:type="dxa"/>
              </w:tcPr>
              <w:p w:rsidR="008F4B79" w:rsidRDefault="008F4B79" w:rsidP="009260DE">
                <w:pPr>
                  <w:rPr>
                    <w:rFonts w:ascii="Arial" w:hAnsi="Arial" w:cs="Arial"/>
                  </w:rPr>
                </w:pPr>
                <w:r>
                  <w:rPr>
                    <w:rFonts w:ascii="Arial" w:hAnsi="Arial" w:cs="Arial"/>
                  </w:rPr>
                  <w:t xml:space="preserve"> </w:t>
                </w:r>
                <w:r w:rsidR="005760E2">
                  <w:rPr>
                    <w:rFonts w:ascii="Arial" w:hAnsi="Arial" w:cs="Arial"/>
                  </w:rPr>
                  <w:t>260+270+270+220+210+190</w:t>
                </w:r>
              </w:p>
            </w:tc>
          </w:tr>
          <w:tr w:rsidR="008F4B79" w:rsidTr="009260DE">
            <w:trPr>
              <w:trHeight w:val="414"/>
            </w:trPr>
            <w:tc>
              <w:tcPr>
                <w:tcW w:w="2409" w:type="dxa"/>
              </w:tcPr>
              <w:p w:rsidR="008F4B79" w:rsidRDefault="008F4B79" w:rsidP="009260DE">
                <w:pPr>
                  <w:rPr>
                    <w:rFonts w:ascii="Arial" w:hAnsi="Arial" w:cs="Arial"/>
                  </w:rPr>
                </w:pPr>
                <w:r>
                  <w:rPr>
                    <w:rFonts w:ascii="Arial" w:hAnsi="Arial" w:cs="Arial"/>
                  </w:rPr>
                  <w:t>Cost of goods sold</w:t>
                </w:r>
              </w:p>
            </w:tc>
            <w:tc>
              <w:tcPr>
                <w:tcW w:w="1134" w:type="dxa"/>
              </w:tcPr>
              <w:p w:rsidR="008F4B79" w:rsidRPr="00F71675" w:rsidRDefault="008F4B79" w:rsidP="009260DE">
                <w:pPr>
                  <w:jc w:val="right"/>
                  <w:rPr>
                    <w:rFonts w:ascii="Arial" w:hAnsi="Arial" w:cs="Arial"/>
                    <w:u w:val="single"/>
                  </w:rPr>
                </w:pPr>
                <w:r w:rsidRPr="00F71675">
                  <w:rPr>
                    <w:rFonts w:ascii="Arial" w:hAnsi="Arial" w:cs="Arial"/>
                    <w:u w:val="single"/>
                  </w:rPr>
                  <w:t>(</w:t>
                </w:r>
                <w:r w:rsidR="005760E2">
                  <w:rPr>
                    <w:rFonts w:ascii="Arial" w:hAnsi="Arial" w:cs="Arial"/>
                    <w:u w:val="single"/>
                  </w:rPr>
                  <w:t xml:space="preserve"> </w:t>
                </w:r>
                <w:r>
                  <w:rPr>
                    <w:rFonts w:ascii="Arial" w:hAnsi="Arial" w:cs="Arial"/>
                    <w:u w:val="single"/>
                  </w:rPr>
                  <w:t xml:space="preserve"> </w:t>
                </w:r>
                <w:r w:rsidR="005760E2">
                  <w:rPr>
                    <w:rFonts w:ascii="Arial" w:hAnsi="Arial" w:cs="Arial"/>
                    <w:u w:val="single"/>
                  </w:rPr>
                  <w:t>994</w:t>
                </w:r>
                <w:r>
                  <w:rPr>
                    <w:rFonts w:ascii="Arial" w:hAnsi="Arial" w:cs="Arial"/>
                    <w:u w:val="single"/>
                  </w:rPr>
                  <w:t xml:space="preserve">    </w:t>
                </w:r>
                <w:r w:rsidRPr="00F71675">
                  <w:rPr>
                    <w:rFonts w:ascii="Arial" w:hAnsi="Arial" w:cs="Arial"/>
                    <w:u w:val="single"/>
                  </w:rPr>
                  <w:t>)</w:t>
                </w:r>
              </w:p>
            </w:tc>
            <w:tc>
              <w:tcPr>
                <w:tcW w:w="3544" w:type="dxa"/>
              </w:tcPr>
              <w:p w:rsidR="008F4B79" w:rsidRPr="00010117" w:rsidRDefault="008F4B79" w:rsidP="009260DE">
                <w:pPr>
                  <w:rPr>
                    <w:rFonts w:ascii="Arial" w:hAnsi="Arial" w:cs="Arial"/>
                  </w:rPr>
                </w:pPr>
                <w:r>
                  <w:rPr>
                    <w:rFonts w:ascii="Arial" w:hAnsi="Arial" w:cs="Arial"/>
                  </w:rPr>
                  <w:t>t</w:t>
                </w:r>
                <w:r w:rsidRPr="00010117">
                  <w:rPr>
                    <w:rFonts w:ascii="Arial" w:hAnsi="Arial" w:cs="Arial"/>
                  </w:rPr>
                  <w:t>herefore</w:t>
                </w:r>
                <w:r>
                  <w:rPr>
                    <w:rFonts w:ascii="Arial" w:hAnsi="Arial" w:cs="Arial"/>
                  </w:rPr>
                  <w:t xml:space="preserve">  </w:t>
                </w:r>
                <w:r w:rsidR="005760E2">
                  <w:rPr>
                    <w:rFonts w:ascii="Arial" w:hAnsi="Arial" w:cs="Arial"/>
                  </w:rPr>
                  <w:t>1420x70%</w:t>
                </w:r>
              </w:p>
            </w:tc>
          </w:tr>
          <w:tr w:rsidR="008F4B79" w:rsidTr="009260DE">
            <w:trPr>
              <w:trHeight w:val="407"/>
            </w:trPr>
            <w:tc>
              <w:tcPr>
                <w:tcW w:w="2409" w:type="dxa"/>
              </w:tcPr>
              <w:p w:rsidR="008F4B79" w:rsidRDefault="008F4B79" w:rsidP="009260DE">
                <w:pPr>
                  <w:rPr>
                    <w:rFonts w:ascii="Arial" w:hAnsi="Arial" w:cs="Arial"/>
                  </w:rPr>
                </w:pPr>
                <w:r>
                  <w:rPr>
                    <w:rFonts w:ascii="Arial" w:hAnsi="Arial" w:cs="Arial"/>
                  </w:rPr>
                  <w:t>Gross profit</w:t>
                </w:r>
              </w:p>
            </w:tc>
            <w:tc>
              <w:tcPr>
                <w:tcW w:w="1134" w:type="dxa"/>
              </w:tcPr>
              <w:p w:rsidR="008F4B79" w:rsidRDefault="005760E2" w:rsidP="009260DE">
                <w:pPr>
                  <w:jc w:val="right"/>
                  <w:rPr>
                    <w:rFonts w:ascii="Arial" w:hAnsi="Arial" w:cs="Arial"/>
                  </w:rPr>
                </w:pPr>
                <w:r>
                  <w:rPr>
                    <w:rFonts w:ascii="Arial" w:hAnsi="Arial" w:cs="Arial"/>
                  </w:rPr>
                  <w:t>426</w:t>
                </w:r>
                <w:r w:rsidR="008F4B79">
                  <w:rPr>
                    <w:rFonts w:ascii="Arial" w:hAnsi="Arial" w:cs="Arial"/>
                  </w:rPr>
                  <w:t xml:space="preserve"> </w:t>
                </w:r>
              </w:p>
            </w:tc>
            <w:tc>
              <w:tcPr>
                <w:tcW w:w="3544" w:type="dxa"/>
              </w:tcPr>
              <w:p w:rsidR="008F4B79" w:rsidRDefault="008F4B79" w:rsidP="009260DE">
                <w:pPr>
                  <w:rPr>
                    <w:rFonts w:ascii="Arial" w:hAnsi="Arial" w:cs="Arial"/>
                  </w:rPr>
                </w:pPr>
                <w:r>
                  <w:rPr>
                    <w:rFonts w:ascii="Arial" w:hAnsi="Arial" w:cs="Arial"/>
                  </w:rPr>
                  <w:t xml:space="preserve">                                       </w:t>
                </w:r>
              </w:p>
            </w:tc>
          </w:tr>
          <w:tr w:rsidR="008F4B79" w:rsidTr="009260DE">
            <w:trPr>
              <w:trHeight w:val="413"/>
            </w:trPr>
            <w:tc>
              <w:tcPr>
                <w:tcW w:w="2409" w:type="dxa"/>
              </w:tcPr>
              <w:p w:rsidR="008F4B79" w:rsidRDefault="008F4B79" w:rsidP="009260DE">
                <w:pPr>
                  <w:rPr>
                    <w:rFonts w:ascii="Arial" w:hAnsi="Arial" w:cs="Arial"/>
                  </w:rPr>
                </w:pPr>
                <w:r>
                  <w:rPr>
                    <w:rFonts w:ascii="Arial" w:hAnsi="Arial" w:cs="Arial"/>
                  </w:rPr>
                  <w:t>Selling expenses</w:t>
                </w:r>
              </w:p>
            </w:tc>
            <w:tc>
              <w:tcPr>
                <w:tcW w:w="1134" w:type="dxa"/>
              </w:tcPr>
              <w:p w:rsidR="008F4B79" w:rsidRDefault="008F4B79" w:rsidP="009260DE">
                <w:pPr>
                  <w:jc w:val="right"/>
                  <w:rPr>
                    <w:rFonts w:ascii="Arial" w:hAnsi="Arial" w:cs="Arial"/>
                  </w:rPr>
                </w:pPr>
                <w:r>
                  <w:rPr>
                    <w:rFonts w:ascii="Arial" w:hAnsi="Arial" w:cs="Arial"/>
                  </w:rPr>
                  <w:t xml:space="preserve">( </w:t>
                </w:r>
                <w:r w:rsidR="000E0BA8">
                  <w:rPr>
                    <w:rFonts w:ascii="Arial" w:hAnsi="Arial" w:cs="Arial"/>
                  </w:rPr>
                  <w:t>41</w:t>
                </w:r>
                <w:r>
                  <w:rPr>
                    <w:rFonts w:ascii="Arial" w:hAnsi="Arial" w:cs="Arial"/>
                  </w:rPr>
                  <w:t xml:space="preserve">      )</w:t>
                </w:r>
              </w:p>
            </w:tc>
            <w:tc>
              <w:tcPr>
                <w:tcW w:w="3544" w:type="dxa"/>
              </w:tcPr>
              <w:p w:rsidR="008F4B79" w:rsidRDefault="008F4B79" w:rsidP="009260DE">
                <w:pPr>
                  <w:rPr>
                    <w:rFonts w:ascii="Arial" w:hAnsi="Arial" w:cs="Arial"/>
                  </w:rPr>
                </w:pPr>
                <w:r>
                  <w:rPr>
                    <w:rFonts w:ascii="Arial" w:hAnsi="Arial" w:cs="Arial"/>
                  </w:rPr>
                  <w:t xml:space="preserve"> </w:t>
                </w:r>
                <w:r w:rsidR="000E0BA8">
                  <w:rPr>
                    <w:rFonts w:ascii="Arial" w:hAnsi="Arial" w:cs="Arial"/>
                  </w:rPr>
                  <w:t>8+8+7+6+6+6</w:t>
                </w:r>
              </w:p>
            </w:tc>
          </w:tr>
          <w:tr w:rsidR="008F4B79" w:rsidTr="009260DE">
            <w:trPr>
              <w:trHeight w:val="419"/>
            </w:trPr>
            <w:tc>
              <w:tcPr>
                <w:tcW w:w="2409" w:type="dxa"/>
              </w:tcPr>
              <w:p w:rsidR="008F4B79" w:rsidRDefault="008F4B79" w:rsidP="009260DE">
                <w:pPr>
                  <w:rPr>
                    <w:rFonts w:ascii="Arial" w:hAnsi="Arial" w:cs="Arial"/>
                  </w:rPr>
                </w:pPr>
                <w:r>
                  <w:rPr>
                    <w:rFonts w:ascii="Arial" w:hAnsi="Arial" w:cs="Arial"/>
                  </w:rPr>
                  <w:t>Admin Expenses</w:t>
                </w:r>
              </w:p>
            </w:tc>
            <w:tc>
              <w:tcPr>
                <w:tcW w:w="1134" w:type="dxa"/>
              </w:tcPr>
              <w:p w:rsidR="008F4B79" w:rsidRDefault="000E0BA8" w:rsidP="009260DE">
                <w:pPr>
                  <w:jc w:val="right"/>
                  <w:rPr>
                    <w:rFonts w:ascii="Arial" w:hAnsi="Arial" w:cs="Arial"/>
                  </w:rPr>
                </w:pPr>
                <w:r>
                  <w:rPr>
                    <w:rFonts w:ascii="Arial" w:hAnsi="Arial" w:cs="Arial"/>
                  </w:rPr>
                  <w:t>(  144</w:t>
                </w:r>
                <w:r w:rsidR="008F4B79">
                  <w:rPr>
                    <w:rFonts w:ascii="Arial" w:hAnsi="Arial" w:cs="Arial"/>
                  </w:rPr>
                  <w:t xml:space="preserve">    )</w:t>
                </w:r>
              </w:p>
            </w:tc>
            <w:tc>
              <w:tcPr>
                <w:tcW w:w="3544" w:type="dxa"/>
              </w:tcPr>
              <w:p w:rsidR="008F4B79" w:rsidRDefault="008F4B79" w:rsidP="009260DE">
                <w:pPr>
                  <w:rPr>
                    <w:rFonts w:ascii="Arial" w:hAnsi="Arial" w:cs="Arial"/>
                  </w:rPr>
                </w:pPr>
                <w:r>
                  <w:rPr>
                    <w:rFonts w:ascii="Arial" w:hAnsi="Arial" w:cs="Arial"/>
                  </w:rPr>
                  <w:t xml:space="preserve"> </w:t>
                </w:r>
                <w:r w:rsidR="000E0BA8">
                  <w:rPr>
                    <w:rFonts w:ascii="Arial" w:hAnsi="Arial" w:cs="Arial"/>
                  </w:rPr>
                  <w:t>26+25+23+24+24+22</w:t>
                </w:r>
              </w:p>
            </w:tc>
          </w:tr>
          <w:tr w:rsidR="008F4B79" w:rsidTr="009260DE">
            <w:trPr>
              <w:trHeight w:val="424"/>
            </w:trPr>
            <w:tc>
              <w:tcPr>
                <w:tcW w:w="2409" w:type="dxa"/>
              </w:tcPr>
              <w:p w:rsidR="008F4B79" w:rsidRDefault="008F4B79" w:rsidP="009260DE">
                <w:pPr>
                  <w:rPr>
                    <w:rFonts w:ascii="Arial" w:hAnsi="Arial" w:cs="Arial"/>
                  </w:rPr>
                </w:pPr>
                <w:r>
                  <w:rPr>
                    <w:rFonts w:ascii="Arial" w:hAnsi="Arial" w:cs="Arial"/>
                  </w:rPr>
                  <w:t>Credit card charges</w:t>
                </w:r>
              </w:p>
            </w:tc>
            <w:tc>
              <w:tcPr>
                <w:tcW w:w="1134" w:type="dxa"/>
              </w:tcPr>
              <w:p w:rsidR="008F4B79" w:rsidRPr="00F71675" w:rsidRDefault="008F4B79" w:rsidP="000E0BA8">
                <w:pPr>
                  <w:rPr>
                    <w:rFonts w:ascii="Arial" w:hAnsi="Arial" w:cs="Arial"/>
                    <w:u w:val="single"/>
                  </w:rPr>
                </w:pPr>
                <w:r>
                  <w:rPr>
                    <w:rFonts w:ascii="Arial" w:hAnsi="Arial" w:cs="Arial"/>
                    <w:u w:val="single"/>
                  </w:rPr>
                  <w:t xml:space="preserve"> </w:t>
                </w:r>
                <w:r w:rsidR="000E0BA8">
                  <w:rPr>
                    <w:rFonts w:ascii="Arial" w:hAnsi="Arial" w:cs="Arial"/>
                    <w:u w:val="single"/>
                  </w:rPr>
                  <w:t>(25.56)</w:t>
                </w:r>
                <w:r>
                  <w:rPr>
                    <w:rFonts w:ascii="Arial" w:hAnsi="Arial" w:cs="Arial"/>
                    <w:u w:val="single"/>
                  </w:rPr>
                  <w:t xml:space="preserve">   </w:t>
                </w:r>
              </w:p>
            </w:tc>
            <w:tc>
              <w:tcPr>
                <w:tcW w:w="3544" w:type="dxa"/>
              </w:tcPr>
              <w:p w:rsidR="008F4B79" w:rsidRPr="007A65C7" w:rsidRDefault="008F4B79" w:rsidP="009260DE">
                <w:pPr>
                  <w:rPr>
                    <w:rFonts w:ascii="Arial" w:hAnsi="Arial" w:cs="Arial"/>
                  </w:rPr>
                </w:pPr>
                <w:r>
                  <w:rPr>
                    <w:rFonts w:ascii="Arial" w:hAnsi="Arial" w:cs="Arial"/>
                  </w:rPr>
                  <w:t xml:space="preserve">   </w:t>
                </w:r>
                <w:r w:rsidR="000E0BA8">
                  <w:rPr>
                    <w:rFonts w:ascii="Arial" w:hAnsi="Arial" w:cs="Arial"/>
                  </w:rPr>
                  <w:t>1420x60%x3%</w:t>
                </w:r>
                <w:r>
                  <w:rPr>
                    <w:rFonts w:ascii="Arial" w:hAnsi="Arial" w:cs="Arial"/>
                  </w:rPr>
                  <w:t xml:space="preserve">                                      </w:t>
                </w:r>
              </w:p>
            </w:tc>
          </w:tr>
          <w:tr w:rsidR="008F4B79" w:rsidTr="009260DE">
            <w:trPr>
              <w:trHeight w:val="417"/>
            </w:trPr>
            <w:tc>
              <w:tcPr>
                <w:tcW w:w="2409" w:type="dxa"/>
              </w:tcPr>
              <w:p w:rsidR="008F4B79" w:rsidRDefault="008F4B79" w:rsidP="009260DE">
                <w:pPr>
                  <w:rPr>
                    <w:rFonts w:ascii="Arial" w:hAnsi="Arial" w:cs="Arial"/>
                  </w:rPr>
                </w:pPr>
                <w:r>
                  <w:rPr>
                    <w:rFonts w:ascii="Arial" w:hAnsi="Arial" w:cs="Arial"/>
                  </w:rPr>
                  <w:t>Operating profit</w:t>
                </w:r>
              </w:p>
            </w:tc>
            <w:tc>
              <w:tcPr>
                <w:tcW w:w="1134" w:type="dxa"/>
              </w:tcPr>
              <w:p w:rsidR="008F4B79" w:rsidRDefault="000E0BA8" w:rsidP="000E0BA8">
                <w:pPr>
                  <w:jc w:val="center"/>
                  <w:rPr>
                    <w:rFonts w:ascii="Arial" w:hAnsi="Arial" w:cs="Arial"/>
                  </w:rPr>
                </w:pPr>
                <w:r>
                  <w:rPr>
                    <w:rFonts w:ascii="Arial" w:hAnsi="Arial" w:cs="Arial"/>
                  </w:rPr>
                  <w:t>215.44</w:t>
                </w:r>
                <w:r w:rsidR="008F4B79">
                  <w:rPr>
                    <w:rFonts w:ascii="Arial" w:hAnsi="Arial" w:cs="Arial"/>
                  </w:rPr>
                  <w:t xml:space="preserve"> </w:t>
                </w:r>
              </w:p>
            </w:tc>
            <w:tc>
              <w:tcPr>
                <w:tcW w:w="3544" w:type="dxa"/>
              </w:tcPr>
              <w:p w:rsidR="008F4B79" w:rsidRDefault="008F4B79" w:rsidP="009260DE">
                <w:pPr>
                  <w:rPr>
                    <w:rFonts w:ascii="Arial" w:hAnsi="Arial" w:cs="Arial"/>
                  </w:rPr>
                </w:pPr>
              </w:p>
            </w:tc>
          </w:tr>
          <w:tr w:rsidR="008F4B79" w:rsidTr="009260DE">
            <w:trPr>
              <w:trHeight w:val="409"/>
            </w:trPr>
            <w:tc>
              <w:tcPr>
                <w:tcW w:w="2409" w:type="dxa"/>
              </w:tcPr>
              <w:p w:rsidR="008F4B79" w:rsidRDefault="008F4B79" w:rsidP="009260DE">
                <w:pPr>
                  <w:rPr>
                    <w:rFonts w:ascii="Arial" w:hAnsi="Arial" w:cs="Arial"/>
                  </w:rPr>
                </w:pPr>
                <w:r>
                  <w:rPr>
                    <w:rFonts w:ascii="Arial" w:hAnsi="Arial" w:cs="Arial"/>
                  </w:rPr>
                  <w:t>Interest payable</w:t>
                </w:r>
              </w:p>
            </w:tc>
            <w:tc>
              <w:tcPr>
                <w:tcW w:w="1134" w:type="dxa"/>
              </w:tcPr>
              <w:p w:rsidR="008F4B79" w:rsidRPr="00F71675" w:rsidRDefault="000E0BA8" w:rsidP="009260DE">
                <w:pPr>
                  <w:jc w:val="right"/>
                  <w:rPr>
                    <w:rFonts w:ascii="Arial" w:hAnsi="Arial" w:cs="Arial"/>
                    <w:u w:val="single"/>
                  </w:rPr>
                </w:pPr>
                <w:r>
                  <w:rPr>
                    <w:rFonts w:ascii="Arial" w:hAnsi="Arial" w:cs="Arial"/>
                    <w:u w:val="single"/>
                  </w:rPr>
                  <w:t xml:space="preserve">  </w:t>
                </w:r>
                <w:r w:rsidR="008F4B79" w:rsidRPr="00F71675">
                  <w:rPr>
                    <w:rFonts w:ascii="Arial" w:hAnsi="Arial" w:cs="Arial"/>
                    <w:u w:val="single"/>
                  </w:rPr>
                  <w:t>(</w:t>
                </w:r>
                <w:r w:rsidR="008F4B79">
                  <w:rPr>
                    <w:rFonts w:ascii="Arial" w:hAnsi="Arial" w:cs="Arial"/>
                    <w:u w:val="single"/>
                  </w:rPr>
                  <w:t xml:space="preserve">  </w:t>
                </w:r>
                <w:r>
                  <w:rPr>
                    <w:rFonts w:ascii="Arial" w:hAnsi="Arial" w:cs="Arial"/>
                    <w:u w:val="single"/>
                  </w:rPr>
                  <w:t>8.4</w:t>
                </w:r>
                <w:r w:rsidR="008F4B79">
                  <w:rPr>
                    <w:rFonts w:ascii="Arial" w:hAnsi="Arial" w:cs="Arial"/>
                    <w:u w:val="single"/>
                  </w:rPr>
                  <w:t xml:space="preserve">   </w:t>
                </w:r>
                <w:r w:rsidR="008F4B79" w:rsidRPr="00F71675">
                  <w:rPr>
                    <w:rFonts w:ascii="Arial" w:hAnsi="Arial" w:cs="Arial"/>
                    <w:u w:val="single"/>
                  </w:rPr>
                  <w:t>)</w:t>
                </w:r>
              </w:p>
            </w:tc>
            <w:tc>
              <w:tcPr>
                <w:tcW w:w="3544" w:type="dxa"/>
              </w:tcPr>
              <w:p w:rsidR="008F4B79" w:rsidRPr="007A65C7" w:rsidRDefault="000E0BA8" w:rsidP="009260DE">
                <w:pPr>
                  <w:rPr>
                    <w:rFonts w:ascii="Arial" w:hAnsi="Arial" w:cs="Arial"/>
                  </w:rPr>
                </w:pPr>
                <w:r>
                  <w:rPr>
                    <w:rFonts w:ascii="Arial" w:hAnsi="Arial" w:cs="Arial"/>
                  </w:rPr>
                  <w:t>6monthsx7000x20%</w:t>
                </w:r>
                <w:r w:rsidR="008F4B79">
                  <w:rPr>
                    <w:rFonts w:ascii="Arial" w:hAnsi="Arial" w:cs="Arial"/>
                  </w:rPr>
                  <w:t xml:space="preserve">                                         (Note 5)</w:t>
                </w:r>
              </w:p>
            </w:tc>
          </w:tr>
          <w:tr w:rsidR="008F4B79" w:rsidTr="009260DE">
            <w:trPr>
              <w:trHeight w:val="387"/>
            </w:trPr>
            <w:tc>
              <w:tcPr>
                <w:tcW w:w="2409" w:type="dxa"/>
              </w:tcPr>
              <w:p w:rsidR="008F4B79" w:rsidRDefault="008F4B79" w:rsidP="009260DE">
                <w:pPr>
                  <w:rPr>
                    <w:rFonts w:ascii="Arial" w:hAnsi="Arial" w:cs="Arial"/>
                  </w:rPr>
                </w:pPr>
                <w:r>
                  <w:rPr>
                    <w:rFonts w:ascii="Arial" w:hAnsi="Arial" w:cs="Arial"/>
                  </w:rPr>
                  <w:t>Profit for the period</w:t>
                </w:r>
              </w:p>
            </w:tc>
            <w:tc>
              <w:tcPr>
                <w:tcW w:w="1134" w:type="dxa"/>
              </w:tcPr>
              <w:p w:rsidR="008F4B79" w:rsidRDefault="000E0BA8" w:rsidP="009260DE">
                <w:pPr>
                  <w:jc w:val="right"/>
                  <w:rPr>
                    <w:rFonts w:ascii="Arial" w:hAnsi="Arial" w:cs="Arial"/>
                    <w:u w:val="single"/>
                  </w:rPr>
                </w:pPr>
                <w:r>
                  <w:rPr>
                    <w:rFonts w:ascii="Arial" w:hAnsi="Arial" w:cs="Arial"/>
                    <w:u w:val="single"/>
                  </w:rPr>
                  <w:t>207.04</w:t>
                </w:r>
                <w:r w:rsidR="008F4B79">
                  <w:rPr>
                    <w:rFonts w:ascii="Arial" w:hAnsi="Arial" w:cs="Arial"/>
                    <w:u w:val="single"/>
                  </w:rPr>
                  <w:t xml:space="preserve"> </w:t>
                </w:r>
              </w:p>
              <w:p w:rsidR="001263A3" w:rsidRPr="00F71675" w:rsidRDefault="001263A3" w:rsidP="009260DE">
                <w:pPr>
                  <w:jc w:val="right"/>
                  <w:rPr>
                    <w:rFonts w:ascii="Arial" w:hAnsi="Arial" w:cs="Arial"/>
                    <w:u w:val="single"/>
                  </w:rPr>
                </w:pPr>
              </w:p>
            </w:tc>
            <w:tc>
              <w:tcPr>
                <w:tcW w:w="3544" w:type="dxa"/>
              </w:tcPr>
              <w:p w:rsidR="008F4B79" w:rsidRDefault="008F4B79" w:rsidP="009260DE">
                <w:pPr>
                  <w:rPr>
                    <w:rFonts w:ascii="Arial" w:hAnsi="Arial" w:cs="Arial"/>
                    <w:u w:val="single"/>
                  </w:rPr>
                </w:pPr>
              </w:p>
            </w:tc>
          </w:tr>
        </w:tbl>
        <w:p w:rsidR="00480872" w:rsidRDefault="008F4B79" w:rsidP="008F4B79">
          <w:pPr>
            <w:pStyle w:val="Heading2"/>
          </w:pPr>
          <w:r w:rsidRPr="002163E7">
            <w:rPr>
              <w:rFonts w:ascii="Arial" w:hAnsi="Arial" w:cs="Arial"/>
              <w:sz w:val="20"/>
              <w:szCs w:val="20"/>
            </w:rPr>
            <w:t xml:space="preserve"> </w:t>
          </w:r>
        </w:p>
        <w:p w:rsidR="002F25C3" w:rsidRDefault="00241DA9" w:rsidP="00241DA9">
          <w:pPr>
            <w:pStyle w:val="Heading2"/>
            <w:numPr>
              <w:ilvl w:val="0"/>
              <w:numId w:val="3"/>
            </w:numPr>
          </w:pPr>
          <w:bookmarkStart w:id="6" w:name="_Toc163400380"/>
          <w:r>
            <w:t>An Analysis of the Six Months Budget Forecast</w:t>
          </w:r>
          <w:bookmarkEnd w:id="6"/>
        </w:p>
        <w:p w:rsidR="00241DA9" w:rsidRPr="00241DA9" w:rsidRDefault="00241DA9" w:rsidP="00241DA9"/>
        <w:p w:rsidR="002F25C3" w:rsidRDefault="00E6086E" w:rsidP="00687C4A">
          <w:pPr>
            <w:jc w:val="both"/>
          </w:pPr>
          <w:r>
            <w:t xml:space="preserve">      The calculations above are only a forecast, which means that changes can still be made in order to achieve the goals of the organisation.</w:t>
          </w:r>
        </w:p>
        <w:p w:rsidR="00687C4A" w:rsidRDefault="00161270" w:rsidP="00687C4A">
          <w:pPr>
            <w:jc w:val="both"/>
          </w:pPr>
          <w:r>
            <w:t xml:space="preserve">     </w:t>
          </w:r>
          <w:r w:rsidR="00687C4A">
            <w:t>We are told that Edwards had an overdraft of £25.000 at the beginning of June, and that the bank asked for this to be eliminated by the end of November. By looking at the budget forecast, not only the overdraft is not e</w:t>
          </w:r>
          <w:r w:rsidR="003858F2">
            <w:t xml:space="preserve">liminated, but at the end of November it is £73.000. </w:t>
          </w:r>
          <w:r w:rsidR="005B5139">
            <w:t xml:space="preserve">Just by eliminating the shop refurbishments in June, July and August (a total of £78.000), the overdraft could be eliminated and have a closing balance of £5.000. </w:t>
          </w:r>
        </w:p>
        <w:p w:rsidR="003C33C3" w:rsidRDefault="003C33C3" w:rsidP="00687C4A">
          <w:pPr>
            <w:jc w:val="both"/>
          </w:pPr>
          <w:r>
            <w:t xml:space="preserve">       Additionally, looking at the administration costs compared to the sales, they seem too high, especially from September to November, when camping gear sales drop. Management could loo</w:t>
          </w:r>
          <w:r w:rsidR="00775D61">
            <w:t xml:space="preserve">k at ways to reduce these costs </w:t>
          </w:r>
          <w:proofErr w:type="gramStart"/>
          <w:r w:rsidR="00775D61">
            <w:t>( renegotiate</w:t>
          </w:r>
          <w:proofErr w:type="gramEnd"/>
          <w:r w:rsidR="00775D61">
            <w:t xml:space="preserve"> contracts, etc).</w:t>
          </w:r>
        </w:p>
        <w:p w:rsidR="002F25C3" w:rsidRDefault="002F25C3" w:rsidP="00687C4A">
          <w:pPr>
            <w:jc w:val="both"/>
          </w:pPr>
          <w:r>
            <w:t xml:space="preserve">      Camping gear companies in the UK</w:t>
          </w:r>
          <w:r w:rsidR="00462DF1">
            <w:t xml:space="preserve"> saw a great increase in sales in 2020, when camping chairs and tents were sold out by most suppliers</w:t>
          </w:r>
          <w:sdt>
            <w:sdtPr>
              <w:id w:val="42786052"/>
              <w:citation/>
            </w:sdtPr>
            <w:sdtContent>
              <w:fldSimple w:instr=" CITATION Smi20 \l 2057 ">
                <w:r w:rsidR="007B2D22">
                  <w:rPr>
                    <w:noProof/>
                  </w:rPr>
                  <w:t xml:space="preserve"> </w:t>
                </w:r>
                <w:r w:rsidR="007B2D22" w:rsidRPr="007B2D22">
                  <w:rPr>
                    <w:noProof/>
                  </w:rPr>
                  <w:t>(Smithers &amp; Blackall, 2020)</w:t>
                </w:r>
              </w:fldSimple>
            </w:sdtContent>
          </w:sdt>
          <w:r w:rsidR="007B2D22">
            <w:t xml:space="preserve">. In 2021, the UK-wide camping gear sales increased by 40% compared to pre-pandemic numbers </w:t>
          </w:r>
          <w:sdt>
            <w:sdtPr>
              <w:id w:val="42786140"/>
              <w:citation/>
            </w:sdtPr>
            <w:sdtContent>
              <w:fldSimple w:instr=" CITATION Cam21 \l 2057 ">
                <w:r w:rsidR="007B2D22" w:rsidRPr="007B2D22">
                  <w:rPr>
                    <w:noProof/>
                  </w:rPr>
                  <w:t>(Camping Trade World, 2021)</w:t>
                </w:r>
              </w:fldSimple>
            </w:sdtContent>
          </w:sdt>
          <w:r w:rsidR="007B2D22">
            <w:t>.</w:t>
          </w:r>
          <w:r w:rsidR="00E1229F">
            <w:t xml:space="preserve">In 2022, forecasts were showing that the camping equipment market </w:t>
          </w:r>
          <w:r w:rsidR="004143BC">
            <w:t xml:space="preserve">will witness a 7% growth between 2022 and 2028, due to better product offering and growing camping activities </w:t>
          </w:r>
          <w:sdt>
            <w:sdtPr>
              <w:id w:val="42786284"/>
              <w:citation/>
            </w:sdtPr>
            <w:sdtContent>
              <w:fldSimple w:instr=" CITATION Uni222 \l 2057 ">
                <w:r w:rsidR="004143BC" w:rsidRPr="004143BC">
                  <w:rPr>
                    <w:noProof/>
                  </w:rPr>
                  <w:t>(UnivDatos Market Insights, 2022)</w:t>
                </w:r>
              </w:fldSimple>
            </w:sdtContent>
          </w:sdt>
          <w:r w:rsidR="003924D2">
            <w:t xml:space="preserve">. In December 2023, </w:t>
          </w:r>
          <w:proofErr w:type="spellStart"/>
          <w:r w:rsidR="003924D2">
            <w:t>Statista</w:t>
          </w:r>
          <w:proofErr w:type="spellEnd"/>
          <w:r w:rsidR="003924D2">
            <w:t xml:space="preserve"> was also published an estimated annual sales growth of 7.66% between 2024 and 2028 </w:t>
          </w:r>
          <w:sdt>
            <w:sdtPr>
              <w:id w:val="42786444"/>
              <w:citation/>
            </w:sdtPr>
            <w:sdtContent>
              <w:fldSimple w:instr=" CITATION Sta233 \l 2057 ">
                <w:r w:rsidR="003924D2" w:rsidRPr="003924D2">
                  <w:rPr>
                    <w:noProof/>
                  </w:rPr>
                  <w:t>(Statista, 2023)</w:t>
                </w:r>
              </w:fldSimple>
            </w:sdtContent>
          </w:sdt>
          <w:r w:rsidR="003924D2">
            <w:t>.</w:t>
          </w:r>
          <w:r w:rsidR="00E6086E">
            <w:t xml:space="preserve"> </w:t>
          </w:r>
          <w:r w:rsidR="00BC46C9">
            <w:t xml:space="preserve">However, the competition in the camping gear stores in the UK is fierce and if businesses don’t keep up in this highly competitive environment, they will not survive. The best example is Go Outdoors, which went into administration in 2020 as a result of COVID </w:t>
          </w:r>
          <w:sdt>
            <w:sdtPr>
              <w:id w:val="42786972"/>
              <w:citation/>
            </w:sdtPr>
            <w:sdtContent>
              <w:fldSimple w:instr=" CITATION BBC20 \l 2057 ">
                <w:r w:rsidR="00BC46C9" w:rsidRPr="00BC46C9">
                  <w:rPr>
                    <w:noProof/>
                  </w:rPr>
                  <w:t>(BBC, 2020)</w:t>
                </w:r>
              </w:fldSimple>
            </w:sdtContent>
          </w:sdt>
          <w:r w:rsidR="00BC46C9">
            <w:t xml:space="preserve"> and started closing stores in 2023 – such as the Oxford branch </w:t>
          </w:r>
          <w:sdt>
            <w:sdtPr>
              <w:id w:val="42787008"/>
              <w:citation/>
            </w:sdtPr>
            <w:sdtContent>
              <w:fldSimple w:instr=" CITATION Nor23 \l 2057 ">
                <w:r w:rsidR="00BC46C9" w:rsidRPr="00BC46C9">
                  <w:rPr>
                    <w:noProof/>
                  </w:rPr>
                  <w:t>(Norman, 2023)</w:t>
                </w:r>
              </w:fldSimple>
            </w:sdtContent>
          </w:sdt>
          <w:r w:rsidR="00BC46C9">
            <w:t>.</w:t>
          </w:r>
          <w:r w:rsidR="008E54E9">
            <w:t xml:space="preserve"> Edwards’ managers need to take all this information into consideration when calculating their budget. They need to keep trying to boost sales by attracting new customers through promotions and competitive pricing, but also they need to try and keep the loyalty of their existing customers.</w:t>
          </w:r>
          <w:r w:rsidR="006B7181">
            <w:t xml:space="preserve"> </w:t>
          </w:r>
        </w:p>
        <w:p w:rsidR="006B7181" w:rsidRDefault="006B7181" w:rsidP="00687C4A">
          <w:pPr>
            <w:jc w:val="both"/>
          </w:pPr>
          <w:r>
            <w:t xml:space="preserve">      We are also told that Edwards has 15 stores. Similar to Go Outdoors, the management could look at the least productive stores and make a decision whether to keep them all open, or close a few and focus more on the online presence and ordering system. They would have to calculate all the costs involving the stores – rent, utilities, wages, etc and compare them to the online costs – more remote location where the stock is kept, less staff, but more investment in building the website and managing it, and in transport for deliveries.</w:t>
          </w:r>
        </w:p>
        <w:p w:rsidR="00634A49" w:rsidRDefault="00634A49" w:rsidP="00687C4A">
          <w:pPr>
            <w:jc w:val="both"/>
          </w:pPr>
          <w:r>
            <w:t xml:space="preserve">      Even with all the encouraging forecasts, the camping gear industry </w:t>
          </w:r>
          <w:proofErr w:type="gramStart"/>
          <w:r>
            <w:t>is  seasonal</w:t>
          </w:r>
          <w:proofErr w:type="gramEnd"/>
          <w:r>
            <w:t xml:space="preserve"> and relies heavily on the weather and on outdoor recreation trends</w:t>
          </w:r>
          <w:sdt>
            <w:sdtPr>
              <w:id w:val="42788022"/>
              <w:citation/>
            </w:sdtPr>
            <w:sdtContent>
              <w:fldSimple w:instr=" CITATION The231 \l 2057 ">
                <w:r>
                  <w:rPr>
                    <w:noProof/>
                  </w:rPr>
                  <w:t xml:space="preserve"> </w:t>
                </w:r>
                <w:r w:rsidRPr="00634A49">
                  <w:rPr>
                    <w:noProof/>
                  </w:rPr>
                  <w:t>(The Outdoor Guide, 2023)</w:t>
                </w:r>
              </w:fldSimple>
            </w:sdtContent>
          </w:sdt>
          <w:r>
            <w:t xml:space="preserve">. This also needs to be taken into account when planning the budgets. </w:t>
          </w:r>
          <w:r w:rsidR="00FC5506">
            <w:t>Addressing all these challenges requires strategic planning, market research, effective marketing strategies and a commitment to providing high-quality products and services that meet the needs of outdoor enthusiasts in the UK.</w:t>
          </w:r>
        </w:p>
        <w:p w:rsidR="00677745" w:rsidRDefault="003C33C3" w:rsidP="00FB79A7">
          <w:pPr>
            <w:jc w:val="both"/>
          </w:pPr>
          <w:r>
            <w:t xml:space="preserve">     </w:t>
          </w:r>
          <w:r w:rsidR="008F2433">
            <w:t xml:space="preserve">  One of the costs Edwards has is a bank loan, for which they are paying £7000 a month. One option for the company is to try and re-negotiate the terms of the loan and try and reduce the amount of interest paid (20%). </w:t>
          </w:r>
          <w:r w:rsidR="008D500A">
            <w:t>Lenders often agree to renegotiate the terms of a loan, because it can ensure that the loan is paid off by the company</w:t>
          </w:r>
          <w:sdt>
            <w:sdtPr>
              <w:id w:val="42789688"/>
              <w:citation/>
            </w:sdtPr>
            <w:sdtContent>
              <w:fldSimple w:instr=" CITATION Pap21 \l 2057 ">
                <w:r w:rsidR="008D500A">
                  <w:rPr>
                    <w:noProof/>
                  </w:rPr>
                  <w:t xml:space="preserve"> </w:t>
                </w:r>
                <w:r w:rsidR="008D500A" w:rsidRPr="008D500A">
                  <w:rPr>
                    <w:noProof/>
                  </w:rPr>
                  <w:t>(Papoutsi, 2021)</w:t>
                </w:r>
              </w:fldSimple>
            </w:sdtContent>
          </w:sdt>
          <w:r w:rsidR="008D500A">
            <w:t>.</w:t>
          </w:r>
        </w:p>
        <w:p w:rsidR="003C33C3" w:rsidRDefault="00677745" w:rsidP="00FB79A7">
          <w:pPr>
            <w:jc w:val="both"/>
          </w:pPr>
          <w:r>
            <w:t xml:space="preserve">       The decisions that managers make for an organisation impact the many departments of the business such as marketing, production, purchasing, research and development, finance. If managers don’t have all the budgetary information available, the decisions made may not benefit the organisation (Drury, 2020). For example, Edwards’ managers may </w:t>
          </w:r>
          <w:proofErr w:type="gramStart"/>
          <w:r>
            <w:t>decide  to</w:t>
          </w:r>
          <w:proofErr w:type="gramEnd"/>
          <w:r>
            <w:t xml:space="preserve"> close some of the stores and rely more on online orders, but if they don’t understand what costs the website maintenance involves, or the costs of transport and distribution, they might end up spending even more than before.</w:t>
          </w:r>
          <w:r w:rsidR="003C33C3">
            <w:t xml:space="preserve">  </w:t>
          </w:r>
        </w:p>
        <w:p w:rsidR="00505C07" w:rsidRDefault="00505C07" w:rsidP="00FB79A7">
          <w:pPr>
            <w:jc w:val="both"/>
          </w:pPr>
        </w:p>
        <w:p w:rsidR="001263A3" w:rsidRDefault="001263A3">
          <w:pPr>
            <w:rPr>
              <w:rFonts w:asciiTheme="majorHAnsi" w:eastAsiaTheme="majorEastAsia" w:hAnsiTheme="majorHAnsi" w:cstheme="majorBidi"/>
              <w:color w:val="2E74B5" w:themeColor="accent1" w:themeShade="BF"/>
              <w:sz w:val="26"/>
              <w:szCs w:val="26"/>
            </w:rPr>
          </w:pPr>
          <w:r>
            <w:br w:type="page"/>
          </w:r>
        </w:p>
        <w:p w:rsidR="00505C07" w:rsidRDefault="00505C07" w:rsidP="00505C07">
          <w:pPr>
            <w:pStyle w:val="Heading2"/>
          </w:pPr>
          <w:bookmarkStart w:id="7" w:name="_Toc163400381"/>
          <w:proofErr w:type="gramStart"/>
          <w:r>
            <w:t>3.Budgeting</w:t>
          </w:r>
          <w:proofErr w:type="gramEnd"/>
          <w:r>
            <w:t xml:space="preserve"> and budgetary controls</w:t>
          </w:r>
          <w:bookmarkEnd w:id="7"/>
        </w:p>
        <w:p w:rsidR="001263A3" w:rsidRDefault="001263A3" w:rsidP="001263A3"/>
        <w:p w:rsidR="001263A3" w:rsidRDefault="001224E4" w:rsidP="001263A3">
          <w:pPr>
            <w:jc w:val="both"/>
          </w:pPr>
          <w:r>
            <w:t xml:space="preserve">      </w:t>
          </w:r>
          <w:r w:rsidRPr="001224E4">
            <w:t>Budgets are detailed financial plans that are created for a determined future</w:t>
          </w:r>
          <w:r>
            <w:t xml:space="preserve"> period of time. Companies should always be aware of the revenue expected and of the expenses pending, in order to predict the future surplus or deficit</w:t>
          </w:r>
          <w:r w:rsidR="00FE5055">
            <w:t>. Budgets are useful for companies as they help managers analyse past events in order to decide future actions</w:t>
          </w:r>
          <w:sdt>
            <w:sdtPr>
              <w:id w:val="42793935"/>
              <w:citation/>
            </w:sdtPr>
            <w:sdtContent>
              <w:fldSimple w:instr=" CITATION Hor20 \l 2057 ">
                <w:r w:rsidR="00FE5055">
                  <w:rPr>
                    <w:noProof/>
                  </w:rPr>
                  <w:t xml:space="preserve"> </w:t>
                </w:r>
                <w:r w:rsidR="00FE5055" w:rsidRPr="00FE5055">
                  <w:rPr>
                    <w:noProof/>
                  </w:rPr>
                  <w:t>(Horner, 2020)</w:t>
                </w:r>
              </w:fldSimple>
            </w:sdtContent>
          </w:sdt>
          <w:r w:rsidR="00FE5055">
            <w:t>. Budgets are presented as cash inflows and outflows, as sales revenues and expenses. All the separate budgets are then merged into a master budget which is presented as budgeted profit and cash flow statements (Drury, 2020).</w:t>
          </w:r>
        </w:p>
        <w:p w:rsidR="005A0A98" w:rsidRDefault="005A0A98" w:rsidP="001263A3">
          <w:pPr>
            <w:jc w:val="both"/>
          </w:pPr>
          <w:r>
            <w:t xml:space="preserve">      Budgets help plan for the future by controlling the actual performance of the company. The fact that budgets are forecasts means that plans can be adjusted in order to reach the goal of the company. </w:t>
          </w:r>
          <w:r w:rsidR="003F314F">
            <w:t xml:space="preserve">Budgets are based on the following features: policies (they are based on the policies of the organisation), data (they are expressed in monetary terms), documentation (they are written down), </w:t>
          </w:r>
          <w:proofErr w:type="gramStart"/>
          <w:r w:rsidR="003F314F">
            <w:t>period</w:t>
          </w:r>
          <w:proofErr w:type="gramEnd"/>
          <w:r w:rsidR="003F314F">
            <w:t xml:space="preserve"> (they relate to a period of time) </w:t>
          </w:r>
          <w:sdt>
            <w:sdtPr>
              <w:id w:val="42796265"/>
              <w:citation/>
            </w:sdtPr>
            <w:sdtContent>
              <w:fldSimple w:instr=" CITATION Dav23 \l 2057 ">
                <w:r w:rsidR="006910A7" w:rsidRPr="006910A7">
                  <w:rPr>
                    <w:noProof/>
                  </w:rPr>
                  <w:t>(Davila, et al., 2023)</w:t>
                </w:r>
              </w:fldSimple>
            </w:sdtContent>
          </w:sdt>
          <w:r w:rsidR="006910A7">
            <w:t>.</w:t>
          </w:r>
        </w:p>
        <w:p w:rsidR="00396F6F" w:rsidRDefault="00396F6F" w:rsidP="001263A3">
          <w:pPr>
            <w:jc w:val="both"/>
          </w:pPr>
          <w:r>
            <w:t xml:space="preserve">      Budgetary control systems can have positive or negative influences on managers, or they could react to them with indifference. If managers react favourably, then the budgets they create are likely to be correct and relevant. However, if managers are not invested in creating accurate budgets, they might prepare budgets that are inaccurate or irrelevant. For budgetary control systems to work, the following elements need to be present:</w:t>
          </w:r>
        </w:p>
        <w:p w:rsidR="00396F6F" w:rsidRDefault="00396F6F" w:rsidP="00396F6F">
          <w:pPr>
            <w:pStyle w:val="ListParagraph"/>
            <w:numPr>
              <w:ilvl w:val="0"/>
              <w:numId w:val="4"/>
            </w:numPr>
            <w:jc w:val="both"/>
          </w:pPr>
          <w:r>
            <w:t>Consultation – managers should participate in creating the budgets and when installing budgetary control systems.</w:t>
          </w:r>
        </w:p>
        <w:p w:rsidR="00396F6F" w:rsidRDefault="00396F6F" w:rsidP="00396F6F">
          <w:pPr>
            <w:pStyle w:val="ListParagraph"/>
            <w:numPr>
              <w:ilvl w:val="0"/>
              <w:numId w:val="4"/>
            </w:numPr>
            <w:jc w:val="both"/>
          </w:pPr>
          <w:r>
            <w:t>Education and training – managers should be offered the correct training so they can fully understand the importance of such control systems and the part they need to play.</w:t>
          </w:r>
        </w:p>
        <w:p w:rsidR="00396F6F" w:rsidRDefault="00396F6F" w:rsidP="00396F6F">
          <w:pPr>
            <w:pStyle w:val="ListParagraph"/>
            <w:numPr>
              <w:ilvl w:val="0"/>
              <w:numId w:val="4"/>
            </w:numPr>
            <w:jc w:val="both"/>
          </w:pPr>
          <w:r>
            <w:t>Involvement – managers should be involved in installing the control systems.</w:t>
          </w:r>
        </w:p>
        <w:p w:rsidR="00396F6F" w:rsidRDefault="00396F6F" w:rsidP="00396F6F">
          <w:pPr>
            <w:pStyle w:val="ListParagraph"/>
            <w:numPr>
              <w:ilvl w:val="0"/>
              <w:numId w:val="4"/>
            </w:numPr>
            <w:jc w:val="both"/>
          </w:pPr>
          <w:r>
            <w:t>Independence – managers should be given the responsibility of creating their own budgets instead of having them imposed to them.</w:t>
          </w:r>
        </w:p>
        <w:p w:rsidR="00396F6F" w:rsidRDefault="00396F6F" w:rsidP="00396F6F">
          <w:pPr>
            <w:pStyle w:val="ListParagraph"/>
            <w:numPr>
              <w:ilvl w:val="0"/>
              <w:numId w:val="4"/>
            </w:numPr>
            <w:jc w:val="both"/>
          </w:pPr>
          <w:r>
            <w:t>Non-disciplinary – budgetary control systems should not be used as a means to discipline managers for any variances, unless the variances are caused by negligence. These systems should be used to analyse why varian</w:t>
          </w:r>
          <w:r w:rsidR="006910A7">
            <w:t>ces happened in the first place (Dyson, 2020, p.346).</w:t>
          </w:r>
        </w:p>
        <w:p w:rsidR="007C5B8C" w:rsidRDefault="007C5B8C" w:rsidP="007C5B8C">
          <w:pPr>
            <w:jc w:val="both"/>
          </w:pPr>
          <w:r>
            <w:t xml:space="preserve">      When introducing budgetary control systems, managers need to take into consideration the different behaviours that people in the organisation might exhibit:</w:t>
          </w:r>
        </w:p>
        <w:p w:rsidR="007C5B8C" w:rsidRDefault="007C5B8C" w:rsidP="007C5B8C">
          <w:pPr>
            <w:pStyle w:val="ListParagraph"/>
            <w:numPr>
              <w:ilvl w:val="0"/>
              <w:numId w:val="4"/>
            </w:numPr>
            <w:jc w:val="both"/>
          </w:pPr>
          <w:r>
            <w:t xml:space="preserve">Resistance to change – employees might fear the new measures and might not understand how they could affect their jobs. They might also feel like they are under scrutiny and that they are given too much responsibility. Managers must communicate and explain the changes to the </w:t>
          </w:r>
          <w:proofErr w:type="gramStart"/>
          <w:r>
            <w:t>staff,</w:t>
          </w:r>
          <w:proofErr w:type="gramEnd"/>
          <w:r>
            <w:t xml:space="preserve"> they must provide training and involve the employees in the development and implementation</w:t>
          </w:r>
          <w:r w:rsidR="00EB3E25">
            <w:t xml:space="preserve"> process</w:t>
          </w:r>
          <w:sdt>
            <w:sdtPr>
              <w:id w:val="136159891"/>
              <w:citation/>
            </w:sdtPr>
            <w:sdtContent>
              <w:fldSimple w:instr=" CITATION Law23 \l 2057 ">
                <w:r w:rsidR="00EB3E25">
                  <w:rPr>
                    <w:noProof/>
                  </w:rPr>
                  <w:t xml:space="preserve"> </w:t>
                </w:r>
                <w:r w:rsidR="00EB3E25" w:rsidRPr="00EB3E25">
                  <w:rPr>
                    <w:noProof/>
                  </w:rPr>
                  <w:t>(Lawrence, 2023)</w:t>
                </w:r>
              </w:fldSimple>
            </w:sdtContent>
          </w:sdt>
          <w:r w:rsidR="00EB3E25">
            <w:t>.</w:t>
          </w:r>
        </w:p>
        <w:p w:rsidR="0095068B" w:rsidRDefault="007C5B8C" w:rsidP="007C5B8C">
          <w:pPr>
            <w:pStyle w:val="ListParagraph"/>
            <w:numPr>
              <w:ilvl w:val="0"/>
              <w:numId w:val="4"/>
            </w:numPr>
            <w:jc w:val="both"/>
          </w:pPr>
          <w:r>
            <w:t>Gaming and manipulation – if employees don’t understand the need for the new control systems or how they work, they might try to manipulate the data in order to make it look like the targets have been reached or to obtain a favourable performance review. This could undermine the integrity of the budgeting process and distort financial reports. Management need to keep a careful eye on all employees without micromanaging, in order to prevent this damaging behaviour and to promote transp</w:t>
          </w:r>
          <w:r w:rsidR="00602085">
            <w:t>arency and accountability</w:t>
          </w:r>
          <w:sdt>
            <w:sdtPr>
              <w:id w:val="136159931"/>
              <w:citation/>
            </w:sdtPr>
            <w:sdtContent>
              <w:fldSimple w:instr=" CITATION Wal13 \l 2057 ">
                <w:r w:rsidR="00602085">
                  <w:rPr>
                    <w:noProof/>
                  </w:rPr>
                  <w:t xml:space="preserve"> </w:t>
                </w:r>
                <w:r w:rsidR="00602085" w:rsidRPr="00602085">
                  <w:rPr>
                    <w:noProof/>
                  </w:rPr>
                  <w:t>(Walker &amp; Fleischman, 2013)</w:t>
                </w:r>
              </w:fldSimple>
            </w:sdtContent>
          </w:sdt>
          <w:r w:rsidR="00602085">
            <w:t>.</w:t>
          </w:r>
        </w:p>
        <w:p w:rsidR="00F16C1A" w:rsidRDefault="0095068B" w:rsidP="007C5B8C">
          <w:pPr>
            <w:pStyle w:val="ListParagraph"/>
            <w:numPr>
              <w:ilvl w:val="0"/>
              <w:numId w:val="4"/>
            </w:numPr>
            <w:jc w:val="both"/>
          </w:pPr>
          <w:r>
            <w:t xml:space="preserve">Motivation and performance – budgetary control systems can influence the motivation and performance of employees. The targets set must be achievable while still aligned with organisational goals and linked to performance </w:t>
          </w:r>
          <w:r w:rsidR="00F16C1A">
            <w:t>incentives. Feedback, incentives and recognition along with opportunities for skill development can increase emp</w:t>
          </w:r>
          <w:r w:rsidR="00800358">
            <w:t>loyee motivation and engagement</w:t>
          </w:r>
          <w:sdt>
            <w:sdtPr>
              <w:id w:val="136159973"/>
              <w:citation/>
            </w:sdtPr>
            <w:sdtContent>
              <w:fldSimple w:instr=" CITATION Han18 \l 2057 ">
                <w:r w:rsidR="00800358">
                  <w:rPr>
                    <w:noProof/>
                  </w:rPr>
                  <w:t xml:space="preserve"> </w:t>
                </w:r>
                <w:r w:rsidR="00800358" w:rsidRPr="00800358">
                  <w:rPr>
                    <w:noProof/>
                  </w:rPr>
                  <w:t>(Handoyo, 2018)</w:t>
                </w:r>
              </w:fldSimple>
            </w:sdtContent>
          </w:sdt>
          <w:r w:rsidR="00800358">
            <w:t>.</w:t>
          </w:r>
        </w:p>
        <w:p w:rsidR="007C5B8C" w:rsidRDefault="00F16C1A" w:rsidP="007C5B8C">
          <w:pPr>
            <w:pStyle w:val="ListParagraph"/>
            <w:numPr>
              <w:ilvl w:val="0"/>
              <w:numId w:val="4"/>
            </w:numPr>
            <w:jc w:val="both"/>
          </w:pPr>
          <w:r>
            <w:t xml:space="preserve">Information sharing and collaboration – in order to have effective budgetary controls, all departments within an organisation need to share information accurately and in a timely manner, otherwise collaboration can be hindered. Management should encourage a culture of openness and collaboration. Building </w:t>
          </w:r>
          <w:proofErr w:type="gramStart"/>
          <w:r>
            <w:t>trust  and</w:t>
          </w:r>
          <w:proofErr w:type="gramEnd"/>
          <w:r>
            <w:t xml:space="preserve"> a sense of responsibility c</w:t>
          </w:r>
          <w:r w:rsidR="00785853">
            <w:t>an help achieve budgetary goals</w:t>
          </w:r>
          <w:sdt>
            <w:sdtPr>
              <w:id w:val="136160039"/>
              <w:citation/>
            </w:sdtPr>
            <w:sdtContent>
              <w:fldSimple w:instr=" CITATION Mun06 \l 2057 ">
                <w:r w:rsidR="00785853">
                  <w:rPr>
                    <w:noProof/>
                  </w:rPr>
                  <w:t xml:space="preserve"> </w:t>
                </w:r>
                <w:r w:rsidR="00785853" w:rsidRPr="00785853">
                  <w:rPr>
                    <w:noProof/>
                  </w:rPr>
                  <w:t>(Munoz, et al., 2006)</w:t>
                </w:r>
              </w:fldSimple>
            </w:sdtContent>
          </w:sdt>
          <w:r w:rsidR="00785853">
            <w:t>.</w:t>
          </w:r>
        </w:p>
        <w:p w:rsidR="00F71171" w:rsidRDefault="001F05CF" w:rsidP="00F71171">
          <w:pPr>
            <w:jc w:val="both"/>
          </w:pPr>
          <w:r>
            <w:t xml:space="preserve">      </w:t>
          </w:r>
          <w:r w:rsidR="00E8316E">
            <w:t>According to Marr (2012), managers must be aware of the vital key performance indicators in their organisations, which are vital for understanding if their business is on the right path towards success, or not. The right set of KPI’s can emphasize the areas that need attention in order to reach the company goals. Without them, managers would be making decisions blind and not understanding the critical KPI’s can cause anxiety and can hold people back.</w:t>
          </w:r>
        </w:p>
        <w:p w:rsidR="009D7ECC" w:rsidRDefault="009D7ECC" w:rsidP="00F71171">
          <w:pPr>
            <w:jc w:val="both"/>
          </w:pPr>
          <w:r>
            <w:t xml:space="preserve">      Another vital piece of information that managers should master</w:t>
          </w:r>
          <w:r w:rsidR="00886914">
            <w:t xml:space="preserve"> is business ratios</w:t>
          </w:r>
          <w:r w:rsidR="0071756C">
            <w:t>. Business rations provide the targets and set the standards inside an organisation and are helpful for managers when deciding long-term or short-term strategies.</w:t>
          </w:r>
          <w:r w:rsidR="006F7DAE">
            <w:t xml:space="preserve"> In the very competitive and constantly changing environment that we live in, business ratios keep managers informed on the most important aspects that need to be addressed inside a business. </w:t>
          </w:r>
          <w:r w:rsidR="00EE49D1">
            <w:t>Training the managers of all different departments to understand business ratios will lead to the different departments working better together</w:t>
          </w:r>
          <w:sdt>
            <w:sdtPr>
              <w:id w:val="136158352"/>
              <w:citation/>
            </w:sdtPr>
            <w:sdtContent>
              <w:fldSimple w:instr=" CITATION Wal08 \l 2057 ">
                <w:r w:rsidR="00C460C3">
                  <w:rPr>
                    <w:noProof/>
                  </w:rPr>
                  <w:t xml:space="preserve"> </w:t>
                </w:r>
                <w:r w:rsidR="00C460C3" w:rsidRPr="00C460C3">
                  <w:rPr>
                    <w:noProof/>
                  </w:rPr>
                  <w:t>(Walsh, 2008)</w:t>
                </w:r>
              </w:fldSimple>
            </w:sdtContent>
          </w:sdt>
          <w:r w:rsidR="00C460C3">
            <w:t>.</w:t>
          </w:r>
        </w:p>
        <w:p w:rsidR="007C5B8C" w:rsidRDefault="007C5B8C" w:rsidP="00F71171">
          <w:pPr>
            <w:jc w:val="both"/>
          </w:pPr>
          <w:r>
            <w:t xml:space="preserve">      </w:t>
          </w:r>
        </w:p>
        <w:p w:rsidR="00396F6F" w:rsidRPr="001224E4" w:rsidRDefault="00396F6F" w:rsidP="001263A3">
          <w:pPr>
            <w:jc w:val="both"/>
          </w:pPr>
        </w:p>
        <w:p w:rsidR="001F05CF" w:rsidRDefault="001F05CF" w:rsidP="001F05CF">
          <w:pPr>
            <w:pStyle w:val="Heading2"/>
          </w:pPr>
          <w:r>
            <w:t xml:space="preserve">      </w:t>
          </w:r>
          <w:bookmarkStart w:id="8" w:name="_Toc163400382"/>
          <w:proofErr w:type="gramStart"/>
          <w:r>
            <w:t>4.Critical</w:t>
          </w:r>
          <w:proofErr w:type="gramEnd"/>
          <w:r>
            <w:t xml:space="preserve"> evaluation of traditional approaches to budgeting</w:t>
          </w:r>
          <w:bookmarkEnd w:id="8"/>
        </w:p>
        <w:p w:rsidR="00833214" w:rsidRDefault="00833214" w:rsidP="00833214"/>
        <w:p w:rsidR="00833214" w:rsidRDefault="00833214" w:rsidP="00833214">
          <w:pPr>
            <w:jc w:val="both"/>
          </w:pPr>
          <w:r>
            <w:t xml:space="preserve">      Changes are constantly taking place in this competitive business environment, including economic conditions, customer needs and desires, competitors. The management accounting information system should be flexible enough in order to provide whatever data is necessary for decision making in any organisation</w:t>
          </w:r>
          <w:r w:rsidR="00D26043">
            <w:t>. The changes appeared in the past three decades: intensified competition led to lower prices, higher quality and more choices, new technologies</w:t>
          </w:r>
          <w:sdt>
            <w:sdtPr>
              <w:id w:val="136161427"/>
              <w:citation/>
            </w:sdtPr>
            <w:sdtContent>
              <w:fldSimple w:instr=" CITATION Sea19 \l 2057 ">
                <w:r w:rsidR="00A855BE">
                  <w:rPr>
                    <w:noProof/>
                  </w:rPr>
                  <w:t xml:space="preserve"> </w:t>
                </w:r>
                <w:r w:rsidR="00A855BE" w:rsidRPr="00A855BE">
                  <w:rPr>
                    <w:noProof/>
                  </w:rPr>
                  <w:t>(Seal, et al., 2019)</w:t>
                </w:r>
              </w:fldSimple>
            </w:sdtContent>
          </w:sdt>
          <w:r w:rsidR="00A855BE">
            <w:t>.</w:t>
          </w:r>
          <w:r w:rsidR="00D26043">
            <w:t xml:space="preserve"> </w:t>
          </w:r>
          <w:r w:rsidR="00F0181F">
            <w:t xml:space="preserve">Other changes that have occurred </w:t>
          </w:r>
          <w:proofErr w:type="gramStart"/>
          <w:r w:rsidR="00F0181F">
            <w:t>are :</w:t>
          </w:r>
          <w:proofErr w:type="gramEnd"/>
          <w:r w:rsidR="00F0181F">
            <w:t xml:space="preserve"> the growth of the service sector, the emergence of new industries, the growth of e-commerce, product innovation, the growth of outsourcing. All these changes pose huge challenges for the management accountant </w:t>
          </w:r>
          <w:sdt>
            <w:sdtPr>
              <w:id w:val="136161835"/>
              <w:citation/>
            </w:sdtPr>
            <w:sdtContent>
              <w:fldSimple w:instr=" CITATION Atr21 \l 2057 ">
                <w:r w:rsidR="00F0181F" w:rsidRPr="00F0181F">
                  <w:rPr>
                    <w:noProof/>
                  </w:rPr>
                  <w:t>(Atrill &amp; McLaney, 2021)</w:t>
                </w:r>
              </w:fldSimple>
            </w:sdtContent>
          </w:sdt>
          <w:r w:rsidR="00F0181F">
            <w:t xml:space="preserve">. </w:t>
          </w:r>
          <w:r w:rsidR="00D26043">
            <w:t>Several approaches have been developed to assist organisations with these new challenges:</w:t>
          </w:r>
        </w:p>
        <w:p w:rsidR="00D26043" w:rsidRDefault="00D26043" w:rsidP="00833214">
          <w:pPr>
            <w:jc w:val="both"/>
          </w:pPr>
          <w:r>
            <w:t>-just in time (JIT)</w:t>
          </w:r>
        </w:p>
        <w:p w:rsidR="00D26043" w:rsidRDefault="00D26043" w:rsidP="00833214">
          <w:pPr>
            <w:jc w:val="both"/>
          </w:pPr>
          <w:r>
            <w:t>-total quality management (TQM)</w:t>
          </w:r>
        </w:p>
        <w:p w:rsidR="00D26043" w:rsidRDefault="00D26043" w:rsidP="00833214">
          <w:pPr>
            <w:jc w:val="both"/>
          </w:pPr>
          <w:proofErr w:type="gramStart"/>
          <w:r>
            <w:t>-the theory of constraints (TOC)</w:t>
          </w:r>
          <w:r w:rsidR="00F0181F">
            <w:t xml:space="preserve"> (Seal et al, 2019).</w:t>
          </w:r>
          <w:proofErr w:type="gramEnd"/>
        </w:p>
        <w:p w:rsidR="009260DE" w:rsidRDefault="00D52715" w:rsidP="00833214">
          <w:pPr>
            <w:jc w:val="both"/>
          </w:pPr>
          <w:r>
            <w:t xml:space="preserve">      </w:t>
          </w:r>
          <w:r w:rsidR="009930EC">
            <w:t>While continual budgeting encourages managers to plan ahead, there has been criticism around the danger of budgeting becoming a mechanical exercise. Managers don’t have the time to spare each month in order to create and analyse budgets. Some believe that many of the problems can be solved by better budgeting systems such as activity-based budgeting and zero-based budgeting, while others believe that a more radical solution is needed (</w:t>
          </w:r>
          <w:proofErr w:type="spellStart"/>
          <w:r w:rsidR="009930EC">
            <w:t>Atrill</w:t>
          </w:r>
          <w:proofErr w:type="spellEnd"/>
          <w:r w:rsidR="009930EC">
            <w:t xml:space="preserve"> &amp; </w:t>
          </w:r>
          <w:proofErr w:type="spellStart"/>
          <w:r w:rsidR="009930EC">
            <w:t>McLaney</w:t>
          </w:r>
          <w:proofErr w:type="spellEnd"/>
          <w:r w:rsidR="009930EC">
            <w:t>, 2021).</w:t>
          </w:r>
        </w:p>
        <w:p w:rsidR="009260DE" w:rsidRDefault="009260DE" w:rsidP="00833214">
          <w:pPr>
            <w:jc w:val="both"/>
          </w:pPr>
          <w:r>
            <w:t xml:space="preserve">      Criticism of the traditional budgeting systems:</w:t>
          </w:r>
        </w:p>
        <w:p w:rsidR="009260DE" w:rsidRDefault="009260DE" w:rsidP="00833214">
          <w:pPr>
            <w:jc w:val="both"/>
          </w:pPr>
          <w:r>
            <w:t>-encourages rigid planning and incremental thinking (a ‘last year plus x’ approach);</w:t>
          </w:r>
        </w:p>
        <w:p w:rsidR="00D52715" w:rsidRDefault="009260DE" w:rsidP="00833214">
          <w:pPr>
            <w:jc w:val="both"/>
          </w:pPr>
          <w:r>
            <w:t>-time consuming for managers;</w:t>
          </w:r>
        </w:p>
        <w:p w:rsidR="009260DE" w:rsidRDefault="009260DE" w:rsidP="00833214">
          <w:pPr>
            <w:jc w:val="both"/>
          </w:pPr>
          <w:r>
            <w:t>-it ignores key drivers like innovation, developing new products and markets (Drury, 2020)</w:t>
          </w:r>
        </w:p>
        <w:p w:rsidR="009260DE" w:rsidRDefault="009260DE" w:rsidP="00833214">
          <w:pPr>
            <w:jc w:val="both"/>
          </w:pPr>
          <w:r>
            <w:t>-cannot deal with rapid change;</w:t>
          </w:r>
        </w:p>
        <w:p w:rsidR="009260DE" w:rsidRDefault="009260DE" w:rsidP="00833214">
          <w:pPr>
            <w:jc w:val="both"/>
          </w:pPr>
          <w:r>
            <w:t>-encourages a ‘top-down’ management style;</w:t>
          </w:r>
        </w:p>
        <w:p w:rsidR="009260DE" w:rsidRDefault="009260DE" w:rsidP="00833214">
          <w:pPr>
            <w:jc w:val="both"/>
          </w:pPr>
          <w:r>
            <w:t>-protect rather than lower costs;</w:t>
          </w:r>
        </w:p>
        <w:p w:rsidR="009260DE" w:rsidRDefault="009260DE" w:rsidP="00833214">
          <w:pPr>
            <w:jc w:val="both"/>
          </w:pPr>
          <w:r>
            <w:t>-promote ‘sharp’ practice among managers (lower sales targets in order to hit targets)</w:t>
          </w:r>
          <w:sdt>
            <w:sdtPr>
              <w:id w:val="136163360"/>
              <w:citation/>
            </w:sdtPr>
            <w:sdtContent>
              <w:fldSimple w:instr=" CITATION Liy21 \l 2057 ">
                <w:r w:rsidR="0013023D">
                  <w:rPr>
                    <w:noProof/>
                  </w:rPr>
                  <w:t xml:space="preserve"> </w:t>
                </w:r>
                <w:r w:rsidR="0013023D" w:rsidRPr="0013023D">
                  <w:rPr>
                    <w:noProof/>
                  </w:rPr>
                  <w:t>(Liyanage, 2021)</w:t>
                </w:r>
              </w:fldSimple>
            </w:sdtContent>
          </w:sdt>
          <w:r w:rsidR="0013023D">
            <w:t>.</w:t>
          </w:r>
        </w:p>
        <w:p w:rsidR="00F92923" w:rsidRPr="00833214" w:rsidRDefault="00F92923" w:rsidP="00833214">
          <w:pPr>
            <w:jc w:val="both"/>
          </w:pPr>
          <w:r>
            <w:t xml:space="preserve">      An alternative to the traditional budgeting systems is the ‘Beyond Conventional Budgeting’. With this new system, rolling budgets and KPI’s such as market share, customer satisfaction and innovations are emphasized. This model promotes a more participative approach to managing the businesses as opposed to the traditional hierarchical structure. It also encourages a more open attitude among employees and the rewards are linked to targets based on improvement instead of meeting the budget. While the traditional model has fixed targets, the ‘Beyond Conventional Budgeting’ promotes stretch targets that can be adapted</w:t>
          </w:r>
          <w:sdt>
            <w:sdtPr>
              <w:id w:val="136163802"/>
              <w:citation/>
            </w:sdtPr>
            <w:sdtContent>
              <w:fldSimple w:instr=" CITATION ACC24 \l 2057 ">
                <w:r w:rsidR="007674D4">
                  <w:rPr>
                    <w:noProof/>
                  </w:rPr>
                  <w:t xml:space="preserve"> </w:t>
                </w:r>
                <w:r w:rsidR="007674D4" w:rsidRPr="007674D4">
                  <w:rPr>
                    <w:noProof/>
                  </w:rPr>
                  <w:t>(ACCA Global, 2024)</w:t>
                </w:r>
              </w:fldSimple>
            </w:sdtContent>
          </w:sdt>
          <w:r w:rsidR="007674D4">
            <w:t>.</w:t>
          </w:r>
        </w:p>
        <w:p w:rsidR="00480872" w:rsidRDefault="00480872" w:rsidP="00AA2A91">
          <w:pPr>
            <w:pStyle w:val="Heading1"/>
          </w:pPr>
        </w:p>
        <w:p w:rsidR="00480872" w:rsidRDefault="00480872" w:rsidP="00AA2A91">
          <w:pPr>
            <w:pStyle w:val="Heading1"/>
          </w:pPr>
        </w:p>
        <w:p w:rsidR="00480872" w:rsidRDefault="00480872" w:rsidP="00AA2A91">
          <w:pPr>
            <w:pStyle w:val="Heading1"/>
          </w:pPr>
        </w:p>
        <w:p w:rsidR="00480872" w:rsidRDefault="00480872" w:rsidP="00AA2A91">
          <w:pPr>
            <w:pStyle w:val="Heading1"/>
          </w:pPr>
        </w:p>
        <w:p w:rsidR="00480872" w:rsidRDefault="00480872" w:rsidP="00AA2A91">
          <w:pPr>
            <w:pStyle w:val="Heading1"/>
          </w:pPr>
        </w:p>
        <w:p w:rsidR="00480872" w:rsidRDefault="00480872" w:rsidP="00AA2A91">
          <w:pPr>
            <w:pStyle w:val="Heading1"/>
          </w:pPr>
        </w:p>
        <w:p w:rsidR="00480872" w:rsidRDefault="00480872" w:rsidP="00AA2A91">
          <w:pPr>
            <w:pStyle w:val="Heading1"/>
          </w:pPr>
        </w:p>
        <w:p w:rsidR="00480872" w:rsidRDefault="00480872" w:rsidP="00AA2A91">
          <w:pPr>
            <w:pStyle w:val="Heading1"/>
          </w:pPr>
        </w:p>
        <w:p w:rsidR="00480872" w:rsidRDefault="00480872" w:rsidP="00AA2A91">
          <w:pPr>
            <w:pStyle w:val="Heading1"/>
          </w:pPr>
        </w:p>
        <w:p w:rsidR="00480872" w:rsidRDefault="00480872" w:rsidP="00AA2A91">
          <w:pPr>
            <w:pStyle w:val="Heading1"/>
          </w:pPr>
        </w:p>
        <w:p w:rsidR="00480872" w:rsidRDefault="00480872" w:rsidP="00AA2A91">
          <w:pPr>
            <w:pStyle w:val="Heading1"/>
          </w:pPr>
        </w:p>
        <w:p w:rsidR="00480872" w:rsidRDefault="00480872" w:rsidP="00AA2A91">
          <w:pPr>
            <w:pStyle w:val="Heading1"/>
          </w:pPr>
        </w:p>
        <w:p w:rsidR="00480872" w:rsidRDefault="00480872" w:rsidP="00AA2A91">
          <w:pPr>
            <w:pStyle w:val="Heading1"/>
          </w:pPr>
        </w:p>
        <w:p w:rsidR="00480872" w:rsidRDefault="00480872" w:rsidP="00AA2A91">
          <w:pPr>
            <w:pStyle w:val="Heading1"/>
          </w:pPr>
        </w:p>
        <w:p w:rsidR="00480872" w:rsidRDefault="00480872" w:rsidP="00AA2A91">
          <w:pPr>
            <w:pStyle w:val="Heading1"/>
          </w:pPr>
        </w:p>
        <w:p w:rsidR="00480872" w:rsidRDefault="00480872" w:rsidP="00AA2A91">
          <w:pPr>
            <w:pStyle w:val="Heading1"/>
          </w:pPr>
        </w:p>
        <w:p w:rsidR="00480872" w:rsidRDefault="00480872" w:rsidP="00AA2A91">
          <w:pPr>
            <w:pStyle w:val="Heading1"/>
          </w:pPr>
        </w:p>
        <w:p w:rsidR="008F4B79" w:rsidRPr="008F4B79" w:rsidRDefault="008F4B79" w:rsidP="008F4B79"/>
        <w:p w:rsidR="00480872" w:rsidRDefault="00480872" w:rsidP="00AA2A91">
          <w:pPr>
            <w:pStyle w:val="Heading1"/>
          </w:pPr>
        </w:p>
        <w:p w:rsidR="00DB21C5" w:rsidRDefault="00DB21C5">
          <w:pPr>
            <w:rPr>
              <w:rFonts w:asciiTheme="majorHAnsi" w:eastAsiaTheme="majorEastAsia" w:hAnsiTheme="majorHAnsi" w:cstheme="majorBidi"/>
              <w:color w:val="2E74B5" w:themeColor="accent1" w:themeShade="BF"/>
              <w:sz w:val="32"/>
              <w:szCs w:val="32"/>
            </w:rPr>
          </w:pPr>
          <w:bookmarkStart w:id="9" w:name="_Toc163400383"/>
          <w:r>
            <w:br w:type="page"/>
          </w:r>
        </w:p>
        <w:p w:rsidR="00AA2A91" w:rsidRDefault="00AA2A91" w:rsidP="00AA2A91">
          <w:pPr>
            <w:pStyle w:val="Heading1"/>
          </w:pPr>
          <w:r>
            <w:t>Conclusion</w:t>
          </w:r>
          <w:r w:rsidR="00D854A5">
            <w:t xml:space="preserve"> </w:t>
          </w:r>
          <w:bookmarkEnd w:id="9"/>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E4623" w:rsidP="00AE4623">
          <w:pPr>
            <w:pStyle w:val="Heading1"/>
          </w:pPr>
          <w:bookmarkStart w:id="10" w:name="_Toc163400384"/>
          <w:r>
            <w:t>Appendix 1</w:t>
          </w:r>
          <w:bookmarkEnd w:id="10"/>
        </w:p>
        <w:p w:rsidR="00AE4623" w:rsidRDefault="00AE4623" w:rsidP="00AE4623"/>
        <w:p w:rsidR="00AE4623" w:rsidRDefault="00AE4623" w:rsidP="00AE4623">
          <w:r w:rsidRPr="00F42BDF">
            <w:rPr>
              <w:b/>
            </w:rPr>
            <w:t>Cost of stock sold calculations</w:t>
          </w:r>
          <w:r>
            <w:t>:</w:t>
          </w:r>
        </w:p>
        <w:p w:rsidR="00AE4623" w:rsidRDefault="00AE4623" w:rsidP="00AE4623">
          <w:r>
            <w:t xml:space="preserve">June: 260 x 70% = </w:t>
          </w:r>
          <w:r>
            <w:rPr>
              <w:u w:val="single"/>
            </w:rPr>
            <w:t>182</w:t>
          </w:r>
          <w:r>
            <w:t xml:space="preserve">                      July: 270 x 70% = </w:t>
          </w:r>
          <w:r w:rsidRPr="00AE4623">
            <w:rPr>
              <w:u w:val="single"/>
            </w:rPr>
            <w:t>189</w:t>
          </w:r>
          <w:r>
            <w:t xml:space="preserve">                           August: 270 x 70% = </w:t>
          </w:r>
          <w:r w:rsidRPr="00AE4623">
            <w:rPr>
              <w:u w:val="single"/>
            </w:rPr>
            <w:t>189</w:t>
          </w:r>
        </w:p>
        <w:p w:rsidR="00AE4623" w:rsidRDefault="00AE4623" w:rsidP="00AE4623">
          <w:pPr>
            <w:rPr>
              <w:u w:val="single"/>
            </w:rPr>
          </w:pPr>
          <w:r>
            <w:t xml:space="preserve">September: 220 x 70% = </w:t>
          </w:r>
          <w:r w:rsidRPr="00AE4623">
            <w:rPr>
              <w:u w:val="single"/>
            </w:rPr>
            <w:t>154</w:t>
          </w:r>
          <w:r>
            <w:t xml:space="preserve">          October: 210 x 70% = </w:t>
          </w:r>
          <w:r w:rsidRPr="00AE4623">
            <w:rPr>
              <w:u w:val="single"/>
            </w:rPr>
            <w:t>147</w:t>
          </w:r>
          <w:r>
            <w:t xml:space="preserve">                    November: 190 x 70% = </w:t>
          </w:r>
          <w:r w:rsidRPr="00AE4623">
            <w:rPr>
              <w:u w:val="single"/>
            </w:rPr>
            <w:t>133</w:t>
          </w:r>
        </w:p>
        <w:p w:rsidR="00F42BDF" w:rsidRPr="00AE4623" w:rsidRDefault="00F42BDF" w:rsidP="00AE4623"/>
        <w:p w:rsidR="00AE4623" w:rsidRPr="00AE4623" w:rsidRDefault="00AE4623" w:rsidP="00AE4623"/>
        <w:p w:rsidR="00AE4623" w:rsidRDefault="00AE4623" w:rsidP="00AE4623">
          <w:r w:rsidRPr="00F42BDF">
            <w:rPr>
              <w:b/>
            </w:rPr>
            <w:t>Cash receipts calculations</w:t>
          </w:r>
          <w:r>
            <w:t>:</w:t>
          </w:r>
        </w:p>
        <w:p w:rsidR="00F42BDF" w:rsidRDefault="00F42BDF" w:rsidP="00AE4623">
          <w:r>
            <w:t xml:space="preserve">June: 260 x 0.6 x 3% = 4.68 = </w:t>
          </w:r>
          <w:r w:rsidRPr="009127E5">
            <w:rPr>
              <w:b/>
            </w:rPr>
            <w:t>5</w:t>
          </w:r>
        </w:p>
        <w:p w:rsidR="00F42BDF" w:rsidRDefault="00F42BDF" w:rsidP="00AE4623">
          <w:r>
            <w:t xml:space="preserve">July: 270 x 0.6 x 3% = 4.86 = </w:t>
          </w:r>
          <w:r w:rsidRPr="009127E5">
            <w:rPr>
              <w:b/>
            </w:rPr>
            <w:t>5</w:t>
          </w:r>
        </w:p>
        <w:p w:rsidR="00F42BDF" w:rsidRDefault="00F42BDF" w:rsidP="00AE4623">
          <w:r>
            <w:t xml:space="preserve">August: 270 x 0.6 x 3% = 4.86 = </w:t>
          </w:r>
          <w:r w:rsidRPr="009127E5">
            <w:rPr>
              <w:b/>
            </w:rPr>
            <w:t>5</w:t>
          </w:r>
        </w:p>
        <w:p w:rsidR="00F42BDF" w:rsidRDefault="00F42BDF" w:rsidP="00AE4623">
          <w:r>
            <w:t xml:space="preserve">September: </w:t>
          </w:r>
          <w:r w:rsidR="009127E5">
            <w:t xml:space="preserve">220 x 0.6 x 3% = 3.96 = </w:t>
          </w:r>
          <w:r w:rsidR="009127E5" w:rsidRPr="009127E5">
            <w:rPr>
              <w:b/>
            </w:rPr>
            <w:t>4</w:t>
          </w:r>
        </w:p>
        <w:p w:rsidR="009127E5" w:rsidRDefault="009127E5" w:rsidP="00AE4623">
          <w:r>
            <w:t xml:space="preserve">October: 210 x 0.6 x 3% = 3.78 = </w:t>
          </w:r>
          <w:r w:rsidRPr="009127E5">
            <w:rPr>
              <w:b/>
            </w:rPr>
            <w:t>4</w:t>
          </w:r>
        </w:p>
        <w:p w:rsidR="009127E5" w:rsidRPr="00AE4623" w:rsidRDefault="009127E5" w:rsidP="00AE4623">
          <w:r>
            <w:t xml:space="preserve">November: 190 x 0.6 x 3% = 3.42 = </w:t>
          </w:r>
          <w:r w:rsidRPr="009127E5">
            <w:rPr>
              <w:b/>
            </w:rPr>
            <w:t>3</w:t>
          </w:r>
        </w:p>
        <w:p w:rsidR="00AE4623" w:rsidRDefault="00AE4623">
          <w:pPr>
            <w:rPr>
              <w:rFonts w:asciiTheme="majorHAnsi" w:eastAsiaTheme="majorEastAsia" w:hAnsiTheme="majorHAnsi" w:cstheme="majorBidi"/>
              <w:color w:val="2E74B5" w:themeColor="accent1" w:themeShade="BF"/>
              <w:sz w:val="32"/>
              <w:szCs w:val="32"/>
            </w:rPr>
          </w:pPr>
          <w:r>
            <w:br w:type="page"/>
          </w:r>
        </w:p>
        <w:p w:rsidR="00AA2A91" w:rsidRPr="00AA2A91" w:rsidRDefault="00AA2A91" w:rsidP="00AA2A91">
          <w:pPr>
            <w:pStyle w:val="Heading1"/>
          </w:pPr>
          <w:bookmarkStart w:id="11" w:name="_Toc163400385"/>
          <w:r>
            <w:t>Bibliography</w:t>
          </w:r>
          <w:bookmarkEnd w:id="11"/>
        </w:p>
        <w:p w:rsidR="004A11F6" w:rsidRPr="007D1947" w:rsidRDefault="004A11F6" w:rsidP="007D1947"/>
        <w:p w:rsidR="00CA09F3" w:rsidRDefault="00E53189"/>
      </w:sdtContent>
    </w:sdt>
    <w:sectPr w:rsidR="00CA09F3"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36F5B" w:rsidRDefault="00836F5B" w:rsidP="00AE4623">
      <w:pPr>
        <w:spacing w:after="0" w:line="240" w:lineRule="auto"/>
      </w:pPr>
      <w:r>
        <w:separator/>
      </w:r>
    </w:p>
  </w:endnote>
  <w:endnote w:type="continuationSeparator" w:id="0">
    <w:p w:rsidR="00836F5B" w:rsidRDefault="00836F5B" w:rsidP="00AE462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36F5B" w:rsidRDefault="00836F5B" w:rsidP="00AE4623">
      <w:pPr>
        <w:spacing w:after="0" w:line="240" w:lineRule="auto"/>
      </w:pPr>
      <w:r>
        <w:separator/>
      </w:r>
    </w:p>
  </w:footnote>
  <w:footnote w:type="continuationSeparator" w:id="0">
    <w:p w:rsidR="00836F5B" w:rsidRDefault="00836F5B" w:rsidP="00AE462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51C6DC1"/>
    <w:multiLevelType w:val="hybridMultilevel"/>
    <w:tmpl w:val="26525D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9D1481F"/>
    <w:multiLevelType w:val="hybridMultilevel"/>
    <w:tmpl w:val="06C65C4E"/>
    <w:lvl w:ilvl="0" w:tplc="3F74BDC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6E252A4"/>
    <w:multiLevelType w:val="hybridMultilevel"/>
    <w:tmpl w:val="4AC4A2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667F546B"/>
    <w:multiLevelType w:val="hybridMultilevel"/>
    <w:tmpl w:val="F080F496"/>
    <w:lvl w:ilvl="0" w:tplc="17625794">
      <w:start w:val="1"/>
      <w:numFmt w:val="lowerLetter"/>
      <w:lvlText w:val="(%1)"/>
      <w:lvlJc w:val="left"/>
      <w:pPr>
        <w:ind w:left="1154" w:hanging="360"/>
      </w:pPr>
      <w:rPr>
        <w:rFonts w:hint="default"/>
      </w:rPr>
    </w:lvl>
    <w:lvl w:ilvl="1" w:tplc="08090019">
      <w:start w:val="1"/>
      <w:numFmt w:val="lowerLetter"/>
      <w:lvlText w:val="%2."/>
      <w:lvlJc w:val="left"/>
      <w:pPr>
        <w:ind w:left="1874" w:hanging="360"/>
      </w:pPr>
    </w:lvl>
    <w:lvl w:ilvl="2" w:tplc="0809001B" w:tentative="1">
      <w:start w:val="1"/>
      <w:numFmt w:val="lowerRoman"/>
      <w:lvlText w:val="%3."/>
      <w:lvlJc w:val="right"/>
      <w:pPr>
        <w:ind w:left="2594" w:hanging="180"/>
      </w:pPr>
    </w:lvl>
    <w:lvl w:ilvl="3" w:tplc="0809000F" w:tentative="1">
      <w:start w:val="1"/>
      <w:numFmt w:val="decimal"/>
      <w:lvlText w:val="%4."/>
      <w:lvlJc w:val="left"/>
      <w:pPr>
        <w:ind w:left="3314" w:hanging="360"/>
      </w:pPr>
    </w:lvl>
    <w:lvl w:ilvl="4" w:tplc="08090019" w:tentative="1">
      <w:start w:val="1"/>
      <w:numFmt w:val="lowerLetter"/>
      <w:lvlText w:val="%5."/>
      <w:lvlJc w:val="left"/>
      <w:pPr>
        <w:ind w:left="4034" w:hanging="360"/>
      </w:pPr>
    </w:lvl>
    <w:lvl w:ilvl="5" w:tplc="0809001B" w:tentative="1">
      <w:start w:val="1"/>
      <w:numFmt w:val="lowerRoman"/>
      <w:lvlText w:val="%6."/>
      <w:lvlJc w:val="right"/>
      <w:pPr>
        <w:ind w:left="4754" w:hanging="180"/>
      </w:pPr>
    </w:lvl>
    <w:lvl w:ilvl="6" w:tplc="0809000F" w:tentative="1">
      <w:start w:val="1"/>
      <w:numFmt w:val="decimal"/>
      <w:lvlText w:val="%7."/>
      <w:lvlJc w:val="left"/>
      <w:pPr>
        <w:ind w:left="5474" w:hanging="360"/>
      </w:pPr>
    </w:lvl>
    <w:lvl w:ilvl="7" w:tplc="08090019" w:tentative="1">
      <w:start w:val="1"/>
      <w:numFmt w:val="lowerLetter"/>
      <w:lvlText w:val="%8."/>
      <w:lvlJc w:val="left"/>
      <w:pPr>
        <w:ind w:left="6194" w:hanging="360"/>
      </w:pPr>
    </w:lvl>
    <w:lvl w:ilvl="8" w:tplc="0809001B" w:tentative="1">
      <w:start w:val="1"/>
      <w:numFmt w:val="lowerRoman"/>
      <w:lvlText w:val="%9."/>
      <w:lvlJc w:val="right"/>
      <w:pPr>
        <w:ind w:left="6914" w:hanging="180"/>
      </w:pPr>
    </w:lvl>
  </w:abstractNum>
  <w:num w:numId="1">
    <w:abstractNumId w:val="3"/>
  </w:num>
  <w:num w:numId="2">
    <w:abstractNumId w:val="0"/>
  </w:num>
  <w:num w:numId="3">
    <w:abstractNumId w:val="2"/>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80"/>
  <w:proofState w:spelling="clean" w:grammar="clean"/>
  <w:defaultTabStop w:val="720"/>
  <w:characterSpacingControl w:val="doNotCompress"/>
  <w:savePreviewPicture/>
  <w:footnotePr>
    <w:footnote w:id="-1"/>
    <w:footnote w:id="0"/>
  </w:footnotePr>
  <w:endnotePr>
    <w:endnote w:id="-1"/>
    <w:endnote w:id="0"/>
  </w:endnotePr>
  <w:compat/>
  <w:rsids>
    <w:rsidRoot w:val="007D1947"/>
    <w:rsid w:val="000514DC"/>
    <w:rsid w:val="00084E65"/>
    <w:rsid w:val="000E0BA8"/>
    <w:rsid w:val="00107936"/>
    <w:rsid w:val="00115B96"/>
    <w:rsid w:val="001224E4"/>
    <w:rsid w:val="001263A3"/>
    <w:rsid w:val="0013023D"/>
    <w:rsid w:val="00131FA8"/>
    <w:rsid w:val="00161270"/>
    <w:rsid w:val="001F05CF"/>
    <w:rsid w:val="0023314B"/>
    <w:rsid w:val="00241DA9"/>
    <w:rsid w:val="002F25C3"/>
    <w:rsid w:val="00324CCD"/>
    <w:rsid w:val="003444C4"/>
    <w:rsid w:val="003858F2"/>
    <w:rsid w:val="003918F8"/>
    <w:rsid w:val="003924D2"/>
    <w:rsid w:val="00396F6F"/>
    <w:rsid w:val="003C33C3"/>
    <w:rsid w:val="003D4D06"/>
    <w:rsid w:val="003F314F"/>
    <w:rsid w:val="004143BC"/>
    <w:rsid w:val="00423D04"/>
    <w:rsid w:val="00462DF1"/>
    <w:rsid w:val="00480872"/>
    <w:rsid w:val="004A11F6"/>
    <w:rsid w:val="004A15DD"/>
    <w:rsid w:val="004B79BE"/>
    <w:rsid w:val="004D519C"/>
    <w:rsid w:val="00505C07"/>
    <w:rsid w:val="00520743"/>
    <w:rsid w:val="00530657"/>
    <w:rsid w:val="00552198"/>
    <w:rsid w:val="00570C36"/>
    <w:rsid w:val="005760E2"/>
    <w:rsid w:val="005A0A98"/>
    <w:rsid w:val="005A2196"/>
    <w:rsid w:val="005B5139"/>
    <w:rsid w:val="005E4900"/>
    <w:rsid w:val="005F67E7"/>
    <w:rsid w:val="005F7369"/>
    <w:rsid w:val="00602085"/>
    <w:rsid w:val="00634A49"/>
    <w:rsid w:val="006368CE"/>
    <w:rsid w:val="00647B4B"/>
    <w:rsid w:val="00677745"/>
    <w:rsid w:val="00687C4A"/>
    <w:rsid w:val="006910A7"/>
    <w:rsid w:val="006B7181"/>
    <w:rsid w:val="006E7EE0"/>
    <w:rsid w:val="006F7DAE"/>
    <w:rsid w:val="007119F9"/>
    <w:rsid w:val="00711E42"/>
    <w:rsid w:val="00715735"/>
    <w:rsid w:val="0071756C"/>
    <w:rsid w:val="00731443"/>
    <w:rsid w:val="007674D4"/>
    <w:rsid w:val="00775D61"/>
    <w:rsid w:val="00785853"/>
    <w:rsid w:val="007B2D22"/>
    <w:rsid w:val="007C5B8C"/>
    <w:rsid w:val="007D1947"/>
    <w:rsid w:val="00800358"/>
    <w:rsid w:val="00807766"/>
    <w:rsid w:val="00833214"/>
    <w:rsid w:val="00836F5B"/>
    <w:rsid w:val="00846BE3"/>
    <w:rsid w:val="0086198B"/>
    <w:rsid w:val="00886914"/>
    <w:rsid w:val="008955AC"/>
    <w:rsid w:val="008D500A"/>
    <w:rsid w:val="008E54E9"/>
    <w:rsid w:val="008F2433"/>
    <w:rsid w:val="008F4809"/>
    <w:rsid w:val="008F4B79"/>
    <w:rsid w:val="009127E5"/>
    <w:rsid w:val="00922832"/>
    <w:rsid w:val="009260DE"/>
    <w:rsid w:val="00931CAA"/>
    <w:rsid w:val="0095068B"/>
    <w:rsid w:val="009930EC"/>
    <w:rsid w:val="009D7ECC"/>
    <w:rsid w:val="009E19C5"/>
    <w:rsid w:val="009F7016"/>
    <w:rsid w:val="00A12B58"/>
    <w:rsid w:val="00A855BE"/>
    <w:rsid w:val="00AA2A91"/>
    <w:rsid w:val="00AE4623"/>
    <w:rsid w:val="00B810EC"/>
    <w:rsid w:val="00BC46C9"/>
    <w:rsid w:val="00BE21F7"/>
    <w:rsid w:val="00BE6676"/>
    <w:rsid w:val="00C460C3"/>
    <w:rsid w:val="00CA09F3"/>
    <w:rsid w:val="00D26043"/>
    <w:rsid w:val="00D52715"/>
    <w:rsid w:val="00D53704"/>
    <w:rsid w:val="00D56B18"/>
    <w:rsid w:val="00D854A5"/>
    <w:rsid w:val="00DB133A"/>
    <w:rsid w:val="00DB21C5"/>
    <w:rsid w:val="00E1229F"/>
    <w:rsid w:val="00E41A73"/>
    <w:rsid w:val="00E53189"/>
    <w:rsid w:val="00E6086E"/>
    <w:rsid w:val="00E7324D"/>
    <w:rsid w:val="00E8316E"/>
    <w:rsid w:val="00E85A0B"/>
    <w:rsid w:val="00EA2F9B"/>
    <w:rsid w:val="00EB3E25"/>
    <w:rsid w:val="00EE49D1"/>
    <w:rsid w:val="00F0181F"/>
    <w:rsid w:val="00F16C1A"/>
    <w:rsid w:val="00F42BDF"/>
    <w:rsid w:val="00F57DEB"/>
    <w:rsid w:val="00F71171"/>
    <w:rsid w:val="00F821EC"/>
    <w:rsid w:val="00F8303A"/>
    <w:rsid w:val="00F92923"/>
    <w:rsid w:val="00FB79A7"/>
    <w:rsid w:val="00FC5506"/>
    <w:rsid w:val="00FC5E1A"/>
    <w:rsid w:val="00FE505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E6676"/>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59"/>
    <w:rsid w:val="008F4B7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8F4B79"/>
    <w:pPr>
      <w:spacing w:after="200" w:line="276" w:lineRule="auto"/>
      <w:ind w:left="720"/>
      <w:contextualSpacing/>
    </w:pPr>
  </w:style>
  <w:style w:type="paragraph" w:styleId="BalloonText">
    <w:name w:val="Balloon Text"/>
    <w:basedOn w:val="Normal"/>
    <w:link w:val="BalloonTextChar"/>
    <w:uiPriority w:val="99"/>
    <w:semiHidden/>
    <w:unhideWhenUsed/>
    <w:rsid w:val="007314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31443"/>
    <w:rPr>
      <w:rFonts w:ascii="Tahoma" w:hAnsi="Tahoma" w:cs="Tahoma"/>
      <w:sz w:val="16"/>
      <w:szCs w:val="16"/>
    </w:rPr>
  </w:style>
  <w:style w:type="paragraph" w:styleId="Header">
    <w:name w:val="header"/>
    <w:basedOn w:val="Normal"/>
    <w:link w:val="HeaderChar"/>
    <w:uiPriority w:val="99"/>
    <w:semiHidden/>
    <w:unhideWhenUsed/>
    <w:rsid w:val="00AE462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E4623"/>
  </w:style>
  <w:style w:type="paragraph" w:styleId="Footer">
    <w:name w:val="footer"/>
    <w:basedOn w:val="Normal"/>
    <w:link w:val="FooterChar"/>
    <w:uiPriority w:val="99"/>
    <w:semiHidden/>
    <w:unhideWhenUsed/>
    <w:rsid w:val="00AE462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E4623"/>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2024-04-15T00:00:00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Version="6">
  <b:Source>
    <b:Tag>Smi20</b:Tag>
    <b:SourceType>InternetSite</b:SourceType>
    <b:Guid>{6FFA4E63-28E4-4F50-97FD-26146B679106}</b:Guid>
    <b:LCID>0</b:LCID>
    <b:Author>
      <b:Author>
        <b:NameList>
          <b:Person>
            <b:Last>Smithers</b:Last>
            <b:First>Rebecca</b:First>
          </b:Person>
          <b:Person>
            <b:Last>Blackall</b:Last>
            <b:First>Molly</b:First>
          </b:Person>
        </b:NameList>
      </b:Author>
    </b:Author>
    <b:Title>UK staycation boom lifts sales of camping gear</b:Title>
    <b:Year>2020</b:Year>
    <b:YearAccessed>2024</b:YearAccessed>
    <b:MonthAccessed>April</b:MonthAccessed>
    <b:DayAccessed>01</b:DayAccessed>
    <b:URL>https://www.theguardian.com</b:URL>
    <b:RefOrder>2</b:RefOrder>
  </b:Source>
  <b:Source>
    <b:Tag>Cam21</b:Tag>
    <b:SourceType>InternetSite</b:SourceType>
    <b:Guid>{227E7BFD-780B-46D5-8307-82535E6005CD}</b:Guid>
    <b:LCID>0</b:LCID>
    <b:Author>
      <b:Author>
        <b:Corporate>Camping Trade World</b:Corporate>
      </b:Author>
    </b:Author>
    <b:Title>Camping buying trends revealed by major UK retailer</b:Title>
    <b:Year>2021</b:Year>
    <b:YearAccessed>2024</b:YearAccessed>
    <b:MonthAccessed>April</b:MonthAccessed>
    <b:DayAccessed>01</b:DayAccessed>
    <b:URL>https://www.campingtradeworld.com</b:URL>
    <b:RefOrder>3</b:RefOrder>
  </b:Source>
  <b:Source>
    <b:Tag>Uni222</b:Tag>
    <b:SourceType>InternetSite</b:SourceType>
    <b:Guid>{1D0BCDDF-9C3C-4906-8211-B3754863E518}</b:Guid>
    <b:LCID>0</b:LCID>
    <b:Author>
      <b:Author>
        <b:Corporate>UnivDatos Market Insights</b:Corporate>
      </b:Author>
    </b:Author>
    <b:Title>Camping Equipment Market to Witness CAGR of 7% (2022-2028)</b:Title>
    <b:Year>2022</b:Year>
    <b:YearAccessed>2024</b:YearAccessed>
    <b:MonthAccessed>April</b:MonthAccessed>
    <b:DayAccessed>01</b:DayAccessed>
    <b:URL>https://www.PRNewswire</b:URL>
    <b:RefOrder>4</b:RefOrder>
  </b:Source>
  <b:Source>
    <b:Tag>Sta233</b:Tag>
    <b:SourceType>InternetSite</b:SourceType>
    <b:Guid>{716D5CFE-DB2F-4531-B0E5-67D12C6A3331}</b:Guid>
    <b:LCID>0</b:LCID>
    <b:Author>
      <b:Author>
        <b:Corporate>Statista</b:Corporate>
      </b:Author>
    </b:Author>
    <b:Title>Camping-United Kingdom</b:Title>
    <b:Year>2023</b:Year>
    <b:YearAccessed>2024</b:YearAccessed>
    <b:MonthAccessed>April</b:MonthAccessed>
    <b:DayAccessed>01</b:DayAccessed>
    <b:URL>https://www.statista.com</b:URL>
    <b:RefOrder>5</b:RefOrder>
  </b:Source>
  <b:Source>
    <b:Tag>BBC20</b:Tag>
    <b:SourceType>InternetSite</b:SourceType>
    <b:Guid>{55408A76-C1DA-4FB1-8433-ECAD89D12A57}</b:Guid>
    <b:LCID>0</b:LCID>
    <b:Author>
      <b:Author>
        <b:Corporate>BBC</b:Corporate>
      </b:Author>
    </b:Author>
    <b:Title>Coronavirus: Go Outdoors set to call in administrators</b:Title>
    <b:Year>2020</b:Year>
    <b:YearAccessed>2024</b:YearAccessed>
    <b:MonthAccessed>April</b:MonthAccessed>
    <b:DayAccessed>01</b:DayAccessed>
    <b:URL>https://www.bbc.co.uk</b:URL>
    <b:RefOrder>6</b:RefOrder>
  </b:Source>
  <b:Source>
    <b:Tag>Nor23</b:Tag>
    <b:SourceType>InternetSite</b:SourceType>
    <b:Guid>{159668B8-BED1-43EE-A778-8466101CC58F}</b:Guid>
    <b:LCID>0</b:LCID>
    <b:Author>
      <b:Author>
        <b:NameList>
          <b:Person>
            <b:Last>Norman</b:Last>
            <b:First>Matthew</b:First>
          </b:Person>
        </b:NameList>
      </b:Author>
    </b:Author>
    <b:Title>Go Outdoors Oxford will permanently close its doors</b:Title>
    <b:Year>2023</b:Year>
    <b:YearAccessed>2024</b:YearAccessed>
    <b:MonthAccessed>April</b:MonthAccessed>
    <b:DayAccessed>01</b:DayAccessed>
    <b:URL>https://www.oxfordmail.co.uk</b:URL>
    <b:RefOrder>7</b:RefOrder>
  </b:Source>
  <b:Source>
    <b:Tag>The231</b:Tag>
    <b:SourceType>InternetSite</b:SourceType>
    <b:Guid>{26FC99F0-F1CB-4154-816D-97097B68837D}</b:Guid>
    <b:LCID>0</b:LCID>
    <b:Author>
      <b:Author>
        <b:Corporate>The Outdoor Guide</b:Corporate>
      </b:Author>
    </b:Author>
    <b:Title>The History of Camping and Outdoor Gear</b:Title>
    <b:Year>2023</b:Year>
    <b:YearAccessed>2024</b:YearAccessed>
    <b:MonthAccessed>April</b:MonthAccessed>
    <b:DayAccessed>01</b:DayAccessed>
    <b:URL>https://www.the outdoorguide.co.uk</b:URL>
    <b:RefOrder>8</b:RefOrder>
  </b:Source>
  <b:Source>
    <b:Tag>Pap21</b:Tag>
    <b:SourceType>InternetSite</b:SourceType>
    <b:Guid>{3749972F-9B94-4FE6-9B3C-47B46092420B}</b:Guid>
    <b:LCID>0</b:LCID>
    <b:Author>
      <b:Author>
        <b:NameList>
          <b:Person>
            <b:Last>Papoutsi</b:Last>
            <b:First>Melina</b:First>
          </b:Person>
        </b:NameList>
      </b:Author>
    </b:Author>
    <b:Title>Lending relationships in loan renegotiation: evidence from corporate loans</b:Title>
    <b:Year>2021</b:Year>
    <b:YearAccessed>2024</b:YearAccessed>
    <b:MonthAccessed>April</b:MonthAccessed>
    <b:DayAccessed>01</b:DayAccessed>
    <b:URL>https://www.ecb.europa.eu</b:URL>
    <b:RefOrder>9</b:RefOrder>
  </b:Source>
  <b:Source>
    <b:Tag>Dru21</b:Tag>
    <b:SourceType>Book</b:SourceType>
    <b:Guid>{CB135118-9CCA-48B8-9B6F-D418F1C80003}</b:Guid>
    <b:LCID>0</b:LCID>
    <b:Author>
      <b:Author>
        <b:NameList>
          <b:Person>
            <b:Last>Drury</b:Last>
            <b:First>Colin</b:First>
          </b:Person>
        </b:NameList>
      </b:Author>
    </b:Author>
    <b:Title>Management and cost accounting</b:Title>
    <b:Year>2021</b:Year>
    <b:City>Australia</b:City>
    <b:Publisher>Cengage</b:Publisher>
    <b:Edition>11'th Edition</b:Edition>
    <b:RefOrder>21</b:RefOrder>
  </b:Source>
  <b:Source>
    <b:Tag>Dys20</b:Tag>
    <b:SourceType>Book</b:SourceType>
    <b:Guid>{CAA2A7CC-FD59-48F7-ADBC-FD77DAEEDE39}</b:Guid>
    <b:LCID>0</b:LCID>
    <b:Author>
      <b:Author>
        <b:NameList>
          <b:Person>
            <b:Last>Dyson</b:Last>
            <b:First>J.</b:First>
            <b:Middle>R.</b:Middle>
          </b:Person>
        </b:NameList>
      </b:Author>
    </b:Author>
    <b:Title>Accounting for non-accounting students</b:Title>
    <b:Year>2020</b:Year>
    <b:City>Harlow</b:City>
    <b:Publisher>Pearson</b:Publisher>
    <b:Edition>10'th Edition</b:Edition>
    <b:RefOrder>22</b:RefOrder>
  </b:Source>
  <b:Source>
    <b:Tag>Had21</b:Tag>
    <b:SourceType>JournalArticle</b:SourceType>
    <b:Guid>{632335BE-88FF-413C-A13B-5DDA93EFA659}</b:Guid>
    <b:LCID>0</b:LCID>
    <b:Author>
      <b:Author>
        <b:NameList>
          <b:Person>
            <b:Last>Hadid</b:Last>
            <b:First>Wael</b:First>
          </b:Person>
          <b:Person>
            <b:Last>Al-Sayed</b:Last>
            <b:First>Mahmoud</b:First>
          </b:Person>
        </b:NameList>
      </b:Author>
    </b:Author>
    <b:Title>Management accountants and strategic management accounting: The role of organizational culture and information systems</b:Title>
    <b:Year>2021</b:Year>
    <b:JournalName>Management Accounting Research</b:JournalName>
    <b:Pages>100725</b:Pages>
    <b:Volume>50</b:Volume>
    <b:Issue>1</b:Issue>
    <b:RefOrder>1</b:RefOrder>
  </b:Source>
  <b:Source>
    <b:Tag>Hor20</b:Tag>
    <b:SourceType>Book</b:SourceType>
    <b:Guid>{F146E44B-B6A3-40DF-86CD-8F184A70438B}</b:Guid>
    <b:LCID>0</b:LCID>
    <b:Author>
      <b:Author>
        <b:NameList>
          <b:Person>
            <b:Last>Horner</b:Last>
            <b:First>D</b:First>
          </b:Person>
        </b:NameList>
      </b:Author>
    </b:Author>
    <b:Title>Accounting for Non Accountants</b:Title>
    <b:Year>2020</b:Year>
    <b:City>London</b:City>
    <b:Publisher>Kogan Press</b:Publisher>
    <b:Edition>Twelfth Edition</b:Edition>
    <b:RefOrder>10</b:RefOrder>
  </b:Source>
  <b:Source>
    <b:Tag>Wal09</b:Tag>
    <b:SourceType>Book</b:SourceType>
    <b:Guid>{B9889D35-F074-4319-9B32-EFA9A4C4FB7A}</b:Guid>
    <b:LCID>0</b:LCID>
    <b:Author>
      <b:Author>
        <b:NameList>
          <b:Person>
            <b:Last>Walsh</b:Last>
            <b:First>C</b:First>
          </b:Person>
        </b:NameList>
      </b:Author>
    </b:Author>
    <b:Title>Key Management Ratios</b:Title>
    <b:Year>2009</b:Year>
    <b:City>Harlow</b:City>
    <b:Publisher>Pearson Education Limited</b:Publisher>
    <b:RefOrder>23</b:RefOrder>
  </b:Source>
  <b:Source>
    <b:Tag>Dav23</b:Tag>
    <b:SourceType>JournalArticle</b:SourceType>
    <b:Guid>{D9C8E08D-EF1F-49BB-9E62-7E8CF7B2FC74}</b:Guid>
    <b:LCID>0</b:LCID>
    <b:Author>
      <b:Author>
        <b:NameList>
          <b:Person>
            <b:Last>Davila</b:Last>
            <b:First>Antonio</b:First>
          </b:Person>
          <b:Person>
            <b:Last>Derchi</b:Last>
            <b:First>Giovanni-Battista</b:First>
          </b:Person>
          <b:Person>
            <b:Last>Oyon</b:Last>
            <b:First>Daniel</b:First>
          </b:Person>
          <b:Person>
            <b:Last>Schnegg</b:Last>
            <b:First>Mael</b:First>
          </b:Person>
        </b:NameList>
      </b:Author>
    </b:Author>
    <b:Title>External complexity and the design of management control systems: a case study</b:Title>
    <b:Year>2023</b:Year>
    <b:Pages>100875</b:Pages>
    <b:JournalName>Management Accounting Research</b:JournalName>
    <b:Volume>4</b:Volume>
    <b:Issue>1</b:Issue>
    <b:RefOrder>11</b:RefOrder>
  </b:Source>
  <b:Source>
    <b:Tag>Mar121</b:Tag>
    <b:SourceType>Book</b:SourceType>
    <b:Guid>{C831E07E-17BD-4D02-96A2-0BF85052EBEC}</b:Guid>
    <b:LCID>0</b:LCID>
    <b:Author>
      <b:Author>
        <b:NameList>
          <b:Person>
            <b:Last>Marr</b:Last>
            <b:First>Bernard</b:First>
          </b:Person>
        </b:NameList>
      </b:Author>
    </b:Author>
    <b:Title>Key performance indicators: the 75 measures every manager needs to know</b:Title>
    <b:Year>2012</b:Year>
    <b:City>Harlow</b:City>
    <b:Publisher>Pearson</b:Publisher>
    <b:Edition>First Edition</b:Edition>
    <b:RefOrder>24</b:RefOrder>
  </b:Source>
  <b:Source>
    <b:Tag>Wal08</b:Tag>
    <b:SourceType>Book</b:SourceType>
    <b:Guid>{05A91FD8-8DC5-4381-8B85-6CD0CDDBB202}</b:Guid>
    <b:LCID>0</b:LCID>
    <b:Author>
      <b:Author>
        <b:NameList>
          <b:Person>
            <b:Last>Walsh</b:Last>
            <b:First>Ciaran</b:First>
          </b:Person>
        </b:NameList>
      </b:Author>
    </b:Author>
    <b:Title>Key management ratios: 100+ ratios every manager should know</b:Title>
    <b:Year>2008</b:Year>
    <b:City>Harlow</b:City>
    <b:Publisher>FT Prentis Hall</b:Publisher>
    <b:Edition>Fourth Edition</b:Edition>
    <b:RefOrder>16</b:RefOrder>
  </b:Source>
  <b:Source>
    <b:Tag>Law23</b:Tag>
    <b:SourceType>InternetSite</b:SourceType>
    <b:Guid>{CF727757-26A8-40A9-8609-3B538B4DF4D5}</b:Guid>
    <b:LCID>0</b:LCID>
    <b:Author>
      <b:Author>
        <b:NameList>
          <b:Person>
            <b:Last>Lawrence</b:Last>
            <b:First>Paul</b:First>
            <b:Middle>R.</b:Middle>
          </b:Person>
        </b:NameList>
      </b:Author>
    </b:Author>
    <b:Title>How to Deal with Resistance to Change</b:Title>
    <b:Year>2023</b:Year>
    <b:YearAccessed>2024</b:YearAccessed>
    <b:MonthAccessed>April</b:MonthAccessed>
    <b:DayAccessed>02</b:DayAccessed>
    <b:URL>https://www.hbr.org</b:URL>
    <b:RefOrder>12</b:RefOrder>
  </b:Source>
  <b:Source>
    <b:Tag>Wal13</b:Tag>
    <b:SourceType>JournalArticle</b:SourceType>
    <b:Guid>{E2982106-1614-4C16-A784-0B250C98284B}</b:Guid>
    <b:LCID>0</b:LCID>
    <b:Author>
      <b:Author>
        <b:NameList>
          <b:Person>
            <b:Last>Walker</b:Last>
            <b:First>Kenton</b:First>
            <b:Middle>B</b:Middle>
          </b:Person>
          <b:Person>
            <b:Last>Fleischman</b:Last>
            <b:First>Gary</b:First>
            <b:Middle>M</b:Middle>
          </b:Person>
        </b:NameList>
      </b:Author>
    </b:Author>
    <b:Title>Toeing the Line: The Ethics of Manipulating Budgets and Earnings</b:Title>
    <b:Year>2013</b:Year>
    <b:JournalName>Management Accounting</b:JournalName>
    <b:Pages>1-8</b:Pages>
    <b:Volume>14</b:Volume>
    <b:Issue>3</b:Issue>
    <b:RefOrder>13</b:RefOrder>
  </b:Source>
  <b:Source>
    <b:Tag>Han18</b:Tag>
    <b:SourceType>JournalArticle</b:SourceType>
    <b:Guid>{812EC1F9-C7D1-4F79-9B17-0C0A4B40F03C}</b:Guid>
    <b:LCID>0</b:LCID>
    <b:Author>
      <b:Author>
        <b:NameList>
          <b:Person>
            <b:Last>Handoyo</b:Last>
            <b:First>Sofik</b:First>
          </b:Person>
        </b:NameList>
      </b:Author>
    </b:Author>
    <b:Title>Study Motivation, Academic Performance and Commitment Career in Accounting Profession</b:Title>
    <b:JournalName>Journal of Education and Learning</b:JournalName>
    <b:Year>2018</b:Year>
    <b:Pages>366-375</b:Pages>
    <b:Volume>12</b:Volume>
    <b:Issue>3</b:Issue>
    <b:RefOrder>14</b:RefOrder>
  </b:Source>
  <b:Source>
    <b:Tag>Mun06</b:Tag>
    <b:SourceType>JournalArticle</b:SourceType>
    <b:Guid>{7E6687D2-7C04-4001-85D5-16E9953940D4}</b:Guid>
    <b:LCID>0</b:LCID>
    <b:Author>
      <b:Author>
        <b:NameList>
          <b:Person>
            <b:Last>Munoz</b:Last>
            <b:First>Sandra</b:First>
          </b:Person>
          <b:Person>
            <b:Last>Ho</b:Last>
            <b:First>Joanna</b:First>
          </b:Person>
          <b:Person>
            <b:Last>Chow</b:Last>
            <b:First>Chee</b:First>
          </b:Person>
        </b:NameList>
      </b:Author>
    </b:Author>
    <b:Title>Enhancing Knowledge Sharing in Public Accounting Firms</b:Title>
    <b:JournalName>Accounting Horizons</b:JournalName>
    <b:Year>2006</b:Year>
    <b:Pages>133-135</b:Pages>
    <b:Volume>20</b:Volume>
    <b:Issue>2</b:Issue>
    <b:RefOrder>15</b:RefOrder>
  </b:Source>
  <b:Source>
    <b:Tag>Sea19</b:Tag>
    <b:SourceType>Book</b:SourceType>
    <b:Guid>{CB352F5D-43C4-4FFD-A398-94E4D318FF64}</b:Guid>
    <b:LCID>0</b:LCID>
    <b:Author>
      <b:Author>
        <b:NameList>
          <b:Person>
            <b:Last>Seal</b:Last>
            <b:First>W.</b:First>
            <b:Middle>B.</b:Middle>
          </b:Person>
          <b:Person>
            <b:Last>Rohde</b:Last>
            <b:First>Carsten</b:First>
          </b:Person>
          <b:Person>
            <b:Last>Garrison</b:Last>
            <b:First>Ray</b:First>
            <b:Middle>H.</b:Middle>
          </b:Person>
          <b:Person>
            <b:Last>Noreen</b:Last>
            <b:First>Eric</b:First>
            <b:Middle>W.</b:Middle>
          </b:Person>
        </b:NameList>
      </b:Author>
    </b:Author>
    <b:Title>Management accounting</b:Title>
    <b:Year>2019</b:Year>
    <b:City>London</b:City>
    <b:Publisher>McGraw-Hill Education</b:Publisher>
    <b:Edition>Sixth Edition</b:Edition>
    <b:RefOrder>17</b:RefOrder>
  </b:Source>
  <b:Source>
    <b:Tag>Atr21</b:Tag>
    <b:SourceType>Book</b:SourceType>
    <b:Guid>{66436BE2-B3B1-4433-A7DA-5CAF8AD6FB8E}</b:Guid>
    <b:LCID>0</b:LCID>
    <b:Author>
      <b:Author>
        <b:NameList>
          <b:Person>
            <b:Last>Atrill</b:Last>
            <b:First>Peter</b:First>
          </b:Person>
          <b:Person>
            <b:Last>McLaney</b:Last>
            <b:First>Eddie</b:First>
          </b:Person>
        </b:NameList>
      </b:Author>
    </b:Author>
    <b:Title>Management Accounting for Decision Makers</b:Title>
    <b:Year>2021</b:Year>
    <b:City>Harlow</b:City>
    <b:Publisher>Pearson Education Ltd</b:Publisher>
    <b:Edition>Tenth Edition</b:Edition>
    <b:RefOrder>18</b:RefOrder>
  </b:Source>
  <b:Source>
    <b:Tag>Liy21</b:Tag>
    <b:SourceType>InternetSite</b:SourceType>
    <b:Guid>{017C0990-0238-45DC-9E45-9D32462DA0A0}</b:Guid>
    <b:LCID>0</b:LCID>
    <b:Author>
      <b:Author>
        <b:NameList>
          <b:Person>
            <b:Last>Liyanage</b:Last>
            <b:First>Thisali</b:First>
          </b:Person>
        </b:NameList>
      </b:Author>
    </b:Author>
    <b:Title>From 'Traditional' Budgeting to 'Better' Budgeting: Navigating through 'Stability' and 'Change'</b:Title>
    <b:Year>2021</b:Year>
    <b:YearAccessed>2024</b:YearAccessed>
    <b:MonthAccessed>April</b:MonthAccessed>
    <b:DayAccessed>02</b:DayAccessed>
    <b:URL>https://academia.edu</b:URL>
    <b:RefOrder>19</b:RefOrder>
  </b:Source>
  <b:Source>
    <b:Tag>ACC24</b:Tag>
    <b:SourceType>InternetSite</b:SourceType>
    <b:Guid>{38841905-87A0-4467-9ED2-ECC51871595C}</b:Guid>
    <b:LCID>0</b:LCID>
    <b:Author>
      <b:Author>
        <b:Corporate>ACCA Global</b:Corporate>
      </b:Author>
    </b:Author>
    <b:Title>Beyond budgeting</b:Title>
    <b:Year>2024</b:Year>
    <b:YearAccessed>2024</b:YearAccessed>
    <b:MonthAccessed>April</b:MonthAccessed>
    <b:DayAccessed>03</b:DayAccessed>
    <b:URL>https://www.accaglobal.com</b:URL>
    <b:RefOrder>20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C3A1A0E-A8D0-4324-A169-5AC1B4F471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4278</TotalTime>
  <Pages>14</Pages>
  <Words>2608</Words>
  <Characters>14867</Characters>
  <Application>Microsoft Office Word</Application>
  <DocSecurity>0</DocSecurity>
  <Lines>123</Lines>
  <Paragraphs>34</Paragraphs>
  <ScaleCrop>false</ScaleCrop>
  <HeadingPairs>
    <vt:vector size="4" baseType="variant">
      <vt:variant>
        <vt:lpstr>Title</vt:lpstr>
      </vt:variant>
      <vt:variant>
        <vt:i4>1</vt:i4>
      </vt:variant>
      <vt:variant>
        <vt:lpstr>Headings</vt:lpstr>
      </vt:variant>
      <vt:variant>
        <vt:i4>30</vt:i4>
      </vt:variant>
    </vt:vector>
  </HeadingPairs>
  <TitlesOfParts>
    <vt:vector size="31" baseType="lpstr">
      <vt:lpstr>budgeting principles and approaches - edwards</vt:lpstr>
      <vt:lpstr>Executive Summary</vt:lpstr>
      <vt:lpstr>Introduction </vt:lpstr>
      <vt:lpstr>Main Findings</vt:lpstr>
      <vt:lpstr>    </vt:lpstr>
      <vt:lpstr>    Edwards’ Six Months Budget Forecast</vt:lpstr>
      <vt:lpstr>    </vt:lpstr>
      <vt:lpstr>    An Analysis of the Six Months Budget Forecast</vt:lpstr>
      <vt:lpstr>    3.Budgeting and budgetary controls</vt:lpstr>
      <vt:lpstr>    4.Critical evaluation of traditional approaches to budgeting</vt:lpstr>
      <vt:lpstr/>
      <vt:lpstr/>
      <vt:lpstr/>
      <vt:lpstr/>
      <vt:lpstr/>
      <vt:lpstr/>
      <vt:lpstr/>
      <vt:lpstr/>
      <vt:lpstr/>
      <vt:lpstr/>
      <vt:lpstr/>
      <vt:lpstr/>
      <vt:lpstr/>
      <vt:lpstr/>
      <vt:lpstr/>
      <vt:lpstr/>
      <vt:lpstr/>
      <vt:lpstr/>
      <vt:lpstr>Conclusion (average of 10% of word count)</vt:lpstr>
      <vt:lpstr>Appendix 1</vt:lpstr>
      <vt:lpstr>Bibliography</vt:lpstr>
    </vt:vector>
  </TitlesOfParts>
  <Company>University of Wales Trinity Saint David</Company>
  <LinksUpToDate>false</LinksUpToDate>
  <CharactersWithSpaces>17441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budgeting principles and approaches - edwards</dc:title>
  <dc:subject>Irina Kitley 2219546 </dc:subject>
  <dc:creator>Marie Pitson</dc:creator>
  <cp:lastModifiedBy>irina ramniceanu</cp:lastModifiedBy>
  <cp:revision>121</cp:revision>
  <cp:lastPrinted>2024-04-02T19:09:00Z</cp:lastPrinted>
  <dcterms:created xsi:type="dcterms:W3CDTF">2024-04-01T21:48:00Z</dcterms:created>
  <dcterms:modified xsi:type="dcterms:W3CDTF">2024-04-07T22:13:00Z</dcterms:modified>
</cp:coreProperties>
</file>