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Override1.xml" ContentType="application/vnd.openxmlformats-officedocument.themeOverride+xml"/>
  <Override PartName="/word/charts/chart6.xml" ContentType="application/vnd.openxmlformats-officedocument.drawingml.chart+xml"/>
  <Override PartName="/word/theme/themeOverride2.xml" ContentType="application/vnd.openxmlformats-officedocument.themeOverride+xml"/>
  <Override PartName="/word/charts/chart7.xml" ContentType="application/vnd.openxmlformats-officedocument.drawingml.chart+xml"/>
  <Override PartName="/word/theme/themeOverride3.xml" ContentType="application/vnd.openxmlformats-officedocument.themeOverride+xml"/>
  <Override PartName="/word/charts/chart8.xml" ContentType="application/vnd.openxmlformats-officedocument.drawingml.chart+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lang w:val="en-GB"/>
        </w:rPr>
        <w:id w:val="-2084894386"/>
        <w:docPartObj>
          <w:docPartGallery w:val="Cover Pages"/>
          <w:docPartUnique/>
        </w:docPartObj>
      </w:sdtPr>
      <w:sdtEndPr>
        <w:rPr>
          <w:b/>
          <w:bCs/>
        </w:rPr>
      </w:sdtEndPr>
      <w:sdtContent>
        <w:p w14:paraId="6FB1DA26" w14:textId="48036B5E" w:rsidR="00AA124B" w:rsidRPr="008C2F09" w:rsidRDefault="00B03657">
          <w:pPr>
            <w:rPr>
              <w:lang w:val="en-GB"/>
            </w:rPr>
          </w:pPr>
          <w:r w:rsidRPr="008C2F09">
            <w:rPr>
              <w:noProof/>
              <w:lang w:val="en-GB" w:eastAsia="en-GB"/>
            </w:rPr>
            <mc:AlternateContent>
              <mc:Choice Requires="wps">
                <w:drawing>
                  <wp:anchor distT="0" distB="0" distL="114300" distR="114300" simplePos="0" relativeHeight="251659264" behindDoc="0" locked="0" layoutInCell="1" allowOverlap="1" wp14:anchorId="463AD3B5" wp14:editId="176B4A08">
                    <wp:simplePos x="0" y="0"/>
                    <wp:positionH relativeFrom="column">
                      <wp:posOffset>-16926</wp:posOffset>
                    </wp:positionH>
                    <wp:positionV relativeFrom="paragraph">
                      <wp:posOffset>-16926</wp:posOffset>
                    </wp:positionV>
                    <wp:extent cx="5896303" cy="8954814"/>
                    <wp:effectExtent l="0" t="0" r="0" b="0"/>
                    <wp:wrapNone/>
                    <wp:docPr id="993943233" name="Szövegdoboz 14"/>
                    <wp:cNvGraphicFramePr/>
                    <a:graphic xmlns:a="http://schemas.openxmlformats.org/drawingml/2006/main">
                      <a:graphicData uri="http://schemas.microsoft.com/office/word/2010/wordprocessingShape">
                        <wps:wsp>
                          <wps:cNvSpPr txBox="1"/>
                          <wps:spPr>
                            <a:xfrm>
                              <a:off x="0" y="0"/>
                              <a:ext cx="5896303" cy="8954814"/>
                            </a:xfrm>
                            <a:prstGeom prst="rect">
                              <a:avLst/>
                            </a:prstGeom>
                            <a:solidFill>
                              <a:schemeClr val="lt1"/>
                            </a:solidFill>
                            <a:ln w="6350">
                              <a:noFill/>
                            </a:ln>
                          </wps:spPr>
                          <wps:txbx>
                            <w:txbxContent>
                              <w:p w14:paraId="38006B04" w14:textId="77777777" w:rsidR="00B03657" w:rsidRDefault="00B03657" w:rsidP="00B03657">
                                <w:pPr>
                                  <w:spacing w:after="0"/>
                                  <w:ind w:firstLine="0"/>
                                  <w:rPr>
                                    <w:sz w:val="40"/>
                                    <w:szCs w:val="40"/>
                                  </w:rPr>
                                </w:pPr>
                              </w:p>
                              <w:p w14:paraId="0B936B15" w14:textId="77777777" w:rsidR="00B03657" w:rsidRDefault="00B03657" w:rsidP="00B03657">
                                <w:pPr>
                                  <w:spacing w:after="0"/>
                                  <w:ind w:firstLine="0"/>
                                  <w:rPr>
                                    <w:sz w:val="40"/>
                                    <w:szCs w:val="40"/>
                                  </w:rPr>
                                </w:pPr>
                              </w:p>
                              <w:p w14:paraId="0E9E0BC2" w14:textId="77777777" w:rsidR="00B03657" w:rsidRDefault="00B03657" w:rsidP="00B03657">
                                <w:pPr>
                                  <w:spacing w:after="0"/>
                                  <w:ind w:firstLine="0"/>
                                  <w:rPr>
                                    <w:sz w:val="40"/>
                                    <w:szCs w:val="40"/>
                                  </w:rPr>
                                </w:pPr>
                              </w:p>
                              <w:p w14:paraId="219419A4" w14:textId="1A39D363" w:rsidR="00B03657" w:rsidRPr="00B03657" w:rsidRDefault="00FA6DC6" w:rsidP="00B03657">
                                <w:pPr>
                                  <w:spacing w:after="0"/>
                                  <w:ind w:firstLine="0"/>
                                  <w:rPr>
                                    <w:sz w:val="48"/>
                                    <w:szCs w:val="48"/>
                                  </w:rPr>
                                </w:pPr>
                                <w:r>
                                  <w:rPr>
                                    <w:sz w:val="48"/>
                                    <w:szCs w:val="48"/>
                                  </w:rPr>
                                  <w:t>Financial M</w:t>
                                </w:r>
                                <w:r w:rsidR="00C910A8">
                                  <w:rPr>
                                    <w:sz w:val="48"/>
                                    <w:szCs w:val="48"/>
                                  </w:rPr>
                                  <w:t>anagement for the Hotel I</w:t>
                                </w:r>
                                <w:r w:rsidR="00B03657" w:rsidRPr="00B03657">
                                  <w:rPr>
                                    <w:sz w:val="48"/>
                                    <w:szCs w:val="48"/>
                                  </w:rPr>
                                  <w:t>ndustry</w:t>
                                </w:r>
                              </w:p>
                              <w:p w14:paraId="67E8E9A1" w14:textId="49A85C47" w:rsidR="00B03657" w:rsidRDefault="00B03657" w:rsidP="00B03657">
                                <w:pPr>
                                  <w:ind w:firstLine="0"/>
                                  <w:rPr>
                                    <w:sz w:val="48"/>
                                    <w:szCs w:val="48"/>
                                  </w:rPr>
                                </w:pPr>
                                <w:r w:rsidRPr="00B03657">
                                  <w:rPr>
                                    <w:sz w:val="48"/>
                                    <w:szCs w:val="48"/>
                                  </w:rPr>
                                  <w:t>BMIH5007</w:t>
                                </w:r>
                              </w:p>
                              <w:p w14:paraId="5B2167C5" w14:textId="29336698" w:rsidR="00C910A8" w:rsidRPr="00C910A8" w:rsidRDefault="00C910A8" w:rsidP="00B03657">
                                <w:pPr>
                                  <w:ind w:firstLine="0"/>
                                  <w:rPr>
                                    <w:sz w:val="32"/>
                                    <w:szCs w:val="32"/>
                                  </w:rPr>
                                </w:pPr>
                                <w:r w:rsidRPr="00C910A8">
                                  <w:rPr>
                                    <w:sz w:val="32"/>
                                    <w:szCs w:val="32"/>
                                    <w:lang w:val="en-GB"/>
                                  </w:rPr>
                                  <w:t>Lector’s name: Tristan Hawkins</w:t>
                                </w:r>
                              </w:p>
                              <w:p w14:paraId="329A846E" w14:textId="77777777" w:rsidR="00B03657" w:rsidRDefault="00B03657" w:rsidP="00B03657">
                                <w:pPr>
                                  <w:ind w:firstLine="0"/>
                                  <w:rPr>
                                    <w:sz w:val="40"/>
                                    <w:szCs w:val="40"/>
                                  </w:rPr>
                                </w:pPr>
                              </w:p>
                              <w:p w14:paraId="1ADAE7C7" w14:textId="77777777" w:rsidR="00B03657" w:rsidRDefault="00B03657" w:rsidP="00B03657">
                                <w:pPr>
                                  <w:ind w:firstLine="0"/>
                                  <w:rPr>
                                    <w:sz w:val="40"/>
                                    <w:szCs w:val="40"/>
                                  </w:rPr>
                                </w:pPr>
                              </w:p>
                              <w:p w14:paraId="590FF605" w14:textId="23798274" w:rsidR="00B03657" w:rsidRDefault="00C910A8" w:rsidP="00C910A8">
                                <w:pPr>
                                  <w:spacing w:after="0"/>
                                  <w:ind w:firstLine="0"/>
                                  <w:jc w:val="right"/>
                                  <w:rPr>
                                    <w:sz w:val="28"/>
                                    <w:szCs w:val="28"/>
                                  </w:rPr>
                                </w:pPr>
                                <w:r>
                                  <w:rPr>
                                    <w:sz w:val="28"/>
                                    <w:szCs w:val="28"/>
                                  </w:rPr>
                                  <w:t xml:space="preserve">Student name: </w:t>
                                </w:r>
                                <w:r w:rsidR="00B03657" w:rsidRPr="00B03657">
                                  <w:rPr>
                                    <w:sz w:val="28"/>
                                    <w:szCs w:val="28"/>
                                  </w:rPr>
                                  <w:t>Aniko Takacsne Feher</w:t>
                                </w:r>
                              </w:p>
                              <w:p w14:paraId="41881B8B" w14:textId="078E5517" w:rsidR="00B03657" w:rsidRDefault="00C910A8" w:rsidP="00C910A8">
                                <w:pPr>
                                  <w:ind w:firstLine="0"/>
                                  <w:jc w:val="right"/>
                                  <w:rPr>
                                    <w:sz w:val="28"/>
                                    <w:szCs w:val="28"/>
                                  </w:rPr>
                                </w:pPr>
                                <w:r>
                                  <w:rPr>
                                    <w:sz w:val="28"/>
                                    <w:szCs w:val="28"/>
                                  </w:rPr>
                                  <w:t xml:space="preserve">Student ID: </w:t>
                                </w:r>
                                <w:r w:rsidR="00B03657" w:rsidRPr="00B03657">
                                  <w:rPr>
                                    <w:sz w:val="28"/>
                                    <w:szCs w:val="28"/>
                                  </w:rPr>
                                  <w:t>2245369</w:t>
                                </w:r>
                              </w:p>
                              <w:p w14:paraId="5510A64D" w14:textId="244A6677" w:rsidR="00E23485" w:rsidRDefault="00C910A8" w:rsidP="00C910A8">
                                <w:pPr>
                                  <w:ind w:firstLine="0"/>
                                  <w:jc w:val="right"/>
                                  <w:rPr>
                                    <w:sz w:val="28"/>
                                    <w:szCs w:val="28"/>
                                  </w:rPr>
                                </w:pPr>
                                <w:r>
                                  <w:rPr>
                                    <w:sz w:val="28"/>
                                    <w:szCs w:val="28"/>
                                  </w:rPr>
                                  <w:t>Word count: 2</w:t>
                                </w:r>
                                <w:r w:rsidR="00E23485">
                                  <w:rPr>
                                    <w:sz w:val="28"/>
                                    <w:szCs w:val="28"/>
                                  </w:rPr>
                                  <w:t>19</w:t>
                                </w:r>
                                <w:r w:rsidR="005A1300">
                                  <w:rPr>
                                    <w:sz w:val="28"/>
                                    <w:szCs w:val="28"/>
                                  </w:rPr>
                                  <w:t>3</w:t>
                                </w:r>
                                <w:r w:rsidR="00E23485">
                                  <w:rPr>
                                    <w:sz w:val="28"/>
                                    <w:szCs w:val="28"/>
                                  </w:rPr>
                                  <w:t xml:space="preserve"> </w:t>
                                </w:r>
                              </w:p>
                              <w:p w14:paraId="7A6308A0" w14:textId="40652EE0" w:rsidR="00C910A8" w:rsidRPr="00B03657" w:rsidRDefault="00E23485" w:rsidP="00C910A8">
                                <w:pPr>
                                  <w:ind w:firstLine="0"/>
                                  <w:jc w:val="right"/>
                                  <w:rPr>
                                    <w:sz w:val="28"/>
                                    <w:szCs w:val="28"/>
                                  </w:rPr>
                                </w:pPr>
                                <w:r w:rsidRPr="00E23485">
                                  <w:rPr>
                                    <w:sz w:val="18"/>
                                    <w:szCs w:val="18"/>
                                  </w:rPr>
                                  <w:t>(no include the diagrams,</w:t>
                                </w:r>
                                <w:r w:rsidR="00EA7AC1">
                                  <w:rPr>
                                    <w:sz w:val="18"/>
                                    <w:szCs w:val="18"/>
                                  </w:rPr>
                                  <w:t xml:space="preserve"> </w:t>
                                </w:r>
                                <w:r w:rsidRPr="00E23485">
                                  <w:rPr>
                                    <w:sz w:val="18"/>
                                    <w:szCs w:val="18"/>
                                  </w:rPr>
                                  <w:t>figures, reference list, first page, table of contents</w:t>
                                </w:r>
                                <w:r>
                                  <w:rPr>
                                    <w:sz w:val="18"/>
                                    <w:szCs w:val="18"/>
                                  </w:rPr>
                                  <w:t>)</w:t>
                                </w:r>
                              </w:p>
                              <w:p w14:paraId="5A3D2866" w14:textId="77777777" w:rsidR="00C910A8" w:rsidRDefault="00C910A8" w:rsidP="00C910A8">
                                <w:pPr>
                                  <w:spacing w:after="0"/>
                                  <w:ind w:firstLine="0"/>
                                  <w:contextualSpacing/>
                                  <w:rPr>
                                    <w:rFonts w:ascii="Times New Roman" w:hAnsi="Times New Roman" w:cs="Times New Roman"/>
                                    <w:b/>
                                  </w:rPr>
                                </w:pPr>
                              </w:p>
                              <w:p w14:paraId="7743BCF3" w14:textId="77777777" w:rsidR="00C910A8" w:rsidRDefault="00C910A8" w:rsidP="00C910A8">
                                <w:pPr>
                                  <w:spacing w:after="0"/>
                                  <w:ind w:firstLine="0"/>
                                  <w:contextualSpacing/>
                                  <w:rPr>
                                    <w:rFonts w:ascii="Times New Roman" w:hAnsi="Times New Roman" w:cs="Times New Roman"/>
                                    <w:b/>
                                  </w:rPr>
                                </w:pPr>
                              </w:p>
                              <w:p w14:paraId="7CB4A5B1" w14:textId="77777777" w:rsidR="00C910A8" w:rsidRDefault="00C910A8" w:rsidP="00C910A8">
                                <w:pPr>
                                  <w:spacing w:after="0"/>
                                  <w:ind w:firstLine="0"/>
                                  <w:contextualSpacing/>
                                  <w:rPr>
                                    <w:rFonts w:ascii="Times New Roman" w:hAnsi="Times New Roman" w:cs="Times New Roman"/>
                                    <w:b/>
                                  </w:rPr>
                                </w:pPr>
                              </w:p>
                              <w:p w14:paraId="39457B66" w14:textId="77777777" w:rsidR="00C910A8" w:rsidRDefault="00C910A8" w:rsidP="00C910A8">
                                <w:pPr>
                                  <w:spacing w:after="0"/>
                                  <w:ind w:firstLine="0"/>
                                  <w:contextualSpacing/>
                                  <w:rPr>
                                    <w:rFonts w:ascii="Times New Roman" w:hAnsi="Times New Roman" w:cs="Times New Roman"/>
                                    <w:b/>
                                  </w:rPr>
                                </w:pPr>
                              </w:p>
                              <w:p w14:paraId="399BDAE3" w14:textId="77777777" w:rsidR="00C910A8" w:rsidRDefault="00C910A8" w:rsidP="00C910A8">
                                <w:pPr>
                                  <w:spacing w:after="0"/>
                                  <w:ind w:firstLine="0"/>
                                  <w:contextualSpacing/>
                                  <w:rPr>
                                    <w:rFonts w:ascii="Times New Roman" w:hAnsi="Times New Roman" w:cs="Times New Roman"/>
                                    <w:b/>
                                  </w:rPr>
                                </w:pPr>
                              </w:p>
                              <w:p w14:paraId="346BDD3C" w14:textId="77777777" w:rsidR="00C910A8" w:rsidRPr="008E5E7A" w:rsidRDefault="00C910A8" w:rsidP="00C910A8">
                                <w:pPr>
                                  <w:spacing w:after="0"/>
                                  <w:ind w:firstLine="0"/>
                                  <w:contextualSpacing/>
                                  <w:rPr>
                                    <w:rFonts w:ascii="Times New Roman" w:hAnsi="Times New Roman" w:cs="Times New Roman"/>
                                    <w:b/>
                                  </w:rPr>
                                </w:pPr>
                                <w:r w:rsidRPr="008E5E7A">
                                  <w:rPr>
                                    <w:rFonts w:ascii="Times New Roman" w:hAnsi="Times New Roman" w:cs="Times New Roman"/>
                                    <w:b/>
                                  </w:rPr>
                                  <w:t>Basic Acknowledgement format of AI tool use</w:t>
                                </w:r>
                              </w:p>
                              <w:p w14:paraId="29130896" w14:textId="77777777" w:rsidR="00C910A8" w:rsidRDefault="00C910A8" w:rsidP="00C910A8">
                                <w:pPr>
                                  <w:spacing w:after="0"/>
                                  <w:ind w:firstLine="0"/>
                                  <w:contextualSpacing/>
                                  <w:rPr>
                                    <w:rFonts w:ascii="Times New Roman" w:hAnsi="Times New Roman" w:cs="Times New Roman"/>
                                  </w:rPr>
                                </w:pPr>
                                <w:r w:rsidRPr="00E06282">
                                  <w:rPr>
                                    <w:rFonts w:ascii="Times New Roman" w:hAnsi="Times New Roman" w:cs="Times New Roman"/>
                                  </w:rPr>
                                  <w:t>I confirm that I have not presented any AI generated text as my own work.</w:t>
                                </w:r>
                              </w:p>
                              <w:p w14:paraId="134509AA" w14:textId="77777777" w:rsidR="00B03657" w:rsidRPr="00B03657" w:rsidRDefault="00B03657" w:rsidP="00B03657">
                                <w:pPr>
                                  <w:ind w:firstLine="0"/>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Szövegdoboz 14" o:spid="_x0000_s1026" type="#_x0000_t202" style="position:absolute;left:0;text-align:left;margin-left:-1.35pt;margin-top:-1.35pt;width:464.3pt;height:705.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" fillcolor="white [3201]" stroked="f" strokeweight=".5pt">
                    <v:textbox>
                      <w:txbxContent>
                        <w:p w14:paraId="38006B04" w14:textId="77777777" w:rsidR="00B03657" w:rsidRDefault="00B03657" w:rsidP="00B03657">
                          <w:pPr>
                            <w:spacing w:after="0"/>
                            <w:ind w:firstLine="0"/>
                            <w:rPr>
                              <w:sz w:val="40"/>
                              <w:szCs w:val="40"/>
                            </w:rPr>
                          </w:pPr>
                        </w:p>
                        <w:p w14:paraId="0B936B15" w14:textId="77777777" w:rsidR="00B03657" w:rsidRDefault="00B03657" w:rsidP="00B03657">
                          <w:pPr>
                            <w:spacing w:after="0"/>
                            <w:ind w:firstLine="0"/>
                            <w:rPr>
                              <w:sz w:val="40"/>
                              <w:szCs w:val="40"/>
                            </w:rPr>
                          </w:pPr>
                        </w:p>
                        <w:p w14:paraId="0E9E0BC2" w14:textId="77777777" w:rsidR="00B03657" w:rsidRDefault="00B03657" w:rsidP="00B03657">
                          <w:pPr>
                            <w:spacing w:after="0"/>
                            <w:ind w:firstLine="0"/>
                            <w:rPr>
                              <w:sz w:val="40"/>
                              <w:szCs w:val="40"/>
                            </w:rPr>
                          </w:pPr>
                        </w:p>
                        <w:p w14:paraId="219419A4" w14:textId="1A39D363" w:rsidR="00B03657" w:rsidRPr="00B03657" w:rsidRDefault="00FA6DC6" w:rsidP="00B03657">
                          <w:pPr>
                            <w:spacing w:after="0"/>
                            <w:ind w:firstLine="0"/>
                            <w:rPr>
                              <w:sz w:val="48"/>
                              <w:szCs w:val="48"/>
                            </w:rPr>
                          </w:pPr>
                          <w:r>
                            <w:rPr>
                              <w:sz w:val="48"/>
                              <w:szCs w:val="48"/>
                            </w:rPr>
                            <w:t>Financial M</w:t>
                          </w:r>
                          <w:r w:rsidR="00C910A8">
                            <w:rPr>
                              <w:sz w:val="48"/>
                              <w:szCs w:val="48"/>
                            </w:rPr>
                            <w:t>anagement for the Hotel I</w:t>
                          </w:r>
                          <w:r w:rsidR="00B03657" w:rsidRPr="00B03657">
                            <w:rPr>
                              <w:sz w:val="48"/>
                              <w:szCs w:val="48"/>
                            </w:rPr>
                            <w:t>ndustry</w:t>
                          </w:r>
                        </w:p>
                        <w:p w14:paraId="67E8E9A1" w14:textId="49A85C47" w:rsidR="00B03657" w:rsidRDefault="00B03657" w:rsidP="00B03657">
                          <w:pPr>
                            <w:ind w:firstLine="0"/>
                            <w:rPr>
                              <w:sz w:val="48"/>
                              <w:szCs w:val="48"/>
                            </w:rPr>
                          </w:pPr>
                          <w:r w:rsidRPr="00B03657">
                            <w:rPr>
                              <w:sz w:val="48"/>
                              <w:szCs w:val="48"/>
                            </w:rPr>
                            <w:t>BMIH5007</w:t>
                          </w:r>
                        </w:p>
                        <w:p w14:paraId="5B2167C5" w14:textId="29336698" w:rsidR="00C910A8" w:rsidRPr="00C910A8" w:rsidRDefault="00C910A8" w:rsidP="00B03657">
                          <w:pPr>
                            <w:ind w:firstLine="0"/>
                            <w:rPr>
                              <w:sz w:val="32"/>
                              <w:szCs w:val="32"/>
                            </w:rPr>
                          </w:pPr>
                          <w:r w:rsidRPr="00C910A8">
                            <w:rPr>
                              <w:sz w:val="32"/>
                              <w:szCs w:val="32"/>
                              <w:lang w:val="en-GB"/>
                            </w:rPr>
                            <w:t>Lector’s name: Tristan Hawkins</w:t>
                          </w:r>
                        </w:p>
                        <w:p w14:paraId="329A846E" w14:textId="77777777" w:rsidR="00B03657" w:rsidRDefault="00B03657" w:rsidP="00B03657">
                          <w:pPr>
                            <w:ind w:firstLine="0"/>
                            <w:rPr>
                              <w:sz w:val="40"/>
                              <w:szCs w:val="40"/>
                            </w:rPr>
                          </w:pPr>
                        </w:p>
                        <w:p w14:paraId="1ADAE7C7" w14:textId="77777777" w:rsidR="00B03657" w:rsidRDefault="00B03657" w:rsidP="00B03657">
                          <w:pPr>
                            <w:ind w:firstLine="0"/>
                            <w:rPr>
                              <w:sz w:val="40"/>
                              <w:szCs w:val="40"/>
                            </w:rPr>
                          </w:pPr>
                        </w:p>
                        <w:p w14:paraId="590FF605" w14:textId="23798274" w:rsidR="00B03657" w:rsidRDefault="00C910A8" w:rsidP="00C910A8">
                          <w:pPr>
                            <w:spacing w:after="0"/>
                            <w:ind w:firstLine="0"/>
                            <w:jc w:val="right"/>
                            <w:rPr>
                              <w:sz w:val="28"/>
                              <w:szCs w:val="28"/>
                            </w:rPr>
                          </w:pPr>
                          <w:r>
                            <w:rPr>
                              <w:sz w:val="28"/>
                              <w:szCs w:val="28"/>
                            </w:rPr>
                            <w:t xml:space="preserve">Student name: </w:t>
                          </w:r>
                          <w:r w:rsidR="00B03657" w:rsidRPr="00B03657">
                            <w:rPr>
                              <w:sz w:val="28"/>
                              <w:szCs w:val="28"/>
                            </w:rPr>
                            <w:t>Aniko Takacsne Feher</w:t>
                          </w:r>
                        </w:p>
                        <w:p w14:paraId="41881B8B" w14:textId="078E5517" w:rsidR="00B03657" w:rsidRDefault="00C910A8" w:rsidP="00C910A8">
                          <w:pPr>
                            <w:ind w:firstLine="0"/>
                            <w:jc w:val="right"/>
                            <w:rPr>
                              <w:sz w:val="28"/>
                              <w:szCs w:val="28"/>
                            </w:rPr>
                          </w:pPr>
                          <w:r>
                            <w:rPr>
                              <w:sz w:val="28"/>
                              <w:szCs w:val="28"/>
                            </w:rPr>
                            <w:t xml:space="preserve">Student ID: </w:t>
                          </w:r>
                          <w:r w:rsidR="00B03657" w:rsidRPr="00B03657">
                            <w:rPr>
                              <w:sz w:val="28"/>
                              <w:szCs w:val="28"/>
                            </w:rPr>
                            <w:t>2245369</w:t>
                          </w:r>
                        </w:p>
                        <w:p w14:paraId="5510A64D" w14:textId="244A6677" w:rsidR="00E23485" w:rsidRDefault="00C910A8" w:rsidP="00C910A8">
                          <w:pPr>
                            <w:ind w:firstLine="0"/>
                            <w:jc w:val="right"/>
                            <w:rPr>
                              <w:sz w:val="28"/>
                              <w:szCs w:val="28"/>
                            </w:rPr>
                          </w:pPr>
                          <w:r>
                            <w:rPr>
                              <w:sz w:val="28"/>
                              <w:szCs w:val="28"/>
                            </w:rPr>
                            <w:t>Word count: 2</w:t>
                          </w:r>
                          <w:r w:rsidR="00E23485">
                            <w:rPr>
                              <w:sz w:val="28"/>
                              <w:szCs w:val="28"/>
                            </w:rPr>
                            <w:t>19</w:t>
                          </w:r>
                          <w:r w:rsidR="005A1300">
                            <w:rPr>
                              <w:sz w:val="28"/>
                              <w:szCs w:val="28"/>
                            </w:rPr>
                            <w:t>3</w:t>
                          </w:r>
                          <w:r w:rsidR="00E23485">
                            <w:rPr>
                              <w:sz w:val="28"/>
                              <w:szCs w:val="28"/>
                            </w:rPr>
                            <w:t xml:space="preserve"> </w:t>
                          </w:r>
                        </w:p>
                        <w:p w14:paraId="7A6308A0" w14:textId="40652EE0" w:rsidR="00C910A8" w:rsidRPr="00B03657" w:rsidRDefault="00E23485" w:rsidP="00C910A8">
                          <w:pPr>
                            <w:ind w:firstLine="0"/>
                            <w:jc w:val="right"/>
                            <w:rPr>
                              <w:sz w:val="28"/>
                              <w:szCs w:val="28"/>
                            </w:rPr>
                          </w:pPr>
                          <w:r w:rsidRPr="00E23485">
                            <w:rPr>
                              <w:sz w:val="18"/>
                              <w:szCs w:val="18"/>
                            </w:rPr>
                            <w:t>(no include the diagrams,</w:t>
                          </w:r>
                          <w:r w:rsidR="00EA7AC1">
                            <w:rPr>
                              <w:sz w:val="18"/>
                              <w:szCs w:val="18"/>
                            </w:rPr>
                            <w:t xml:space="preserve"> </w:t>
                          </w:r>
                          <w:bookmarkStart w:id="1" w:name="_GoBack"/>
                          <w:bookmarkEnd w:id="1"/>
                          <w:r w:rsidRPr="00E23485">
                            <w:rPr>
                              <w:sz w:val="18"/>
                              <w:szCs w:val="18"/>
                            </w:rPr>
                            <w:t>figures, reference list, first page, table of contents</w:t>
                          </w:r>
                          <w:r>
                            <w:rPr>
                              <w:sz w:val="18"/>
                              <w:szCs w:val="18"/>
                            </w:rPr>
                            <w:t>)</w:t>
                          </w:r>
                        </w:p>
                        <w:p w14:paraId="5A3D2866" w14:textId="77777777" w:rsidR="00C910A8" w:rsidRDefault="00C910A8" w:rsidP="00C910A8">
                          <w:pPr>
                            <w:spacing w:after="0"/>
                            <w:ind w:firstLine="0"/>
                            <w:contextualSpacing/>
                            <w:rPr>
                              <w:rFonts w:ascii="Times New Roman" w:hAnsi="Times New Roman" w:cs="Times New Roman"/>
                              <w:b/>
                            </w:rPr>
                          </w:pPr>
                        </w:p>
                        <w:p w14:paraId="7743BCF3" w14:textId="77777777" w:rsidR="00C910A8" w:rsidRDefault="00C910A8" w:rsidP="00C910A8">
                          <w:pPr>
                            <w:spacing w:after="0"/>
                            <w:ind w:firstLine="0"/>
                            <w:contextualSpacing/>
                            <w:rPr>
                              <w:rFonts w:ascii="Times New Roman" w:hAnsi="Times New Roman" w:cs="Times New Roman"/>
                              <w:b/>
                            </w:rPr>
                          </w:pPr>
                        </w:p>
                        <w:p w14:paraId="7CB4A5B1" w14:textId="77777777" w:rsidR="00C910A8" w:rsidRDefault="00C910A8" w:rsidP="00C910A8">
                          <w:pPr>
                            <w:spacing w:after="0"/>
                            <w:ind w:firstLine="0"/>
                            <w:contextualSpacing/>
                            <w:rPr>
                              <w:rFonts w:ascii="Times New Roman" w:hAnsi="Times New Roman" w:cs="Times New Roman"/>
                              <w:b/>
                            </w:rPr>
                          </w:pPr>
                        </w:p>
                        <w:p w14:paraId="39457B66" w14:textId="77777777" w:rsidR="00C910A8" w:rsidRDefault="00C910A8" w:rsidP="00C910A8">
                          <w:pPr>
                            <w:spacing w:after="0"/>
                            <w:ind w:firstLine="0"/>
                            <w:contextualSpacing/>
                            <w:rPr>
                              <w:rFonts w:ascii="Times New Roman" w:hAnsi="Times New Roman" w:cs="Times New Roman"/>
                              <w:b/>
                            </w:rPr>
                          </w:pPr>
                        </w:p>
                        <w:p w14:paraId="399BDAE3" w14:textId="77777777" w:rsidR="00C910A8" w:rsidRDefault="00C910A8" w:rsidP="00C910A8">
                          <w:pPr>
                            <w:spacing w:after="0"/>
                            <w:ind w:firstLine="0"/>
                            <w:contextualSpacing/>
                            <w:rPr>
                              <w:rFonts w:ascii="Times New Roman" w:hAnsi="Times New Roman" w:cs="Times New Roman"/>
                              <w:b/>
                            </w:rPr>
                          </w:pPr>
                        </w:p>
                        <w:p w14:paraId="346BDD3C" w14:textId="77777777" w:rsidR="00C910A8" w:rsidRPr="008E5E7A" w:rsidRDefault="00C910A8" w:rsidP="00C910A8">
                          <w:pPr>
                            <w:spacing w:after="0"/>
                            <w:ind w:firstLine="0"/>
                            <w:contextualSpacing/>
                            <w:rPr>
                              <w:rFonts w:ascii="Times New Roman" w:hAnsi="Times New Roman" w:cs="Times New Roman"/>
                              <w:b/>
                            </w:rPr>
                          </w:pPr>
                          <w:r w:rsidRPr="008E5E7A">
                            <w:rPr>
                              <w:rFonts w:ascii="Times New Roman" w:hAnsi="Times New Roman" w:cs="Times New Roman"/>
                              <w:b/>
                            </w:rPr>
                            <w:t>Basic Acknowledgement format of AI tool use</w:t>
                          </w:r>
                        </w:p>
                        <w:p w14:paraId="29130896" w14:textId="77777777" w:rsidR="00C910A8" w:rsidRDefault="00C910A8" w:rsidP="00C910A8">
                          <w:pPr>
                            <w:spacing w:after="0"/>
                            <w:ind w:firstLine="0"/>
                            <w:contextualSpacing/>
                            <w:rPr>
                              <w:rFonts w:ascii="Times New Roman" w:hAnsi="Times New Roman" w:cs="Times New Roman"/>
                            </w:rPr>
                          </w:pPr>
                          <w:r w:rsidRPr="00E06282">
                            <w:rPr>
                              <w:rFonts w:ascii="Times New Roman" w:hAnsi="Times New Roman" w:cs="Times New Roman"/>
                            </w:rPr>
                            <w:t>I confirm that I have not presented any AI generated text as my own work.</w:t>
                          </w:r>
                        </w:p>
                        <w:p w14:paraId="134509AA" w14:textId="77777777" w:rsidR="00B03657" w:rsidRPr="00B03657" w:rsidRDefault="00B03657" w:rsidP="00B03657">
                          <w:pPr>
                            <w:ind w:firstLine="0"/>
                            <w:rPr>
                              <w:sz w:val="40"/>
                              <w:szCs w:val="40"/>
                            </w:rPr>
                          </w:pPr>
                        </w:p>
                      </w:txbxContent>
                    </v:textbox>
                  </v:shape>
                </w:pict>
              </mc:Fallback>
            </mc:AlternateContent>
          </w:r>
        </w:p>
        <w:p w14:paraId="61C13BAD" w14:textId="5588BB42" w:rsidR="00AA124B" w:rsidRPr="008C2F09" w:rsidRDefault="00AA124B">
          <w:pPr>
            <w:spacing w:after="0" w:line="240" w:lineRule="auto"/>
            <w:ind w:firstLine="0"/>
            <w:jc w:val="left"/>
            <w:rPr>
              <w:lang w:val="en-GB"/>
            </w:rPr>
          </w:pPr>
          <w:r w:rsidRPr="008C2F09">
            <w:rPr>
              <w:b/>
              <w:bCs/>
              <w:lang w:val="en-GB"/>
            </w:rPr>
            <w:br w:type="page"/>
          </w:r>
        </w:p>
      </w:sdtContent>
    </w:sdt>
    <w:sdt>
      <w:sdtPr>
        <w:rPr>
          <w:rFonts w:asciiTheme="majorBidi" w:eastAsiaTheme="minorEastAsia" w:hAnsiTheme="majorBidi" w:cstheme="minorBidi"/>
          <w:b w:val="0"/>
          <w:bCs w:val="0"/>
          <w:color w:val="auto"/>
          <w:kern w:val="2"/>
          <w:sz w:val="24"/>
          <w:szCs w:val="24"/>
          <w:lang w:val="en-GB"/>
          <w14:ligatures w14:val="standardContextual"/>
        </w:rPr>
        <w:id w:val="-1357418922"/>
        <w:docPartObj>
          <w:docPartGallery w:val="Table of Contents"/>
          <w:docPartUnique/>
        </w:docPartObj>
      </w:sdtPr>
      <w:sdtEndPr>
        <w:rPr>
          <w:noProof/>
        </w:rPr>
      </w:sdtEndPr>
      <w:sdtContent>
        <w:p w14:paraId="3EDB22DC" w14:textId="193EE0EF" w:rsidR="00CF02F8" w:rsidRPr="008C2F09" w:rsidRDefault="00CF02F8">
          <w:pPr>
            <w:pStyle w:val="TOCHeading"/>
            <w:rPr>
              <w:lang w:val="en-GB"/>
            </w:rPr>
          </w:pPr>
          <w:r w:rsidRPr="008C2F09">
            <w:rPr>
              <w:lang w:val="en-GB"/>
            </w:rPr>
            <w:t>Ta</w:t>
          </w:r>
          <w:r w:rsidR="00C910A8">
            <w:rPr>
              <w:lang w:val="en-GB"/>
            </w:rPr>
            <w:t xml:space="preserve">ble of contents </w:t>
          </w:r>
        </w:p>
        <w:p w14:paraId="32098A5C" w14:textId="77777777" w:rsidR="008609F0" w:rsidRDefault="00CF02F8">
          <w:pPr>
            <w:pStyle w:val="TOC1"/>
            <w:tabs>
              <w:tab w:val="left" w:pos="1200"/>
              <w:tab w:val="right" w:leader="dot" w:pos="9056"/>
            </w:tabs>
            <w:rPr>
              <w:rFonts w:cstheme="minorBidi"/>
              <w:b w:val="0"/>
              <w:bCs w:val="0"/>
              <w:noProof/>
              <w:kern w:val="0"/>
              <w:sz w:val="22"/>
              <w:szCs w:val="22"/>
              <w:lang w:val="en-GB" w:eastAsia="en-GB"/>
              <w14:ligatures w14:val="none"/>
            </w:rPr>
          </w:pPr>
          <w:r w:rsidRPr="008C2F09">
            <w:rPr>
              <w:b w:val="0"/>
              <w:bCs w:val="0"/>
              <w:lang w:val="en-GB"/>
            </w:rPr>
            <w:fldChar w:fldCharType="begin"/>
          </w:r>
          <w:r w:rsidRPr="008C2F09">
            <w:rPr>
              <w:lang w:val="en-GB"/>
            </w:rPr>
            <w:instrText>TOC \o "1-3" \h \z \u</w:instrText>
          </w:r>
          <w:r w:rsidRPr="008C2F09">
            <w:rPr>
              <w:b w:val="0"/>
              <w:bCs w:val="0"/>
              <w:lang w:val="en-GB"/>
            </w:rPr>
            <w:fldChar w:fldCharType="separate"/>
          </w:r>
          <w:hyperlink w:anchor="_Toc180072806" w:history="1">
            <w:r w:rsidR="008609F0" w:rsidRPr="00E24B03">
              <w:rPr>
                <w:rStyle w:val="Hyperlink"/>
                <w:noProof/>
                <w:lang w:val="en-GB"/>
              </w:rPr>
              <w:t>1.</w:t>
            </w:r>
            <w:r w:rsidR="008609F0">
              <w:rPr>
                <w:rFonts w:cstheme="minorBidi"/>
                <w:b w:val="0"/>
                <w:bCs w:val="0"/>
                <w:noProof/>
                <w:kern w:val="0"/>
                <w:sz w:val="22"/>
                <w:szCs w:val="22"/>
                <w:lang w:val="en-GB" w:eastAsia="en-GB"/>
                <w14:ligatures w14:val="none"/>
              </w:rPr>
              <w:tab/>
            </w:r>
            <w:r w:rsidR="008609F0" w:rsidRPr="00E24B03">
              <w:rPr>
                <w:rStyle w:val="Hyperlink"/>
                <w:noProof/>
                <w:lang w:val="en-GB"/>
              </w:rPr>
              <w:t>Executive summary</w:t>
            </w:r>
            <w:r w:rsidR="008609F0">
              <w:rPr>
                <w:noProof/>
                <w:webHidden/>
              </w:rPr>
              <w:tab/>
            </w:r>
            <w:r w:rsidR="008609F0">
              <w:rPr>
                <w:noProof/>
                <w:webHidden/>
              </w:rPr>
              <w:fldChar w:fldCharType="begin"/>
            </w:r>
            <w:r w:rsidR="008609F0">
              <w:rPr>
                <w:noProof/>
                <w:webHidden/>
              </w:rPr>
              <w:instrText xml:space="preserve"> PAGEREF _Toc180072806 \h </w:instrText>
            </w:r>
            <w:r w:rsidR="008609F0">
              <w:rPr>
                <w:noProof/>
                <w:webHidden/>
              </w:rPr>
            </w:r>
            <w:r w:rsidR="008609F0">
              <w:rPr>
                <w:noProof/>
                <w:webHidden/>
              </w:rPr>
              <w:fldChar w:fldCharType="separate"/>
            </w:r>
            <w:r w:rsidR="008609F0">
              <w:rPr>
                <w:noProof/>
                <w:webHidden/>
              </w:rPr>
              <w:t>2</w:t>
            </w:r>
            <w:r w:rsidR="008609F0">
              <w:rPr>
                <w:noProof/>
                <w:webHidden/>
              </w:rPr>
              <w:fldChar w:fldCharType="end"/>
            </w:r>
          </w:hyperlink>
        </w:p>
        <w:p w14:paraId="330DB753" w14:textId="77777777" w:rsidR="008609F0" w:rsidRDefault="00E240FB">
          <w:pPr>
            <w:pStyle w:val="TOC1"/>
            <w:tabs>
              <w:tab w:val="left" w:pos="1200"/>
              <w:tab w:val="right" w:leader="dot" w:pos="9056"/>
            </w:tabs>
            <w:rPr>
              <w:rFonts w:cstheme="minorBidi"/>
              <w:b w:val="0"/>
              <w:bCs w:val="0"/>
              <w:noProof/>
              <w:kern w:val="0"/>
              <w:sz w:val="22"/>
              <w:szCs w:val="22"/>
              <w:lang w:val="en-GB" w:eastAsia="en-GB"/>
              <w14:ligatures w14:val="none"/>
            </w:rPr>
          </w:pPr>
          <w:hyperlink w:anchor="_Toc180072807" w:history="1">
            <w:r w:rsidR="008609F0" w:rsidRPr="00E24B03">
              <w:rPr>
                <w:rStyle w:val="Hyperlink"/>
                <w:noProof/>
                <w:lang w:val="en-GB"/>
              </w:rPr>
              <w:t>2.</w:t>
            </w:r>
            <w:r w:rsidR="008609F0">
              <w:rPr>
                <w:rFonts w:cstheme="minorBidi"/>
                <w:b w:val="0"/>
                <w:bCs w:val="0"/>
                <w:noProof/>
                <w:kern w:val="0"/>
                <w:sz w:val="22"/>
                <w:szCs w:val="22"/>
                <w:lang w:val="en-GB" w:eastAsia="en-GB"/>
                <w14:ligatures w14:val="none"/>
              </w:rPr>
              <w:tab/>
            </w:r>
            <w:r w:rsidR="008609F0" w:rsidRPr="00E24B03">
              <w:rPr>
                <w:rStyle w:val="Hyperlink"/>
                <w:noProof/>
                <w:lang w:val="en-GB"/>
              </w:rPr>
              <w:t>Introduction</w:t>
            </w:r>
            <w:r w:rsidR="008609F0">
              <w:rPr>
                <w:noProof/>
                <w:webHidden/>
              </w:rPr>
              <w:tab/>
            </w:r>
            <w:r w:rsidR="008609F0">
              <w:rPr>
                <w:noProof/>
                <w:webHidden/>
              </w:rPr>
              <w:fldChar w:fldCharType="begin"/>
            </w:r>
            <w:r w:rsidR="008609F0">
              <w:rPr>
                <w:noProof/>
                <w:webHidden/>
              </w:rPr>
              <w:instrText xml:space="preserve"> PAGEREF _Toc180072807 \h </w:instrText>
            </w:r>
            <w:r w:rsidR="008609F0">
              <w:rPr>
                <w:noProof/>
                <w:webHidden/>
              </w:rPr>
            </w:r>
            <w:r w:rsidR="008609F0">
              <w:rPr>
                <w:noProof/>
                <w:webHidden/>
              </w:rPr>
              <w:fldChar w:fldCharType="separate"/>
            </w:r>
            <w:r w:rsidR="008609F0">
              <w:rPr>
                <w:noProof/>
                <w:webHidden/>
              </w:rPr>
              <w:t>2</w:t>
            </w:r>
            <w:r w:rsidR="008609F0">
              <w:rPr>
                <w:noProof/>
                <w:webHidden/>
              </w:rPr>
              <w:fldChar w:fldCharType="end"/>
            </w:r>
          </w:hyperlink>
        </w:p>
        <w:p w14:paraId="303EC511" w14:textId="77777777" w:rsidR="008609F0" w:rsidRDefault="00E240FB">
          <w:pPr>
            <w:pStyle w:val="TOC1"/>
            <w:tabs>
              <w:tab w:val="left" w:pos="1200"/>
              <w:tab w:val="right" w:leader="dot" w:pos="9056"/>
            </w:tabs>
            <w:rPr>
              <w:rFonts w:cstheme="minorBidi"/>
              <w:b w:val="0"/>
              <w:bCs w:val="0"/>
              <w:noProof/>
              <w:kern w:val="0"/>
              <w:sz w:val="22"/>
              <w:szCs w:val="22"/>
              <w:lang w:val="en-GB" w:eastAsia="en-GB"/>
              <w14:ligatures w14:val="none"/>
            </w:rPr>
          </w:pPr>
          <w:hyperlink w:anchor="_Toc180072808" w:history="1">
            <w:r w:rsidR="008609F0" w:rsidRPr="00E24B03">
              <w:rPr>
                <w:rStyle w:val="Hyperlink"/>
                <w:noProof/>
                <w:lang w:val="en-GB"/>
              </w:rPr>
              <w:t>3.</w:t>
            </w:r>
            <w:r w:rsidR="008609F0">
              <w:rPr>
                <w:rFonts w:cstheme="minorBidi"/>
                <w:b w:val="0"/>
                <w:bCs w:val="0"/>
                <w:noProof/>
                <w:kern w:val="0"/>
                <w:sz w:val="22"/>
                <w:szCs w:val="22"/>
                <w:lang w:val="en-GB" w:eastAsia="en-GB"/>
                <w14:ligatures w14:val="none"/>
              </w:rPr>
              <w:tab/>
            </w:r>
            <w:r w:rsidR="008609F0" w:rsidRPr="00E24B03">
              <w:rPr>
                <w:rStyle w:val="Hyperlink"/>
                <w:noProof/>
                <w:lang w:val="en-GB"/>
              </w:rPr>
              <w:t>Shangri-La Hotels Analysis</w:t>
            </w:r>
            <w:r w:rsidR="008609F0">
              <w:rPr>
                <w:noProof/>
                <w:webHidden/>
              </w:rPr>
              <w:tab/>
            </w:r>
            <w:r w:rsidR="008609F0">
              <w:rPr>
                <w:noProof/>
                <w:webHidden/>
              </w:rPr>
              <w:fldChar w:fldCharType="begin"/>
            </w:r>
            <w:r w:rsidR="008609F0">
              <w:rPr>
                <w:noProof/>
                <w:webHidden/>
              </w:rPr>
              <w:instrText xml:space="preserve"> PAGEREF _Toc180072808 \h </w:instrText>
            </w:r>
            <w:r w:rsidR="008609F0">
              <w:rPr>
                <w:noProof/>
                <w:webHidden/>
              </w:rPr>
            </w:r>
            <w:r w:rsidR="008609F0">
              <w:rPr>
                <w:noProof/>
                <w:webHidden/>
              </w:rPr>
              <w:fldChar w:fldCharType="separate"/>
            </w:r>
            <w:r w:rsidR="008609F0">
              <w:rPr>
                <w:noProof/>
                <w:webHidden/>
              </w:rPr>
              <w:t>2</w:t>
            </w:r>
            <w:r w:rsidR="008609F0">
              <w:rPr>
                <w:noProof/>
                <w:webHidden/>
              </w:rPr>
              <w:fldChar w:fldCharType="end"/>
            </w:r>
          </w:hyperlink>
        </w:p>
        <w:p w14:paraId="731AF5D0"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09" w:history="1">
            <w:r w:rsidR="008609F0" w:rsidRPr="00E24B03">
              <w:rPr>
                <w:rStyle w:val="Hyperlink"/>
                <w:noProof/>
                <w:lang w:val="en-GB"/>
              </w:rPr>
              <w:t>3.1.</w:t>
            </w:r>
            <w:r w:rsidR="008609F0">
              <w:rPr>
                <w:rFonts w:cstheme="minorBidi"/>
                <w:i w:val="0"/>
                <w:iCs w:val="0"/>
                <w:noProof/>
                <w:kern w:val="0"/>
                <w:sz w:val="22"/>
                <w:szCs w:val="22"/>
                <w:lang w:val="en-GB" w:eastAsia="en-GB"/>
                <w14:ligatures w14:val="none"/>
              </w:rPr>
              <w:tab/>
            </w:r>
            <w:r w:rsidR="008609F0" w:rsidRPr="00E24B03">
              <w:rPr>
                <w:rStyle w:val="Hyperlink"/>
                <w:noProof/>
                <w:lang w:val="en-GB"/>
              </w:rPr>
              <w:t>Total Revenue</w:t>
            </w:r>
            <w:r w:rsidR="008609F0">
              <w:rPr>
                <w:noProof/>
                <w:webHidden/>
              </w:rPr>
              <w:tab/>
            </w:r>
            <w:r w:rsidR="008609F0">
              <w:rPr>
                <w:noProof/>
                <w:webHidden/>
              </w:rPr>
              <w:fldChar w:fldCharType="begin"/>
            </w:r>
            <w:r w:rsidR="008609F0">
              <w:rPr>
                <w:noProof/>
                <w:webHidden/>
              </w:rPr>
              <w:instrText xml:space="preserve"> PAGEREF _Toc180072809 \h </w:instrText>
            </w:r>
            <w:r w:rsidR="008609F0">
              <w:rPr>
                <w:noProof/>
                <w:webHidden/>
              </w:rPr>
            </w:r>
            <w:r w:rsidR="008609F0">
              <w:rPr>
                <w:noProof/>
                <w:webHidden/>
              </w:rPr>
              <w:fldChar w:fldCharType="separate"/>
            </w:r>
            <w:r w:rsidR="008609F0">
              <w:rPr>
                <w:noProof/>
                <w:webHidden/>
              </w:rPr>
              <w:t>2</w:t>
            </w:r>
            <w:r w:rsidR="008609F0">
              <w:rPr>
                <w:noProof/>
                <w:webHidden/>
              </w:rPr>
              <w:fldChar w:fldCharType="end"/>
            </w:r>
          </w:hyperlink>
        </w:p>
        <w:p w14:paraId="6C552831"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10" w:history="1">
            <w:r w:rsidR="008609F0" w:rsidRPr="00E24B03">
              <w:rPr>
                <w:rStyle w:val="Hyperlink"/>
                <w:noProof/>
                <w:lang w:val="en-GB"/>
              </w:rPr>
              <w:t>3.2.</w:t>
            </w:r>
            <w:r w:rsidR="008609F0">
              <w:rPr>
                <w:rFonts w:cstheme="minorBidi"/>
                <w:i w:val="0"/>
                <w:iCs w:val="0"/>
                <w:noProof/>
                <w:kern w:val="0"/>
                <w:sz w:val="22"/>
                <w:szCs w:val="22"/>
                <w:lang w:val="en-GB" w:eastAsia="en-GB"/>
                <w14:ligatures w14:val="none"/>
              </w:rPr>
              <w:tab/>
            </w:r>
            <w:r w:rsidR="008609F0" w:rsidRPr="00E24B03">
              <w:rPr>
                <w:rStyle w:val="Hyperlink"/>
                <w:noProof/>
                <w:lang w:val="en-GB"/>
              </w:rPr>
              <w:t>Porter Strategic Model Approach for Shangri-La Hotels</w:t>
            </w:r>
            <w:r w:rsidR="008609F0">
              <w:rPr>
                <w:noProof/>
                <w:webHidden/>
              </w:rPr>
              <w:tab/>
            </w:r>
            <w:r w:rsidR="008609F0">
              <w:rPr>
                <w:noProof/>
                <w:webHidden/>
              </w:rPr>
              <w:fldChar w:fldCharType="begin"/>
            </w:r>
            <w:r w:rsidR="008609F0">
              <w:rPr>
                <w:noProof/>
                <w:webHidden/>
              </w:rPr>
              <w:instrText xml:space="preserve"> PAGEREF _Toc180072810 \h </w:instrText>
            </w:r>
            <w:r w:rsidR="008609F0">
              <w:rPr>
                <w:noProof/>
                <w:webHidden/>
              </w:rPr>
            </w:r>
            <w:r w:rsidR="008609F0">
              <w:rPr>
                <w:noProof/>
                <w:webHidden/>
              </w:rPr>
              <w:fldChar w:fldCharType="separate"/>
            </w:r>
            <w:r w:rsidR="008609F0">
              <w:rPr>
                <w:noProof/>
                <w:webHidden/>
              </w:rPr>
              <w:t>5</w:t>
            </w:r>
            <w:r w:rsidR="008609F0">
              <w:rPr>
                <w:noProof/>
                <w:webHidden/>
              </w:rPr>
              <w:fldChar w:fldCharType="end"/>
            </w:r>
          </w:hyperlink>
        </w:p>
        <w:p w14:paraId="19F3D4C4"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11" w:history="1">
            <w:r w:rsidR="008609F0" w:rsidRPr="00E24B03">
              <w:rPr>
                <w:rStyle w:val="Hyperlink"/>
                <w:noProof/>
                <w:lang w:val="en-GB"/>
              </w:rPr>
              <w:t>3.3.</w:t>
            </w:r>
            <w:r w:rsidR="008609F0">
              <w:rPr>
                <w:rFonts w:cstheme="minorBidi"/>
                <w:i w:val="0"/>
                <w:iCs w:val="0"/>
                <w:noProof/>
                <w:kern w:val="0"/>
                <w:sz w:val="22"/>
                <w:szCs w:val="22"/>
                <w:lang w:val="en-GB" w:eastAsia="en-GB"/>
                <w14:ligatures w14:val="none"/>
              </w:rPr>
              <w:tab/>
            </w:r>
            <w:r w:rsidR="008609F0" w:rsidRPr="00E24B03">
              <w:rPr>
                <w:rStyle w:val="Hyperlink"/>
                <w:noProof/>
                <w:lang w:val="en-GB"/>
              </w:rPr>
              <w:t>The Shangri-La Hotels Demand and supply analysis</w:t>
            </w:r>
            <w:r w:rsidR="008609F0">
              <w:rPr>
                <w:noProof/>
                <w:webHidden/>
              </w:rPr>
              <w:tab/>
            </w:r>
            <w:r w:rsidR="008609F0">
              <w:rPr>
                <w:noProof/>
                <w:webHidden/>
              </w:rPr>
              <w:fldChar w:fldCharType="begin"/>
            </w:r>
            <w:r w:rsidR="008609F0">
              <w:rPr>
                <w:noProof/>
                <w:webHidden/>
              </w:rPr>
              <w:instrText xml:space="preserve"> PAGEREF _Toc180072811 \h </w:instrText>
            </w:r>
            <w:r w:rsidR="008609F0">
              <w:rPr>
                <w:noProof/>
                <w:webHidden/>
              </w:rPr>
            </w:r>
            <w:r w:rsidR="008609F0">
              <w:rPr>
                <w:noProof/>
                <w:webHidden/>
              </w:rPr>
              <w:fldChar w:fldCharType="separate"/>
            </w:r>
            <w:r w:rsidR="008609F0">
              <w:rPr>
                <w:noProof/>
                <w:webHidden/>
              </w:rPr>
              <w:t>7</w:t>
            </w:r>
            <w:r w:rsidR="008609F0">
              <w:rPr>
                <w:noProof/>
                <w:webHidden/>
              </w:rPr>
              <w:fldChar w:fldCharType="end"/>
            </w:r>
          </w:hyperlink>
        </w:p>
        <w:p w14:paraId="3A362B82"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12" w:history="1">
            <w:r w:rsidR="008609F0" w:rsidRPr="00E24B03">
              <w:rPr>
                <w:rStyle w:val="Hyperlink"/>
                <w:noProof/>
                <w:lang w:val="en-GB"/>
              </w:rPr>
              <w:t>3.4.</w:t>
            </w:r>
            <w:r w:rsidR="008609F0">
              <w:rPr>
                <w:rFonts w:cstheme="minorBidi"/>
                <w:i w:val="0"/>
                <w:iCs w:val="0"/>
                <w:noProof/>
                <w:kern w:val="0"/>
                <w:sz w:val="22"/>
                <w:szCs w:val="22"/>
                <w:lang w:val="en-GB" w:eastAsia="en-GB"/>
                <w14:ligatures w14:val="none"/>
              </w:rPr>
              <w:tab/>
            </w:r>
            <w:r w:rsidR="008609F0" w:rsidRPr="00E24B03">
              <w:rPr>
                <w:rStyle w:val="Hyperlink"/>
                <w:noProof/>
                <w:lang w:val="en-GB"/>
              </w:rPr>
              <w:t>Bowman’s strategy clock of Shangri-La Hotels</w:t>
            </w:r>
            <w:r w:rsidR="008609F0">
              <w:rPr>
                <w:noProof/>
                <w:webHidden/>
              </w:rPr>
              <w:tab/>
            </w:r>
            <w:r w:rsidR="008609F0">
              <w:rPr>
                <w:noProof/>
                <w:webHidden/>
              </w:rPr>
              <w:fldChar w:fldCharType="begin"/>
            </w:r>
            <w:r w:rsidR="008609F0">
              <w:rPr>
                <w:noProof/>
                <w:webHidden/>
              </w:rPr>
              <w:instrText xml:space="preserve"> PAGEREF _Toc180072812 \h </w:instrText>
            </w:r>
            <w:r w:rsidR="008609F0">
              <w:rPr>
                <w:noProof/>
                <w:webHidden/>
              </w:rPr>
            </w:r>
            <w:r w:rsidR="008609F0">
              <w:rPr>
                <w:noProof/>
                <w:webHidden/>
              </w:rPr>
              <w:fldChar w:fldCharType="separate"/>
            </w:r>
            <w:r w:rsidR="008609F0">
              <w:rPr>
                <w:noProof/>
                <w:webHidden/>
              </w:rPr>
              <w:t>8</w:t>
            </w:r>
            <w:r w:rsidR="008609F0">
              <w:rPr>
                <w:noProof/>
                <w:webHidden/>
              </w:rPr>
              <w:fldChar w:fldCharType="end"/>
            </w:r>
          </w:hyperlink>
        </w:p>
        <w:p w14:paraId="4B2FFEEE"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13" w:history="1">
            <w:r w:rsidR="008609F0" w:rsidRPr="00E24B03">
              <w:rPr>
                <w:rStyle w:val="Hyperlink"/>
                <w:noProof/>
                <w:lang w:val="en-GB"/>
              </w:rPr>
              <w:t>3.5.</w:t>
            </w:r>
            <w:r w:rsidR="008609F0">
              <w:rPr>
                <w:rFonts w:cstheme="minorBidi"/>
                <w:i w:val="0"/>
                <w:iCs w:val="0"/>
                <w:noProof/>
                <w:kern w:val="0"/>
                <w:sz w:val="22"/>
                <w:szCs w:val="22"/>
                <w:lang w:val="en-GB" w:eastAsia="en-GB"/>
                <w14:ligatures w14:val="none"/>
              </w:rPr>
              <w:tab/>
            </w:r>
            <w:r w:rsidR="008609F0" w:rsidRPr="00E24B03">
              <w:rPr>
                <w:rStyle w:val="Hyperlink"/>
                <w:noProof/>
                <w:lang w:val="en-GB"/>
              </w:rPr>
              <w:t>Brand identity, sustainability and CSR</w:t>
            </w:r>
            <w:r w:rsidR="008609F0">
              <w:rPr>
                <w:noProof/>
                <w:webHidden/>
              </w:rPr>
              <w:tab/>
            </w:r>
            <w:r w:rsidR="008609F0">
              <w:rPr>
                <w:noProof/>
                <w:webHidden/>
              </w:rPr>
              <w:fldChar w:fldCharType="begin"/>
            </w:r>
            <w:r w:rsidR="008609F0">
              <w:rPr>
                <w:noProof/>
                <w:webHidden/>
              </w:rPr>
              <w:instrText xml:space="preserve"> PAGEREF _Toc180072813 \h </w:instrText>
            </w:r>
            <w:r w:rsidR="008609F0">
              <w:rPr>
                <w:noProof/>
                <w:webHidden/>
              </w:rPr>
            </w:r>
            <w:r w:rsidR="008609F0">
              <w:rPr>
                <w:noProof/>
                <w:webHidden/>
              </w:rPr>
              <w:fldChar w:fldCharType="separate"/>
            </w:r>
            <w:r w:rsidR="008609F0">
              <w:rPr>
                <w:noProof/>
                <w:webHidden/>
              </w:rPr>
              <w:t>8</w:t>
            </w:r>
            <w:r w:rsidR="008609F0">
              <w:rPr>
                <w:noProof/>
                <w:webHidden/>
              </w:rPr>
              <w:fldChar w:fldCharType="end"/>
            </w:r>
          </w:hyperlink>
        </w:p>
        <w:p w14:paraId="0B53CF19" w14:textId="77777777" w:rsidR="008609F0" w:rsidRDefault="00E240FB">
          <w:pPr>
            <w:pStyle w:val="TOC1"/>
            <w:tabs>
              <w:tab w:val="left" w:pos="1200"/>
              <w:tab w:val="right" w:leader="dot" w:pos="9056"/>
            </w:tabs>
            <w:rPr>
              <w:rFonts w:cstheme="minorBidi"/>
              <w:b w:val="0"/>
              <w:bCs w:val="0"/>
              <w:noProof/>
              <w:kern w:val="0"/>
              <w:sz w:val="22"/>
              <w:szCs w:val="22"/>
              <w:lang w:val="en-GB" w:eastAsia="en-GB"/>
              <w14:ligatures w14:val="none"/>
            </w:rPr>
          </w:pPr>
          <w:hyperlink w:anchor="_Toc180072814" w:history="1">
            <w:r w:rsidR="008609F0" w:rsidRPr="00E24B03">
              <w:rPr>
                <w:rStyle w:val="Hyperlink"/>
                <w:noProof/>
                <w:lang w:val="en-GB"/>
              </w:rPr>
              <w:t>4.</w:t>
            </w:r>
            <w:r w:rsidR="008609F0">
              <w:rPr>
                <w:rFonts w:cstheme="minorBidi"/>
                <w:b w:val="0"/>
                <w:bCs w:val="0"/>
                <w:noProof/>
                <w:kern w:val="0"/>
                <w:sz w:val="22"/>
                <w:szCs w:val="22"/>
                <w:lang w:val="en-GB" w:eastAsia="en-GB"/>
                <w14:ligatures w14:val="none"/>
              </w:rPr>
              <w:tab/>
            </w:r>
            <w:r w:rsidR="008609F0" w:rsidRPr="00E24B03">
              <w:rPr>
                <w:rStyle w:val="Hyperlink"/>
                <w:noProof/>
                <w:lang w:val="en-GB"/>
              </w:rPr>
              <w:t>Premier Inn Analysis</w:t>
            </w:r>
            <w:r w:rsidR="008609F0">
              <w:rPr>
                <w:noProof/>
                <w:webHidden/>
              </w:rPr>
              <w:tab/>
            </w:r>
            <w:r w:rsidR="008609F0">
              <w:rPr>
                <w:noProof/>
                <w:webHidden/>
              </w:rPr>
              <w:fldChar w:fldCharType="begin"/>
            </w:r>
            <w:r w:rsidR="008609F0">
              <w:rPr>
                <w:noProof/>
                <w:webHidden/>
              </w:rPr>
              <w:instrText xml:space="preserve"> PAGEREF _Toc180072814 \h </w:instrText>
            </w:r>
            <w:r w:rsidR="008609F0">
              <w:rPr>
                <w:noProof/>
                <w:webHidden/>
              </w:rPr>
            </w:r>
            <w:r w:rsidR="008609F0">
              <w:rPr>
                <w:noProof/>
                <w:webHidden/>
              </w:rPr>
              <w:fldChar w:fldCharType="separate"/>
            </w:r>
            <w:r w:rsidR="008609F0">
              <w:rPr>
                <w:noProof/>
                <w:webHidden/>
              </w:rPr>
              <w:t>9</w:t>
            </w:r>
            <w:r w:rsidR="008609F0">
              <w:rPr>
                <w:noProof/>
                <w:webHidden/>
              </w:rPr>
              <w:fldChar w:fldCharType="end"/>
            </w:r>
          </w:hyperlink>
        </w:p>
        <w:p w14:paraId="293CB55F"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15" w:history="1">
            <w:r w:rsidR="008609F0" w:rsidRPr="00E24B03">
              <w:rPr>
                <w:rStyle w:val="Hyperlink"/>
                <w:noProof/>
                <w:lang w:val="en-GB"/>
              </w:rPr>
              <w:t>4.1.</w:t>
            </w:r>
            <w:r w:rsidR="008609F0">
              <w:rPr>
                <w:rFonts w:cstheme="minorBidi"/>
                <w:i w:val="0"/>
                <w:iCs w:val="0"/>
                <w:noProof/>
                <w:kern w:val="0"/>
                <w:sz w:val="22"/>
                <w:szCs w:val="22"/>
                <w:lang w:val="en-GB" w:eastAsia="en-GB"/>
                <w14:ligatures w14:val="none"/>
              </w:rPr>
              <w:tab/>
            </w:r>
            <w:r w:rsidR="008609F0" w:rsidRPr="00E24B03">
              <w:rPr>
                <w:rStyle w:val="Hyperlink"/>
                <w:noProof/>
                <w:lang w:val="en-GB"/>
              </w:rPr>
              <w:t>Analysis of Porter's strategic model and competitive advantage in the case of Premier Inn</w:t>
            </w:r>
            <w:r w:rsidR="008609F0">
              <w:rPr>
                <w:noProof/>
                <w:webHidden/>
              </w:rPr>
              <w:tab/>
            </w:r>
            <w:r w:rsidR="008609F0">
              <w:rPr>
                <w:noProof/>
                <w:webHidden/>
              </w:rPr>
              <w:fldChar w:fldCharType="begin"/>
            </w:r>
            <w:r w:rsidR="008609F0">
              <w:rPr>
                <w:noProof/>
                <w:webHidden/>
              </w:rPr>
              <w:instrText xml:space="preserve"> PAGEREF _Toc180072815 \h </w:instrText>
            </w:r>
            <w:r w:rsidR="008609F0">
              <w:rPr>
                <w:noProof/>
                <w:webHidden/>
              </w:rPr>
            </w:r>
            <w:r w:rsidR="008609F0">
              <w:rPr>
                <w:noProof/>
                <w:webHidden/>
              </w:rPr>
              <w:fldChar w:fldCharType="separate"/>
            </w:r>
            <w:r w:rsidR="008609F0">
              <w:rPr>
                <w:noProof/>
                <w:webHidden/>
              </w:rPr>
              <w:t>10</w:t>
            </w:r>
            <w:r w:rsidR="008609F0">
              <w:rPr>
                <w:noProof/>
                <w:webHidden/>
              </w:rPr>
              <w:fldChar w:fldCharType="end"/>
            </w:r>
          </w:hyperlink>
        </w:p>
        <w:p w14:paraId="1906B556"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16" w:history="1">
            <w:r w:rsidR="008609F0" w:rsidRPr="00E24B03">
              <w:rPr>
                <w:rStyle w:val="Hyperlink"/>
                <w:noProof/>
                <w:lang w:val="en-GB"/>
              </w:rPr>
              <w:t>4.2.</w:t>
            </w:r>
            <w:r w:rsidR="008609F0">
              <w:rPr>
                <w:rFonts w:cstheme="minorBidi"/>
                <w:i w:val="0"/>
                <w:iCs w:val="0"/>
                <w:noProof/>
                <w:kern w:val="0"/>
                <w:sz w:val="22"/>
                <w:szCs w:val="22"/>
                <w:lang w:val="en-GB" w:eastAsia="en-GB"/>
                <w14:ligatures w14:val="none"/>
              </w:rPr>
              <w:tab/>
            </w:r>
            <w:r w:rsidR="008609F0" w:rsidRPr="00E24B03">
              <w:rPr>
                <w:rStyle w:val="Hyperlink"/>
                <w:noProof/>
                <w:lang w:val="en-GB"/>
              </w:rPr>
              <w:t>Supply and Demand Analysis of Premier Inn</w:t>
            </w:r>
            <w:r w:rsidR="008609F0">
              <w:rPr>
                <w:noProof/>
                <w:webHidden/>
              </w:rPr>
              <w:tab/>
            </w:r>
            <w:r w:rsidR="008609F0">
              <w:rPr>
                <w:noProof/>
                <w:webHidden/>
              </w:rPr>
              <w:fldChar w:fldCharType="begin"/>
            </w:r>
            <w:r w:rsidR="008609F0">
              <w:rPr>
                <w:noProof/>
                <w:webHidden/>
              </w:rPr>
              <w:instrText xml:space="preserve"> PAGEREF _Toc180072816 \h </w:instrText>
            </w:r>
            <w:r w:rsidR="008609F0">
              <w:rPr>
                <w:noProof/>
                <w:webHidden/>
              </w:rPr>
            </w:r>
            <w:r w:rsidR="008609F0">
              <w:rPr>
                <w:noProof/>
                <w:webHidden/>
              </w:rPr>
              <w:fldChar w:fldCharType="separate"/>
            </w:r>
            <w:r w:rsidR="008609F0">
              <w:rPr>
                <w:noProof/>
                <w:webHidden/>
              </w:rPr>
              <w:t>12</w:t>
            </w:r>
            <w:r w:rsidR="008609F0">
              <w:rPr>
                <w:noProof/>
                <w:webHidden/>
              </w:rPr>
              <w:fldChar w:fldCharType="end"/>
            </w:r>
          </w:hyperlink>
        </w:p>
        <w:p w14:paraId="31676415"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17" w:history="1">
            <w:r w:rsidR="008609F0" w:rsidRPr="00E24B03">
              <w:rPr>
                <w:rStyle w:val="Hyperlink"/>
                <w:noProof/>
                <w:lang w:val="en-GB"/>
              </w:rPr>
              <w:t>4.3.</w:t>
            </w:r>
            <w:r w:rsidR="008609F0">
              <w:rPr>
                <w:rFonts w:cstheme="minorBidi"/>
                <w:i w:val="0"/>
                <w:iCs w:val="0"/>
                <w:noProof/>
                <w:kern w:val="0"/>
                <w:sz w:val="22"/>
                <w:szCs w:val="22"/>
                <w:lang w:val="en-GB" w:eastAsia="en-GB"/>
                <w14:ligatures w14:val="none"/>
              </w:rPr>
              <w:tab/>
            </w:r>
            <w:r w:rsidR="008609F0" w:rsidRPr="00E24B03">
              <w:rPr>
                <w:rStyle w:val="Hyperlink"/>
                <w:noProof/>
                <w:lang w:val="en-GB"/>
              </w:rPr>
              <w:t>Bowman’s Strategy Clock for Premier Inn</w:t>
            </w:r>
            <w:r w:rsidR="008609F0">
              <w:rPr>
                <w:noProof/>
                <w:webHidden/>
              </w:rPr>
              <w:tab/>
            </w:r>
            <w:r w:rsidR="008609F0">
              <w:rPr>
                <w:noProof/>
                <w:webHidden/>
              </w:rPr>
              <w:fldChar w:fldCharType="begin"/>
            </w:r>
            <w:r w:rsidR="008609F0">
              <w:rPr>
                <w:noProof/>
                <w:webHidden/>
              </w:rPr>
              <w:instrText xml:space="preserve"> PAGEREF _Toc180072817 \h </w:instrText>
            </w:r>
            <w:r w:rsidR="008609F0">
              <w:rPr>
                <w:noProof/>
                <w:webHidden/>
              </w:rPr>
            </w:r>
            <w:r w:rsidR="008609F0">
              <w:rPr>
                <w:noProof/>
                <w:webHidden/>
              </w:rPr>
              <w:fldChar w:fldCharType="separate"/>
            </w:r>
            <w:r w:rsidR="008609F0">
              <w:rPr>
                <w:noProof/>
                <w:webHidden/>
              </w:rPr>
              <w:t>13</w:t>
            </w:r>
            <w:r w:rsidR="008609F0">
              <w:rPr>
                <w:noProof/>
                <w:webHidden/>
              </w:rPr>
              <w:fldChar w:fldCharType="end"/>
            </w:r>
          </w:hyperlink>
        </w:p>
        <w:p w14:paraId="66774A2D" w14:textId="77777777" w:rsidR="008609F0" w:rsidRDefault="00E240FB">
          <w:pPr>
            <w:pStyle w:val="TOC2"/>
            <w:tabs>
              <w:tab w:val="left" w:pos="1680"/>
              <w:tab w:val="right" w:leader="dot" w:pos="9056"/>
            </w:tabs>
            <w:rPr>
              <w:rFonts w:cstheme="minorBidi"/>
              <w:i w:val="0"/>
              <w:iCs w:val="0"/>
              <w:noProof/>
              <w:kern w:val="0"/>
              <w:sz w:val="22"/>
              <w:szCs w:val="22"/>
              <w:lang w:val="en-GB" w:eastAsia="en-GB"/>
              <w14:ligatures w14:val="none"/>
            </w:rPr>
          </w:pPr>
          <w:hyperlink w:anchor="_Toc180072818" w:history="1">
            <w:r w:rsidR="008609F0" w:rsidRPr="00E24B03">
              <w:rPr>
                <w:rStyle w:val="Hyperlink"/>
                <w:noProof/>
                <w:lang w:val="en-GB"/>
              </w:rPr>
              <w:t>4.4.</w:t>
            </w:r>
            <w:r w:rsidR="008609F0">
              <w:rPr>
                <w:rFonts w:cstheme="minorBidi"/>
                <w:i w:val="0"/>
                <w:iCs w:val="0"/>
                <w:noProof/>
                <w:kern w:val="0"/>
                <w:sz w:val="22"/>
                <w:szCs w:val="22"/>
                <w:lang w:val="en-GB" w:eastAsia="en-GB"/>
                <w14:ligatures w14:val="none"/>
              </w:rPr>
              <w:tab/>
            </w:r>
            <w:r w:rsidR="008609F0" w:rsidRPr="00E24B03">
              <w:rPr>
                <w:rStyle w:val="Hyperlink"/>
                <w:noProof/>
                <w:lang w:val="en-GB"/>
              </w:rPr>
              <w:t>Brand identity prism of Premier Inn</w:t>
            </w:r>
            <w:r w:rsidR="008609F0">
              <w:rPr>
                <w:noProof/>
                <w:webHidden/>
              </w:rPr>
              <w:tab/>
            </w:r>
            <w:r w:rsidR="008609F0">
              <w:rPr>
                <w:noProof/>
                <w:webHidden/>
              </w:rPr>
              <w:fldChar w:fldCharType="begin"/>
            </w:r>
            <w:r w:rsidR="008609F0">
              <w:rPr>
                <w:noProof/>
                <w:webHidden/>
              </w:rPr>
              <w:instrText xml:space="preserve"> PAGEREF _Toc180072818 \h </w:instrText>
            </w:r>
            <w:r w:rsidR="008609F0">
              <w:rPr>
                <w:noProof/>
                <w:webHidden/>
              </w:rPr>
            </w:r>
            <w:r w:rsidR="008609F0">
              <w:rPr>
                <w:noProof/>
                <w:webHidden/>
              </w:rPr>
              <w:fldChar w:fldCharType="separate"/>
            </w:r>
            <w:r w:rsidR="008609F0">
              <w:rPr>
                <w:noProof/>
                <w:webHidden/>
              </w:rPr>
              <w:t>14</w:t>
            </w:r>
            <w:r w:rsidR="008609F0">
              <w:rPr>
                <w:noProof/>
                <w:webHidden/>
              </w:rPr>
              <w:fldChar w:fldCharType="end"/>
            </w:r>
          </w:hyperlink>
        </w:p>
        <w:p w14:paraId="0965844E" w14:textId="77777777" w:rsidR="008609F0" w:rsidRDefault="00E240FB">
          <w:pPr>
            <w:pStyle w:val="TOC1"/>
            <w:tabs>
              <w:tab w:val="left" w:pos="1200"/>
              <w:tab w:val="right" w:leader="dot" w:pos="9056"/>
            </w:tabs>
            <w:rPr>
              <w:rFonts w:cstheme="minorBidi"/>
              <w:b w:val="0"/>
              <w:bCs w:val="0"/>
              <w:noProof/>
              <w:kern w:val="0"/>
              <w:sz w:val="22"/>
              <w:szCs w:val="22"/>
              <w:lang w:val="en-GB" w:eastAsia="en-GB"/>
              <w14:ligatures w14:val="none"/>
            </w:rPr>
          </w:pPr>
          <w:hyperlink w:anchor="_Toc180072819" w:history="1">
            <w:r w:rsidR="008609F0" w:rsidRPr="00E24B03">
              <w:rPr>
                <w:rStyle w:val="Hyperlink"/>
                <w:noProof/>
                <w:lang w:val="en-GB"/>
              </w:rPr>
              <w:t>5.</w:t>
            </w:r>
            <w:r w:rsidR="008609F0">
              <w:rPr>
                <w:rFonts w:cstheme="minorBidi"/>
                <w:b w:val="0"/>
                <w:bCs w:val="0"/>
                <w:noProof/>
                <w:kern w:val="0"/>
                <w:sz w:val="22"/>
                <w:szCs w:val="22"/>
                <w:lang w:val="en-GB" w:eastAsia="en-GB"/>
                <w14:ligatures w14:val="none"/>
              </w:rPr>
              <w:tab/>
            </w:r>
            <w:r w:rsidR="008609F0" w:rsidRPr="00E24B03">
              <w:rPr>
                <w:rStyle w:val="Hyperlink"/>
                <w:noProof/>
                <w:lang w:val="en-GB"/>
              </w:rPr>
              <w:t>Recommendations</w:t>
            </w:r>
            <w:r w:rsidR="008609F0">
              <w:rPr>
                <w:noProof/>
                <w:webHidden/>
              </w:rPr>
              <w:tab/>
            </w:r>
            <w:r w:rsidR="008609F0">
              <w:rPr>
                <w:noProof/>
                <w:webHidden/>
              </w:rPr>
              <w:fldChar w:fldCharType="begin"/>
            </w:r>
            <w:r w:rsidR="008609F0">
              <w:rPr>
                <w:noProof/>
                <w:webHidden/>
              </w:rPr>
              <w:instrText xml:space="preserve"> PAGEREF _Toc180072819 \h </w:instrText>
            </w:r>
            <w:r w:rsidR="008609F0">
              <w:rPr>
                <w:noProof/>
                <w:webHidden/>
              </w:rPr>
            </w:r>
            <w:r w:rsidR="008609F0">
              <w:rPr>
                <w:noProof/>
                <w:webHidden/>
              </w:rPr>
              <w:fldChar w:fldCharType="separate"/>
            </w:r>
            <w:r w:rsidR="008609F0">
              <w:rPr>
                <w:noProof/>
                <w:webHidden/>
              </w:rPr>
              <w:t>15</w:t>
            </w:r>
            <w:r w:rsidR="008609F0">
              <w:rPr>
                <w:noProof/>
                <w:webHidden/>
              </w:rPr>
              <w:fldChar w:fldCharType="end"/>
            </w:r>
          </w:hyperlink>
        </w:p>
        <w:p w14:paraId="169163A7" w14:textId="77777777" w:rsidR="008609F0" w:rsidRDefault="00E240FB">
          <w:pPr>
            <w:pStyle w:val="TOC1"/>
            <w:tabs>
              <w:tab w:val="left" w:pos="1200"/>
              <w:tab w:val="right" w:leader="dot" w:pos="9056"/>
            </w:tabs>
            <w:rPr>
              <w:rFonts w:cstheme="minorBidi"/>
              <w:b w:val="0"/>
              <w:bCs w:val="0"/>
              <w:noProof/>
              <w:kern w:val="0"/>
              <w:sz w:val="22"/>
              <w:szCs w:val="22"/>
              <w:lang w:val="en-GB" w:eastAsia="en-GB"/>
              <w14:ligatures w14:val="none"/>
            </w:rPr>
          </w:pPr>
          <w:hyperlink w:anchor="_Toc180072820" w:history="1">
            <w:r w:rsidR="008609F0" w:rsidRPr="00E24B03">
              <w:rPr>
                <w:rStyle w:val="Hyperlink"/>
                <w:noProof/>
                <w:lang w:val="en-GB"/>
              </w:rPr>
              <w:t>6.</w:t>
            </w:r>
            <w:r w:rsidR="008609F0">
              <w:rPr>
                <w:rFonts w:cstheme="minorBidi"/>
                <w:b w:val="0"/>
                <w:bCs w:val="0"/>
                <w:noProof/>
                <w:kern w:val="0"/>
                <w:sz w:val="22"/>
                <w:szCs w:val="22"/>
                <w:lang w:val="en-GB" w:eastAsia="en-GB"/>
                <w14:ligatures w14:val="none"/>
              </w:rPr>
              <w:tab/>
            </w:r>
            <w:r w:rsidR="008609F0" w:rsidRPr="00E24B03">
              <w:rPr>
                <w:rStyle w:val="Hyperlink"/>
                <w:noProof/>
                <w:lang w:val="en-GB"/>
              </w:rPr>
              <w:t>References</w:t>
            </w:r>
            <w:r w:rsidR="008609F0">
              <w:rPr>
                <w:noProof/>
                <w:webHidden/>
              </w:rPr>
              <w:tab/>
            </w:r>
            <w:r w:rsidR="008609F0">
              <w:rPr>
                <w:noProof/>
                <w:webHidden/>
              </w:rPr>
              <w:fldChar w:fldCharType="begin"/>
            </w:r>
            <w:r w:rsidR="008609F0">
              <w:rPr>
                <w:noProof/>
                <w:webHidden/>
              </w:rPr>
              <w:instrText xml:space="preserve"> PAGEREF _Toc180072820 \h </w:instrText>
            </w:r>
            <w:r w:rsidR="008609F0">
              <w:rPr>
                <w:noProof/>
                <w:webHidden/>
              </w:rPr>
            </w:r>
            <w:r w:rsidR="008609F0">
              <w:rPr>
                <w:noProof/>
                <w:webHidden/>
              </w:rPr>
              <w:fldChar w:fldCharType="separate"/>
            </w:r>
            <w:r w:rsidR="008609F0">
              <w:rPr>
                <w:noProof/>
                <w:webHidden/>
              </w:rPr>
              <w:t>17</w:t>
            </w:r>
            <w:r w:rsidR="008609F0">
              <w:rPr>
                <w:noProof/>
                <w:webHidden/>
              </w:rPr>
              <w:fldChar w:fldCharType="end"/>
            </w:r>
          </w:hyperlink>
        </w:p>
        <w:p w14:paraId="77D530DA" w14:textId="3BFF5A57" w:rsidR="00CF02F8" w:rsidRPr="008C2F09" w:rsidRDefault="00CF02F8">
          <w:pPr>
            <w:rPr>
              <w:lang w:val="en-GB"/>
            </w:rPr>
          </w:pPr>
          <w:r w:rsidRPr="008C2F09">
            <w:rPr>
              <w:b/>
              <w:bCs/>
              <w:noProof/>
              <w:lang w:val="en-GB"/>
            </w:rPr>
            <w:fldChar w:fldCharType="end"/>
          </w:r>
        </w:p>
      </w:sdtContent>
    </w:sdt>
    <w:p w14:paraId="1B5FC4BC" w14:textId="19E849E4" w:rsidR="00CF02F8" w:rsidRPr="008C2F09" w:rsidRDefault="00CF02F8" w:rsidP="00CF02F8">
      <w:pPr>
        <w:ind w:firstLine="0"/>
        <w:rPr>
          <w:lang w:val="en-GB"/>
        </w:rPr>
      </w:pPr>
    </w:p>
    <w:p w14:paraId="79A068FA" w14:textId="16B45F6E" w:rsidR="00CF02F8" w:rsidRPr="008C2F09" w:rsidRDefault="00CF02F8" w:rsidP="00EE6CAE">
      <w:pPr>
        <w:spacing w:after="0" w:line="240" w:lineRule="auto"/>
        <w:ind w:firstLine="0"/>
        <w:jc w:val="left"/>
        <w:rPr>
          <w:lang w:val="en-GB"/>
        </w:rPr>
      </w:pPr>
      <w:r w:rsidRPr="008C2F09">
        <w:rPr>
          <w:lang w:val="en-GB"/>
        </w:rPr>
        <w:br w:type="page"/>
      </w:r>
    </w:p>
    <w:p w14:paraId="50BCEB7D" w14:textId="2D90A536" w:rsidR="002C564B" w:rsidRPr="008C2F09" w:rsidRDefault="00E37605" w:rsidP="00DF4797">
      <w:pPr>
        <w:pStyle w:val="Heading1"/>
        <w:rPr>
          <w:lang w:val="en-GB"/>
        </w:rPr>
      </w:pPr>
      <w:bookmarkStart w:id="1" w:name="_Toc180072806"/>
      <w:r w:rsidRPr="008C2F09">
        <w:rPr>
          <w:lang w:val="en-GB"/>
        </w:rPr>
        <w:lastRenderedPageBreak/>
        <w:t>Executive summary</w:t>
      </w:r>
      <w:bookmarkEnd w:id="1"/>
    </w:p>
    <w:p w14:paraId="2867C4E1" w14:textId="77777777" w:rsidR="00EE6CAE" w:rsidRPr="00C67F46" w:rsidRDefault="00EE6CAE" w:rsidP="00EE6CAE">
      <w:pPr>
        <w:ind w:firstLine="0"/>
      </w:pPr>
      <w:r w:rsidRPr="00616EDE">
        <w:t>Shangri-La Hotels and Premier Inn hotels differed with different approaches prior to and after the pandemic. Shangri-La maintained its lead in customer service and cost, while Premier Inn was a budget resort and domestic guest house. Shangri-La’s privileged status and social responsibility help it scale at sustainable rates through acquisitions in Asia, for example. Revenue growth for the long term can be generated by catering to premium customers. Premier Inn has a low cost strategy and they have primarily caters to corporate travellers and tourists from within the nation. If occupancy rate is now 82.7% at a 5% rise, this will generate an annual increase in turnover of £65m. Updates that cater to the business travellers, domestic expansion growth, are also encouraged.</w:t>
      </w:r>
    </w:p>
    <w:p w14:paraId="2BA695C9" w14:textId="34E08D3A" w:rsidR="00DF4797" w:rsidRPr="008C2F09" w:rsidRDefault="00E37605" w:rsidP="00DF4797">
      <w:pPr>
        <w:pStyle w:val="Heading1"/>
        <w:rPr>
          <w:lang w:val="en-GB"/>
        </w:rPr>
      </w:pPr>
      <w:bookmarkStart w:id="2" w:name="_Toc180072807"/>
      <w:r w:rsidRPr="008C2F09">
        <w:rPr>
          <w:lang w:val="en-GB"/>
        </w:rPr>
        <w:t>Introduction</w:t>
      </w:r>
      <w:bookmarkEnd w:id="2"/>
    </w:p>
    <w:p w14:paraId="25EE09C7" w14:textId="4DDD0E61" w:rsidR="002F6D68" w:rsidRDefault="002F6D68" w:rsidP="002F6D68">
      <w:pPr>
        <w:ind w:firstLine="0"/>
      </w:pPr>
      <w:r w:rsidRPr="00616EDE">
        <w:t xml:space="preserve">The hotel business has experienced major shifts all around the world over the last couple of years, thanks to the COVID-19 pandemic. </w:t>
      </w:r>
      <w:r w:rsidR="003C0F28" w:rsidRPr="003C0F28">
        <w:t>Besides influencing the supply-demand ratio, the pandemic also brought new strategy and business models to the market. The Luxury Hotels like Shangri-La Hotels and the lower branded Hotels like Premier Inn both suffered differently but demanded and revenues shifted significantly.</w:t>
      </w:r>
    </w:p>
    <w:p w14:paraId="37F9EBBD" w14:textId="0DFF255F" w:rsidR="002F6D68" w:rsidRPr="008C2F09" w:rsidRDefault="002F6D68" w:rsidP="002F6D68">
      <w:pPr>
        <w:ind w:firstLine="0"/>
        <w:rPr>
          <w:lang w:val="en-GB"/>
        </w:rPr>
      </w:pPr>
      <w:r w:rsidRPr="008C2F09">
        <w:rPr>
          <w:lang w:val="en-GB"/>
        </w:rPr>
        <w:t xml:space="preserve">In this study, we examine the business performance, strategic position and future opportunities of the Shangri-La and Premier Inn hotel chains. We aim to </w:t>
      </w:r>
      <w:r w:rsidR="00222748" w:rsidRPr="008C2F09">
        <w:rPr>
          <w:lang w:val="en-GB"/>
        </w:rPr>
        <w:t>analyse</w:t>
      </w:r>
      <w:r w:rsidRPr="008C2F09">
        <w:rPr>
          <w:lang w:val="en-GB"/>
        </w:rPr>
        <w:t xml:space="preserve"> both companies' revenues, competitive strategies and business models related to post-pandemic redesign. In this study, we will use Porter's strategic model as well as Bowman's strategy clock to show how they position themselves in the market and what opportunities they have for future growth.</w:t>
      </w:r>
    </w:p>
    <w:p w14:paraId="4ECCFC57" w14:textId="508B9D0F" w:rsidR="00DF4797" w:rsidRPr="008C2F09" w:rsidRDefault="00DF4797" w:rsidP="00DF4797">
      <w:pPr>
        <w:pStyle w:val="Heading1"/>
        <w:rPr>
          <w:lang w:val="en-GB"/>
        </w:rPr>
      </w:pPr>
      <w:bookmarkStart w:id="3" w:name="_Toc180072808"/>
      <w:r w:rsidRPr="008C2F09">
        <w:rPr>
          <w:lang w:val="en-GB"/>
        </w:rPr>
        <w:t>Shangri-La Hotels Analysis</w:t>
      </w:r>
      <w:bookmarkEnd w:id="3"/>
    </w:p>
    <w:p w14:paraId="15BC30F3" w14:textId="0266D003" w:rsidR="00DF2724" w:rsidRPr="008C2F09" w:rsidRDefault="00DF2724" w:rsidP="00DF2724">
      <w:pPr>
        <w:pStyle w:val="Heading2"/>
        <w:rPr>
          <w:lang w:val="en-GB"/>
        </w:rPr>
      </w:pPr>
      <w:bookmarkStart w:id="4" w:name="_Toc180072809"/>
      <w:r w:rsidRPr="008C2F09">
        <w:rPr>
          <w:lang w:val="en-GB"/>
        </w:rPr>
        <w:t>Total Revenue</w:t>
      </w:r>
      <w:bookmarkEnd w:id="4"/>
    </w:p>
    <w:p w14:paraId="0C145183" w14:textId="77777777" w:rsidR="004C3CF8" w:rsidRDefault="004C3CF8" w:rsidP="004C3CF8">
      <w:pPr>
        <w:ind w:firstLine="0"/>
      </w:pPr>
      <w:r>
        <w:t>Figure 1 shows a V-shaped recession in Shangri-La Hotels' revenue from 2018 to 2023, with a 35% drop, indicating a sharp decline and recovery (Gregory et al., 2020). Compared to a 19% decline in the UK's service sector during COVID, Shangri-La's drop was above average, reflecting the trend that luxury services face steeper declines during crises (Shen, 2022).</w:t>
      </w:r>
    </w:p>
    <w:p w14:paraId="3220420E" w14:textId="7E47D54C" w:rsidR="00830859" w:rsidRPr="008C2F09" w:rsidRDefault="00830859" w:rsidP="00830859">
      <w:pPr>
        <w:rPr>
          <w:lang w:val="en-GB"/>
        </w:rPr>
      </w:pPr>
    </w:p>
    <w:p w14:paraId="1F0B16FE" w14:textId="532DBB63" w:rsidR="00DF4797" w:rsidRPr="008C2F09" w:rsidRDefault="00DF4797" w:rsidP="008A560E">
      <w:pPr>
        <w:spacing w:after="120"/>
        <w:rPr>
          <w:lang w:val="en-GB"/>
        </w:rPr>
      </w:pPr>
      <w:r w:rsidRPr="008C2F09">
        <w:rPr>
          <w:noProof/>
          <w:lang w:val="en-GB" w:eastAsia="en-GB"/>
        </w:rPr>
        <w:drawing>
          <wp:inline distT="0" distB="0" distL="0" distR="0" wp14:anchorId="1C7A9F8E" wp14:editId="0AD4939F">
            <wp:extent cx="4840565" cy="3024554"/>
            <wp:effectExtent l="0" t="0" r="11430" b="10795"/>
            <wp:docPr id="1406305728" name="Diagram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333F127-0A75-B6B5-FB1C-CB8B67747B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43B0495" w14:textId="437539E2" w:rsidR="008A560E" w:rsidRPr="008C2F09" w:rsidRDefault="008A560E" w:rsidP="008A560E">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1</w:t>
      </w:r>
      <w:r w:rsidRPr="008C2F09">
        <w:rPr>
          <w:lang w:val="en-GB"/>
        </w:rPr>
        <w:fldChar w:fldCharType="end"/>
      </w:r>
      <w:r w:rsidRPr="008C2F09">
        <w:rPr>
          <w:lang w:val="en-GB"/>
        </w:rPr>
        <w:t>. Figure: Shangri-La Hotels total revenues per year from 2018-2023 in million USD. Source: own editing based on Shangri-La Group 2018; 2019; 2020; 2021; 2022; 2023</w:t>
      </w:r>
    </w:p>
    <w:p w14:paraId="6F8A06F9" w14:textId="77777777" w:rsidR="008A560E" w:rsidRPr="008C2F09" w:rsidRDefault="008A560E" w:rsidP="00DF4797">
      <w:pPr>
        <w:rPr>
          <w:lang w:val="en-GB"/>
        </w:rPr>
      </w:pPr>
    </w:p>
    <w:p w14:paraId="69071054" w14:textId="6E136A0C" w:rsidR="008A560E" w:rsidRPr="008C2F09" w:rsidRDefault="008A560E" w:rsidP="004B4DDC">
      <w:pPr>
        <w:spacing w:after="0"/>
        <w:ind w:firstLine="0"/>
        <w:jc w:val="center"/>
        <w:rPr>
          <w:lang w:val="en-GB"/>
        </w:rPr>
      </w:pPr>
      <w:r w:rsidRPr="008C2F09">
        <w:rPr>
          <w:noProof/>
          <w:lang w:val="en-GB" w:eastAsia="en-GB"/>
        </w:rPr>
        <w:drawing>
          <wp:inline distT="0" distB="0" distL="0" distR="0" wp14:anchorId="4BA04ED9" wp14:editId="4E78F0B8">
            <wp:extent cx="5014210" cy="2518347"/>
            <wp:effectExtent l="0" t="0" r="15240" b="9525"/>
            <wp:docPr id="768870" name="Diagram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C55EEBD-C3B7-0229-04E0-A5803CA3EA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3FE982F" w14:textId="447785D1" w:rsidR="004B4DDC" w:rsidRPr="008C2F09" w:rsidRDefault="004B4DDC" w:rsidP="004B4DDC">
      <w:pPr>
        <w:pStyle w:val="Caption"/>
        <w:rPr>
          <w:sz w:val="24"/>
          <w:szCs w:val="24"/>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2</w:t>
      </w:r>
      <w:r w:rsidRPr="008C2F09">
        <w:rPr>
          <w:lang w:val="en-GB"/>
        </w:rPr>
        <w:fldChar w:fldCharType="end"/>
      </w:r>
      <w:r w:rsidRPr="008C2F09">
        <w:rPr>
          <w:lang w:val="en-GB"/>
        </w:rPr>
        <w:t>. Figure:</w:t>
      </w:r>
      <w:r w:rsidRPr="008C2F09">
        <w:rPr>
          <w:sz w:val="24"/>
          <w:szCs w:val="24"/>
          <w:lang w:val="en-GB"/>
        </w:rPr>
        <w:t xml:space="preserve"> Declines in consumption in China, the United States, the United Kingdom, France and Germany for products and services during the Covid-19 pandemic. Source: own editing based on </w:t>
      </w:r>
      <w:proofErr w:type="spellStart"/>
      <w:r w:rsidRPr="008C2F09">
        <w:rPr>
          <w:sz w:val="24"/>
          <w:szCs w:val="24"/>
          <w:lang w:val="en-GB"/>
        </w:rPr>
        <w:t>Remes</w:t>
      </w:r>
      <w:proofErr w:type="spellEnd"/>
      <w:r w:rsidRPr="008C2F09">
        <w:rPr>
          <w:sz w:val="24"/>
          <w:szCs w:val="24"/>
          <w:lang w:val="en-GB"/>
        </w:rPr>
        <w:t xml:space="preserve"> et al. (2020)</w:t>
      </w:r>
    </w:p>
    <w:p w14:paraId="2B69D0D9" w14:textId="77777777" w:rsidR="004C3CF8" w:rsidRDefault="004C3CF8" w:rsidP="004C3CF8">
      <w:pPr>
        <w:ind w:firstLine="0"/>
      </w:pPr>
      <w:r w:rsidRPr="002D0DD5">
        <w:t xml:space="preserve">The data show operating costs fell by 39.56%, gross profit by 80.54%, and cost of sales by 45.82%. Stable operating costs during a crisis indicate efficient cost management (Sukhina et al., 2021; Rounaghi et al., 2021). However, the W-shaped recession in gross profit, less </w:t>
      </w:r>
      <w:r w:rsidRPr="002D0DD5">
        <w:lastRenderedPageBreak/>
        <w:t>favorable than a V-shaped recovery, suggests that initial recovery may have been misleading (Flór, 2020).</w:t>
      </w:r>
    </w:p>
    <w:p w14:paraId="1ACE934A" w14:textId="5FAF0E99" w:rsidR="00F25F50" w:rsidRPr="008C2F09" w:rsidRDefault="00F25F50" w:rsidP="00830859">
      <w:pPr>
        <w:spacing w:after="0"/>
        <w:rPr>
          <w:lang w:val="en-GB"/>
        </w:rPr>
      </w:pPr>
      <w:r w:rsidRPr="008C2F09">
        <w:rPr>
          <w:noProof/>
          <w:lang w:val="en-GB" w:eastAsia="en-GB"/>
        </w:rPr>
        <w:drawing>
          <wp:inline distT="0" distB="0" distL="0" distR="0" wp14:anchorId="374E387F" wp14:editId="531E7000">
            <wp:extent cx="4999219" cy="2690734"/>
            <wp:effectExtent l="0" t="0" r="17780" b="14605"/>
            <wp:docPr id="419147090" name="Diagram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8BBF690-6A1E-879E-2353-2E4F0A0CF5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1FC03D" w14:textId="153E289C" w:rsidR="00DF2724" w:rsidRPr="008C2F09" w:rsidRDefault="00DF2724" w:rsidP="00DF2724">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3</w:t>
      </w:r>
      <w:r w:rsidRPr="008C2F09">
        <w:rPr>
          <w:lang w:val="en-GB"/>
        </w:rPr>
        <w:fldChar w:fldCharType="end"/>
      </w:r>
      <w:r w:rsidRPr="008C2F09">
        <w:rPr>
          <w:lang w:val="en-GB"/>
        </w:rPr>
        <w:t>. Figure: Gross profit vs. cost of sales vs. operating costs per year from 2018-2023 in million USD in case of Shangri-La Hotels. Source: own editing</w:t>
      </w:r>
    </w:p>
    <w:p w14:paraId="48BE9D7A" w14:textId="4B5AC71D" w:rsidR="0049600D" w:rsidRPr="008C2F09" w:rsidRDefault="00830859" w:rsidP="004C3CF8">
      <w:pPr>
        <w:ind w:firstLine="0"/>
        <w:rPr>
          <w:lang w:val="en-GB"/>
        </w:rPr>
      </w:pPr>
      <w:r w:rsidRPr="008C2F09">
        <w:rPr>
          <w:lang w:val="en-GB"/>
        </w:rPr>
        <w:t>Looking at customer demographics, we can infer higher income customers based on the prices. The figures below illustrate the age and gender distribution.</w:t>
      </w:r>
    </w:p>
    <w:p w14:paraId="105F45CB" w14:textId="0B6B5424" w:rsidR="0049600D" w:rsidRPr="008C2F09" w:rsidRDefault="0049600D" w:rsidP="0049600D">
      <w:pPr>
        <w:spacing w:after="0"/>
        <w:jc w:val="center"/>
        <w:rPr>
          <w:lang w:val="en-GB"/>
        </w:rPr>
      </w:pPr>
      <w:r w:rsidRPr="008C2F09">
        <w:rPr>
          <w:noProof/>
          <w:lang w:val="en-GB" w:eastAsia="en-GB"/>
        </w:rPr>
        <w:drawing>
          <wp:inline distT="0" distB="0" distL="0" distR="0" wp14:anchorId="2F87AD30" wp14:editId="1D50A899">
            <wp:extent cx="2758190" cy="2927324"/>
            <wp:effectExtent l="0" t="0" r="0" b="0"/>
            <wp:docPr id="1320669602" name="Kép 3" descr="A képen szöveg, képernyőkép, minta, tervezé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69602" name="Kép 3" descr="A képen szöveg, képernyőkép, minta, tervezés látható&#10;&#10;Automatikusan generált leírá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79228" cy="2949652"/>
                    </a:xfrm>
                    <a:prstGeom prst="rect">
                      <a:avLst/>
                    </a:prstGeom>
                  </pic:spPr>
                </pic:pic>
              </a:graphicData>
            </a:graphic>
          </wp:inline>
        </w:drawing>
      </w:r>
    </w:p>
    <w:p w14:paraId="5E79FE3C" w14:textId="54EA5FFD" w:rsidR="0049600D" w:rsidRPr="008C2F09" w:rsidRDefault="0049600D" w:rsidP="0049600D">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4</w:t>
      </w:r>
      <w:r w:rsidRPr="008C2F09">
        <w:rPr>
          <w:lang w:val="en-GB"/>
        </w:rPr>
        <w:fldChar w:fldCharType="end"/>
      </w:r>
      <w:r w:rsidRPr="008C2F09">
        <w:rPr>
          <w:lang w:val="en-GB"/>
        </w:rPr>
        <w:t xml:space="preserve">. Figure: Age distribution of </w:t>
      </w:r>
      <w:proofErr w:type="spellStart"/>
      <w:r w:rsidRPr="008C2F09">
        <w:rPr>
          <w:lang w:val="en-GB"/>
        </w:rPr>
        <w:t>Shanri-La's</w:t>
      </w:r>
      <w:proofErr w:type="spellEnd"/>
      <w:r w:rsidRPr="008C2F09">
        <w:rPr>
          <w:lang w:val="en-GB"/>
        </w:rPr>
        <w:t xml:space="preserve"> customers. Source: Similar Web (2024).</w:t>
      </w:r>
    </w:p>
    <w:p w14:paraId="460AC419" w14:textId="15005F20" w:rsidR="0049600D" w:rsidRPr="008C2F09" w:rsidRDefault="0049600D" w:rsidP="0049600D">
      <w:pPr>
        <w:spacing w:after="0"/>
        <w:jc w:val="center"/>
        <w:rPr>
          <w:lang w:val="en-GB"/>
        </w:rPr>
      </w:pPr>
      <w:r w:rsidRPr="008C2F09">
        <w:rPr>
          <w:noProof/>
          <w:lang w:val="en-GB" w:eastAsia="en-GB"/>
        </w:rPr>
        <w:lastRenderedPageBreak/>
        <w:drawing>
          <wp:inline distT="0" distB="0" distL="0" distR="0" wp14:anchorId="4A4DF9C9" wp14:editId="4EBA477F">
            <wp:extent cx="3814445" cy="1970451"/>
            <wp:effectExtent l="0" t="0" r="0" b="0"/>
            <wp:docPr id="822417476" name="Kép 4" descr="A képen szöveg, képernyőkép, diagram, Betűtípu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417476" name="Kép 4" descr="A képen szöveg, képernyőkép, diagram, Betűtípus látható&#10;&#10;Automatikusan generált leírás"/>
                    <pic:cNvPicPr/>
                  </pic:nvPicPr>
                  <pic:blipFill rotWithShape="1">
                    <a:blip r:embed="rId13" cstate="print">
                      <a:extLst>
                        <a:ext uri="{28A0092B-C50C-407E-A947-70E740481C1C}">
                          <a14:useLocalDpi xmlns:a14="http://schemas.microsoft.com/office/drawing/2010/main" val="0"/>
                        </a:ext>
                      </a:extLst>
                    </a:blip>
                    <a:srcRect t="8045"/>
                    <a:stretch/>
                  </pic:blipFill>
                  <pic:spPr bwMode="auto">
                    <a:xfrm>
                      <a:off x="0" y="0"/>
                      <a:ext cx="3833922" cy="1980512"/>
                    </a:xfrm>
                    <a:prstGeom prst="rect">
                      <a:avLst/>
                    </a:prstGeom>
                    <a:ln>
                      <a:noFill/>
                    </a:ln>
                    <a:extLst>
                      <a:ext uri="{53640926-AAD7-44D8-BBD7-CCE9431645EC}">
                        <a14:shadowObscured xmlns:a14="http://schemas.microsoft.com/office/drawing/2010/main"/>
                      </a:ext>
                    </a:extLst>
                  </pic:spPr>
                </pic:pic>
              </a:graphicData>
            </a:graphic>
          </wp:inline>
        </w:drawing>
      </w:r>
    </w:p>
    <w:p w14:paraId="6F4997A9" w14:textId="6D673E62" w:rsidR="0049600D" w:rsidRPr="008C2F09" w:rsidRDefault="0049600D" w:rsidP="0049600D">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5</w:t>
      </w:r>
      <w:r w:rsidRPr="008C2F09">
        <w:rPr>
          <w:lang w:val="en-GB"/>
        </w:rPr>
        <w:fldChar w:fldCharType="end"/>
      </w:r>
      <w:r w:rsidRPr="008C2F09">
        <w:rPr>
          <w:lang w:val="en-GB"/>
        </w:rPr>
        <w:t xml:space="preserve">. Figure: Gender </w:t>
      </w:r>
      <w:proofErr w:type="spellStart"/>
      <w:r w:rsidRPr="008C2F09">
        <w:rPr>
          <w:lang w:val="en-GB"/>
        </w:rPr>
        <w:t>distibution</w:t>
      </w:r>
      <w:proofErr w:type="spellEnd"/>
      <w:r w:rsidRPr="008C2F09">
        <w:rPr>
          <w:lang w:val="en-GB"/>
        </w:rPr>
        <w:t xml:space="preserve"> of </w:t>
      </w:r>
      <w:proofErr w:type="spellStart"/>
      <w:r w:rsidRPr="008C2F09">
        <w:rPr>
          <w:lang w:val="en-GB"/>
        </w:rPr>
        <w:t>Shanri-La's</w:t>
      </w:r>
      <w:proofErr w:type="spellEnd"/>
      <w:r w:rsidRPr="008C2F09">
        <w:rPr>
          <w:lang w:val="en-GB"/>
        </w:rPr>
        <w:t xml:space="preserve"> customers. Source: Similar Web (2024).</w:t>
      </w:r>
    </w:p>
    <w:p w14:paraId="075209E0" w14:textId="61AEF005" w:rsidR="00830859" w:rsidRPr="008C2F09" w:rsidRDefault="00830859" w:rsidP="004C3CF8">
      <w:pPr>
        <w:ind w:firstLine="0"/>
        <w:rPr>
          <w:lang w:val="en-GB"/>
        </w:rPr>
      </w:pPr>
      <w:r w:rsidRPr="008C2F09">
        <w:rPr>
          <w:lang w:val="en-GB"/>
        </w:rPr>
        <w:t>As of October 2024, Shangri-La has a market capitalization of 2.69 billion USD and is the 3778th most valuable company in the world based on this indicator, but I could not find specific data on market share.</w:t>
      </w:r>
    </w:p>
    <w:p w14:paraId="1BE8D6CA" w14:textId="4B7C0493" w:rsidR="00F25F50" w:rsidRPr="008C2F09" w:rsidRDefault="00F25F50" w:rsidP="00F25F50">
      <w:pPr>
        <w:pStyle w:val="Heading2"/>
        <w:rPr>
          <w:lang w:val="en-GB"/>
        </w:rPr>
      </w:pPr>
      <w:bookmarkStart w:id="5" w:name="_Toc180072810"/>
      <w:r w:rsidRPr="008C2F09">
        <w:rPr>
          <w:lang w:val="en-GB"/>
        </w:rPr>
        <w:t>Porter Strategic Model Approach for Shangri-La Hotels</w:t>
      </w:r>
      <w:bookmarkEnd w:id="5"/>
    </w:p>
    <w:p w14:paraId="3EDF60E1" w14:textId="19A2492D" w:rsidR="00DD73D7" w:rsidRDefault="00EE41B6" w:rsidP="00EE41B6">
      <w:pPr>
        <w:ind w:firstLine="0"/>
        <w:rPr>
          <w:lang w:val="en-GB"/>
        </w:rPr>
      </w:pPr>
      <w:r w:rsidRPr="008C2F09">
        <w:rPr>
          <w:lang w:val="en-GB"/>
        </w:rPr>
        <w:t xml:space="preserve">Moving on to the Porter Strategic Model, we can already talk about the market position. Since luxury hotels usually operate with a differentiating strategy, you can see in the figure below that </w:t>
      </w:r>
      <w:proofErr w:type="spellStart"/>
      <w:r w:rsidRPr="008C2F09">
        <w:rPr>
          <w:lang w:val="en-GB"/>
        </w:rPr>
        <w:t>RevPAR</w:t>
      </w:r>
      <w:proofErr w:type="spellEnd"/>
      <w:r w:rsidRPr="008C2F09">
        <w:rPr>
          <w:lang w:val="en-GB"/>
        </w:rPr>
        <w:t xml:space="preserve"> fell by an average of 36.34 </w:t>
      </w:r>
      <w:proofErr w:type="spellStart"/>
      <w:r w:rsidRPr="008C2F09">
        <w:rPr>
          <w:lang w:val="en-GB"/>
        </w:rPr>
        <w:t>percent</w:t>
      </w:r>
      <w:proofErr w:type="spellEnd"/>
      <w:r w:rsidRPr="008C2F09">
        <w:rPr>
          <w:lang w:val="en-GB"/>
        </w:rPr>
        <w:t xml:space="preserve"> from 2021 to 2022, so even though their income or profit may have fallen, luxury hotels still gave up little on average in terms of room prices. As a comparison, I have chosen hotel chains whose number of properties is close to Shangri-La. Shangri-La reduced its prices the most drastically, by nearly 80%, Shangri-La the least, by 50%.</w:t>
      </w:r>
    </w:p>
    <w:p w14:paraId="01DE0417" w14:textId="77777777" w:rsidR="00DD73D7" w:rsidRDefault="00DD73D7">
      <w:pPr>
        <w:spacing w:after="0" w:line="240" w:lineRule="auto"/>
        <w:ind w:firstLine="0"/>
        <w:jc w:val="left"/>
        <w:rPr>
          <w:lang w:val="en-GB"/>
        </w:rPr>
      </w:pPr>
      <w:r>
        <w:rPr>
          <w:lang w:val="en-GB"/>
        </w:rPr>
        <w:br w:type="page"/>
      </w:r>
    </w:p>
    <w:p w14:paraId="5FB38FEE" w14:textId="3BFEDBBE" w:rsidR="00F25F50" w:rsidRPr="008C2F09" w:rsidRDefault="0082749F" w:rsidP="0082749F">
      <w:pPr>
        <w:spacing w:after="120"/>
        <w:rPr>
          <w:lang w:val="en-GB"/>
        </w:rPr>
      </w:pPr>
      <w:r w:rsidRPr="008C2F09">
        <w:rPr>
          <w:noProof/>
          <w:lang w:val="en-GB" w:eastAsia="en-GB"/>
        </w:rPr>
        <w:lastRenderedPageBreak/>
        <w:drawing>
          <wp:inline distT="0" distB="0" distL="0" distR="0" wp14:anchorId="27AED5AA" wp14:editId="0DB609E4">
            <wp:extent cx="4572000" cy="2743200"/>
            <wp:effectExtent l="0" t="0" r="12700" b="12700"/>
            <wp:docPr id="620665039" name="Diagram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CDD6627-BBE2-4A3B-06B7-10B4CCDEB7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6A58311" w14:textId="0CDE01FC" w:rsidR="00F25F50" w:rsidRPr="008C2F09" w:rsidRDefault="00F25F50" w:rsidP="00F25F50">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6</w:t>
      </w:r>
      <w:r w:rsidRPr="008C2F09">
        <w:rPr>
          <w:lang w:val="en-GB"/>
        </w:rPr>
        <w:fldChar w:fldCharType="end"/>
      </w:r>
      <w:r w:rsidRPr="008C2F09">
        <w:rPr>
          <w:lang w:val="en-GB"/>
        </w:rPr>
        <w:t xml:space="preserve">. Figure: </w:t>
      </w:r>
      <w:proofErr w:type="spellStart"/>
      <w:r w:rsidR="0082749F" w:rsidRPr="008C2F09">
        <w:rPr>
          <w:lang w:val="en-GB"/>
        </w:rPr>
        <w:t>RevPAR</w:t>
      </w:r>
      <w:proofErr w:type="spellEnd"/>
      <w:r w:rsidRPr="008C2F09">
        <w:rPr>
          <w:lang w:val="en-GB"/>
        </w:rPr>
        <w:t xml:space="preserve"> vs. Competitors, 2018-2023 (USD)</w:t>
      </w:r>
    </w:p>
    <w:p w14:paraId="176C2845" w14:textId="77777777" w:rsidR="00EE41B6" w:rsidRDefault="00EE41B6" w:rsidP="00EE41B6">
      <w:pPr>
        <w:ind w:firstLine="0"/>
      </w:pPr>
      <w:r w:rsidRPr="00906805">
        <w:t>Porter's (1980) model of "competitive advantage" and "competitive scope" outlines generic strategies, showing how firms position themselves. Luxury hotels, like Shangri-La, use differentiation by offering unique services and targeting niche markets, often through distinct marketing (Silva et al., 2018). Shangri-La emphasizes Asian cultural values, as reflected in its commitment to traditional, thoughtful hospitality (Shangri-La Group, n.d.).</w:t>
      </w:r>
    </w:p>
    <w:p w14:paraId="2192F2AD" w14:textId="1D748D2C" w:rsidR="001F4D4F" w:rsidRPr="008C2F09" w:rsidRDefault="001F4D4F" w:rsidP="008C2F09">
      <w:pPr>
        <w:spacing w:after="0"/>
        <w:ind w:firstLine="0"/>
        <w:jc w:val="center"/>
        <w:rPr>
          <w:lang w:val="en-GB"/>
        </w:rPr>
      </w:pPr>
      <w:r w:rsidRPr="008C2F09">
        <w:rPr>
          <w:noProof/>
          <w:lang w:val="en-GB" w:eastAsia="en-GB"/>
        </w:rPr>
        <w:drawing>
          <wp:inline distT="0" distB="0" distL="0" distR="0" wp14:anchorId="1B589EEA" wp14:editId="5E4878D7">
            <wp:extent cx="2583872" cy="2875709"/>
            <wp:effectExtent l="0" t="0" r="0" b="0"/>
            <wp:docPr id="421981289" name="Kép 1" descr="A képen szöveg, képernyőkép, Betűtípus, tervezé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81289" name="Kép 1" descr="A képen szöveg, képernyőkép, Betűtípus, tervezés látható&#10;&#10;Automatikusan generált leírás"/>
                    <pic:cNvPicPr/>
                  </pic:nvPicPr>
                  <pic:blipFill rotWithShape="1">
                    <a:blip r:embed="rId15" cstate="print">
                      <a:extLst>
                        <a:ext uri="{28A0092B-C50C-407E-A947-70E740481C1C}">
                          <a14:useLocalDpi xmlns:a14="http://schemas.microsoft.com/office/drawing/2010/main" val="0"/>
                        </a:ext>
                      </a:extLst>
                    </a:blip>
                    <a:srcRect l="5087" t="11580" r="10130" b="21744"/>
                    <a:stretch/>
                  </pic:blipFill>
                  <pic:spPr bwMode="auto">
                    <a:xfrm>
                      <a:off x="0" y="0"/>
                      <a:ext cx="2600475" cy="2894188"/>
                    </a:xfrm>
                    <a:prstGeom prst="rect">
                      <a:avLst/>
                    </a:prstGeom>
                    <a:ln>
                      <a:noFill/>
                    </a:ln>
                    <a:extLst>
                      <a:ext uri="{53640926-AAD7-44D8-BBD7-CCE9431645EC}">
                        <a14:shadowObscured xmlns:a14="http://schemas.microsoft.com/office/drawing/2010/main"/>
                      </a:ext>
                    </a:extLst>
                  </pic:spPr>
                </pic:pic>
              </a:graphicData>
            </a:graphic>
          </wp:inline>
        </w:drawing>
      </w:r>
    </w:p>
    <w:p w14:paraId="24E7905E" w14:textId="337631AF" w:rsidR="001F4D4F" w:rsidRPr="008C2F09" w:rsidRDefault="001F4D4F" w:rsidP="001F4D4F">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7</w:t>
      </w:r>
      <w:r w:rsidRPr="008C2F09">
        <w:rPr>
          <w:lang w:val="en-GB"/>
        </w:rPr>
        <w:fldChar w:fldCharType="end"/>
      </w:r>
      <w:r w:rsidRPr="008C2F09">
        <w:rPr>
          <w:lang w:val="en-GB"/>
        </w:rPr>
        <w:t>. Figure: Porter strategies. Source: own editing</w:t>
      </w:r>
    </w:p>
    <w:p w14:paraId="139DE40C" w14:textId="07320B43" w:rsidR="008C2F09" w:rsidRPr="008C2F09" w:rsidRDefault="008C2F09" w:rsidP="00EE41B6">
      <w:pPr>
        <w:ind w:firstLine="0"/>
        <w:rPr>
          <w:lang w:val="en-GB"/>
        </w:rPr>
      </w:pPr>
      <w:r w:rsidRPr="008C2F09">
        <w:rPr>
          <w:lang w:val="en-GB"/>
        </w:rPr>
        <w:t>There are no figures in the Cost Leadership and Cost Focus quadrants in the figure, as they are not relevant to the premium market strategy of Shangri-La and its competitors.</w:t>
      </w:r>
    </w:p>
    <w:p w14:paraId="0829BD10" w14:textId="77777777" w:rsidR="001F1E53" w:rsidRPr="008C2F09" w:rsidRDefault="001F1E53" w:rsidP="001F1E53">
      <w:pPr>
        <w:pStyle w:val="Heading2"/>
        <w:rPr>
          <w:lang w:val="en-GB"/>
        </w:rPr>
      </w:pPr>
      <w:bookmarkStart w:id="6" w:name="_Toc179142096"/>
      <w:bookmarkStart w:id="7" w:name="_Toc180072811"/>
      <w:r w:rsidRPr="008C2F09">
        <w:rPr>
          <w:lang w:val="en-GB"/>
        </w:rPr>
        <w:lastRenderedPageBreak/>
        <w:t>The Shangri-La Hotels Demand and supply analysis</w:t>
      </w:r>
      <w:bookmarkEnd w:id="6"/>
      <w:bookmarkEnd w:id="7"/>
    </w:p>
    <w:p w14:paraId="0C8005FC" w14:textId="5E026AC3" w:rsidR="005947C3" w:rsidRPr="00906805" w:rsidRDefault="005947C3" w:rsidP="005947C3">
      <w:pPr>
        <w:ind w:firstLine="0"/>
      </w:pPr>
      <w:r w:rsidRPr="00906805">
        <w:t xml:space="preserve">The data show that Shangri-La's supply remains constant at 41,037 rooms, while demand fluctuates with price changes. </w:t>
      </w:r>
      <w:r w:rsidR="005B0D4C" w:rsidRPr="005B0D4C">
        <w:t>50% decline in sales shows that its customers are price sensitive. This fits with Shen’s (2022) finding that the market for luxury goods and services goes into a tailspin when there is a crisis, as we see at Shangri-La.</w:t>
      </w:r>
    </w:p>
    <w:p w14:paraId="6B085200" w14:textId="1581884B" w:rsidR="001F1E53" w:rsidRPr="008C2F09" w:rsidRDefault="001F1E53" w:rsidP="001F1E53">
      <w:pPr>
        <w:spacing w:after="0"/>
        <w:ind w:firstLine="0"/>
        <w:jc w:val="center"/>
        <w:rPr>
          <w:lang w:val="en-GB"/>
        </w:rPr>
      </w:pPr>
      <w:r w:rsidRPr="008C2F09">
        <w:rPr>
          <w:noProof/>
          <w:lang w:val="en-GB" w:eastAsia="en-GB"/>
        </w:rPr>
        <w:drawing>
          <wp:inline distT="0" distB="0" distL="0" distR="0" wp14:anchorId="46D8D9D6" wp14:editId="338DD208">
            <wp:extent cx="4572635" cy="2743835"/>
            <wp:effectExtent l="0" t="0" r="12065" b="12065"/>
            <wp:docPr id="501427669" name="Diagram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93EACFB" w14:textId="6404709D" w:rsidR="00DD73D7" w:rsidRDefault="001F1E53" w:rsidP="001F1E53">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8</w:t>
      </w:r>
      <w:r w:rsidRPr="008C2F09">
        <w:rPr>
          <w:lang w:val="en-GB"/>
        </w:rPr>
        <w:fldChar w:fldCharType="end"/>
      </w:r>
      <w:r w:rsidRPr="008C2F09">
        <w:rPr>
          <w:lang w:val="en-GB"/>
        </w:rPr>
        <w:t>. Figure: Development of demand and supply for the Shangri-La hotel chain, 2023 (Price-demand-supply function). Source: own editing</w:t>
      </w:r>
    </w:p>
    <w:p w14:paraId="19611692" w14:textId="77777777" w:rsidR="00DD73D7" w:rsidRDefault="00DD73D7">
      <w:pPr>
        <w:spacing w:after="0" w:line="240" w:lineRule="auto"/>
        <w:ind w:firstLine="0"/>
        <w:jc w:val="left"/>
        <w:rPr>
          <w:i/>
          <w:iCs/>
          <w:color w:val="000000" w:themeColor="text1"/>
          <w:sz w:val="21"/>
          <w:szCs w:val="18"/>
          <w:lang w:val="en-GB"/>
        </w:rPr>
      </w:pPr>
      <w:r>
        <w:rPr>
          <w:lang w:val="en-GB"/>
        </w:rPr>
        <w:br w:type="page"/>
      </w:r>
    </w:p>
    <w:p w14:paraId="693CF123" w14:textId="77777777" w:rsidR="001F1E53" w:rsidRPr="008C2F09" w:rsidRDefault="001F1E53" w:rsidP="001F1E53">
      <w:pPr>
        <w:pStyle w:val="Heading2"/>
        <w:rPr>
          <w:lang w:val="en-GB"/>
        </w:rPr>
      </w:pPr>
      <w:bookmarkStart w:id="8" w:name="_Toc179142097"/>
      <w:bookmarkStart w:id="9" w:name="_Toc180072812"/>
      <w:r w:rsidRPr="008C2F09">
        <w:rPr>
          <w:lang w:val="en-GB"/>
        </w:rPr>
        <w:lastRenderedPageBreak/>
        <w:t>Bowman’s strategy clock of Shangri-La Hotels</w:t>
      </w:r>
      <w:bookmarkEnd w:id="8"/>
      <w:bookmarkEnd w:id="9"/>
    </w:p>
    <w:p w14:paraId="61FBA9F9" w14:textId="77777777" w:rsidR="001F1E53" w:rsidRPr="008C2F09" w:rsidRDefault="001F1E53" w:rsidP="001F1E53">
      <w:pPr>
        <w:ind w:firstLine="0"/>
        <w:rPr>
          <w:lang w:val="en-GB"/>
        </w:rPr>
      </w:pPr>
      <w:r w:rsidRPr="008C2F09">
        <w:rPr>
          <w:noProof/>
          <w:lang w:val="en-GB" w:eastAsia="en-GB"/>
        </w:rPr>
        <w:drawing>
          <wp:inline distT="0" distB="0" distL="0" distR="0" wp14:anchorId="380EE356" wp14:editId="2E343C66">
            <wp:extent cx="5756910" cy="3238500"/>
            <wp:effectExtent l="0" t="0" r="0" b="0"/>
            <wp:docPr id="236723498" name="Kép 2" descr="A képen szöveg, diagram, sor, kör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23498" name="Kép 2" descr="A képen szöveg, diagram, sor, kör látható&#10;&#10;Automatikusan generált leírás"/>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0EB4A2A2" w14:textId="298854E8" w:rsidR="001F1E53" w:rsidRPr="008C2F09" w:rsidRDefault="001F1E53" w:rsidP="001F1E53">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9</w:t>
      </w:r>
      <w:r w:rsidRPr="008C2F09">
        <w:rPr>
          <w:lang w:val="en-GB"/>
        </w:rPr>
        <w:fldChar w:fldCharType="end"/>
      </w:r>
      <w:r w:rsidRPr="008C2F09">
        <w:rPr>
          <w:lang w:val="en-GB"/>
        </w:rPr>
        <w:t>. Figure:</w:t>
      </w:r>
      <w:r w:rsidRPr="008C2F09">
        <w:rPr>
          <w:rFonts w:ascii="-webkit-standard" w:hAnsi="-webkit-standard"/>
          <w:i w:val="0"/>
          <w:iCs w:val="0"/>
          <w:color w:val="000000"/>
          <w:sz w:val="27"/>
          <w:szCs w:val="27"/>
          <w:lang w:val="en-GB"/>
        </w:rPr>
        <w:t xml:space="preserve"> </w:t>
      </w:r>
      <w:r w:rsidRPr="008C2F09">
        <w:rPr>
          <w:lang w:val="en-GB"/>
        </w:rPr>
        <w:t>Bowman’s Strategy Clock: Competitive Positioning of Luxury Hotel Chains in 2023. Source: own editing</w:t>
      </w:r>
    </w:p>
    <w:p w14:paraId="6BC1AD5A" w14:textId="77777777" w:rsidR="005947C3" w:rsidRPr="008C2F09" w:rsidRDefault="005947C3" w:rsidP="005947C3">
      <w:pPr>
        <w:ind w:firstLine="0"/>
        <w:rPr>
          <w:lang w:val="en-GB"/>
        </w:rPr>
      </w:pPr>
      <w:r w:rsidRPr="008C2F09">
        <w:rPr>
          <w:lang w:val="en-GB"/>
        </w:rPr>
        <w:t xml:space="preserve">The Bowman strategy </w:t>
      </w:r>
      <w:r>
        <w:rPr>
          <w:lang w:val="en-GB"/>
        </w:rPr>
        <w:t>clock</w:t>
      </w:r>
      <w:r w:rsidRPr="008C2F09">
        <w:rPr>
          <w:lang w:val="en-GB"/>
        </w:rPr>
        <w:t xml:space="preserve"> shows how companies can compete in the market based on price and added value (</w:t>
      </w:r>
      <w:proofErr w:type="spellStart"/>
      <w:r w:rsidRPr="008C2F09">
        <w:rPr>
          <w:lang w:val="en-GB"/>
        </w:rPr>
        <w:t>Villagrasa</w:t>
      </w:r>
      <w:proofErr w:type="spellEnd"/>
      <w:r w:rsidRPr="008C2F09">
        <w:rPr>
          <w:lang w:val="en-GB"/>
        </w:rPr>
        <w:t xml:space="preserve"> et al., 2021). Shangri-La is in zone 4, in the "high differentiation" category, offering a premium price with a high customer experience (in 2023, ADR: 173 USD, occupancy rate: 62%). Conrad Hotels is similarly located in Zone 4, ADR in 2023: around USD 190. Ritz Carlton follows the "focused differentiation" strategy, where the ADR is 180 USD. Marriott and Hilton are more in zone 3, the "hybrid" category, where they offer a premium experience at a medium price (ADR: 160 USD). W Hotels is also in Zone 4, ADR: US$150. Ultra-luxury hotels such as The Plaza Hotel and The Lover's Deep Submarine belong to the "risky high margins" zone, with high prices and a small clientele (The Plaza Hotel ADR: USD 300, fictitious figure). The Hotel President Wilson, which is not a hotel chain, can and does use monopoly pricing, offering ultra-exclusive experiences for $80,000 per night.</w:t>
      </w:r>
    </w:p>
    <w:p w14:paraId="4095635D" w14:textId="65237FD7" w:rsidR="001F1E53" w:rsidRPr="008C2F09" w:rsidRDefault="005C3029" w:rsidP="001F1E53">
      <w:pPr>
        <w:pStyle w:val="Heading2"/>
        <w:rPr>
          <w:lang w:val="en-GB"/>
        </w:rPr>
      </w:pPr>
      <w:bookmarkStart w:id="10" w:name="_Toc180072813"/>
      <w:r w:rsidRPr="008C2F09">
        <w:rPr>
          <w:lang w:val="en-GB"/>
        </w:rPr>
        <w:t>Brand identity, sustainability and CSR</w:t>
      </w:r>
      <w:bookmarkEnd w:id="10"/>
    </w:p>
    <w:p w14:paraId="72375953" w14:textId="466B54BE" w:rsidR="00535ACA" w:rsidRPr="008C2F09" w:rsidRDefault="00535ACA" w:rsidP="00535ACA">
      <w:pPr>
        <w:ind w:firstLine="0"/>
        <w:rPr>
          <w:lang w:val="en-GB"/>
        </w:rPr>
      </w:pPr>
      <w:r w:rsidRPr="008C2F09">
        <w:rPr>
          <w:lang w:val="en-GB"/>
        </w:rPr>
        <w:t>According to Shangri-La's 2023 annual report, donations and other charitable expenditures for the company's CSR activities tota</w:t>
      </w:r>
      <w:r w:rsidR="00222748">
        <w:rPr>
          <w:lang w:val="en-GB"/>
        </w:rPr>
        <w:t>l</w:t>
      </w:r>
      <w:r w:rsidRPr="008C2F09">
        <w:rPr>
          <w:lang w:val="en-GB"/>
        </w:rPr>
        <w:t xml:space="preserve">led US$2.39 million during the fiscal year. </w:t>
      </w:r>
      <w:proofErr w:type="spellStart"/>
      <w:r w:rsidRPr="008C2F09">
        <w:rPr>
          <w:lang w:val="en-GB"/>
        </w:rPr>
        <w:t>Lho</w:t>
      </w:r>
      <w:proofErr w:type="spellEnd"/>
      <w:r w:rsidRPr="008C2F09">
        <w:rPr>
          <w:lang w:val="en-GB"/>
        </w:rPr>
        <w:t xml:space="preserve"> et al. </w:t>
      </w:r>
      <w:r w:rsidRPr="008C2F09">
        <w:rPr>
          <w:lang w:val="en-GB"/>
        </w:rPr>
        <w:lastRenderedPageBreak/>
        <w:t>(2019), CSR initiatives have a positive impact on the perception of luxury brands. Franco et al. (2019) research showed that the relationship between CSR and financial performance is U-shaped: the benefits are felt only when companies engage in a sufficiently high level of CSR activity.</w:t>
      </w:r>
    </w:p>
    <w:p w14:paraId="3C3BD709" w14:textId="77777777" w:rsidR="00A90F57" w:rsidRPr="008C2F09" w:rsidRDefault="00A90F57" w:rsidP="00A90F57">
      <w:pPr>
        <w:spacing w:after="0"/>
        <w:ind w:firstLine="0"/>
        <w:jc w:val="center"/>
        <w:rPr>
          <w:lang w:val="en-GB"/>
        </w:rPr>
      </w:pPr>
      <w:r w:rsidRPr="008C2F09">
        <w:rPr>
          <w:noProof/>
          <w:lang w:val="en-GB" w:eastAsia="en-GB"/>
        </w:rPr>
        <w:drawing>
          <wp:inline distT="0" distB="0" distL="0" distR="0" wp14:anchorId="76320B46" wp14:editId="78E7670D">
            <wp:extent cx="5151120" cy="2925742"/>
            <wp:effectExtent l="0" t="0" r="5080" b="0"/>
            <wp:docPr id="1274677809" name="Kép 4" descr="A képen szöveg, képernyőkép, diagram, Betűtípu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77809" name="Kép 4" descr="A képen szöveg, képernyőkép, diagram, Betűtípus látható&#10;&#10;Automatikusan generált leírás"/>
                    <pic:cNvPicPr/>
                  </pic:nvPicPr>
                  <pic:blipFill rotWithShape="1">
                    <a:blip r:embed="rId18" cstate="print">
                      <a:extLst>
                        <a:ext uri="{28A0092B-C50C-407E-A947-70E740481C1C}">
                          <a14:useLocalDpi xmlns:a14="http://schemas.microsoft.com/office/drawing/2010/main" val="0"/>
                        </a:ext>
                      </a:extLst>
                    </a:blip>
                    <a:srcRect l="3178" t="3930" r="7323" b="5706"/>
                    <a:stretch/>
                  </pic:blipFill>
                  <pic:spPr bwMode="auto">
                    <a:xfrm>
                      <a:off x="0" y="0"/>
                      <a:ext cx="5152401" cy="2926469"/>
                    </a:xfrm>
                    <a:prstGeom prst="rect">
                      <a:avLst/>
                    </a:prstGeom>
                    <a:ln>
                      <a:noFill/>
                    </a:ln>
                    <a:extLst>
                      <a:ext uri="{53640926-AAD7-44D8-BBD7-CCE9431645EC}">
                        <a14:shadowObscured xmlns:a14="http://schemas.microsoft.com/office/drawing/2010/main"/>
                      </a:ext>
                    </a:extLst>
                  </pic:spPr>
                </pic:pic>
              </a:graphicData>
            </a:graphic>
          </wp:inline>
        </w:drawing>
      </w:r>
    </w:p>
    <w:p w14:paraId="5EB55394" w14:textId="77777777" w:rsidR="00A90F57" w:rsidRPr="008C2F09" w:rsidRDefault="00A90F57" w:rsidP="00A90F57">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10</w:t>
      </w:r>
      <w:r w:rsidRPr="008C2F09">
        <w:rPr>
          <w:lang w:val="en-GB"/>
        </w:rPr>
        <w:fldChar w:fldCharType="end"/>
      </w:r>
      <w:r w:rsidRPr="008C2F09">
        <w:rPr>
          <w:lang w:val="en-GB"/>
        </w:rPr>
        <w:t>. Figure: Shangri-La Brand identity Prism. Source: own editing</w:t>
      </w:r>
    </w:p>
    <w:p w14:paraId="4B8B09E7" w14:textId="77777777" w:rsidR="00535ACA" w:rsidRPr="008C2F09" w:rsidRDefault="00535ACA" w:rsidP="00535ACA">
      <w:pPr>
        <w:ind w:firstLine="0"/>
        <w:rPr>
          <w:lang w:val="en-GB"/>
        </w:rPr>
      </w:pPr>
      <w:r w:rsidRPr="008C2F09">
        <w:rPr>
          <w:lang w:val="en-GB"/>
        </w:rPr>
        <w:t>An important element of Shangri-La Hotels &amp; Resorts' branding strategy is the application of the Brand Identity Prism model, which includes six key areas: physical appearance, personality, culture, self-image, reflection and relationship. Shangri-La hotels are premium category, located in luxury buildings in major cities around the world, and by 2023 they already had 91 hotels (Shangri-La Group, 2023). The appearance of their buildings is characterized by a combination of Asian architectural elements and modern luxury trends, which sets them apart from the competition.</w:t>
      </w:r>
    </w:p>
    <w:p w14:paraId="364B3458" w14:textId="77777777" w:rsidR="00535ACA" w:rsidRPr="008C2F09" w:rsidRDefault="00535ACA" w:rsidP="00535ACA">
      <w:pPr>
        <w:ind w:firstLine="0"/>
        <w:rPr>
          <w:lang w:val="en-GB"/>
        </w:rPr>
      </w:pPr>
      <w:r w:rsidRPr="008C2F09">
        <w:rPr>
          <w:lang w:val="en-GB"/>
        </w:rPr>
        <w:t xml:space="preserve">Shangri-La positions itself among the best luxury hotels in the world, especially in Asia and the Middle East. Based on the 2023 annual reports, the company has a capital value of 46.63%, which provides it with a strong financial background for further expansion (Shangri-La Group, 2023). Their guests mainly belong to the upper middle class and the wealthier strata, for </w:t>
      </w:r>
      <w:proofErr w:type="gramStart"/>
      <w:r w:rsidRPr="008C2F09">
        <w:rPr>
          <w:lang w:val="en-GB"/>
        </w:rPr>
        <w:t>whom</w:t>
      </w:r>
      <w:proofErr w:type="gramEnd"/>
      <w:r w:rsidRPr="008C2F09">
        <w:rPr>
          <w:lang w:val="en-GB"/>
        </w:rPr>
        <w:t xml:space="preserve"> luxury, comfort and unique experiences are of prime importance.</w:t>
      </w:r>
    </w:p>
    <w:p w14:paraId="1AA19FEA" w14:textId="72F994FF" w:rsidR="00A90F57" w:rsidRPr="008C2F09" w:rsidRDefault="00A90F57" w:rsidP="00A90F57">
      <w:pPr>
        <w:pStyle w:val="Heading1"/>
        <w:rPr>
          <w:lang w:val="en-GB"/>
        </w:rPr>
      </w:pPr>
      <w:bookmarkStart w:id="11" w:name="_Toc180072814"/>
      <w:r w:rsidRPr="008C2F09">
        <w:rPr>
          <w:lang w:val="en-GB"/>
        </w:rPr>
        <w:lastRenderedPageBreak/>
        <w:t>Premier Inn Analysis</w:t>
      </w:r>
      <w:bookmarkEnd w:id="11"/>
    </w:p>
    <w:p w14:paraId="6E048FF6" w14:textId="77777777" w:rsidR="00447FA7" w:rsidRDefault="00447FA7" w:rsidP="00447FA7">
      <w:pPr>
        <w:ind w:firstLine="0"/>
      </w:pPr>
      <w:r w:rsidRPr="00813297">
        <w:t xml:space="preserve">Revenues from 2018 to 2023 showed significant fluctuations, reflecting a V-shaped recovery from the COVID-19 crisis, with the lowest point in 2021 at £590 million (Whitbread Annual Reports 2018-2023). </w:t>
      </w:r>
      <w:r w:rsidRPr="00C63395">
        <w:t>Neither the low-budget nor the luxury segments were spared by the crisis, although the demand for cheaper accommodation, such as Premier Inn, did not disappear as travelers appreciated the cheapness. The smaller price difference between high-end hotels and lower-end hotels may have led more people to the more expensive services, after savings, in search of the good.</w:t>
      </w:r>
    </w:p>
    <w:p w14:paraId="762AA42A" w14:textId="49028FC8" w:rsidR="00A90F57" w:rsidRPr="008C2F09" w:rsidRDefault="00A90F57" w:rsidP="005000CF">
      <w:pPr>
        <w:spacing w:after="0"/>
        <w:rPr>
          <w:lang w:val="en-GB"/>
        </w:rPr>
      </w:pPr>
      <w:r w:rsidRPr="008C2F09">
        <w:rPr>
          <w:noProof/>
          <w:lang w:val="en-GB" w:eastAsia="en-GB"/>
        </w:rPr>
        <w:drawing>
          <wp:inline distT="0" distB="0" distL="0" distR="0" wp14:anchorId="1D48037E" wp14:editId="2ED9B3DF">
            <wp:extent cx="4490224" cy="2660960"/>
            <wp:effectExtent l="0" t="0" r="18415" b="6350"/>
            <wp:docPr id="1878780192" name="Diagram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CE8E17B" w14:textId="77777777" w:rsidR="00A90F57" w:rsidRPr="008C2F09" w:rsidRDefault="00A90F57" w:rsidP="005000CF">
      <w:pPr>
        <w:ind w:left="360" w:firstLine="0"/>
        <w:rPr>
          <w:i/>
          <w:iCs/>
          <w:lang w:val="en-GB"/>
        </w:rPr>
      </w:pPr>
      <w:r w:rsidRPr="008C2F09">
        <w:rPr>
          <w:i/>
          <w:iCs/>
          <w:lang w:val="en-GB"/>
        </w:rPr>
        <w:fldChar w:fldCharType="begin"/>
      </w:r>
      <w:r w:rsidRPr="008C2F09">
        <w:rPr>
          <w:i/>
          <w:iCs/>
          <w:lang w:val="en-GB"/>
        </w:rPr>
        <w:instrText xml:space="preserve"> SEQ Figure \* ARABIC </w:instrText>
      </w:r>
      <w:r w:rsidRPr="008C2F09">
        <w:rPr>
          <w:i/>
          <w:iCs/>
          <w:lang w:val="en-GB"/>
        </w:rPr>
        <w:fldChar w:fldCharType="separate"/>
      </w:r>
      <w:r w:rsidR="007041B1">
        <w:rPr>
          <w:i/>
          <w:iCs/>
          <w:noProof/>
          <w:lang w:val="en-GB"/>
        </w:rPr>
        <w:t>11</w:t>
      </w:r>
      <w:r w:rsidRPr="008C2F09">
        <w:rPr>
          <w:lang w:val="en-GB"/>
        </w:rPr>
        <w:fldChar w:fldCharType="end"/>
      </w:r>
      <w:r w:rsidRPr="008C2F09">
        <w:rPr>
          <w:i/>
          <w:iCs/>
          <w:lang w:val="en-GB"/>
        </w:rPr>
        <w:t xml:space="preserve">. </w:t>
      </w:r>
      <w:proofErr w:type="gramStart"/>
      <w:r w:rsidRPr="008C2F09">
        <w:rPr>
          <w:i/>
          <w:iCs/>
          <w:lang w:val="en-GB"/>
        </w:rPr>
        <w:t>Figure: Premier Inn total revenues from 2018-2023 in million £).</w:t>
      </w:r>
      <w:proofErr w:type="gramEnd"/>
      <w:r w:rsidRPr="008C2F09">
        <w:rPr>
          <w:i/>
          <w:iCs/>
          <w:lang w:val="en-GB"/>
        </w:rPr>
        <w:t xml:space="preserve"> Source: own editing</w:t>
      </w:r>
    </w:p>
    <w:p w14:paraId="4850840F" w14:textId="77777777" w:rsidR="00FF7A09" w:rsidRPr="008C2F09" w:rsidRDefault="00FF7A09" w:rsidP="00CF02F8">
      <w:pPr>
        <w:pStyle w:val="Heading2"/>
        <w:rPr>
          <w:lang w:val="en-GB"/>
        </w:rPr>
      </w:pPr>
      <w:bookmarkStart w:id="12" w:name="_Toc179142102"/>
      <w:bookmarkStart w:id="13" w:name="_Toc180072815"/>
      <w:r w:rsidRPr="008C2F09">
        <w:rPr>
          <w:lang w:val="en-GB"/>
        </w:rPr>
        <w:t>Analysis of Porter's strategic model and competitive advantage in the case of Premier Inn</w:t>
      </w:r>
      <w:bookmarkEnd w:id="12"/>
      <w:bookmarkEnd w:id="13"/>
    </w:p>
    <w:p w14:paraId="6AB20AA4" w14:textId="77777777" w:rsidR="00377E5C" w:rsidRDefault="00377E5C" w:rsidP="00377E5C">
      <w:pPr>
        <w:ind w:firstLine="0"/>
      </w:pPr>
      <w:r w:rsidRPr="008C2F09">
        <w:rPr>
          <w:lang w:val="en-GB"/>
        </w:rPr>
        <w:t xml:space="preserve">Premier Inn's main competitive advantage is economies of scale, particularly in the UK market where it has 840 hotels. The company offers rooms at low prices while maintaining low operating costs. In 2023, Premier Inn had 83,500 rooms, a </w:t>
      </w:r>
      <w:proofErr w:type="spellStart"/>
      <w:r w:rsidRPr="008C2F09">
        <w:rPr>
          <w:lang w:val="en-GB"/>
        </w:rPr>
        <w:t>RevPAR</w:t>
      </w:r>
      <w:proofErr w:type="spellEnd"/>
      <w:r w:rsidRPr="008C2F09">
        <w:rPr>
          <w:lang w:val="en-GB"/>
        </w:rPr>
        <w:t xml:space="preserve"> value of £82.7, and an occupancy rate of 82.7% (Whitbread </w:t>
      </w:r>
      <w:proofErr w:type="spellStart"/>
      <w:r w:rsidRPr="008C2F09">
        <w:rPr>
          <w:lang w:val="en-GB"/>
        </w:rPr>
        <w:t>Plc</w:t>
      </w:r>
      <w:proofErr w:type="spellEnd"/>
      <w:r w:rsidRPr="008C2F09">
        <w:rPr>
          <w:lang w:val="en-GB"/>
        </w:rPr>
        <w:t>, 2018-2023).</w:t>
      </w:r>
    </w:p>
    <w:p w14:paraId="5F88BD7D" w14:textId="5F3AB00D" w:rsidR="00FF7A09" w:rsidRPr="008C2F09" w:rsidRDefault="00FF7A09" w:rsidP="00FF7A09">
      <w:pPr>
        <w:rPr>
          <w:i/>
          <w:iCs/>
          <w:lang w:val="en-GB"/>
        </w:rPr>
      </w:pPr>
      <w:r w:rsidRPr="008C2F09">
        <w:rPr>
          <w:noProof/>
          <w:lang w:val="en-GB" w:eastAsia="en-GB"/>
        </w:rPr>
        <w:lastRenderedPageBreak/>
        <w:drawing>
          <wp:inline distT="0" distB="0" distL="0" distR="0" wp14:anchorId="3884740B" wp14:editId="324247AC">
            <wp:extent cx="4797084" cy="2479430"/>
            <wp:effectExtent l="0" t="0" r="16510" b="10160"/>
            <wp:docPr id="1772530071" name="Diagram 1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BDA4598" w14:textId="77777777" w:rsidR="00FF7A09" w:rsidRPr="008C2F09" w:rsidRDefault="00FF7A09" w:rsidP="00190849">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12</w:t>
      </w:r>
      <w:r w:rsidRPr="008C2F09">
        <w:rPr>
          <w:lang w:val="en-GB"/>
        </w:rPr>
        <w:fldChar w:fldCharType="end"/>
      </w:r>
      <w:r w:rsidRPr="008C2F09">
        <w:rPr>
          <w:lang w:val="en-GB"/>
        </w:rPr>
        <w:t xml:space="preserve">. Figure: </w:t>
      </w:r>
      <w:proofErr w:type="spellStart"/>
      <w:r w:rsidRPr="008C2F09">
        <w:rPr>
          <w:lang w:val="en-GB"/>
        </w:rPr>
        <w:t>RevPAR</w:t>
      </w:r>
      <w:proofErr w:type="spellEnd"/>
      <w:r w:rsidRPr="008C2F09">
        <w:rPr>
          <w:lang w:val="en-GB"/>
        </w:rPr>
        <w:t xml:space="preserve"> vs. Competitors (2018-2023). Source: Own editing based on Whitbread </w:t>
      </w:r>
      <w:proofErr w:type="spellStart"/>
      <w:r w:rsidRPr="008C2F09">
        <w:rPr>
          <w:lang w:val="en-GB"/>
        </w:rPr>
        <w:t>Plc</w:t>
      </w:r>
      <w:proofErr w:type="spellEnd"/>
      <w:r w:rsidRPr="008C2F09">
        <w:rPr>
          <w:lang w:val="en-GB"/>
        </w:rPr>
        <w:t xml:space="preserve">, 2018-2023; Accor, 2018-2023; Hilton, 2018-2023; TVL Finance PLC, 2023; Travelodge, 2018, 2022; </w:t>
      </w:r>
    </w:p>
    <w:p w14:paraId="4EB95C41" w14:textId="72677168" w:rsidR="00377E5C" w:rsidRPr="008C2F09" w:rsidRDefault="00377E5C" w:rsidP="00377E5C">
      <w:pPr>
        <w:ind w:firstLine="0"/>
        <w:rPr>
          <w:lang w:val="en-GB"/>
        </w:rPr>
      </w:pPr>
      <w:r>
        <w:t>P</w:t>
      </w:r>
      <w:r w:rsidRPr="00813297">
        <w:t>remier Inn's cost leadership strategy prioritizes low prices with quality, focusing on cost efficiency through tech improvements like digital check-ins and sustainability measures (Whitbread PLC, 2024). Unlike luxury brands that market sustainability as exclusivity, Premier Inn uses it for cost reduction.</w:t>
      </w:r>
    </w:p>
    <w:p w14:paraId="3CD93669" w14:textId="06BEDE1B" w:rsidR="00FF7A09" w:rsidRPr="008C2F09" w:rsidRDefault="00FF7A09" w:rsidP="00190849">
      <w:pPr>
        <w:spacing w:after="0"/>
        <w:jc w:val="center"/>
        <w:rPr>
          <w:lang w:val="en-GB"/>
        </w:rPr>
      </w:pPr>
      <w:r w:rsidRPr="008C2F09">
        <w:rPr>
          <w:noProof/>
          <w:lang w:val="en-GB" w:eastAsia="en-GB"/>
        </w:rPr>
        <w:drawing>
          <wp:inline distT="0" distB="0" distL="0" distR="0" wp14:anchorId="4C648BB5" wp14:editId="7C57FD75">
            <wp:extent cx="2542783" cy="2722010"/>
            <wp:effectExtent l="0" t="0" r="0" b="0"/>
            <wp:docPr id="763051301" name="Kép 11" descr="A képen szöveg, képernyőkép, Betűtípus, tervezés látható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ép 7" descr="A képen szöveg, képernyőkép, Betűtípus, tervezés láthatóAutomatikusan generált leírás"/>
                    <pic:cNvPicPr>
                      <a:picLocks noChangeAspect="1" noChangeArrowheads="1"/>
                    </pic:cNvPicPr>
                  </pic:nvPicPr>
                  <pic:blipFill>
                    <a:blip r:embed="rId21" cstate="print">
                      <a:extLst>
                        <a:ext uri="{28A0092B-C50C-407E-A947-70E740481C1C}">
                          <a14:useLocalDpi xmlns:a14="http://schemas.microsoft.com/office/drawing/2010/main" val="0"/>
                        </a:ext>
                      </a:extLst>
                    </a:blip>
                    <a:srcRect t="10931" r="9912" b="20728"/>
                    <a:stretch>
                      <a:fillRect/>
                    </a:stretch>
                  </pic:blipFill>
                  <pic:spPr bwMode="auto">
                    <a:xfrm>
                      <a:off x="0" y="0"/>
                      <a:ext cx="2549144" cy="2728819"/>
                    </a:xfrm>
                    <a:prstGeom prst="rect">
                      <a:avLst/>
                    </a:prstGeom>
                    <a:noFill/>
                    <a:ln>
                      <a:noFill/>
                    </a:ln>
                  </pic:spPr>
                </pic:pic>
              </a:graphicData>
            </a:graphic>
          </wp:inline>
        </w:drawing>
      </w:r>
    </w:p>
    <w:p w14:paraId="740926B8" w14:textId="77777777" w:rsidR="00FF7A09" w:rsidRPr="008C2F09" w:rsidRDefault="00FF7A09" w:rsidP="00190849">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13</w:t>
      </w:r>
      <w:r w:rsidRPr="008C2F09">
        <w:rPr>
          <w:lang w:val="en-GB"/>
        </w:rPr>
        <w:fldChar w:fldCharType="end"/>
      </w:r>
      <w:r w:rsidRPr="008C2F09">
        <w:rPr>
          <w:lang w:val="en-GB"/>
        </w:rPr>
        <w:t>. Figure: Porter's strategic model: Premier Inn's position between cost leadership and differentiation</w:t>
      </w:r>
    </w:p>
    <w:p w14:paraId="3023CD7C" w14:textId="00148AA3" w:rsidR="008C2F09" w:rsidRPr="008C2F09" w:rsidRDefault="00170F73" w:rsidP="00377E5C">
      <w:pPr>
        <w:ind w:firstLine="0"/>
        <w:rPr>
          <w:lang w:val="en-GB"/>
        </w:rPr>
      </w:pPr>
      <w:r w:rsidRPr="00170F73">
        <w:rPr>
          <w:lang w:val="en-GB"/>
        </w:rPr>
        <w:t>According to Porter’s competitive advantage model, described in the figure, there are four categories of hotel chains:</w:t>
      </w:r>
    </w:p>
    <w:p w14:paraId="688ECE55" w14:textId="75CB763C" w:rsidR="008C2F09" w:rsidRPr="008C2F09" w:rsidRDefault="00170F73" w:rsidP="00170F73">
      <w:pPr>
        <w:numPr>
          <w:ilvl w:val="0"/>
          <w:numId w:val="10"/>
        </w:numPr>
        <w:rPr>
          <w:lang w:val="en-GB"/>
        </w:rPr>
      </w:pPr>
      <w:r w:rsidRPr="00170F73">
        <w:rPr>
          <w:lang w:val="en-GB"/>
        </w:rPr>
        <w:t>Pricing Insights: Premier Inn keeps costs, prices low to appeal to masses.</w:t>
      </w:r>
    </w:p>
    <w:p w14:paraId="498E8D3D" w14:textId="20206148" w:rsidR="008C2F09" w:rsidRPr="008C2F09" w:rsidRDefault="008C2F09" w:rsidP="008C2F09">
      <w:pPr>
        <w:numPr>
          <w:ilvl w:val="0"/>
          <w:numId w:val="10"/>
        </w:numPr>
        <w:rPr>
          <w:lang w:val="en-GB"/>
        </w:rPr>
      </w:pPr>
      <w:r w:rsidRPr="008C2F09">
        <w:rPr>
          <w:lang w:val="en-GB"/>
        </w:rPr>
        <w:lastRenderedPageBreak/>
        <w:t xml:space="preserve">Differentiation: Hilton Garden Inn, </w:t>
      </w:r>
      <w:proofErr w:type="spellStart"/>
      <w:r w:rsidRPr="008C2F09">
        <w:rPr>
          <w:lang w:val="en-GB"/>
        </w:rPr>
        <w:t>Novotel</w:t>
      </w:r>
      <w:proofErr w:type="spellEnd"/>
      <w:r w:rsidRPr="008C2F09">
        <w:rPr>
          <w:lang w:val="en-GB"/>
        </w:rPr>
        <w:t xml:space="preserve"> and Ibis stand out in the mid-range market with higher prices but better services.</w:t>
      </w:r>
    </w:p>
    <w:p w14:paraId="7CCD2863" w14:textId="72F3801A" w:rsidR="008C2F09" w:rsidRPr="008C2F09" w:rsidRDefault="008C2F09" w:rsidP="008C2F09">
      <w:pPr>
        <w:numPr>
          <w:ilvl w:val="0"/>
          <w:numId w:val="10"/>
        </w:numPr>
        <w:rPr>
          <w:lang w:val="en-GB"/>
        </w:rPr>
      </w:pPr>
      <w:r w:rsidRPr="008C2F09">
        <w:rPr>
          <w:lang w:val="en-GB"/>
        </w:rPr>
        <w:t>Cost Focus: Travelodge targets specific target groups with low costs.</w:t>
      </w:r>
    </w:p>
    <w:p w14:paraId="21DBDC6B" w14:textId="778C3358" w:rsidR="008C2F09" w:rsidRPr="008C2F09" w:rsidRDefault="008C2F09" w:rsidP="008C2F09">
      <w:pPr>
        <w:numPr>
          <w:ilvl w:val="0"/>
          <w:numId w:val="10"/>
        </w:numPr>
        <w:rPr>
          <w:lang w:val="en-GB"/>
        </w:rPr>
      </w:pPr>
      <w:r w:rsidRPr="008C2F09">
        <w:rPr>
          <w:lang w:val="en-GB"/>
        </w:rPr>
        <w:t>Differentiation Focus: No hotel chains were included in this category, as the luxury segment is not relevant here.</w:t>
      </w:r>
    </w:p>
    <w:p w14:paraId="1F1DA37F" w14:textId="124AF314" w:rsidR="00CF02F8" w:rsidRPr="008C2F09" w:rsidRDefault="00CF02F8" w:rsidP="00CF02F8">
      <w:pPr>
        <w:pStyle w:val="Heading2"/>
        <w:rPr>
          <w:lang w:val="en-GB"/>
        </w:rPr>
      </w:pPr>
      <w:bookmarkStart w:id="14" w:name="_Toc179142103"/>
      <w:bookmarkStart w:id="15" w:name="_Toc180072816"/>
      <w:r w:rsidRPr="008C2F09">
        <w:rPr>
          <w:lang w:val="en-GB"/>
        </w:rPr>
        <w:t>Supply and Demand</w:t>
      </w:r>
      <w:bookmarkEnd w:id="14"/>
      <w:r w:rsidRPr="008C2F09">
        <w:rPr>
          <w:lang w:val="en-GB"/>
        </w:rPr>
        <w:t xml:space="preserve"> Analysis of Premier Inn</w:t>
      </w:r>
      <w:bookmarkEnd w:id="15"/>
    </w:p>
    <w:p w14:paraId="2FB9D8F0" w14:textId="77777777" w:rsidR="00377E5C" w:rsidRDefault="00377E5C" w:rsidP="00377E5C">
      <w:pPr>
        <w:ind w:firstLine="0"/>
      </w:pPr>
      <w:r w:rsidRPr="00813297">
        <w:t>Premier Inn's demand is driven by domestic tourism and business travelers, with 90% of guests from the UK during summer 2020 as restrictions eased (Whitbread PLC, 2020; 2021). Competitive pricing sustained demand, and business travel recovery helped stabilize it in 2021. Although COVID-19 caused demand fluctuations, growth resumed from 2022, mainly in domestic markets (Whitbread PLC, 2021–2023). With a stable supply of 80,000 rooms, Premier Inn adapted well to market shifts, maintaining long-term stability, supported by strong domestic travel demand post-pandemic (Whitbread PLC, 2021).</w:t>
      </w:r>
    </w:p>
    <w:p w14:paraId="39966B8E" w14:textId="4BDC7AA7" w:rsidR="008C2F09" w:rsidRPr="008C2F09" w:rsidRDefault="008C2F09" w:rsidP="00377E5C">
      <w:pPr>
        <w:ind w:firstLine="0"/>
        <w:rPr>
          <w:lang w:val="en-GB"/>
        </w:rPr>
      </w:pPr>
      <w:r w:rsidRPr="008C2F09">
        <w:rPr>
          <w:lang w:val="en-GB"/>
        </w:rPr>
        <w:t>The figure below shows the evolution of supply and demand.</w:t>
      </w:r>
    </w:p>
    <w:p w14:paraId="713AFEEB" w14:textId="77777777" w:rsidR="00AA124B" w:rsidRPr="008C2F09" w:rsidRDefault="00AA124B" w:rsidP="00AA124B">
      <w:pPr>
        <w:spacing w:after="0"/>
        <w:rPr>
          <w:lang w:val="en-GB"/>
        </w:rPr>
      </w:pPr>
      <w:r w:rsidRPr="008C2F09">
        <w:rPr>
          <w:noProof/>
          <w:lang w:val="en-GB" w:eastAsia="en-GB"/>
        </w:rPr>
        <w:drawing>
          <wp:inline distT="0" distB="0" distL="0" distR="0" wp14:anchorId="643E8A7A" wp14:editId="7B6A02D7">
            <wp:extent cx="4570730" cy="2741930"/>
            <wp:effectExtent l="0" t="0" r="13970" b="13970"/>
            <wp:docPr id="1630018631" name="Diagram 9"/>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F5263DF" w14:textId="77777777" w:rsidR="00AA124B" w:rsidRPr="008C2F09" w:rsidRDefault="00AA124B" w:rsidP="00AA124B">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14</w:t>
      </w:r>
      <w:r w:rsidRPr="008C2F09">
        <w:rPr>
          <w:lang w:val="en-GB"/>
        </w:rPr>
        <w:fldChar w:fldCharType="end"/>
      </w:r>
      <w:r w:rsidRPr="008C2F09">
        <w:rPr>
          <w:lang w:val="en-GB"/>
        </w:rPr>
        <w:t xml:space="preserve">. Figure: Development of demand and supply for </w:t>
      </w:r>
      <w:proofErr w:type="spellStart"/>
      <w:r w:rsidRPr="008C2F09">
        <w:rPr>
          <w:lang w:val="en-GB"/>
        </w:rPr>
        <w:t>Premimer</w:t>
      </w:r>
      <w:proofErr w:type="spellEnd"/>
      <w:r w:rsidRPr="008C2F09">
        <w:rPr>
          <w:lang w:val="en-GB"/>
        </w:rPr>
        <w:t xml:space="preserve"> Inn 2018-2023. Source: own editing</w:t>
      </w:r>
    </w:p>
    <w:p w14:paraId="16CE4E70" w14:textId="77777777" w:rsidR="00AA124B" w:rsidRPr="008C2F09" w:rsidRDefault="00AA124B" w:rsidP="00AA124B">
      <w:pPr>
        <w:pStyle w:val="Heading2"/>
        <w:rPr>
          <w:lang w:val="en-GB"/>
        </w:rPr>
      </w:pPr>
      <w:bookmarkStart w:id="16" w:name="_Toc179142104"/>
      <w:bookmarkStart w:id="17" w:name="_Toc180072817"/>
      <w:r w:rsidRPr="008C2F09">
        <w:rPr>
          <w:lang w:val="en-GB"/>
        </w:rPr>
        <w:lastRenderedPageBreak/>
        <w:t>Bowman’s Strategy Clock for Premier Inn</w:t>
      </w:r>
      <w:bookmarkEnd w:id="16"/>
      <w:bookmarkEnd w:id="17"/>
    </w:p>
    <w:p w14:paraId="03A3CBE0" w14:textId="77777777" w:rsidR="00AA124B" w:rsidRPr="008C2F09" w:rsidRDefault="00AA124B" w:rsidP="00AA124B">
      <w:pPr>
        <w:spacing w:after="120"/>
        <w:ind w:firstLine="0"/>
        <w:rPr>
          <w:lang w:val="en-GB"/>
        </w:rPr>
      </w:pPr>
      <w:r w:rsidRPr="008C2F09">
        <w:rPr>
          <w:noProof/>
          <w:lang w:val="en-GB" w:eastAsia="en-GB"/>
        </w:rPr>
        <w:drawing>
          <wp:inline distT="0" distB="0" distL="0" distR="0" wp14:anchorId="704FF22D" wp14:editId="460AAE65">
            <wp:extent cx="5756910" cy="3238500"/>
            <wp:effectExtent l="0" t="0" r="0" b="0"/>
            <wp:docPr id="685899990" name="Kép 2" descr="A képen szöveg, diagram, sor, kör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899990" name="Kép 2" descr="A képen szöveg, diagram, sor, kör látható&#10;&#10;Automatikusan generált leírás"/>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3DD0F1CB" w14:textId="77777777" w:rsidR="00AA124B" w:rsidRPr="008C2F09" w:rsidRDefault="00AA124B" w:rsidP="00AA124B">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15</w:t>
      </w:r>
      <w:r w:rsidRPr="008C2F09">
        <w:rPr>
          <w:lang w:val="en-GB"/>
        </w:rPr>
        <w:fldChar w:fldCharType="end"/>
      </w:r>
      <w:r w:rsidRPr="008C2F09">
        <w:rPr>
          <w:lang w:val="en-GB"/>
        </w:rPr>
        <w:t>. Figure: Bowman's Strategy Clock for Premier Inn. Source: own editing</w:t>
      </w:r>
    </w:p>
    <w:p w14:paraId="3317BE46" w14:textId="77777777" w:rsidR="00377E5C" w:rsidRPr="008C2F09" w:rsidRDefault="00377E5C" w:rsidP="00377E5C">
      <w:pPr>
        <w:ind w:firstLine="0"/>
        <w:rPr>
          <w:lang w:val="en-GB"/>
        </w:rPr>
      </w:pPr>
      <w:r w:rsidRPr="008C2F09">
        <w:rPr>
          <w:lang w:val="en-GB"/>
        </w:rPr>
        <w:t xml:space="preserve">The figure shows where Premier Inn and its competitors are positioned based on Bowman's strategic clock, which shows each brand's price position and customer perceived value. Premier Inn is in the "Low Price" category, which focuses on low prices and average customer value. Also in the low-price segment are Travelodge and </w:t>
      </w:r>
      <w:proofErr w:type="spellStart"/>
      <w:r w:rsidRPr="008C2F09">
        <w:rPr>
          <w:lang w:val="en-GB"/>
        </w:rPr>
        <w:t>EasyHotel</w:t>
      </w:r>
      <w:proofErr w:type="spellEnd"/>
      <w:r w:rsidRPr="008C2F09">
        <w:rPr>
          <w:lang w:val="en-GB"/>
        </w:rPr>
        <w:t xml:space="preserve">, which follow a similar strategy. The Differentiation category includes Hilton Garden Inn and </w:t>
      </w:r>
      <w:proofErr w:type="spellStart"/>
      <w:r w:rsidRPr="008C2F09">
        <w:rPr>
          <w:lang w:val="en-GB"/>
        </w:rPr>
        <w:t>Novotel</w:t>
      </w:r>
      <w:proofErr w:type="spellEnd"/>
      <w:r w:rsidRPr="008C2F09">
        <w:rPr>
          <w:lang w:val="en-GB"/>
        </w:rPr>
        <w:t xml:space="preserve">, which offer services in a higher price range but still for mid-range customers. Competitors in the "Focused Differentiation" segment, such as </w:t>
      </w:r>
      <w:proofErr w:type="spellStart"/>
      <w:r w:rsidRPr="008C2F09">
        <w:rPr>
          <w:lang w:val="en-GB"/>
        </w:rPr>
        <w:t>Moxy</w:t>
      </w:r>
      <w:proofErr w:type="spellEnd"/>
      <w:r w:rsidRPr="008C2F09">
        <w:rPr>
          <w:lang w:val="en-GB"/>
        </w:rPr>
        <w:t xml:space="preserve"> Hotels and Radisson RED, offer higher prices while emphasizing a unique and youthful design that represents special value to their target clientele.</w:t>
      </w:r>
    </w:p>
    <w:p w14:paraId="0024D564" w14:textId="77777777" w:rsidR="00AA124B" w:rsidRPr="008C2F09" w:rsidRDefault="00AA124B" w:rsidP="00AA124B">
      <w:pPr>
        <w:pStyle w:val="Heading2"/>
        <w:rPr>
          <w:lang w:val="en-GB"/>
        </w:rPr>
      </w:pPr>
      <w:bookmarkStart w:id="18" w:name="_Toc179142105"/>
      <w:bookmarkStart w:id="19" w:name="_Toc180072818"/>
      <w:r w:rsidRPr="008C2F09">
        <w:rPr>
          <w:lang w:val="en-GB"/>
        </w:rPr>
        <w:lastRenderedPageBreak/>
        <w:t>Brand identity prism of Premier Inn</w:t>
      </w:r>
      <w:bookmarkEnd w:id="18"/>
      <w:bookmarkEnd w:id="19"/>
    </w:p>
    <w:p w14:paraId="201B1DFE" w14:textId="77777777" w:rsidR="00AA124B" w:rsidRPr="008C2F09" w:rsidRDefault="00AA124B" w:rsidP="00AA124B">
      <w:pPr>
        <w:spacing w:after="0"/>
        <w:ind w:firstLine="0"/>
        <w:jc w:val="center"/>
        <w:rPr>
          <w:lang w:val="en-GB"/>
        </w:rPr>
      </w:pPr>
      <w:r w:rsidRPr="008C2F09">
        <w:rPr>
          <w:noProof/>
          <w:lang w:val="en-GB" w:eastAsia="en-GB"/>
        </w:rPr>
        <w:drawing>
          <wp:inline distT="0" distB="0" distL="0" distR="0" wp14:anchorId="22D130E2" wp14:editId="4E4D1FEC">
            <wp:extent cx="5102679" cy="2881346"/>
            <wp:effectExtent l="0" t="0" r="3175" b="1905"/>
            <wp:docPr id="340913533" name="Kép 3" descr="A képen szöveg, képernyőkép, Betűtípus, diagra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913533" name="Kép 3" descr="A képen szöveg, képernyőkép, Betűtípus, diagram látható&#10;&#10;Automatikusan generált leírás"/>
                    <pic:cNvPicPr/>
                  </pic:nvPicPr>
                  <pic:blipFill rotWithShape="1">
                    <a:blip r:embed="rId24" cstate="print">
                      <a:extLst>
                        <a:ext uri="{28A0092B-C50C-407E-A947-70E740481C1C}">
                          <a14:useLocalDpi xmlns:a14="http://schemas.microsoft.com/office/drawing/2010/main" val="0"/>
                        </a:ext>
                      </a:extLst>
                    </a:blip>
                    <a:srcRect l="3972" t="4538" r="7373" b="6471"/>
                    <a:stretch/>
                  </pic:blipFill>
                  <pic:spPr bwMode="auto">
                    <a:xfrm>
                      <a:off x="0" y="0"/>
                      <a:ext cx="5103825" cy="2881993"/>
                    </a:xfrm>
                    <a:prstGeom prst="rect">
                      <a:avLst/>
                    </a:prstGeom>
                    <a:ln>
                      <a:noFill/>
                    </a:ln>
                    <a:extLst>
                      <a:ext uri="{53640926-AAD7-44D8-BBD7-CCE9431645EC}">
                        <a14:shadowObscured xmlns:a14="http://schemas.microsoft.com/office/drawing/2010/main"/>
                      </a:ext>
                    </a:extLst>
                  </pic:spPr>
                </pic:pic>
              </a:graphicData>
            </a:graphic>
          </wp:inline>
        </w:drawing>
      </w:r>
    </w:p>
    <w:p w14:paraId="4B5A69BF" w14:textId="77777777" w:rsidR="00AA124B" w:rsidRPr="008C2F09" w:rsidRDefault="00AA124B" w:rsidP="00AA124B">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16</w:t>
      </w:r>
      <w:r w:rsidRPr="008C2F09">
        <w:rPr>
          <w:lang w:val="en-GB"/>
        </w:rPr>
        <w:fldChar w:fldCharType="end"/>
      </w:r>
      <w:r w:rsidRPr="008C2F09">
        <w:rPr>
          <w:lang w:val="en-GB"/>
        </w:rPr>
        <w:t>. Figure: Premier Inn’s Brand identity prism. Source: own editing</w:t>
      </w:r>
    </w:p>
    <w:p w14:paraId="506BB17B" w14:textId="01A91594" w:rsidR="00377E5C" w:rsidRPr="008C2F09" w:rsidRDefault="00377E5C" w:rsidP="00377E5C">
      <w:pPr>
        <w:ind w:firstLine="0"/>
        <w:rPr>
          <w:lang w:val="en-GB"/>
        </w:rPr>
      </w:pPr>
      <w:r w:rsidRPr="008C2F09">
        <w:rPr>
          <w:lang w:val="en-GB"/>
        </w:rPr>
        <w:t>I created the brand identity prism based on the documents of Whitbread PLC (2018-2023), i.e. the annual reports of Premier Inn, which contain a lot of information about consumers, the purpose and mission of the brand. Their physical appearance includes simple, modern buildings that are easily recognizable by the familiar logo and branding. The rooms are comfortable, clean and offer basic services. The Premier Inn personality is reliable, practical and friendly. The hotel chain aims to create a homely and comfortable environment at an affordable price, especially for business travel</w:t>
      </w:r>
      <w:r w:rsidR="00222748">
        <w:rPr>
          <w:lang w:val="en-GB"/>
        </w:rPr>
        <w:t>l</w:t>
      </w:r>
      <w:r w:rsidRPr="008C2F09">
        <w:rPr>
          <w:lang w:val="en-GB"/>
        </w:rPr>
        <w:t>ers and families. The relationship with their guests is strong, which is strengthened by consistent quality and reliability. Premier Inn makes itself attractive to guests with its loyalty programs and continuous promotions, so that business travel</w:t>
      </w:r>
      <w:r w:rsidR="00222748">
        <w:rPr>
          <w:lang w:val="en-GB"/>
        </w:rPr>
        <w:t>l</w:t>
      </w:r>
      <w:r w:rsidRPr="008C2F09">
        <w:rPr>
          <w:lang w:val="en-GB"/>
        </w:rPr>
        <w:t>ers and families would become regular returning guests (Whitbread PLC, 2023). Premier Inn's culture is built on simplicity, efficiency and affordability. It focuses primarily on business travel</w:t>
      </w:r>
      <w:r w:rsidR="00222748">
        <w:rPr>
          <w:lang w:val="en-GB"/>
        </w:rPr>
        <w:t>l</w:t>
      </w:r>
      <w:r w:rsidRPr="008C2F09">
        <w:rPr>
          <w:lang w:val="en-GB"/>
        </w:rPr>
        <w:t>ers and families, especially in the UK, where it also reflects local hospitality values. The self-image that guests develop is that they are cost-conscious trave</w:t>
      </w:r>
      <w:r w:rsidR="00222748">
        <w:rPr>
          <w:lang w:val="en-GB"/>
        </w:rPr>
        <w:t>l</w:t>
      </w:r>
      <w:r w:rsidRPr="008C2F09">
        <w:rPr>
          <w:lang w:val="en-GB"/>
        </w:rPr>
        <w:t>lers who make good value for money decisions. Premier Inn's target group is primarily cost-conscious business travel</w:t>
      </w:r>
      <w:r w:rsidR="00222748">
        <w:rPr>
          <w:lang w:val="en-GB"/>
        </w:rPr>
        <w:t>l</w:t>
      </w:r>
      <w:r w:rsidRPr="008C2F09">
        <w:rPr>
          <w:lang w:val="en-GB"/>
        </w:rPr>
        <w:t>ers, families and domestic tourists looking for comfortable, affordable accommodation in a good location</w:t>
      </w:r>
      <w:r>
        <w:rPr>
          <w:lang w:val="en-GB"/>
        </w:rPr>
        <w:t>.</w:t>
      </w:r>
    </w:p>
    <w:p w14:paraId="76D95665" w14:textId="105010CE" w:rsidR="00F25F50" w:rsidRPr="008C2F09" w:rsidRDefault="005C6CBC" w:rsidP="005C6CBC">
      <w:pPr>
        <w:pStyle w:val="Heading1"/>
        <w:rPr>
          <w:lang w:val="en-GB"/>
        </w:rPr>
      </w:pPr>
      <w:bookmarkStart w:id="20" w:name="_Toc180072819"/>
      <w:r w:rsidRPr="008C2F09">
        <w:rPr>
          <w:lang w:val="en-GB"/>
        </w:rPr>
        <w:lastRenderedPageBreak/>
        <w:t>Recommendations</w:t>
      </w:r>
      <w:bookmarkEnd w:id="20"/>
    </w:p>
    <w:p w14:paraId="20E0BF33" w14:textId="77777777" w:rsidR="00BF1996" w:rsidRPr="008C2F09" w:rsidRDefault="00BF1996" w:rsidP="00BF1996">
      <w:pPr>
        <w:spacing w:after="0"/>
        <w:ind w:firstLine="0"/>
        <w:rPr>
          <w:lang w:val="en-GB"/>
        </w:rPr>
      </w:pPr>
      <w:r w:rsidRPr="008C2F09">
        <w:rPr>
          <w:noProof/>
          <w:lang w:val="en-GB" w:eastAsia="en-GB"/>
        </w:rPr>
        <w:drawing>
          <wp:inline distT="0" distB="0" distL="0" distR="0" wp14:anchorId="35250519" wp14:editId="0F3ACFF4">
            <wp:extent cx="5756910" cy="2752090"/>
            <wp:effectExtent l="0" t="0" r="0" b="3810"/>
            <wp:docPr id="1145266527" name="Kép 10" descr="A képen szöveg, képernyőkép, diagram, sor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66527" name="Kép 10" descr="A képen szöveg, képernyőkép, diagram, sor látható&#10;&#10;Automatikusan generált leírás"/>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56910" cy="2752090"/>
                    </a:xfrm>
                    <a:prstGeom prst="rect">
                      <a:avLst/>
                    </a:prstGeom>
                  </pic:spPr>
                </pic:pic>
              </a:graphicData>
            </a:graphic>
          </wp:inline>
        </w:drawing>
      </w:r>
    </w:p>
    <w:p w14:paraId="2ADDEDF2" w14:textId="2E7991B6" w:rsidR="00BF1996" w:rsidRPr="008C2F09" w:rsidRDefault="00BF1996" w:rsidP="00BF1996">
      <w:pPr>
        <w:pStyle w:val="Caption"/>
        <w:rPr>
          <w:lang w:val="en-GB"/>
        </w:rPr>
      </w:pPr>
      <w:r w:rsidRPr="008C2F09">
        <w:rPr>
          <w:lang w:val="en-GB"/>
        </w:rPr>
        <w:fldChar w:fldCharType="begin"/>
      </w:r>
      <w:r w:rsidRPr="008C2F09">
        <w:rPr>
          <w:lang w:val="en-GB"/>
        </w:rPr>
        <w:instrText xml:space="preserve"> SEQ Figure \* ARABIC </w:instrText>
      </w:r>
      <w:r w:rsidRPr="008C2F09">
        <w:rPr>
          <w:lang w:val="en-GB"/>
        </w:rPr>
        <w:fldChar w:fldCharType="separate"/>
      </w:r>
      <w:r w:rsidR="007041B1">
        <w:rPr>
          <w:noProof/>
          <w:lang w:val="en-GB"/>
        </w:rPr>
        <w:t>17</w:t>
      </w:r>
      <w:r w:rsidRPr="008C2F09">
        <w:rPr>
          <w:lang w:val="en-GB"/>
        </w:rPr>
        <w:fldChar w:fldCharType="end"/>
      </w:r>
      <w:r w:rsidRPr="008C2F09">
        <w:rPr>
          <w:lang w:val="en-GB"/>
        </w:rPr>
        <w:t xml:space="preserve">. Figure: revenue in the Travel &amp; Tourism market of Asia. Source: </w:t>
      </w:r>
      <w:proofErr w:type="spellStart"/>
      <w:r w:rsidRPr="008C2F09">
        <w:rPr>
          <w:lang w:val="en-GB"/>
        </w:rPr>
        <w:t>Statista</w:t>
      </w:r>
      <w:proofErr w:type="spellEnd"/>
      <w:r w:rsidRPr="008C2F09">
        <w:rPr>
          <w:lang w:val="en-GB"/>
        </w:rPr>
        <w:t xml:space="preserve"> (2024)</w:t>
      </w:r>
    </w:p>
    <w:p w14:paraId="1599B44C" w14:textId="77777777" w:rsidR="00377E5C" w:rsidRPr="008C2F09" w:rsidRDefault="00377E5C" w:rsidP="00377E5C">
      <w:pPr>
        <w:ind w:firstLine="0"/>
        <w:rPr>
          <w:lang w:val="en-GB"/>
        </w:rPr>
      </w:pPr>
      <w:r w:rsidRPr="008C2F09">
        <w:rPr>
          <w:lang w:val="en-GB"/>
        </w:rPr>
        <w:t>If Shangri-La expands an additional 15% in these regions by 2025, revenues could increase by as much as 20%. This conclusion can be drawn based on the revenue figures for 2022-2023 as well as the continued growth potential of the Asian markets.</w:t>
      </w:r>
    </w:p>
    <w:p w14:paraId="44A678FD" w14:textId="77777777" w:rsidR="00377E5C" w:rsidRPr="008C2F09" w:rsidRDefault="00377E5C" w:rsidP="00377E5C">
      <w:pPr>
        <w:ind w:firstLine="0"/>
        <w:rPr>
          <w:lang w:val="en-GB"/>
        </w:rPr>
      </w:pPr>
      <w:r w:rsidRPr="008C2F09">
        <w:rPr>
          <w:lang w:val="en-GB"/>
        </w:rPr>
        <w:t>The figure above shows that an upswing is expected in the hotel and travel sectors in the regions. For example, for Mainland China, revenues will increase from US$429 million in 2022 to US$702 million in 2023, an increase of over 63% in one year. We saw a similar increase in Singapore, where there was a 33.8% increase (from USD 197 million to USD 264 million). These growth rates indicate that the Asian markets, particularly the regions prioritized by Shangri-La, continue to show high demand for luxury hotel services.</w:t>
      </w:r>
    </w:p>
    <w:p w14:paraId="417C5049" w14:textId="77777777" w:rsidR="00377E5C" w:rsidRPr="008C2F09" w:rsidRDefault="00377E5C" w:rsidP="00377E5C">
      <w:pPr>
        <w:ind w:firstLine="0"/>
        <w:rPr>
          <w:lang w:val="en-GB"/>
        </w:rPr>
      </w:pPr>
      <w:r w:rsidRPr="008C2F09">
        <w:rPr>
          <w:lang w:val="en-GB"/>
        </w:rPr>
        <w:t>Mainland China: Based on current revenue of US$702 million, a 15% expansion could add another US$105 million. This could result in total revenue of $807 million, an increase of over 16%.</w:t>
      </w:r>
    </w:p>
    <w:p w14:paraId="5920DA35" w14:textId="0D895F64" w:rsidR="00DD73D7" w:rsidRDefault="00377E5C" w:rsidP="00377E5C">
      <w:pPr>
        <w:ind w:firstLine="0"/>
        <w:rPr>
          <w:lang w:val="en-GB"/>
        </w:rPr>
      </w:pPr>
      <w:r w:rsidRPr="008C2F09">
        <w:rPr>
          <w:lang w:val="en-GB"/>
        </w:rPr>
        <w:t>Singapore: With a similar 15% expansion, 2023 revenue of $264 million could increase by another $39.6 million to $303.6 million, an increase of nearly 15%.</w:t>
      </w:r>
    </w:p>
    <w:p w14:paraId="6A1D259D" w14:textId="77777777" w:rsidR="00DD73D7" w:rsidRDefault="00DD73D7">
      <w:pPr>
        <w:spacing w:after="0" w:line="240" w:lineRule="auto"/>
        <w:ind w:firstLine="0"/>
        <w:jc w:val="left"/>
        <w:rPr>
          <w:lang w:val="en-GB"/>
        </w:rPr>
      </w:pPr>
      <w:r>
        <w:rPr>
          <w:lang w:val="en-GB"/>
        </w:rPr>
        <w:br w:type="page"/>
      </w:r>
    </w:p>
    <w:tbl>
      <w:tblPr>
        <w:tblW w:w="7478" w:type="dxa"/>
        <w:jc w:val="center"/>
        <w:tblCellMar>
          <w:left w:w="70" w:type="dxa"/>
          <w:right w:w="70" w:type="dxa"/>
        </w:tblCellMar>
        <w:tblLook w:val="04A0" w:firstRow="1" w:lastRow="0" w:firstColumn="1" w:lastColumn="0" w:noHBand="0" w:noVBand="1"/>
      </w:tblPr>
      <w:tblGrid>
        <w:gridCol w:w="3758"/>
        <w:gridCol w:w="1860"/>
        <w:gridCol w:w="1860"/>
      </w:tblGrid>
      <w:tr w:rsidR="00A37E96" w:rsidRPr="008C2F09" w14:paraId="28A602B8" w14:textId="77777777" w:rsidTr="00A37E96">
        <w:trPr>
          <w:trHeight w:val="247"/>
          <w:jc w:val="center"/>
        </w:trPr>
        <w:tc>
          <w:tcPr>
            <w:tcW w:w="37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92E153" w14:textId="77777777" w:rsidR="00A37E96" w:rsidRPr="008C2F09" w:rsidRDefault="00A37E96" w:rsidP="00A37E96">
            <w:pPr>
              <w:spacing w:after="0" w:line="240" w:lineRule="auto"/>
              <w:ind w:firstLine="0"/>
              <w:jc w:val="lef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lastRenderedPageBreak/>
              <w:t> </w:t>
            </w:r>
          </w:p>
        </w:tc>
        <w:tc>
          <w:tcPr>
            <w:tcW w:w="1860" w:type="dxa"/>
            <w:tcBorders>
              <w:top w:val="single" w:sz="4" w:space="0" w:color="auto"/>
              <w:left w:val="nil"/>
              <w:bottom w:val="single" w:sz="4" w:space="0" w:color="auto"/>
              <w:right w:val="single" w:sz="4" w:space="0" w:color="auto"/>
            </w:tcBorders>
            <w:shd w:val="clear" w:color="auto" w:fill="auto"/>
            <w:noWrap/>
            <w:vAlign w:val="bottom"/>
            <w:hideMark/>
          </w:tcPr>
          <w:p w14:paraId="4DDB1DEB"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2023</w:t>
            </w:r>
          </w:p>
        </w:tc>
        <w:tc>
          <w:tcPr>
            <w:tcW w:w="1860" w:type="dxa"/>
            <w:tcBorders>
              <w:top w:val="single" w:sz="4" w:space="0" w:color="auto"/>
              <w:left w:val="nil"/>
              <w:bottom w:val="single" w:sz="4" w:space="0" w:color="auto"/>
              <w:right w:val="single" w:sz="4" w:space="0" w:color="auto"/>
            </w:tcBorders>
            <w:shd w:val="clear" w:color="auto" w:fill="auto"/>
            <w:noWrap/>
            <w:vAlign w:val="bottom"/>
            <w:hideMark/>
          </w:tcPr>
          <w:p w14:paraId="6A17A872"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2022</w:t>
            </w:r>
          </w:p>
        </w:tc>
      </w:tr>
      <w:tr w:rsidR="00A37E96" w:rsidRPr="008C2F09" w14:paraId="2D0F094C"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03C31681"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 xml:space="preserve"> Hong Kong</w:t>
            </w:r>
          </w:p>
        </w:tc>
        <w:tc>
          <w:tcPr>
            <w:tcW w:w="1860" w:type="dxa"/>
            <w:tcBorders>
              <w:top w:val="nil"/>
              <w:left w:val="nil"/>
              <w:bottom w:val="single" w:sz="4" w:space="0" w:color="auto"/>
              <w:right w:val="single" w:sz="4" w:space="0" w:color="auto"/>
            </w:tcBorders>
            <w:shd w:val="clear" w:color="auto" w:fill="auto"/>
            <w:noWrap/>
            <w:vAlign w:val="bottom"/>
            <w:hideMark/>
          </w:tcPr>
          <w:p w14:paraId="6E42F52E"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304</w:t>
            </w:r>
          </w:p>
        </w:tc>
        <w:tc>
          <w:tcPr>
            <w:tcW w:w="1860" w:type="dxa"/>
            <w:tcBorders>
              <w:top w:val="nil"/>
              <w:left w:val="nil"/>
              <w:bottom w:val="single" w:sz="4" w:space="0" w:color="auto"/>
              <w:right w:val="single" w:sz="4" w:space="0" w:color="auto"/>
            </w:tcBorders>
            <w:shd w:val="clear" w:color="auto" w:fill="auto"/>
            <w:noWrap/>
            <w:vAlign w:val="bottom"/>
            <w:hideMark/>
          </w:tcPr>
          <w:p w14:paraId="19C4C6E5"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156</w:t>
            </w:r>
          </w:p>
        </w:tc>
      </w:tr>
      <w:tr w:rsidR="00A37E96" w:rsidRPr="008C2F09" w14:paraId="71C94ABD"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34E474BD"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 xml:space="preserve">Mainland China </w:t>
            </w:r>
          </w:p>
        </w:tc>
        <w:tc>
          <w:tcPr>
            <w:tcW w:w="1860" w:type="dxa"/>
            <w:tcBorders>
              <w:top w:val="nil"/>
              <w:left w:val="nil"/>
              <w:bottom w:val="single" w:sz="4" w:space="0" w:color="auto"/>
              <w:right w:val="single" w:sz="4" w:space="0" w:color="auto"/>
            </w:tcBorders>
            <w:shd w:val="clear" w:color="auto" w:fill="auto"/>
            <w:noWrap/>
            <w:vAlign w:val="bottom"/>
            <w:hideMark/>
          </w:tcPr>
          <w:p w14:paraId="3B5F3F1E"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702</w:t>
            </w:r>
          </w:p>
        </w:tc>
        <w:tc>
          <w:tcPr>
            <w:tcW w:w="1860" w:type="dxa"/>
            <w:tcBorders>
              <w:top w:val="nil"/>
              <w:left w:val="nil"/>
              <w:bottom w:val="single" w:sz="4" w:space="0" w:color="auto"/>
              <w:right w:val="single" w:sz="4" w:space="0" w:color="auto"/>
            </w:tcBorders>
            <w:shd w:val="clear" w:color="auto" w:fill="auto"/>
            <w:noWrap/>
            <w:vAlign w:val="bottom"/>
            <w:hideMark/>
          </w:tcPr>
          <w:p w14:paraId="50052E2D"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429</w:t>
            </w:r>
          </w:p>
        </w:tc>
      </w:tr>
      <w:tr w:rsidR="00A37E96" w:rsidRPr="008C2F09" w14:paraId="313BC0EA"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52451F0F" w14:textId="77777777" w:rsidR="00A37E96" w:rsidRPr="008C2F09" w:rsidRDefault="00A37E96" w:rsidP="00A37E96">
            <w:pPr>
              <w:spacing w:after="0" w:line="240" w:lineRule="auto"/>
              <w:ind w:firstLine="0"/>
              <w:jc w:val="lef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Singapore</w:t>
            </w:r>
          </w:p>
        </w:tc>
        <w:tc>
          <w:tcPr>
            <w:tcW w:w="1860" w:type="dxa"/>
            <w:tcBorders>
              <w:top w:val="nil"/>
              <w:left w:val="nil"/>
              <w:bottom w:val="single" w:sz="4" w:space="0" w:color="auto"/>
              <w:right w:val="single" w:sz="4" w:space="0" w:color="auto"/>
            </w:tcBorders>
            <w:shd w:val="clear" w:color="auto" w:fill="auto"/>
            <w:noWrap/>
            <w:vAlign w:val="bottom"/>
            <w:hideMark/>
          </w:tcPr>
          <w:p w14:paraId="40C55997"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264</w:t>
            </w:r>
          </w:p>
        </w:tc>
        <w:tc>
          <w:tcPr>
            <w:tcW w:w="1860" w:type="dxa"/>
            <w:tcBorders>
              <w:top w:val="nil"/>
              <w:left w:val="nil"/>
              <w:bottom w:val="single" w:sz="4" w:space="0" w:color="auto"/>
              <w:right w:val="single" w:sz="4" w:space="0" w:color="auto"/>
            </w:tcBorders>
            <w:shd w:val="clear" w:color="auto" w:fill="auto"/>
            <w:noWrap/>
            <w:vAlign w:val="bottom"/>
            <w:hideMark/>
          </w:tcPr>
          <w:p w14:paraId="6E0AD935"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197</w:t>
            </w:r>
          </w:p>
        </w:tc>
      </w:tr>
      <w:tr w:rsidR="00A37E96" w:rsidRPr="008C2F09" w14:paraId="78E8761C"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5C6491D2"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Malaysia</w:t>
            </w:r>
          </w:p>
        </w:tc>
        <w:tc>
          <w:tcPr>
            <w:tcW w:w="1860" w:type="dxa"/>
            <w:tcBorders>
              <w:top w:val="nil"/>
              <w:left w:val="nil"/>
              <w:bottom w:val="single" w:sz="4" w:space="0" w:color="auto"/>
              <w:right w:val="single" w:sz="4" w:space="0" w:color="auto"/>
            </w:tcBorders>
            <w:shd w:val="clear" w:color="auto" w:fill="auto"/>
            <w:noWrap/>
            <w:vAlign w:val="bottom"/>
            <w:hideMark/>
          </w:tcPr>
          <w:p w14:paraId="193B03B4"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104</w:t>
            </w:r>
          </w:p>
        </w:tc>
        <w:tc>
          <w:tcPr>
            <w:tcW w:w="1860" w:type="dxa"/>
            <w:tcBorders>
              <w:top w:val="nil"/>
              <w:left w:val="nil"/>
              <w:bottom w:val="single" w:sz="4" w:space="0" w:color="auto"/>
              <w:right w:val="single" w:sz="4" w:space="0" w:color="auto"/>
            </w:tcBorders>
            <w:shd w:val="clear" w:color="auto" w:fill="auto"/>
            <w:noWrap/>
            <w:vAlign w:val="bottom"/>
            <w:hideMark/>
          </w:tcPr>
          <w:p w14:paraId="0809BEC6"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77,1</w:t>
            </w:r>
          </w:p>
        </w:tc>
      </w:tr>
      <w:tr w:rsidR="00A37E96" w:rsidRPr="008C2F09" w14:paraId="2C3DF5C8"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09081B9E"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The Philippines</w:t>
            </w:r>
          </w:p>
        </w:tc>
        <w:tc>
          <w:tcPr>
            <w:tcW w:w="1860" w:type="dxa"/>
            <w:tcBorders>
              <w:top w:val="nil"/>
              <w:left w:val="nil"/>
              <w:bottom w:val="single" w:sz="4" w:space="0" w:color="auto"/>
              <w:right w:val="single" w:sz="4" w:space="0" w:color="auto"/>
            </w:tcBorders>
            <w:shd w:val="clear" w:color="auto" w:fill="auto"/>
            <w:noWrap/>
            <w:vAlign w:val="bottom"/>
            <w:hideMark/>
          </w:tcPr>
          <w:p w14:paraId="1718313A"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134</w:t>
            </w:r>
          </w:p>
        </w:tc>
        <w:tc>
          <w:tcPr>
            <w:tcW w:w="1860" w:type="dxa"/>
            <w:tcBorders>
              <w:top w:val="nil"/>
              <w:left w:val="nil"/>
              <w:bottom w:val="single" w:sz="4" w:space="0" w:color="auto"/>
              <w:right w:val="single" w:sz="4" w:space="0" w:color="auto"/>
            </w:tcBorders>
            <w:shd w:val="clear" w:color="auto" w:fill="auto"/>
            <w:noWrap/>
            <w:vAlign w:val="bottom"/>
            <w:hideMark/>
          </w:tcPr>
          <w:p w14:paraId="162533B9"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79,6</w:t>
            </w:r>
          </w:p>
        </w:tc>
      </w:tr>
      <w:tr w:rsidR="00A37E96" w:rsidRPr="008C2F09" w14:paraId="1AEB37E7"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600ACEA0" w14:textId="77777777" w:rsidR="00A37E96" w:rsidRPr="008C2F09" w:rsidRDefault="00A37E96" w:rsidP="00A37E96">
            <w:pPr>
              <w:spacing w:after="0" w:line="240" w:lineRule="auto"/>
              <w:ind w:firstLine="0"/>
              <w:jc w:val="lef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Japan</w:t>
            </w:r>
          </w:p>
        </w:tc>
        <w:tc>
          <w:tcPr>
            <w:tcW w:w="1860" w:type="dxa"/>
            <w:tcBorders>
              <w:top w:val="nil"/>
              <w:left w:val="nil"/>
              <w:bottom w:val="single" w:sz="4" w:space="0" w:color="auto"/>
              <w:right w:val="single" w:sz="4" w:space="0" w:color="auto"/>
            </w:tcBorders>
            <w:shd w:val="clear" w:color="auto" w:fill="auto"/>
            <w:noWrap/>
            <w:vAlign w:val="bottom"/>
            <w:hideMark/>
          </w:tcPr>
          <w:p w14:paraId="19A5A938"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50</w:t>
            </w:r>
          </w:p>
        </w:tc>
        <w:tc>
          <w:tcPr>
            <w:tcW w:w="1860" w:type="dxa"/>
            <w:tcBorders>
              <w:top w:val="nil"/>
              <w:left w:val="nil"/>
              <w:bottom w:val="single" w:sz="4" w:space="0" w:color="auto"/>
              <w:right w:val="single" w:sz="4" w:space="0" w:color="auto"/>
            </w:tcBorders>
            <w:shd w:val="clear" w:color="auto" w:fill="auto"/>
            <w:noWrap/>
            <w:vAlign w:val="bottom"/>
            <w:hideMark/>
          </w:tcPr>
          <w:p w14:paraId="03597BB3"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32</w:t>
            </w:r>
          </w:p>
        </w:tc>
      </w:tr>
      <w:tr w:rsidR="00A37E96" w:rsidRPr="008C2F09" w14:paraId="199CCFD3"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4CCC6365"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Thailand</w:t>
            </w:r>
          </w:p>
        </w:tc>
        <w:tc>
          <w:tcPr>
            <w:tcW w:w="1860" w:type="dxa"/>
            <w:tcBorders>
              <w:top w:val="nil"/>
              <w:left w:val="nil"/>
              <w:bottom w:val="single" w:sz="4" w:space="0" w:color="auto"/>
              <w:right w:val="single" w:sz="4" w:space="0" w:color="auto"/>
            </w:tcBorders>
            <w:shd w:val="clear" w:color="auto" w:fill="auto"/>
            <w:noWrap/>
            <w:vAlign w:val="bottom"/>
            <w:hideMark/>
          </w:tcPr>
          <w:p w14:paraId="580E08A9"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62</w:t>
            </w:r>
          </w:p>
        </w:tc>
        <w:tc>
          <w:tcPr>
            <w:tcW w:w="1860" w:type="dxa"/>
            <w:tcBorders>
              <w:top w:val="nil"/>
              <w:left w:val="nil"/>
              <w:bottom w:val="single" w:sz="4" w:space="0" w:color="auto"/>
              <w:right w:val="single" w:sz="4" w:space="0" w:color="auto"/>
            </w:tcBorders>
            <w:shd w:val="clear" w:color="auto" w:fill="auto"/>
            <w:noWrap/>
            <w:vAlign w:val="bottom"/>
            <w:hideMark/>
          </w:tcPr>
          <w:p w14:paraId="2D6F159C"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33</w:t>
            </w:r>
          </w:p>
        </w:tc>
      </w:tr>
      <w:tr w:rsidR="00A37E96" w:rsidRPr="008C2F09" w14:paraId="1591FC16"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2FDD9670"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France</w:t>
            </w:r>
          </w:p>
        </w:tc>
        <w:tc>
          <w:tcPr>
            <w:tcW w:w="1860" w:type="dxa"/>
            <w:tcBorders>
              <w:top w:val="nil"/>
              <w:left w:val="nil"/>
              <w:bottom w:val="single" w:sz="4" w:space="0" w:color="auto"/>
              <w:right w:val="single" w:sz="4" w:space="0" w:color="auto"/>
            </w:tcBorders>
            <w:shd w:val="clear" w:color="auto" w:fill="auto"/>
            <w:noWrap/>
            <w:vAlign w:val="bottom"/>
            <w:hideMark/>
          </w:tcPr>
          <w:p w14:paraId="62E116C9"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54</w:t>
            </w:r>
          </w:p>
        </w:tc>
        <w:tc>
          <w:tcPr>
            <w:tcW w:w="1860" w:type="dxa"/>
            <w:tcBorders>
              <w:top w:val="nil"/>
              <w:left w:val="nil"/>
              <w:bottom w:val="single" w:sz="4" w:space="0" w:color="auto"/>
              <w:right w:val="single" w:sz="4" w:space="0" w:color="auto"/>
            </w:tcBorders>
            <w:shd w:val="clear" w:color="auto" w:fill="auto"/>
            <w:noWrap/>
            <w:vAlign w:val="bottom"/>
            <w:hideMark/>
          </w:tcPr>
          <w:p w14:paraId="7033FD86"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50</w:t>
            </w:r>
          </w:p>
        </w:tc>
      </w:tr>
      <w:tr w:rsidR="00A37E96" w:rsidRPr="008C2F09" w14:paraId="3B22A18E"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1C809BF4"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Australia</w:t>
            </w:r>
          </w:p>
        </w:tc>
        <w:tc>
          <w:tcPr>
            <w:tcW w:w="1860" w:type="dxa"/>
            <w:tcBorders>
              <w:top w:val="nil"/>
              <w:left w:val="nil"/>
              <w:bottom w:val="single" w:sz="4" w:space="0" w:color="auto"/>
              <w:right w:val="single" w:sz="4" w:space="0" w:color="auto"/>
            </w:tcBorders>
            <w:shd w:val="clear" w:color="auto" w:fill="auto"/>
            <w:noWrap/>
            <w:vAlign w:val="bottom"/>
            <w:hideMark/>
          </w:tcPr>
          <w:p w14:paraId="0CEBAFD1"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85</w:t>
            </w:r>
          </w:p>
        </w:tc>
        <w:tc>
          <w:tcPr>
            <w:tcW w:w="1860" w:type="dxa"/>
            <w:tcBorders>
              <w:top w:val="nil"/>
              <w:left w:val="nil"/>
              <w:bottom w:val="single" w:sz="4" w:space="0" w:color="auto"/>
              <w:right w:val="single" w:sz="4" w:space="0" w:color="auto"/>
            </w:tcBorders>
            <w:shd w:val="clear" w:color="auto" w:fill="auto"/>
            <w:noWrap/>
            <w:vAlign w:val="bottom"/>
            <w:hideMark/>
          </w:tcPr>
          <w:p w14:paraId="48C4A60A"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76</w:t>
            </w:r>
          </w:p>
        </w:tc>
      </w:tr>
      <w:tr w:rsidR="00A37E96" w:rsidRPr="008C2F09" w14:paraId="50FE4155"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3A9C88D9" w14:textId="77777777" w:rsidR="00A37E96" w:rsidRPr="008C2F09" w:rsidRDefault="00A37E96" w:rsidP="00A37E96">
            <w:pPr>
              <w:spacing w:after="0" w:line="240" w:lineRule="auto"/>
              <w:ind w:firstLine="0"/>
              <w:jc w:val="lef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United Kingdom</w:t>
            </w:r>
          </w:p>
        </w:tc>
        <w:tc>
          <w:tcPr>
            <w:tcW w:w="1860" w:type="dxa"/>
            <w:tcBorders>
              <w:top w:val="nil"/>
              <w:left w:val="nil"/>
              <w:bottom w:val="single" w:sz="4" w:space="0" w:color="auto"/>
              <w:right w:val="single" w:sz="4" w:space="0" w:color="auto"/>
            </w:tcBorders>
            <w:shd w:val="clear" w:color="auto" w:fill="auto"/>
            <w:noWrap/>
            <w:vAlign w:val="bottom"/>
            <w:hideMark/>
          </w:tcPr>
          <w:p w14:paraId="223AB284"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60</w:t>
            </w:r>
          </w:p>
        </w:tc>
        <w:tc>
          <w:tcPr>
            <w:tcW w:w="1860" w:type="dxa"/>
            <w:tcBorders>
              <w:top w:val="nil"/>
              <w:left w:val="nil"/>
              <w:bottom w:val="single" w:sz="4" w:space="0" w:color="auto"/>
              <w:right w:val="single" w:sz="4" w:space="0" w:color="auto"/>
            </w:tcBorders>
            <w:shd w:val="clear" w:color="auto" w:fill="auto"/>
            <w:noWrap/>
            <w:vAlign w:val="bottom"/>
            <w:hideMark/>
          </w:tcPr>
          <w:p w14:paraId="40DF48F2"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55</w:t>
            </w:r>
          </w:p>
        </w:tc>
      </w:tr>
      <w:tr w:rsidR="00A37E96" w:rsidRPr="008C2F09" w14:paraId="378A457F"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451D366A" w14:textId="77777777" w:rsidR="00A37E96" w:rsidRPr="008C2F09" w:rsidRDefault="00A37E96" w:rsidP="00A37E96">
            <w:pPr>
              <w:spacing w:after="0" w:line="240" w:lineRule="auto"/>
              <w:ind w:firstLine="0"/>
              <w:jc w:val="lef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Mongolia</w:t>
            </w:r>
          </w:p>
        </w:tc>
        <w:tc>
          <w:tcPr>
            <w:tcW w:w="1860" w:type="dxa"/>
            <w:tcBorders>
              <w:top w:val="nil"/>
              <w:left w:val="nil"/>
              <w:bottom w:val="single" w:sz="4" w:space="0" w:color="auto"/>
              <w:right w:val="single" w:sz="4" w:space="0" w:color="auto"/>
            </w:tcBorders>
            <w:shd w:val="clear" w:color="auto" w:fill="auto"/>
            <w:noWrap/>
            <w:vAlign w:val="bottom"/>
            <w:hideMark/>
          </w:tcPr>
          <w:p w14:paraId="0CBD66DD"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20</w:t>
            </w:r>
          </w:p>
        </w:tc>
        <w:tc>
          <w:tcPr>
            <w:tcW w:w="1860" w:type="dxa"/>
            <w:tcBorders>
              <w:top w:val="nil"/>
              <w:left w:val="nil"/>
              <w:bottom w:val="single" w:sz="4" w:space="0" w:color="auto"/>
              <w:right w:val="single" w:sz="4" w:space="0" w:color="auto"/>
            </w:tcBorders>
            <w:shd w:val="clear" w:color="auto" w:fill="auto"/>
            <w:noWrap/>
            <w:vAlign w:val="bottom"/>
            <w:hideMark/>
          </w:tcPr>
          <w:p w14:paraId="591FE468"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13</w:t>
            </w:r>
          </w:p>
        </w:tc>
      </w:tr>
      <w:tr w:rsidR="00A37E96" w:rsidRPr="008C2F09" w14:paraId="6A7F84BB"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4E98D933"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Sri Lanka</w:t>
            </w:r>
          </w:p>
        </w:tc>
        <w:tc>
          <w:tcPr>
            <w:tcW w:w="1860" w:type="dxa"/>
            <w:tcBorders>
              <w:top w:val="nil"/>
              <w:left w:val="nil"/>
              <w:bottom w:val="single" w:sz="4" w:space="0" w:color="auto"/>
              <w:right w:val="single" w:sz="4" w:space="0" w:color="auto"/>
            </w:tcBorders>
            <w:shd w:val="clear" w:color="auto" w:fill="auto"/>
            <w:noWrap/>
            <w:vAlign w:val="bottom"/>
            <w:hideMark/>
          </w:tcPr>
          <w:p w14:paraId="58D15EFB"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33</w:t>
            </w:r>
          </w:p>
        </w:tc>
        <w:tc>
          <w:tcPr>
            <w:tcW w:w="1860" w:type="dxa"/>
            <w:tcBorders>
              <w:top w:val="nil"/>
              <w:left w:val="nil"/>
              <w:bottom w:val="single" w:sz="4" w:space="0" w:color="auto"/>
              <w:right w:val="single" w:sz="4" w:space="0" w:color="auto"/>
            </w:tcBorders>
            <w:shd w:val="clear" w:color="auto" w:fill="auto"/>
            <w:noWrap/>
            <w:vAlign w:val="bottom"/>
            <w:hideMark/>
          </w:tcPr>
          <w:p w14:paraId="73359AC6"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20</w:t>
            </w:r>
          </w:p>
        </w:tc>
      </w:tr>
      <w:tr w:rsidR="00A37E96" w:rsidRPr="008C2F09" w14:paraId="2966E45E" w14:textId="77777777" w:rsidTr="00A37E96">
        <w:trPr>
          <w:trHeight w:val="247"/>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3913DBDE" w14:textId="77777777" w:rsidR="00A37E96" w:rsidRPr="008C2F09" w:rsidRDefault="00A37E96" w:rsidP="00A37E96">
            <w:pPr>
              <w:spacing w:after="0" w:line="240" w:lineRule="auto"/>
              <w:ind w:firstLine="0"/>
              <w:jc w:val="left"/>
              <w:rPr>
                <w:rFonts w:ascii="Whitney" w:eastAsia="Times New Roman" w:hAnsi="Whitney" w:cs="Times New Roman"/>
                <w:color w:val="191919"/>
                <w:kern w:val="0"/>
                <w:sz w:val="20"/>
                <w:szCs w:val="20"/>
                <w:lang w:val="en-GB"/>
              </w:rPr>
            </w:pPr>
            <w:r w:rsidRPr="008C2F09">
              <w:rPr>
                <w:rFonts w:ascii="Whitney" w:eastAsia="Times New Roman" w:hAnsi="Whitney" w:cs="Times New Roman"/>
                <w:color w:val="191919"/>
                <w:kern w:val="0"/>
                <w:sz w:val="20"/>
                <w:szCs w:val="20"/>
                <w:lang w:val="en-GB"/>
              </w:rPr>
              <w:t xml:space="preserve">Other countries </w:t>
            </w:r>
          </w:p>
        </w:tc>
        <w:tc>
          <w:tcPr>
            <w:tcW w:w="1860" w:type="dxa"/>
            <w:tcBorders>
              <w:top w:val="nil"/>
              <w:left w:val="nil"/>
              <w:bottom w:val="single" w:sz="4" w:space="0" w:color="auto"/>
              <w:right w:val="single" w:sz="4" w:space="0" w:color="auto"/>
            </w:tcBorders>
            <w:shd w:val="clear" w:color="auto" w:fill="auto"/>
            <w:noWrap/>
            <w:vAlign w:val="bottom"/>
            <w:hideMark/>
          </w:tcPr>
          <w:p w14:paraId="49E696A2"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48</w:t>
            </w:r>
          </w:p>
        </w:tc>
        <w:tc>
          <w:tcPr>
            <w:tcW w:w="1860" w:type="dxa"/>
            <w:tcBorders>
              <w:top w:val="nil"/>
              <w:left w:val="nil"/>
              <w:bottom w:val="single" w:sz="4" w:space="0" w:color="auto"/>
              <w:right w:val="single" w:sz="4" w:space="0" w:color="auto"/>
            </w:tcBorders>
            <w:shd w:val="clear" w:color="auto" w:fill="auto"/>
            <w:noWrap/>
            <w:vAlign w:val="bottom"/>
            <w:hideMark/>
          </w:tcPr>
          <w:p w14:paraId="2E2DAD87" w14:textId="77777777" w:rsidR="00A37E96" w:rsidRPr="008C2F09" w:rsidRDefault="00A37E96" w:rsidP="00A37E96">
            <w:pPr>
              <w:spacing w:after="0" w:line="240" w:lineRule="auto"/>
              <w:ind w:firstLine="0"/>
              <w:jc w:val="right"/>
              <w:rPr>
                <w:rFonts w:ascii="Aptos Narrow" w:eastAsia="Times New Roman" w:hAnsi="Aptos Narrow" w:cs="Times New Roman"/>
                <w:color w:val="000000"/>
                <w:kern w:val="0"/>
                <w:sz w:val="20"/>
                <w:szCs w:val="20"/>
                <w:lang w:val="en-GB"/>
              </w:rPr>
            </w:pPr>
            <w:r w:rsidRPr="008C2F09">
              <w:rPr>
                <w:rFonts w:ascii="Aptos Narrow" w:eastAsia="Times New Roman" w:hAnsi="Aptos Narrow" w:cs="Times New Roman"/>
                <w:color w:val="000000"/>
                <w:kern w:val="0"/>
                <w:sz w:val="20"/>
                <w:szCs w:val="20"/>
                <w:lang w:val="en-GB"/>
              </w:rPr>
              <w:t>38</w:t>
            </w:r>
          </w:p>
        </w:tc>
      </w:tr>
    </w:tbl>
    <w:p w14:paraId="57356353" w14:textId="2F9ADC53" w:rsidR="00BF1996" w:rsidRPr="008C2F09" w:rsidRDefault="00A37E96" w:rsidP="00A37E96">
      <w:pPr>
        <w:pStyle w:val="Caption"/>
        <w:rPr>
          <w:rFonts w:ascii="Times New Roman" w:eastAsia="Times New Roman" w:hAnsi="Times New Roman" w:cs="Times New Roman"/>
          <w:color w:val="000000"/>
          <w:kern w:val="0"/>
          <w:lang w:val="en-GB"/>
        </w:rPr>
      </w:pPr>
      <w:r w:rsidRPr="008C2F09">
        <w:rPr>
          <w:rFonts w:ascii="Times New Roman" w:eastAsia="Times New Roman" w:hAnsi="Times New Roman" w:cs="Times New Roman"/>
          <w:color w:val="000000"/>
          <w:kern w:val="0"/>
          <w:lang w:val="en-GB"/>
        </w:rPr>
        <w:fldChar w:fldCharType="begin"/>
      </w:r>
      <w:r w:rsidRPr="008C2F09">
        <w:rPr>
          <w:rFonts w:ascii="Times New Roman" w:eastAsia="Times New Roman" w:hAnsi="Times New Roman" w:cs="Times New Roman"/>
          <w:color w:val="000000"/>
          <w:kern w:val="0"/>
          <w:lang w:val="en-GB"/>
        </w:rPr>
        <w:instrText xml:space="preserve"> SEQ Table \* ARABIC </w:instrText>
      </w:r>
      <w:r w:rsidRPr="008C2F09">
        <w:rPr>
          <w:rFonts w:ascii="Times New Roman" w:eastAsia="Times New Roman" w:hAnsi="Times New Roman" w:cs="Times New Roman"/>
          <w:color w:val="000000"/>
          <w:kern w:val="0"/>
          <w:lang w:val="en-GB"/>
        </w:rPr>
        <w:fldChar w:fldCharType="separate"/>
      </w:r>
      <w:r w:rsidR="007041B1">
        <w:rPr>
          <w:rFonts w:ascii="Times New Roman" w:eastAsia="Times New Roman" w:hAnsi="Times New Roman" w:cs="Times New Roman"/>
          <w:noProof/>
          <w:color w:val="000000"/>
          <w:kern w:val="0"/>
          <w:lang w:val="en-GB"/>
        </w:rPr>
        <w:t>1</w:t>
      </w:r>
      <w:r w:rsidRPr="008C2F09">
        <w:rPr>
          <w:rFonts w:ascii="Times New Roman" w:eastAsia="Times New Roman" w:hAnsi="Times New Roman" w:cs="Times New Roman"/>
          <w:color w:val="000000"/>
          <w:kern w:val="0"/>
          <w:lang w:val="en-GB"/>
        </w:rPr>
        <w:fldChar w:fldCharType="end"/>
      </w:r>
      <w:r w:rsidRPr="008C2F09">
        <w:rPr>
          <w:lang w:val="en-GB"/>
        </w:rPr>
        <w:t>. Table: Shangri-La Revenues by Region in million USD 2022-2023. Source: own editing</w:t>
      </w:r>
    </w:p>
    <w:p w14:paraId="5D15A66C" w14:textId="09ACF026" w:rsidR="00377E5C" w:rsidRPr="008C2F09" w:rsidRDefault="00377E5C" w:rsidP="00377E5C">
      <w:pPr>
        <w:ind w:firstLine="0"/>
        <w:rPr>
          <w:lang w:val="en-GB"/>
        </w:rPr>
      </w:pPr>
      <w:r w:rsidRPr="008C2F09">
        <w:rPr>
          <w:lang w:val="en-GB"/>
        </w:rPr>
        <w:t>For business travel</w:t>
      </w:r>
      <w:r w:rsidR="00222748">
        <w:rPr>
          <w:lang w:val="en-GB"/>
        </w:rPr>
        <w:t>l</w:t>
      </w:r>
      <w:r w:rsidRPr="008C2F09">
        <w:rPr>
          <w:lang w:val="en-GB"/>
        </w:rPr>
        <w:t>ers, if Premier Inn's current occupancy rate of 82.7% in 2023 increases by another 5% to 87.7%, a significant increase in revenue is expected. Since Premier Inn has 83,500 rooms, the increase in occupancy directly affects the number of room nights used, and thus the revenue.</w:t>
      </w:r>
    </w:p>
    <w:p w14:paraId="229E5D4B" w14:textId="77777777" w:rsidR="00377E5C" w:rsidRPr="008C2F09" w:rsidRDefault="00377E5C" w:rsidP="00377E5C">
      <w:pPr>
        <w:ind w:firstLine="0"/>
        <w:rPr>
          <w:lang w:val="en-GB"/>
        </w:rPr>
      </w:pPr>
      <w:r w:rsidRPr="008C2F09">
        <w:rPr>
          <w:lang w:val="en-GB"/>
        </w:rPr>
        <w:t>Premier Inn has 83,500 rooms. Annual number of available room nights:</w:t>
      </w:r>
    </w:p>
    <w:p w14:paraId="306DDAD7" w14:textId="77777777" w:rsidR="00377E5C" w:rsidRDefault="00377E5C" w:rsidP="00377E5C">
      <w:pPr>
        <w:ind w:firstLine="0"/>
      </w:pPr>
      <w:r w:rsidRPr="008C2F09">
        <w:rPr>
          <w:lang w:val="en-GB"/>
        </w:rPr>
        <w:t xml:space="preserve">83,500 rooms × 365 days = 30,477,500 room nights per year. With 82.7% occupancy (in 2023) 30,477,500 × 82.7% = 25,209,007 utilized room nights. Utilized room nights after expansion (with 87.7% occupancy): 30,477,500 × 87.7 % = 26,723,448 used room nights. Additional used room nights: 26,723,448 - 25,209,007 = 1,514,441 additional used room nights per year. Revenue growth (based on </w:t>
      </w:r>
      <w:proofErr w:type="spellStart"/>
      <w:r w:rsidRPr="008C2F09">
        <w:rPr>
          <w:lang w:val="en-GB"/>
        </w:rPr>
        <w:t>RevPAR</w:t>
      </w:r>
      <w:proofErr w:type="spellEnd"/>
      <w:r w:rsidRPr="008C2F09">
        <w:rPr>
          <w:lang w:val="en-GB"/>
        </w:rPr>
        <w:t xml:space="preserve"> of £43 in 2023): 1,514,441 room nights × £43 = £65,120,963 additional revenue per year. </w:t>
      </w:r>
      <w:r w:rsidRPr="00616EDE">
        <w:t>Consider to launch or innovate services designed specifically for business travellers. That could be a change in check-in and check-out hours, better work spaces (coworking), or the expanded use of contactless digital technologies.</w:t>
      </w:r>
    </w:p>
    <w:p w14:paraId="017146B9" w14:textId="77777777" w:rsidR="00377E5C" w:rsidRPr="008C2F09" w:rsidRDefault="00377E5C" w:rsidP="00377E5C">
      <w:pPr>
        <w:ind w:firstLine="0"/>
        <w:rPr>
          <w:lang w:val="en-GB"/>
        </w:rPr>
      </w:pPr>
      <w:r w:rsidRPr="008C2F09">
        <w:rPr>
          <w:lang w:val="en-GB"/>
        </w:rPr>
        <w:t xml:space="preserve">The recommendation is the option of late check-in, early check-in, and especially late check-out, because </w:t>
      </w:r>
      <w:proofErr w:type="spellStart"/>
      <w:r w:rsidRPr="008C2F09">
        <w:rPr>
          <w:lang w:val="en-GB"/>
        </w:rPr>
        <w:t>Kottayil</w:t>
      </w:r>
      <w:proofErr w:type="spellEnd"/>
      <w:r w:rsidRPr="008C2F09">
        <w:rPr>
          <w:lang w:val="en-GB"/>
        </w:rPr>
        <w:t xml:space="preserve"> and </w:t>
      </w:r>
      <w:proofErr w:type="spellStart"/>
      <w:r w:rsidRPr="008C2F09">
        <w:rPr>
          <w:lang w:val="en-GB"/>
        </w:rPr>
        <w:t>SampathNagi</w:t>
      </w:r>
      <w:proofErr w:type="spellEnd"/>
      <w:r w:rsidRPr="008C2F09">
        <w:rPr>
          <w:lang w:val="en-GB"/>
        </w:rPr>
        <w:t xml:space="preserve"> (2017) most guests consider check-in/check-out policies to be the most unethical thing in hotels.</w:t>
      </w:r>
    </w:p>
    <w:p w14:paraId="4E8ABA6C" w14:textId="77777777" w:rsidR="004B4DDC" w:rsidRPr="008C2F09" w:rsidRDefault="004B4DDC" w:rsidP="004B4DDC">
      <w:pPr>
        <w:rPr>
          <w:lang w:val="en-GB"/>
        </w:rPr>
      </w:pPr>
    </w:p>
    <w:p w14:paraId="11EAB4CA" w14:textId="09212BE7" w:rsidR="004B4DDC" w:rsidRPr="008C2F09" w:rsidRDefault="004B4DDC" w:rsidP="004B4DDC">
      <w:pPr>
        <w:pStyle w:val="Caption"/>
        <w:rPr>
          <w:lang w:val="en-GB"/>
        </w:rPr>
      </w:pPr>
    </w:p>
    <w:p w14:paraId="35A80F12" w14:textId="0B80C54B" w:rsidR="008A560E" w:rsidRDefault="008C2F09" w:rsidP="008A560E">
      <w:pPr>
        <w:pStyle w:val="Heading1"/>
        <w:rPr>
          <w:lang w:val="en-GB"/>
        </w:rPr>
      </w:pPr>
      <w:bookmarkStart w:id="21" w:name="_Toc180072820"/>
      <w:r>
        <w:rPr>
          <w:lang w:val="en-GB"/>
        </w:rPr>
        <w:lastRenderedPageBreak/>
        <w:t>References</w:t>
      </w:r>
      <w:bookmarkEnd w:id="21"/>
    </w:p>
    <w:p w14:paraId="6D6DBAD4" w14:textId="03315C38" w:rsidR="001E6BFE" w:rsidRDefault="001E6BFE" w:rsidP="001E6BFE">
      <w:pPr>
        <w:pStyle w:val="NormalWeb"/>
        <w:numPr>
          <w:ilvl w:val="0"/>
          <w:numId w:val="18"/>
        </w:numPr>
        <w:spacing w:line="360" w:lineRule="auto"/>
      </w:pPr>
      <w:r>
        <w:t xml:space="preserve">Accor (2018) </w:t>
      </w:r>
      <w:r>
        <w:rPr>
          <w:rStyle w:val="Emphasis"/>
          <w:rFonts w:eastAsiaTheme="majorEastAsia"/>
        </w:rPr>
        <w:t>RevPAR excluding tax by segment and market</w:t>
      </w:r>
      <w:r>
        <w:t xml:space="preserve">. Available at: </w:t>
      </w:r>
      <w:hyperlink r:id="rId26" w:tgtFrame="_new" w:history="1">
        <w:r>
          <w:rPr>
            <w:rStyle w:val="Hyperlink"/>
            <w:rFonts w:eastAsiaTheme="majorEastAsia"/>
          </w:rPr>
          <w:t>https://group.accor.com/-/media/Corporate/Investors/Documents-financiers/2019/02-21-FY/RevPAR-31122018-EN.pdf?rev=97023615d16741249b6c274feb231358</w:t>
        </w:r>
      </w:hyperlink>
      <w:r w:rsidR="00DE687A">
        <w:t xml:space="preserve"> (Accessed: 10</w:t>
      </w:r>
      <w:r>
        <w:t xml:space="preserve"> October 2024).</w:t>
      </w:r>
    </w:p>
    <w:p w14:paraId="25A55160" w14:textId="6DE4B4C1" w:rsidR="001E6BFE" w:rsidRDefault="001E6BFE" w:rsidP="001E6BFE">
      <w:pPr>
        <w:pStyle w:val="NormalWeb"/>
        <w:numPr>
          <w:ilvl w:val="0"/>
          <w:numId w:val="18"/>
        </w:numPr>
        <w:spacing w:line="360" w:lineRule="auto"/>
      </w:pPr>
      <w:r>
        <w:t xml:space="preserve">Accor (2019) </w:t>
      </w:r>
      <w:r>
        <w:rPr>
          <w:rStyle w:val="Emphasis"/>
          <w:rFonts w:eastAsiaTheme="majorEastAsia"/>
        </w:rPr>
        <w:t>RevPAR excluding tax by segment and market</w:t>
      </w:r>
      <w:r>
        <w:t xml:space="preserve">. Available at: </w:t>
      </w:r>
      <w:hyperlink r:id="rId27" w:tgtFrame="_new" w:history="1">
        <w:r>
          <w:rPr>
            <w:rStyle w:val="Hyperlink"/>
            <w:rFonts w:eastAsiaTheme="majorEastAsia"/>
          </w:rPr>
          <w:t>https://group.accor.com/-/media/Corporate/Investors/Documents-financiers/2020/02-20-FY/RevPAR_EN_31122019.pdf?la=en&amp;rev=f7d3f6967133403fb70451e0a9f59e72</w:t>
        </w:r>
      </w:hyperlink>
      <w:r w:rsidR="00DE687A">
        <w:t xml:space="preserve"> (Accessed: 10</w:t>
      </w:r>
      <w:r>
        <w:t xml:space="preserve"> October 2024).</w:t>
      </w:r>
    </w:p>
    <w:p w14:paraId="522F9B2D" w14:textId="01A58A9B" w:rsidR="001E6BFE" w:rsidRDefault="001E6BFE" w:rsidP="001E6BFE">
      <w:pPr>
        <w:pStyle w:val="NormalWeb"/>
        <w:numPr>
          <w:ilvl w:val="0"/>
          <w:numId w:val="18"/>
        </w:numPr>
        <w:spacing w:line="360" w:lineRule="auto"/>
      </w:pPr>
      <w:r>
        <w:t xml:space="preserve">Accor (2020) </w:t>
      </w:r>
      <w:r>
        <w:rPr>
          <w:rStyle w:val="Emphasis"/>
          <w:rFonts w:eastAsiaTheme="majorEastAsia"/>
        </w:rPr>
        <w:t>RevPAR excluding tax by segment and market</w:t>
      </w:r>
      <w:r>
        <w:t xml:space="preserve">. Available at: </w:t>
      </w:r>
      <w:hyperlink r:id="rId28" w:tgtFrame="_new" w:history="1">
        <w:r>
          <w:rPr>
            <w:rStyle w:val="Hyperlink"/>
            <w:rFonts w:eastAsiaTheme="majorEastAsia"/>
          </w:rPr>
          <w:t>https://group.accor.com/-/media/Corporate/Investors/Documents-financiers/2021/02-24-FY/RevPAR-ENG-31122020.pdf?rev=729f45b838504e29984dc19527bba8e1</w:t>
        </w:r>
      </w:hyperlink>
      <w:r w:rsidR="00DE687A">
        <w:t xml:space="preserve"> (Accessed: 10</w:t>
      </w:r>
      <w:r>
        <w:t xml:space="preserve"> October 2024).</w:t>
      </w:r>
    </w:p>
    <w:p w14:paraId="0760FC3F" w14:textId="56BA0AE3" w:rsidR="001E6BFE" w:rsidRDefault="001E6BFE" w:rsidP="001E6BFE">
      <w:pPr>
        <w:pStyle w:val="NormalWeb"/>
        <w:numPr>
          <w:ilvl w:val="0"/>
          <w:numId w:val="18"/>
        </w:numPr>
        <w:spacing w:line="360" w:lineRule="auto"/>
      </w:pPr>
      <w:r>
        <w:t xml:space="preserve">Accor (2021) </w:t>
      </w:r>
      <w:r>
        <w:rPr>
          <w:rStyle w:val="Emphasis"/>
          <w:rFonts w:eastAsiaTheme="majorEastAsia"/>
        </w:rPr>
        <w:t>RevPAR excluding tax by segment and market</w:t>
      </w:r>
      <w:r>
        <w:t xml:space="preserve">. Available at: </w:t>
      </w:r>
      <w:hyperlink r:id="rId29" w:tgtFrame="_new" w:history="1">
        <w:r>
          <w:rPr>
            <w:rStyle w:val="Hyperlink"/>
            <w:rFonts w:eastAsiaTheme="majorEastAsia"/>
          </w:rPr>
          <w:t>https://group.accor.com/-/media/Corporate/Investors/Documents-financiers/2022/02-24-FY/RevPAR_ENG_122021.pdf?rev=1d26d8ca47aa4671b8f2f1409b09f099</w:t>
        </w:r>
      </w:hyperlink>
      <w:r w:rsidR="00DE687A">
        <w:t xml:space="preserve"> (Accessed: 10</w:t>
      </w:r>
      <w:r>
        <w:t xml:space="preserve"> October 2024).</w:t>
      </w:r>
    </w:p>
    <w:p w14:paraId="2EB9A9C5" w14:textId="49C69473" w:rsidR="001E6BFE" w:rsidRDefault="001E6BFE" w:rsidP="001E6BFE">
      <w:pPr>
        <w:pStyle w:val="NormalWeb"/>
        <w:numPr>
          <w:ilvl w:val="0"/>
          <w:numId w:val="18"/>
        </w:numPr>
        <w:spacing w:line="360" w:lineRule="auto"/>
      </w:pPr>
      <w:r>
        <w:t xml:space="preserve">Accor (2022) </w:t>
      </w:r>
      <w:r>
        <w:rPr>
          <w:rStyle w:val="Emphasis"/>
          <w:rFonts w:eastAsiaTheme="majorEastAsia"/>
        </w:rPr>
        <w:t>RevPAR excluding tax by segment and market</w:t>
      </w:r>
      <w:r>
        <w:t xml:space="preserve">. Available at: </w:t>
      </w:r>
      <w:hyperlink r:id="rId30" w:tgtFrame="_new" w:history="1">
        <w:r>
          <w:rPr>
            <w:rStyle w:val="Hyperlink"/>
            <w:rFonts w:eastAsiaTheme="majorEastAsia"/>
          </w:rPr>
          <w:t>https://group.accor.com/-/media/Corporate/Investors/Documents-financiers/2023/02-23-FY/RevPAR_ENG_122022.pdf?rev=fa15599f35bc47baac7764d5bdfa1869</w:t>
        </w:r>
      </w:hyperlink>
      <w:r w:rsidR="00DE687A">
        <w:t xml:space="preserve"> (Accessed: 10</w:t>
      </w:r>
      <w:r>
        <w:t xml:space="preserve"> October 2024).</w:t>
      </w:r>
    </w:p>
    <w:p w14:paraId="23B2BCD7" w14:textId="063EB086" w:rsidR="001E6BFE" w:rsidRDefault="001E6BFE" w:rsidP="001E6BFE">
      <w:pPr>
        <w:pStyle w:val="NormalWeb"/>
        <w:numPr>
          <w:ilvl w:val="0"/>
          <w:numId w:val="18"/>
        </w:numPr>
        <w:spacing w:line="360" w:lineRule="auto"/>
      </w:pPr>
      <w:r>
        <w:t xml:space="preserve">Accor (2023) </w:t>
      </w:r>
      <w:r>
        <w:rPr>
          <w:rStyle w:val="Emphasis"/>
          <w:rFonts w:eastAsiaTheme="majorEastAsia"/>
        </w:rPr>
        <w:t>RevPAR excluding tax by segment and market</w:t>
      </w:r>
      <w:r>
        <w:t xml:space="preserve">. Available at: </w:t>
      </w:r>
      <w:hyperlink r:id="rId31" w:tgtFrame="_new" w:history="1">
        <w:r>
          <w:rPr>
            <w:rStyle w:val="Hyperlink"/>
            <w:rFonts w:eastAsiaTheme="majorEastAsia"/>
          </w:rPr>
          <w:t>https://group.accor.com/-/media/Corporate/Investors/Documents-financiers/2024/02-22-FY/RevPAR_EN_122023.pdf?rev=0a95228df4ac414cb7c2982b28cb0675</w:t>
        </w:r>
      </w:hyperlink>
      <w:r w:rsidR="00DE687A">
        <w:t xml:space="preserve"> (Accessed: 10</w:t>
      </w:r>
      <w:r>
        <w:t xml:space="preserve"> October 2024).</w:t>
      </w:r>
    </w:p>
    <w:p w14:paraId="1B034885" w14:textId="6F577A34" w:rsidR="001E6BFE" w:rsidRDefault="001E6BFE" w:rsidP="001E6BFE">
      <w:pPr>
        <w:pStyle w:val="NormalWeb"/>
        <w:numPr>
          <w:ilvl w:val="0"/>
          <w:numId w:val="18"/>
        </w:numPr>
        <w:spacing w:line="360" w:lineRule="auto"/>
      </w:pPr>
      <w:r>
        <w:t xml:space="preserve">Flór, N. (2020) ‘Számháború helyett betűháború: A V, U, W és L-alakú recessziók bemutatása’, </w:t>
      </w:r>
      <w:r>
        <w:rPr>
          <w:rStyle w:val="Emphasis"/>
          <w:rFonts w:eastAsiaTheme="majorEastAsia"/>
        </w:rPr>
        <w:t>Oeconomicus Gazdaságkutató Alapítvány</w:t>
      </w:r>
      <w:r>
        <w:t xml:space="preserve">. Available at: </w:t>
      </w:r>
      <w:hyperlink r:id="rId32" w:tgtFrame="_new" w:history="1">
        <w:r>
          <w:rPr>
            <w:rStyle w:val="Hyperlink"/>
            <w:rFonts w:eastAsiaTheme="majorEastAsia"/>
          </w:rPr>
          <w:t>https://www.oeconomus.hu/irasok/szamhaboru-helyett-betuhaboru-a-v-u-w-es-l-alaku-recessziok-bemutatasa/</w:t>
        </w:r>
      </w:hyperlink>
      <w:r w:rsidR="00DE687A">
        <w:t xml:space="preserve"> (Accessed: 10</w:t>
      </w:r>
      <w:r>
        <w:t xml:space="preserve"> October 2024).</w:t>
      </w:r>
    </w:p>
    <w:p w14:paraId="6801C392" w14:textId="77777777" w:rsidR="001E6BFE" w:rsidRDefault="001E6BFE" w:rsidP="001E6BFE">
      <w:pPr>
        <w:pStyle w:val="NormalWeb"/>
        <w:numPr>
          <w:ilvl w:val="0"/>
          <w:numId w:val="18"/>
        </w:numPr>
        <w:spacing w:line="360" w:lineRule="auto"/>
      </w:pPr>
      <w:r>
        <w:t xml:space="preserve">Franco, S., Caroli, M. G., Cappa, F. and Del Chiappa, G. (2019) ‘Are you good enough? CSR, quality management and corporate financial performance in the </w:t>
      </w:r>
      <w:r>
        <w:lastRenderedPageBreak/>
        <w:t xml:space="preserve">hospitality industry’, </w:t>
      </w:r>
      <w:r>
        <w:rPr>
          <w:rStyle w:val="Emphasis"/>
          <w:rFonts w:eastAsiaTheme="majorEastAsia"/>
        </w:rPr>
        <w:t>International Journal of Hospitality Management</w:t>
      </w:r>
      <w:r>
        <w:t xml:space="preserve">, 88, p. 102395. </w:t>
      </w:r>
      <w:hyperlink r:id="rId33" w:tgtFrame="_new" w:history="1">
        <w:r>
          <w:rPr>
            <w:rStyle w:val="Hyperlink"/>
            <w:rFonts w:eastAsiaTheme="majorEastAsia"/>
          </w:rPr>
          <w:t>https://doi.org/10.1016/j.ijhm.2019.102395</w:t>
        </w:r>
      </w:hyperlink>
      <w:r>
        <w:t>.</w:t>
      </w:r>
    </w:p>
    <w:p w14:paraId="26B8AD27" w14:textId="77777777" w:rsidR="001E6BFE" w:rsidRDefault="001E6BFE" w:rsidP="001E6BFE">
      <w:pPr>
        <w:pStyle w:val="NormalWeb"/>
        <w:numPr>
          <w:ilvl w:val="0"/>
          <w:numId w:val="18"/>
        </w:numPr>
        <w:spacing w:line="360" w:lineRule="auto"/>
      </w:pPr>
      <w:r>
        <w:t xml:space="preserve">Gregory, V., Menzio, G. and Wiczer, D. (2020) </w:t>
      </w:r>
      <w:r>
        <w:rPr>
          <w:rStyle w:val="Emphasis"/>
          <w:rFonts w:eastAsiaTheme="majorEastAsia"/>
        </w:rPr>
        <w:t>Pandemic Recession: L or V Shaped?</w:t>
      </w:r>
      <w:r>
        <w:t xml:space="preserve"> </w:t>
      </w:r>
      <w:hyperlink r:id="rId34" w:tgtFrame="_new" w:history="1">
        <w:r>
          <w:rPr>
            <w:rStyle w:val="Hyperlink"/>
            <w:rFonts w:eastAsiaTheme="majorEastAsia"/>
          </w:rPr>
          <w:t>https://doi.org/10.3386/w27105</w:t>
        </w:r>
      </w:hyperlink>
      <w:r>
        <w:t>.</w:t>
      </w:r>
    </w:p>
    <w:p w14:paraId="15D78757" w14:textId="77777777" w:rsidR="001E6BFE" w:rsidRDefault="001E6BFE" w:rsidP="001E6BFE">
      <w:pPr>
        <w:pStyle w:val="NormalWeb"/>
        <w:numPr>
          <w:ilvl w:val="0"/>
          <w:numId w:val="18"/>
        </w:numPr>
        <w:spacing w:line="360" w:lineRule="auto"/>
      </w:pPr>
      <w:r>
        <w:t xml:space="preserve">Hilton (2018) </w:t>
      </w:r>
      <w:r>
        <w:rPr>
          <w:rStyle w:val="Emphasis"/>
          <w:rFonts w:eastAsiaTheme="majorEastAsia"/>
        </w:rPr>
        <w:t>2018 Year in Review</w:t>
      </w:r>
      <w:r>
        <w:t xml:space="preserve">. Available at: </w:t>
      </w:r>
      <w:hyperlink r:id="rId35" w:tgtFrame="_new" w:history="1">
        <w:r>
          <w:rPr>
            <w:rStyle w:val="Hyperlink"/>
            <w:rFonts w:eastAsiaTheme="majorEastAsia"/>
          </w:rPr>
          <w:t>http://www.corporatereport.com/hilton/2018/ar/</w:t>
        </w:r>
      </w:hyperlink>
      <w:r>
        <w:t xml:space="preserve"> (Accessed: 17 October 2024).</w:t>
      </w:r>
    </w:p>
    <w:p w14:paraId="086FC3BD" w14:textId="77777777" w:rsidR="001E6BFE" w:rsidRDefault="001E6BFE" w:rsidP="001E6BFE">
      <w:pPr>
        <w:pStyle w:val="NormalWeb"/>
        <w:numPr>
          <w:ilvl w:val="0"/>
          <w:numId w:val="18"/>
        </w:numPr>
        <w:spacing w:line="360" w:lineRule="auto"/>
      </w:pPr>
      <w:r>
        <w:t xml:space="preserve">Hilton (2019) </w:t>
      </w:r>
      <w:r>
        <w:rPr>
          <w:rStyle w:val="Emphasis"/>
          <w:rFonts w:eastAsiaTheme="majorEastAsia"/>
        </w:rPr>
        <w:t>2019 Year in Review</w:t>
      </w:r>
      <w:r>
        <w:t xml:space="preserve">. Available at: </w:t>
      </w:r>
      <w:hyperlink r:id="rId36" w:tgtFrame="_new" w:history="1">
        <w:r>
          <w:rPr>
            <w:rStyle w:val="Hyperlink"/>
            <w:rFonts w:eastAsiaTheme="majorEastAsia"/>
          </w:rPr>
          <w:t>http://www.corporatereport.com/hilton/2019/ar/</w:t>
        </w:r>
      </w:hyperlink>
      <w:r>
        <w:t xml:space="preserve"> (Accessed: 17 October 2024).</w:t>
      </w:r>
    </w:p>
    <w:p w14:paraId="42B4E6CD" w14:textId="77777777" w:rsidR="001E6BFE" w:rsidRDefault="001E6BFE" w:rsidP="001E6BFE">
      <w:pPr>
        <w:pStyle w:val="NormalWeb"/>
        <w:numPr>
          <w:ilvl w:val="0"/>
          <w:numId w:val="18"/>
        </w:numPr>
        <w:spacing w:line="360" w:lineRule="auto"/>
      </w:pPr>
      <w:r>
        <w:t xml:space="preserve">Hilton (2020) </w:t>
      </w:r>
      <w:r>
        <w:rPr>
          <w:rStyle w:val="Emphasis"/>
          <w:rFonts w:eastAsiaTheme="majorEastAsia"/>
        </w:rPr>
        <w:t>2020 Year in Review</w:t>
      </w:r>
      <w:r>
        <w:t xml:space="preserve">. Available at: </w:t>
      </w:r>
      <w:hyperlink r:id="rId37" w:tgtFrame="_new" w:history="1">
        <w:r>
          <w:rPr>
            <w:rStyle w:val="Hyperlink"/>
            <w:rFonts w:eastAsiaTheme="majorEastAsia"/>
          </w:rPr>
          <w:t>https://www.corporatereport.com/hilton/2020/ar/</w:t>
        </w:r>
      </w:hyperlink>
      <w:r>
        <w:t xml:space="preserve"> (Accessed: 17 October 2024).</w:t>
      </w:r>
    </w:p>
    <w:p w14:paraId="310728B4" w14:textId="77777777" w:rsidR="001E6BFE" w:rsidRDefault="001E6BFE" w:rsidP="001E6BFE">
      <w:pPr>
        <w:pStyle w:val="NormalWeb"/>
        <w:numPr>
          <w:ilvl w:val="0"/>
          <w:numId w:val="18"/>
        </w:numPr>
        <w:spacing w:line="360" w:lineRule="auto"/>
      </w:pPr>
      <w:r>
        <w:t xml:space="preserve">Hilton (2021) </w:t>
      </w:r>
      <w:r>
        <w:rPr>
          <w:rStyle w:val="Emphasis"/>
          <w:rFonts w:eastAsiaTheme="majorEastAsia"/>
        </w:rPr>
        <w:t>2021 Year in Review</w:t>
      </w:r>
      <w:r>
        <w:t xml:space="preserve">. Available at: </w:t>
      </w:r>
      <w:hyperlink r:id="rId38" w:tgtFrame="_new" w:history="1">
        <w:r>
          <w:rPr>
            <w:rStyle w:val="Hyperlink"/>
            <w:rFonts w:eastAsiaTheme="majorEastAsia"/>
          </w:rPr>
          <w:t>https://www.corporatereport.com/hilton/2021/ar/index.php</w:t>
        </w:r>
      </w:hyperlink>
      <w:r>
        <w:t xml:space="preserve"> (Accessed: 17 October 2024).</w:t>
      </w:r>
    </w:p>
    <w:p w14:paraId="7AB1603F" w14:textId="77777777" w:rsidR="001E6BFE" w:rsidRDefault="001E6BFE" w:rsidP="001E6BFE">
      <w:pPr>
        <w:pStyle w:val="NormalWeb"/>
        <w:numPr>
          <w:ilvl w:val="0"/>
          <w:numId w:val="18"/>
        </w:numPr>
        <w:spacing w:line="360" w:lineRule="auto"/>
      </w:pPr>
      <w:r>
        <w:t xml:space="preserve">Hilton (2022) </w:t>
      </w:r>
      <w:r>
        <w:rPr>
          <w:rStyle w:val="Emphasis"/>
          <w:rFonts w:eastAsiaTheme="majorEastAsia"/>
        </w:rPr>
        <w:t>2022 Year in Review</w:t>
      </w:r>
      <w:r>
        <w:t xml:space="preserve">. Available at: </w:t>
      </w:r>
      <w:hyperlink r:id="rId39" w:tgtFrame="_new" w:history="1">
        <w:r>
          <w:rPr>
            <w:rStyle w:val="Hyperlink"/>
            <w:rFonts w:eastAsiaTheme="majorEastAsia"/>
          </w:rPr>
          <w:t>https://stories-editor.hilton.com/wp-content/uploads/2023/04/2022-Hilton-Year-in-Review.pdf</w:t>
        </w:r>
      </w:hyperlink>
      <w:r>
        <w:t xml:space="preserve"> (Accessed: 17 October 2024).</w:t>
      </w:r>
    </w:p>
    <w:p w14:paraId="01C64F72" w14:textId="77777777" w:rsidR="001E6BFE" w:rsidRDefault="001E6BFE" w:rsidP="001E6BFE">
      <w:pPr>
        <w:pStyle w:val="NormalWeb"/>
        <w:numPr>
          <w:ilvl w:val="0"/>
          <w:numId w:val="18"/>
        </w:numPr>
        <w:spacing w:line="360" w:lineRule="auto"/>
      </w:pPr>
      <w:r>
        <w:t xml:space="preserve">Hilton (2023) </w:t>
      </w:r>
      <w:r>
        <w:rPr>
          <w:rStyle w:val="Emphasis"/>
          <w:rFonts w:eastAsiaTheme="majorEastAsia"/>
        </w:rPr>
        <w:t>2023 Year in Review</w:t>
      </w:r>
      <w:r>
        <w:t xml:space="preserve">. Available at: </w:t>
      </w:r>
      <w:hyperlink r:id="rId40" w:tgtFrame="_new" w:history="1">
        <w:r>
          <w:rPr>
            <w:rStyle w:val="Hyperlink"/>
            <w:rFonts w:eastAsiaTheme="majorEastAsia"/>
          </w:rPr>
          <w:t>https://stories-editor.hilton.com/wp-content/uploads/2024/04/Hilton2023AnnualReport.pdf</w:t>
        </w:r>
      </w:hyperlink>
      <w:r>
        <w:t xml:space="preserve"> (Accessed: 17 October 2024).</w:t>
      </w:r>
    </w:p>
    <w:p w14:paraId="2FE273F3" w14:textId="77777777" w:rsidR="001E6BFE" w:rsidRDefault="001E6BFE" w:rsidP="001E6BFE">
      <w:pPr>
        <w:pStyle w:val="NormalWeb"/>
        <w:numPr>
          <w:ilvl w:val="0"/>
          <w:numId w:val="18"/>
        </w:numPr>
        <w:spacing w:line="360" w:lineRule="auto"/>
      </w:pPr>
      <w:r>
        <w:t xml:space="preserve">Kottayil, S. and SampathNagi, M. (2017) ‘Impact of check-in and check-out policies of hotels on service quality of hospitality industry’, </w:t>
      </w:r>
      <w:r>
        <w:rPr>
          <w:rStyle w:val="Emphasis"/>
          <w:rFonts w:eastAsiaTheme="majorEastAsia"/>
        </w:rPr>
        <w:t>International Journal of Advanced Research</w:t>
      </w:r>
      <w:r>
        <w:t xml:space="preserve">, 5(5), pp. 1319–1327. </w:t>
      </w:r>
      <w:hyperlink r:id="rId41" w:tgtFrame="_new" w:history="1">
        <w:r>
          <w:rPr>
            <w:rStyle w:val="Hyperlink"/>
            <w:rFonts w:eastAsiaTheme="majorEastAsia"/>
          </w:rPr>
          <w:t>https://doi.org/10.21474/ijar01/4251</w:t>
        </w:r>
      </w:hyperlink>
      <w:r>
        <w:t>.</w:t>
      </w:r>
    </w:p>
    <w:p w14:paraId="1D86F937" w14:textId="77777777" w:rsidR="001E6BFE" w:rsidRDefault="001E6BFE" w:rsidP="001E6BFE">
      <w:pPr>
        <w:pStyle w:val="NormalWeb"/>
        <w:numPr>
          <w:ilvl w:val="0"/>
          <w:numId w:val="18"/>
        </w:numPr>
        <w:spacing w:line="360" w:lineRule="auto"/>
      </w:pPr>
      <w:r>
        <w:t xml:space="preserve">Lho, H., Park, J. and Yu, J. (2019) ‘The effects of corporate social responsibility (CSR) initiatives on brand image, brand prestige, and behavioral intention’, </w:t>
      </w:r>
      <w:r>
        <w:rPr>
          <w:rStyle w:val="Emphasis"/>
          <w:rFonts w:eastAsiaTheme="majorEastAsia"/>
        </w:rPr>
        <w:t>International Journal of Tourism and Hospitality Research</w:t>
      </w:r>
      <w:r>
        <w:t xml:space="preserve">, 33(4), pp. 63–74. </w:t>
      </w:r>
      <w:hyperlink r:id="rId42" w:tgtFrame="_new" w:history="1">
        <w:r>
          <w:rPr>
            <w:rStyle w:val="Hyperlink"/>
            <w:rFonts w:eastAsiaTheme="majorEastAsia"/>
          </w:rPr>
          <w:t>https://doi.org/10.21298/ijthr.2019.4.33.4.63</w:t>
        </w:r>
      </w:hyperlink>
      <w:r>
        <w:t>.</w:t>
      </w:r>
    </w:p>
    <w:p w14:paraId="5E13657B" w14:textId="77777777" w:rsidR="001E6BFE" w:rsidRDefault="001E6BFE" w:rsidP="001E6BFE">
      <w:pPr>
        <w:pStyle w:val="NormalWeb"/>
        <w:numPr>
          <w:ilvl w:val="0"/>
          <w:numId w:val="18"/>
        </w:numPr>
        <w:spacing w:line="360" w:lineRule="auto"/>
      </w:pPr>
      <w:r>
        <w:t xml:space="preserve">Remes, J. et al. (2021) </w:t>
      </w:r>
      <w:r>
        <w:rPr>
          <w:rStyle w:val="Emphasis"/>
          <w:rFonts w:eastAsiaTheme="majorEastAsia"/>
        </w:rPr>
        <w:t>The post pandemic economy: The consumer demand recovery and lasting effects of COVID-19</w:t>
      </w:r>
      <w:r>
        <w:t>. McKinsey Global Institute.</w:t>
      </w:r>
    </w:p>
    <w:p w14:paraId="292909DC" w14:textId="77777777" w:rsidR="001E6BFE" w:rsidRDefault="001E6BFE" w:rsidP="001E6BFE">
      <w:pPr>
        <w:pStyle w:val="NormalWeb"/>
        <w:numPr>
          <w:ilvl w:val="0"/>
          <w:numId w:val="18"/>
        </w:numPr>
        <w:spacing w:line="360" w:lineRule="auto"/>
      </w:pPr>
      <w:r>
        <w:t xml:space="preserve">Rounaghi, M. M., Jarrar, H. and Dana, L. (2021) ‘Implementation of strategic cost management in manufacturing companies: overcoming cost stickiness and increasing corporate sustainability’, </w:t>
      </w:r>
      <w:r>
        <w:rPr>
          <w:rStyle w:val="Emphasis"/>
          <w:rFonts w:eastAsiaTheme="majorEastAsia"/>
        </w:rPr>
        <w:t>Future Business Journal</w:t>
      </w:r>
      <w:r>
        <w:t xml:space="preserve">, 7(1). </w:t>
      </w:r>
      <w:hyperlink r:id="rId43" w:tgtFrame="_new" w:history="1">
        <w:r>
          <w:rPr>
            <w:rStyle w:val="Hyperlink"/>
            <w:rFonts w:eastAsiaTheme="majorEastAsia"/>
          </w:rPr>
          <w:t>https://doi.org/10.1186/s43093-021-00079-4</w:t>
        </w:r>
      </w:hyperlink>
      <w:r>
        <w:t>.</w:t>
      </w:r>
    </w:p>
    <w:p w14:paraId="266BFF29" w14:textId="4EBD1D27" w:rsidR="001E6BFE" w:rsidRDefault="001E6BFE" w:rsidP="001E6BFE">
      <w:pPr>
        <w:pStyle w:val="NormalWeb"/>
        <w:numPr>
          <w:ilvl w:val="0"/>
          <w:numId w:val="18"/>
        </w:numPr>
        <w:spacing w:line="360" w:lineRule="auto"/>
      </w:pPr>
      <w:r>
        <w:t xml:space="preserve">Shangri-La Group (n.d.) </w:t>
      </w:r>
      <w:r>
        <w:rPr>
          <w:rStyle w:val="Emphasis"/>
          <w:rFonts w:eastAsiaTheme="majorEastAsia"/>
        </w:rPr>
        <w:t>Our Heritage</w:t>
      </w:r>
      <w:r>
        <w:t xml:space="preserve">. Available at: </w:t>
      </w:r>
      <w:hyperlink r:id="rId44" w:tgtFrame="_new" w:history="1">
        <w:r>
          <w:rPr>
            <w:rStyle w:val="Hyperlink"/>
            <w:rFonts w:eastAsiaTheme="majorEastAsia"/>
          </w:rPr>
          <w:t>https://www.shangri-la.com/group/our-story/our-heritage</w:t>
        </w:r>
      </w:hyperlink>
      <w:r w:rsidR="00DE687A">
        <w:t xml:space="preserve"> (Accessed: 10</w:t>
      </w:r>
      <w:r>
        <w:t xml:space="preserve"> October 2024).</w:t>
      </w:r>
    </w:p>
    <w:p w14:paraId="18289141" w14:textId="6D87213A" w:rsidR="001E6BFE" w:rsidRDefault="001E6BFE" w:rsidP="001E6BFE">
      <w:pPr>
        <w:pStyle w:val="NormalWeb"/>
        <w:numPr>
          <w:ilvl w:val="0"/>
          <w:numId w:val="18"/>
        </w:numPr>
        <w:spacing w:line="360" w:lineRule="auto"/>
      </w:pPr>
      <w:r>
        <w:lastRenderedPageBreak/>
        <w:t xml:space="preserve">Shangri-La Group (2018) </w:t>
      </w:r>
      <w:r>
        <w:rPr>
          <w:rStyle w:val="Emphasis"/>
          <w:rFonts w:eastAsiaTheme="majorEastAsia"/>
        </w:rPr>
        <w:t>Annual Report</w:t>
      </w:r>
      <w:r>
        <w:t xml:space="preserve">. Available at: </w:t>
      </w:r>
      <w:hyperlink r:id="rId45" w:tgtFrame="_new" w:history="1">
        <w:r>
          <w:rPr>
            <w:rStyle w:val="Hyperlink"/>
            <w:rFonts w:eastAsiaTheme="majorEastAsia"/>
          </w:rPr>
          <w:t>https://sitecore-cd.shangri-la.com/-/media/Project/Shangri-La-Group/Investor/Files/Public-Disclosures/Financial-Information/Financial-Reports/2018_Annual_Report.pdf</w:t>
        </w:r>
      </w:hyperlink>
      <w:r w:rsidR="00DE687A">
        <w:t xml:space="preserve"> (Accessed: 10</w:t>
      </w:r>
      <w:r>
        <w:t xml:space="preserve"> October 2024).</w:t>
      </w:r>
    </w:p>
    <w:p w14:paraId="6759176B" w14:textId="54B607C4" w:rsidR="001E6BFE" w:rsidRDefault="001E6BFE" w:rsidP="001E6BFE">
      <w:pPr>
        <w:pStyle w:val="NormalWeb"/>
        <w:numPr>
          <w:ilvl w:val="0"/>
          <w:numId w:val="18"/>
        </w:numPr>
        <w:spacing w:line="360" w:lineRule="auto"/>
      </w:pPr>
      <w:r>
        <w:t xml:space="preserve">Shangri-La Group (2019) </w:t>
      </w:r>
      <w:r>
        <w:rPr>
          <w:rStyle w:val="Emphasis"/>
          <w:rFonts w:eastAsiaTheme="majorEastAsia"/>
        </w:rPr>
        <w:t>Annual Report</w:t>
      </w:r>
      <w:r>
        <w:t xml:space="preserve">. Available at: </w:t>
      </w:r>
      <w:hyperlink r:id="rId46" w:tgtFrame="_new" w:history="1">
        <w:r>
          <w:rPr>
            <w:rStyle w:val="Hyperlink"/>
            <w:rFonts w:eastAsiaTheme="majorEastAsia"/>
          </w:rPr>
          <w:t>https://sitecore-cd.shangri-la.com/-/media/Project/Shangri-La-Group/Investor/Files/Public-Disclosures/Financial-Information/Financial-Reports/2019Annual-Report-Eng.pdf</w:t>
        </w:r>
      </w:hyperlink>
      <w:r>
        <w:t xml:space="preserve"> (Acc</w:t>
      </w:r>
      <w:r w:rsidR="00DE687A">
        <w:t>essed: 10</w:t>
      </w:r>
      <w:r>
        <w:t xml:space="preserve"> October 2024).</w:t>
      </w:r>
    </w:p>
    <w:p w14:paraId="5FE45589" w14:textId="78B89299" w:rsidR="001E6BFE" w:rsidRDefault="001E6BFE" w:rsidP="001E6BFE">
      <w:pPr>
        <w:pStyle w:val="NormalWeb"/>
        <w:numPr>
          <w:ilvl w:val="0"/>
          <w:numId w:val="18"/>
        </w:numPr>
        <w:spacing w:line="360" w:lineRule="auto"/>
      </w:pPr>
      <w:r>
        <w:t xml:space="preserve">Shangri-La Group (2020) </w:t>
      </w:r>
      <w:r>
        <w:rPr>
          <w:rStyle w:val="Emphasis"/>
          <w:rFonts w:eastAsiaTheme="majorEastAsia"/>
        </w:rPr>
        <w:t>Annual Report</w:t>
      </w:r>
      <w:r>
        <w:t xml:space="preserve">. Available at: </w:t>
      </w:r>
      <w:hyperlink r:id="rId47" w:tgtFrame="_new" w:history="1">
        <w:r>
          <w:rPr>
            <w:rStyle w:val="Hyperlink"/>
            <w:rFonts w:eastAsiaTheme="majorEastAsia"/>
          </w:rPr>
          <w:t>https://sitecore-cd.shangri-la.com/-/media/Project/Shangri-La-Group/Investor/Files/Public-Disclosures/Announcements-and-Circulars/2021/2021-04-26-AR_E.pdf</w:t>
        </w:r>
      </w:hyperlink>
      <w:r w:rsidR="00DE687A">
        <w:t xml:space="preserve"> (Accessed: 10</w:t>
      </w:r>
      <w:r>
        <w:t xml:space="preserve"> October 2024).</w:t>
      </w:r>
    </w:p>
    <w:p w14:paraId="55B257AA" w14:textId="1E17CBEA" w:rsidR="001E6BFE" w:rsidRDefault="001E6BFE" w:rsidP="001E6BFE">
      <w:pPr>
        <w:pStyle w:val="NormalWeb"/>
        <w:numPr>
          <w:ilvl w:val="0"/>
          <w:numId w:val="18"/>
        </w:numPr>
        <w:spacing w:line="360" w:lineRule="auto"/>
      </w:pPr>
      <w:r>
        <w:t xml:space="preserve">Shangri-La Group (2021) </w:t>
      </w:r>
      <w:r>
        <w:rPr>
          <w:rStyle w:val="Emphasis"/>
          <w:rFonts w:eastAsiaTheme="majorEastAsia"/>
        </w:rPr>
        <w:t>Annual Report</w:t>
      </w:r>
      <w:r>
        <w:t xml:space="preserve">. Available at: </w:t>
      </w:r>
      <w:hyperlink r:id="rId48" w:tgtFrame="_new" w:history="1">
        <w:r>
          <w:rPr>
            <w:rStyle w:val="Hyperlink"/>
            <w:rFonts w:eastAsiaTheme="majorEastAsia"/>
          </w:rPr>
          <w:t>https://sitecore-cd.shangri-la.com/-/media/Project/Shangri-La-Group/Investor/Files/Public-Disclosures/Latest-Top-Publications/2021_Annual-Report_E.pdf</w:t>
        </w:r>
      </w:hyperlink>
      <w:r w:rsidR="00DE687A">
        <w:t xml:space="preserve"> (Accessed: 10</w:t>
      </w:r>
      <w:r>
        <w:t xml:space="preserve"> October 2024).</w:t>
      </w:r>
    </w:p>
    <w:p w14:paraId="35D9E801" w14:textId="0EAAD2EC" w:rsidR="001E6BFE" w:rsidRDefault="001E6BFE" w:rsidP="001E6BFE">
      <w:pPr>
        <w:pStyle w:val="NormalWeb"/>
        <w:numPr>
          <w:ilvl w:val="0"/>
          <w:numId w:val="18"/>
        </w:numPr>
        <w:spacing w:line="360" w:lineRule="auto"/>
      </w:pPr>
      <w:r>
        <w:t xml:space="preserve">Shangri-La Group (2022) </w:t>
      </w:r>
      <w:r>
        <w:rPr>
          <w:rStyle w:val="Emphasis"/>
          <w:rFonts w:eastAsiaTheme="majorEastAsia"/>
        </w:rPr>
        <w:t>Annual Report</w:t>
      </w:r>
      <w:r>
        <w:t xml:space="preserve">. Available at: </w:t>
      </w:r>
      <w:hyperlink r:id="rId49" w:tgtFrame="_new" w:history="1">
        <w:r>
          <w:rPr>
            <w:rStyle w:val="Hyperlink"/>
            <w:rFonts w:eastAsiaTheme="majorEastAsia"/>
          </w:rPr>
          <w:t>https://sitecore-cd.shangri-la.com/-/media/Project/Shangri-La-Group/Investor/Files/Public-Disclosures/Latest-Top-Publications/e0069_230418_AR.pdf</w:t>
        </w:r>
      </w:hyperlink>
      <w:r w:rsidR="00DE687A">
        <w:t xml:space="preserve"> (Accessed: 10</w:t>
      </w:r>
      <w:r>
        <w:t xml:space="preserve"> October 2024).</w:t>
      </w:r>
    </w:p>
    <w:p w14:paraId="03A640A3" w14:textId="2CA527AB" w:rsidR="001E6BFE" w:rsidRDefault="001E6BFE" w:rsidP="001E6BFE">
      <w:pPr>
        <w:pStyle w:val="NormalWeb"/>
        <w:numPr>
          <w:ilvl w:val="0"/>
          <w:numId w:val="18"/>
        </w:numPr>
        <w:spacing w:line="360" w:lineRule="auto"/>
      </w:pPr>
      <w:r>
        <w:t xml:space="preserve">Shangri-La Group (2023) </w:t>
      </w:r>
      <w:r>
        <w:rPr>
          <w:rStyle w:val="Emphasis"/>
          <w:rFonts w:eastAsiaTheme="majorEastAsia"/>
        </w:rPr>
        <w:t>Annual Report</w:t>
      </w:r>
      <w:r>
        <w:t xml:space="preserve">. Available at: </w:t>
      </w:r>
      <w:hyperlink r:id="rId50" w:tgtFrame="_new" w:history="1">
        <w:r>
          <w:rPr>
            <w:rStyle w:val="Hyperlink"/>
            <w:rFonts w:eastAsiaTheme="majorEastAsia"/>
          </w:rPr>
          <w:t>https://sitecore-cd.shangri-la.com/-/media/Project/Shangri-La-Group/Investor/Files/Public-Disclosures/Latest-Top-Publications/2023_Annual_Report_E.pdf</w:t>
        </w:r>
      </w:hyperlink>
      <w:r w:rsidR="00DE687A">
        <w:t xml:space="preserve"> (Accessed: 10</w:t>
      </w:r>
      <w:r>
        <w:t xml:space="preserve"> October 2024).</w:t>
      </w:r>
    </w:p>
    <w:p w14:paraId="1C0A71A0" w14:textId="77777777" w:rsidR="001E6BFE" w:rsidRDefault="001E6BFE" w:rsidP="001E6BFE">
      <w:pPr>
        <w:pStyle w:val="NormalWeb"/>
        <w:numPr>
          <w:ilvl w:val="0"/>
          <w:numId w:val="18"/>
        </w:numPr>
        <w:spacing w:line="360" w:lineRule="auto"/>
      </w:pPr>
      <w:r>
        <w:t xml:space="preserve">Shen, Q. (2022) ‘Analysis of the impact of the epidemic on the luxury goods industry and countermeasures’, </w:t>
      </w:r>
      <w:r>
        <w:rPr>
          <w:rStyle w:val="Emphasis"/>
          <w:rFonts w:eastAsiaTheme="majorEastAsia"/>
        </w:rPr>
        <w:t>Advances in Economics, Business and Management Research</w:t>
      </w:r>
      <w:r>
        <w:t>, 217, pp. 512–516.</w:t>
      </w:r>
    </w:p>
    <w:p w14:paraId="57B5DABE" w14:textId="72DCD228" w:rsidR="001E6BFE" w:rsidRDefault="001E6BFE" w:rsidP="001E6BFE">
      <w:pPr>
        <w:pStyle w:val="NormalWeb"/>
        <w:numPr>
          <w:ilvl w:val="0"/>
          <w:numId w:val="18"/>
        </w:numPr>
        <w:spacing w:line="360" w:lineRule="auto"/>
      </w:pPr>
      <w:r>
        <w:t xml:space="preserve">Silva, R., Santaló, J. and Becerra, M. (2018) ‘Being better vs. being different: what’s more helpful when competition intensifies?’, </w:t>
      </w:r>
      <w:r>
        <w:rPr>
          <w:rStyle w:val="Emphasis"/>
          <w:rFonts w:eastAsiaTheme="majorEastAsia"/>
        </w:rPr>
        <w:t>IE University</w:t>
      </w:r>
      <w:r>
        <w:t xml:space="preserve">. Available at: </w:t>
      </w:r>
      <w:hyperlink r:id="rId51" w:tgtFrame="_new" w:history="1">
        <w:r>
          <w:rPr>
            <w:rStyle w:val="Hyperlink"/>
            <w:rFonts w:eastAsiaTheme="majorEastAsia"/>
          </w:rPr>
          <w:t>https://www.ie.edu/insights/articles/being-better-vs-being-different-whats-more-helpful-when-competition-intensifies/</w:t>
        </w:r>
      </w:hyperlink>
      <w:r w:rsidR="00DE687A">
        <w:t xml:space="preserve"> (Accessed: 11</w:t>
      </w:r>
      <w:r>
        <w:t xml:space="preserve"> October 2024).</w:t>
      </w:r>
    </w:p>
    <w:p w14:paraId="7695A022" w14:textId="18AABABC" w:rsidR="001E6BFE" w:rsidRDefault="001E6BFE" w:rsidP="001E6BFE">
      <w:pPr>
        <w:pStyle w:val="NormalWeb"/>
        <w:numPr>
          <w:ilvl w:val="0"/>
          <w:numId w:val="18"/>
        </w:numPr>
        <w:spacing w:line="360" w:lineRule="auto"/>
      </w:pPr>
      <w:r>
        <w:t xml:space="preserve">Similar Web (2024) </w:t>
      </w:r>
      <w:r>
        <w:rPr>
          <w:rStyle w:val="Emphasis"/>
          <w:rFonts w:eastAsiaTheme="majorEastAsia"/>
        </w:rPr>
        <w:t>shangri-la.com website analysis for September 2024</w:t>
      </w:r>
      <w:r>
        <w:t xml:space="preserve">. Available at: </w:t>
      </w:r>
      <w:hyperlink r:id="rId52" w:anchor="overview" w:tgtFrame="_new" w:history="1">
        <w:r>
          <w:rPr>
            <w:rStyle w:val="Hyperlink"/>
            <w:rFonts w:eastAsiaTheme="majorEastAsia"/>
          </w:rPr>
          <w:t>https://www.similarweb.com/website/shangri-la.com/#overview</w:t>
        </w:r>
      </w:hyperlink>
      <w:r w:rsidR="00DE687A">
        <w:t xml:space="preserve"> (Accessed: 11</w:t>
      </w:r>
      <w:r>
        <w:t xml:space="preserve"> October 2024).</w:t>
      </w:r>
    </w:p>
    <w:p w14:paraId="652D34E1" w14:textId="77777777" w:rsidR="001E6BFE" w:rsidRDefault="001E6BFE" w:rsidP="001E6BFE">
      <w:pPr>
        <w:pStyle w:val="NormalWeb"/>
        <w:numPr>
          <w:ilvl w:val="0"/>
          <w:numId w:val="18"/>
        </w:numPr>
        <w:spacing w:line="360" w:lineRule="auto"/>
      </w:pPr>
      <w:r>
        <w:t xml:space="preserve">Sukhina, N. et al. (2021) ‘Financial management methods and ways to optimize costs’, </w:t>
      </w:r>
      <w:r>
        <w:rPr>
          <w:rStyle w:val="Emphasis"/>
          <w:rFonts w:eastAsiaTheme="majorEastAsia"/>
        </w:rPr>
        <w:t>International Review</w:t>
      </w:r>
      <w:r>
        <w:t>, 3–4, pp. 179–187.</w:t>
      </w:r>
    </w:p>
    <w:p w14:paraId="12529799" w14:textId="77777777" w:rsidR="001E6BFE" w:rsidRDefault="001E6BFE" w:rsidP="001E6BFE">
      <w:pPr>
        <w:pStyle w:val="NormalWeb"/>
        <w:numPr>
          <w:ilvl w:val="0"/>
          <w:numId w:val="18"/>
        </w:numPr>
        <w:spacing w:line="360" w:lineRule="auto"/>
      </w:pPr>
      <w:r>
        <w:lastRenderedPageBreak/>
        <w:t xml:space="preserve">Villagrasa, J., Sánchez, F. and Donaldson, C. (2021) ‘Deciphering the strategic clock hands: from theory to reality’, </w:t>
      </w:r>
      <w:r>
        <w:rPr>
          <w:rStyle w:val="Emphasis"/>
          <w:rFonts w:eastAsiaTheme="majorEastAsia"/>
        </w:rPr>
        <w:t>INTED Proceedings</w:t>
      </w:r>
      <w:r>
        <w:t xml:space="preserve">. </w:t>
      </w:r>
      <w:hyperlink r:id="rId53" w:tgtFrame="_new" w:history="1">
        <w:r>
          <w:rPr>
            <w:rStyle w:val="Hyperlink"/>
            <w:rFonts w:eastAsiaTheme="majorEastAsia"/>
          </w:rPr>
          <w:t>https://doi.org/10.21125/inted.2021.2001</w:t>
        </w:r>
      </w:hyperlink>
      <w:r>
        <w:t>.</w:t>
      </w:r>
    </w:p>
    <w:p w14:paraId="058E85BA" w14:textId="77777777" w:rsidR="001E6BFE" w:rsidRDefault="001E6BFE" w:rsidP="001E6BFE">
      <w:pPr>
        <w:pStyle w:val="NormalWeb"/>
        <w:numPr>
          <w:ilvl w:val="0"/>
          <w:numId w:val="18"/>
        </w:numPr>
        <w:spacing w:line="360" w:lineRule="auto"/>
      </w:pPr>
      <w:r>
        <w:t xml:space="preserve">Villagrasa, J., Sánchez, F. and Donaldson, C. (2023) ‘How to wind the strategic clock: a best practice example showing the dynamic process that underlies’, </w:t>
      </w:r>
      <w:r>
        <w:rPr>
          <w:rStyle w:val="Emphasis"/>
          <w:rFonts w:eastAsiaTheme="majorEastAsia"/>
        </w:rPr>
        <w:t>INTED Proceedings</w:t>
      </w:r>
      <w:r>
        <w:t xml:space="preserve">. </w:t>
      </w:r>
      <w:hyperlink r:id="rId54" w:tgtFrame="_new" w:history="1">
        <w:r>
          <w:rPr>
            <w:rStyle w:val="Hyperlink"/>
            <w:rFonts w:eastAsiaTheme="majorEastAsia"/>
          </w:rPr>
          <w:t>https://doi.org/10.21125/inted.2023.0291</w:t>
        </w:r>
      </w:hyperlink>
      <w:r>
        <w:t>.</w:t>
      </w:r>
    </w:p>
    <w:p w14:paraId="47ACEC70" w14:textId="66C4322F" w:rsidR="001E6BFE" w:rsidRDefault="001E6BFE" w:rsidP="001E6BFE">
      <w:pPr>
        <w:pStyle w:val="NormalWeb"/>
        <w:numPr>
          <w:ilvl w:val="0"/>
          <w:numId w:val="18"/>
        </w:numPr>
        <w:spacing w:line="360" w:lineRule="auto"/>
      </w:pPr>
      <w:r>
        <w:t xml:space="preserve">Whitbread Plc (2019) </w:t>
      </w:r>
      <w:r>
        <w:rPr>
          <w:rStyle w:val="Emphasis"/>
          <w:rFonts w:eastAsiaTheme="majorEastAsia"/>
        </w:rPr>
        <w:t>Annual Report</w:t>
      </w:r>
      <w:r>
        <w:t xml:space="preserve">. Available at: </w:t>
      </w:r>
      <w:hyperlink r:id="rId55" w:tgtFrame="_new" w:history="1">
        <w:r>
          <w:rPr>
            <w:rStyle w:val="Hyperlink"/>
            <w:rFonts w:eastAsiaTheme="majorEastAsia"/>
          </w:rPr>
          <w:t>https://www.annualreports.com/Company/whitbread-plc</w:t>
        </w:r>
      </w:hyperlink>
      <w:r w:rsidR="00DE687A">
        <w:t xml:space="preserve"> (Accessed: 10</w:t>
      </w:r>
      <w:r>
        <w:t xml:space="preserve"> October 2024).</w:t>
      </w:r>
    </w:p>
    <w:p w14:paraId="4FF7638C" w14:textId="32C8CDCB" w:rsidR="001E6BFE" w:rsidRDefault="001E6BFE" w:rsidP="001E6BFE">
      <w:pPr>
        <w:pStyle w:val="NormalWeb"/>
        <w:numPr>
          <w:ilvl w:val="0"/>
          <w:numId w:val="18"/>
        </w:numPr>
        <w:spacing w:line="360" w:lineRule="auto"/>
      </w:pPr>
      <w:r>
        <w:t xml:space="preserve">Whitbread Plc (2020) </w:t>
      </w:r>
      <w:r>
        <w:rPr>
          <w:rStyle w:val="Emphasis"/>
          <w:rFonts w:eastAsiaTheme="majorEastAsia"/>
        </w:rPr>
        <w:t>Annual Report</w:t>
      </w:r>
      <w:r>
        <w:t xml:space="preserve">. Available at: </w:t>
      </w:r>
      <w:hyperlink r:id="rId56" w:tgtFrame="_new" w:history="1">
        <w:r>
          <w:rPr>
            <w:rStyle w:val="Hyperlink"/>
            <w:rFonts w:eastAsiaTheme="majorEastAsia"/>
          </w:rPr>
          <w:t>https://www.annualreports.com/Company/whitbread-plc</w:t>
        </w:r>
      </w:hyperlink>
      <w:r w:rsidR="00DE687A">
        <w:t xml:space="preserve"> (Accessed: 10</w:t>
      </w:r>
      <w:r>
        <w:t xml:space="preserve"> October 2024).</w:t>
      </w:r>
    </w:p>
    <w:p w14:paraId="60B2CA0C" w14:textId="10A7D774" w:rsidR="001E6BFE" w:rsidRDefault="001E6BFE" w:rsidP="001E6BFE">
      <w:pPr>
        <w:pStyle w:val="NormalWeb"/>
        <w:numPr>
          <w:ilvl w:val="0"/>
          <w:numId w:val="18"/>
        </w:numPr>
        <w:spacing w:line="360" w:lineRule="auto"/>
      </w:pPr>
      <w:r>
        <w:t xml:space="preserve">Whitbread Plc (2021) </w:t>
      </w:r>
      <w:r>
        <w:rPr>
          <w:rStyle w:val="Emphasis"/>
          <w:rFonts w:eastAsiaTheme="majorEastAsia"/>
        </w:rPr>
        <w:t>Annual Report</w:t>
      </w:r>
      <w:r>
        <w:t xml:space="preserve">. Available at: </w:t>
      </w:r>
      <w:hyperlink r:id="rId57" w:tgtFrame="_new" w:history="1">
        <w:r>
          <w:rPr>
            <w:rStyle w:val="Hyperlink"/>
            <w:rFonts w:eastAsiaTheme="majorEastAsia"/>
          </w:rPr>
          <w:t>https://www.annualreports.com/HostedData/AnnualReportArchive/w/LSE_WTB_2020.pdf</w:t>
        </w:r>
      </w:hyperlink>
      <w:r w:rsidR="00DE687A">
        <w:t xml:space="preserve"> (Accessed: 10</w:t>
      </w:r>
      <w:r>
        <w:t xml:space="preserve"> October 2024).</w:t>
      </w:r>
    </w:p>
    <w:p w14:paraId="45FE268B" w14:textId="61158FD4" w:rsidR="001E6BFE" w:rsidRDefault="001E6BFE" w:rsidP="001E6BFE">
      <w:pPr>
        <w:pStyle w:val="NormalWeb"/>
        <w:numPr>
          <w:ilvl w:val="0"/>
          <w:numId w:val="18"/>
        </w:numPr>
        <w:spacing w:line="360" w:lineRule="auto"/>
      </w:pPr>
      <w:r>
        <w:t xml:space="preserve">Whitbread Plc (2022) </w:t>
      </w:r>
      <w:r>
        <w:rPr>
          <w:rStyle w:val="Emphasis"/>
          <w:rFonts w:eastAsiaTheme="majorEastAsia"/>
        </w:rPr>
        <w:t>Annual Report</w:t>
      </w:r>
      <w:r>
        <w:t xml:space="preserve">. Available at: </w:t>
      </w:r>
      <w:hyperlink r:id="rId58" w:tgtFrame="_new" w:history="1">
        <w:r>
          <w:rPr>
            <w:rStyle w:val="Hyperlink"/>
            <w:rFonts w:eastAsiaTheme="majorEastAsia"/>
          </w:rPr>
          <w:t>https://www.annualreports.com/Company/whitbread-plc</w:t>
        </w:r>
      </w:hyperlink>
      <w:r w:rsidR="00DE687A">
        <w:t xml:space="preserve"> (Accessed: 10</w:t>
      </w:r>
      <w:r>
        <w:t xml:space="preserve"> October 2024).</w:t>
      </w:r>
    </w:p>
    <w:p w14:paraId="421989D3" w14:textId="326B2852" w:rsidR="001E6BFE" w:rsidRDefault="001E6BFE" w:rsidP="001E6BFE">
      <w:pPr>
        <w:pStyle w:val="NormalWeb"/>
        <w:numPr>
          <w:ilvl w:val="0"/>
          <w:numId w:val="18"/>
        </w:numPr>
        <w:spacing w:line="360" w:lineRule="auto"/>
      </w:pPr>
      <w:r>
        <w:t xml:space="preserve">Whitbread Plc (2023) </w:t>
      </w:r>
      <w:r>
        <w:rPr>
          <w:rStyle w:val="Emphasis"/>
          <w:rFonts w:eastAsiaTheme="majorEastAsia"/>
        </w:rPr>
        <w:t>Annual Report</w:t>
      </w:r>
      <w:r>
        <w:t xml:space="preserve">. Available at: </w:t>
      </w:r>
      <w:hyperlink r:id="rId59" w:tgtFrame="_new" w:history="1">
        <w:r>
          <w:rPr>
            <w:rStyle w:val="Hyperlink"/>
            <w:rFonts w:eastAsiaTheme="majorEastAsia"/>
          </w:rPr>
          <w:t>https://www.annualreports.com/HostedData/AnnualReportArchive/w/LSE_WTB_2022.pdf</w:t>
        </w:r>
      </w:hyperlink>
      <w:r w:rsidR="00DE687A">
        <w:t xml:space="preserve"> (Accessed: 10</w:t>
      </w:r>
      <w:r>
        <w:t xml:space="preserve"> October 2024).</w:t>
      </w:r>
    </w:p>
    <w:p w14:paraId="68C929A2" w14:textId="0FEBBBA7" w:rsidR="001E6BFE" w:rsidRDefault="001E6BFE" w:rsidP="001E6BFE">
      <w:pPr>
        <w:pStyle w:val="NormalWeb"/>
        <w:numPr>
          <w:ilvl w:val="0"/>
          <w:numId w:val="18"/>
        </w:numPr>
        <w:spacing w:line="360" w:lineRule="auto"/>
      </w:pPr>
      <w:r>
        <w:t xml:space="preserve">Whitbread Plc (2024) </w:t>
      </w:r>
      <w:r>
        <w:rPr>
          <w:rStyle w:val="Emphasis"/>
          <w:rFonts w:eastAsiaTheme="majorEastAsia"/>
        </w:rPr>
        <w:t>Annual Report</w:t>
      </w:r>
      <w:r>
        <w:t xml:space="preserve">. Available at: </w:t>
      </w:r>
      <w:hyperlink r:id="rId60" w:tgtFrame="_new" w:history="1">
        <w:r>
          <w:rPr>
            <w:rStyle w:val="Hyperlink"/>
            <w:rFonts w:eastAsiaTheme="majorEastAsia"/>
          </w:rPr>
          <w:t>https://www.annualreports.com/Click/23984</w:t>
        </w:r>
      </w:hyperlink>
      <w:r w:rsidR="00DE687A">
        <w:t xml:space="preserve"> (Accessed: 10</w:t>
      </w:r>
      <w:r>
        <w:t xml:space="preserve"> October 2024).</w:t>
      </w:r>
    </w:p>
    <w:p w14:paraId="3E34AEBD" w14:textId="77777777" w:rsidR="001E6BFE" w:rsidRPr="001E6BFE" w:rsidRDefault="001E6BFE" w:rsidP="001E6BFE">
      <w:pPr>
        <w:ind w:firstLine="0"/>
        <w:rPr>
          <w:lang w:val="en-GB"/>
        </w:rPr>
      </w:pPr>
    </w:p>
    <w:p w14:paraId="359379F2" w14:textId="77777777" w:rsidR="001E6BFE" w:rsidRDefault="001E6BFE" w:rsidP="001E6BFE">
      <w:pPr>
        <w:rPr>
          <w:lang w:val="en-GB"/>
        </w:rPr>
      </w:pPr>
    </w:p>
    <w:p w14:paraId="75BA081C" w14:textId="77777777" w:rsidR="001E6BFE" w:rsidRDefault="001E6BFE" w:rsidP="001E6BFE">
      <w:pPr>
        <w:rPr>
          <w:lang w:val="en-GB"/>
        </w:rPr>
      </w:pPr>
    </w:p>
    <w:p w14:paraId="7CD61A25" w14:textId="77777777" w:rsidR="001E6BFE" w:rsidRDefault="001E6BFE" w:rsidP="001E6BFE">
      <w:pPr>
        <w:rPr>
          <w:lang w:val="en-GB"/>
        </w:rPr>
      </w:pPr>
    </w:p>
    <w:p w14:paraId="3CB606EF" w14:textId="77777777" w:rsidR="001E6BFE" w:rsidRDefault="001E6BFE" w:rsidP="001E6BFE">
      <w:pPr>
        <w:rPr>
          <w:lang w:val="en-GB"/>
        </w:rPr>
      </w:pPr>
    </w:p>
    <w:p w14:paraId="2E34E4A7" w14:textId="77777777" w:rsidR="001E6BFE" w:rsidRPr="001E6BFE" w:rsidRDefault="001E6BFE" w:rsidP="001E6BFE">
      <w:pPr>
        <w:rPr>
          <w:lang w:val="en-GB"/>
        </w:rPr>
      </w:pPr>
    </w:p>
    <w:sectPr w:rsidR="001E6BFE" w:rsidRPr="001E6BFE" w:rsidSect="00AA124B">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1C3F49" w14:textId="77777777" w:rsidR="00E240FB" w:rsidRDefault="00E240FB" w:rsidP="00C932B2">
      <w:pPr>
        <w:spacing w:after="0" w:line="240" w:lineRule="auto"/>
      </w:pPr>
      <w:r>
        <w:separator/>
      </w:r>
    </w:p>
  </w:endnote>
  <w:endnote w:type="continuationSeparator" w:id="0">
    <w:p w14:paraId="147950FF" w14:textId="77777777" w:rsidR="00E240FB" w:rsidRDefault="00E240FB" w:rsidP="00C93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0000000000000000000"/>
    <w:charset w:val="00"/>
    <w:family w:val="roman"/>
    <w:notTrueType/>
    <w:pitch w:val="default"/>
  </w:font>
  <w:font w:name="Aptos Narrow">
    <w:altName w:val="Arial"/>
    <w:charset w:val="00"/>
    <w:family w:val="swiss"/>
    <w:pitch w:val="variable"/>
    <w:sig w:usb0="00000001" w:usb1="00000003" w:usb2="00000000" w:usb3="00000000" w:csb0="0000019F" w:csb1="00000000"/>
  </w:font>
  <w:font w:name="Whitney">
    <w:altName w:val="Cambria"/>
    <w:charset w:val="00"/>
    <w:family w:val="roman"/>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8DF8AF" w14:textId="77777777" w:rsidR="00E240FB" w:rsidRDefault="00E240FB" w:rsidP="00C932B2">
      <w:pPr>
        <w:spacing w:after="0" w:line="240" w:lineRule="auto"/>
      </w:pPr>
      <w:r>
        <w:separator/>
      </w:r>
    </w:p>
  </w:footnote>
  <w:footnote w:type="continuationSeparator" w:id="0">
    <w:p w14:paraId="151313D8" w14:textId="77777777" w:rsidR="00E240FB" w:rsidRDefault="00E240FB" w:rsidP="00C932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1D08A2"/>
    <w:multiLevelType w:val="multilevel"/>
    <w:tmpl w:val="040E001D"/>
    <w:styleLink w:val="Aktulislista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nsid w:val="15755A27"/>
    <w:multiLevelType w:val="hybridMultilevel"/>
    <w:tmpl w:val="B5AAF12A"/>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nsid w:val="1B6B20DA"/>
    <w:multiLevelType w:val="multilevel"/>
    <w:tmpl w:val="28A0D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CBB76DF"/>
    <w:multiLevelType w:val="multilevel"/>
    <w:tmpl w:val="625A6B2E"/>
    <w:lvl w:ilvl="0">
      <w:start w:val="1"/>
      <w:numFmt w:val="decimal"/>
      <w:lvlText w:val="%1."/>
      <w:lvlJc w:val="left"/>
      <w:pPr>
        <w:ind w:left="1429" w:hanging="360"/>
      </w:pPr>
    </w:lvl>
    <w:lvl w:ilvl="1">
      <w:start w:val="1"/>
      <w:numFmt w:val="decimal"/>
      <w:lvlText w:val="%1.%2."/>
      <w:lvlJc w:val="left"/>
      <w:pPr>
        <w:ind w:left="1861" w:hanging="432"/>
      </w:pPr>
    </w:lvl>
    <w:lvl w:ilvl="2">
      <w:start w:val="1"/>
      <w:numFmt w:val="decimal"/>
      <w:lvlText w:val="%1.%2.%3."/>
      <w:lvlJc w:val="left"/>
      <w:pPr>
        <w:ind w:left="2293" w:hanging="504"/>
      </w:pPr>
    </w:lvl>
    <w:lvl w:ilvl="3">
      <w:start w:val="1"/>
      <w:numFmt w:val="decimal"/>
      <w:lvlText w:val="%1.%2.%3.%4."/>
      <w:lvlJc w:val="left"/>
      <w:pPr>
        <w:ind w:left="2797" w:hanging="648"/>
      </w:pPr>
    </w:lvl>
    <w:lvl w:ilvl="4">
      <w:start w:val="1"/>
      <w:numFmt w:val="decimal"/>
      <w:lvlText w:val="%1.%2.%3.%4.%5."/>
      <w:lvlJc w:val="left"/>
      <w:pPr>
        <w:ind w:left="3301" w:hanging="792"/>
      </w:pPr>
    </w:lvl>
    <w:lvl w:ilvl="5">
      <w:start w:val="1"/>
      <w:numFmt w:val="decimal"/>
      <w:lvlText w:val="%1.%2.%3.%4.%5.%6."/>
      <w:lvlJc w:val="left"/>
      <w:pPr>
        <w:ind w:left="3805" w:hanging="936"/>
      </w:pPr>
    </w:lvl>
    <w:lvl w:ilvl="6">
      <w:start w:val="1"/>
      <w:numFmt w:val="decimal"/>
      <w:lvlText w:val="%1.%2.%3.%4.%5.%6.%7."/>
      <w:lvlJc w:val="left"/>
      <w:pPr>
        <w:ind w:left="4309" w:hanging="1080"/>
      </w:pPr>
    </w:lvl>
    <w:lvl w:ilvl="7">
      <w:start w:val="1"/>
      <w:numFmt w:val="decimal"/>
      <w:lvlText w:val="%1.%2.%3.%4.%5.%6.%7.%8."/>
      <w:lvlJc w:val="left"/>
      <w:pPr>
        <w:ind w:left="4813" w:hanging="1224"/>
      </w:pPr>
    </w:lvl>
    <w:lvl w:ilvl="8">
      <w:start w:val="1"/>
      <w:numFmt w:val="decimal"/>
      <w:lvlText w:val="%1.%2.%3.%4.%5.%6.%7.%8.%9."/>
      <w:lvlJc w:val="left"/>
      <w:pPr>
        <w:ind w:left="5389" w:hanging="1440"/>
      </w:pPr>
    </w:lvl>
  </w:abstractNum>
  <w:abstractNum w:abstractNumId="4">
    <w:nsid w:val="2B21448D"/>
    <w:multiLevelType w:val="multilevel"/>
    <w:tmpl w:val="37A4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842AC4"/>
    <w:multiLevelType w:val="hybridMultilevel"/>
    <w:tmpl w:val="D85A91A8"/>
    <w:lvl w:ilvl="0" w:tplc="040E0001">
      <w:start w:val="1"/>
      <w:numFmt w:val="bullet"/>
      <w:lvlText w:val=""/>
      <w:lvlJc w:val="left"/>
      <w:pPr>
        <w:ind w:left="1429" w:hanging="360"/>
      </w:pPr>
      <w:rPr>
        <w:rFonts w:ascii="Symbol" w:hAnsi="Symbol" w:hint="default"/>
      </w:rPr>
    </w:lvl>
    <w:lvl w:ilvl="1" w:tplc="040E0003" w:tentative="1">
      <w:start w:val="1"/>
      <w:numFmt w:val="bullet"/>
      <w:lvlText w:val="o"/>
      <w:lvlJc w:val="left"/>
      <w:pPr>
        <w:ind w:left="2149" w:hanging="360"/>
      </w:pPr>
      <w:rPr>
        <w:rFonts w:ascii="Courier New" w:hAnsi="Courier New" w:cs="Courier New" w:hint="default"/>
      </w:rPr>
    </w:lvl>
    <w:lvl w:ilvl="2" w:tplc="040E0005" w:tentative="1">
      <w:start w:val="1"/>
      <w:numFmt w:val="bullet"/>
      <w:lvlText w:val=""/>
      <w:lvlJc w:val="left"/>
      <w:pPr>
        <w:ind w:left="2869" w:hanging="360"/>
      </w:pPr>
      <w:rPr>
        <w:rFonts w:ascii="Wingdings" w:hAnsi="Wingdings" w:hint="default"/>
      </w:rPr>
    </w:lvl>
    <w:lvl w:ilvl="3" w:tplc="040E0001" w:tentative="1">
      <w:start w:val="1"/>
      <w:numFmt w:val="bullet"/>
      <w:lvlText w:val=""/>
      <w:lvlJc w:val="left"/>
      <w:pPr>
        <w:ind w:left="3589" w:hanging="360"/>
      </w:pPr>
      <w:rPr>
        <w:rFonts w:ascii="Symbol" w:hAnsi="Symbol" w:hint="default"/>
      </w:rPr>
    </w:lvl>
    <w:lvl w:ilvl="4" w:tplc="040E0003" w:tentative="1">
      <w:start w:val="1"/>
      <w:numFmt w:val="bullet"/>
      <w:lvlText w:val="o"/>
      <w:lvlJc w:val="left"/>
      <w:pPr>
        <w:ind w:left="4309" w:hanging="360"/>
      </w:pPr>
      <w:rPr>
        <w:rFonts w:ascii="Courier New" w:hAnsi="Courier New" w:cs="Courier New" w:hint="default"/>
      </w:rPr>
    </w:lvl>
    <w:lvl w:ilvl="5" w:tplc="040E0005" w:tentative="1">
      <w:start w:val="1"/>
      <w:numFmt w:val="bullet"/>
      <w:lvlText w:val=""/>
      <w:lvlJc w:val="left"/>
      <w:pPr>
        <w:ind w:left="5029" w:hanging="360"/>
      </w:pPr>
      <w:rPr>
        <w:rFonts w:ascii="Wingdings" w:hAnsi="Wingdings" w:hint="default"/>
      </w:rPr>
    </w:lvl>
    <w:lvl w:ilvl="6" w:tplc="040E0001" w:tentative="1">
      <w:start w:val="1"/>
      <w:numFmt w:val="bullet"/>
      <w:lvlText w:val=""/>
      <w:lvlJc w:val="left"/>
      <w:pPr>
        <w:ind w:left="5749" w:hanging="360"/>
      </w:pPr>
      <w:rPr>
        <w:rFonts w:ascii="Symbol" w:hAnsi="Symbol" w:hint="default"/>
      </w:rPr>
    </w:lvl>
    <w:lvl w:ilvl="7" w:tplc="040E0003" w:tentative="1">
      <w:start w:val="1"/>
      <w:numFmt w:val="bullet"/>
      <w:lvlText w:val="o"/>
      <w:lvlJc w:val="left"/>
      <w:pPr>
        <w:ind w:left="6469" w:hanging="360"/>
      </w:pPr>
      <w:rPr>
        <w:rFonts w:ascii="Courier New" w:hAnsi="Courier New" w:cs="Courier New" w:hint="default"/>
      </w:rPr>
    </w:lvl>
    <w:lvl w:ilvl="8" w:tplc="040E0005" w:tentative="1">
      <w:start w:val="1"/>
      <w:numFmt w:val="bullet"/>
      <w:lvlText w:val=""/>
      <w:lvlJc w:val="left"/>
      <w:pPr>
        <w:ind w:left="7189" w:hanging="360"/>
      </w:pPr>
      <w:rPr>
        <w:rFonts w:ascii="Wingdings" w:hAnsi="Wingdings" w:hint="default"/>
      </w:rPr>
    </w:lvl>
  </w:abstractNum>
  <w:abstractNum w:abstractNumId="6">
    <w:nsid w:val="3E987DF7"/>
    <w:multiLevelType w:val="multilevel"/>
    <w:tmpl w:val="EBB4057A"/>
    <w:lvl w:ilvl="0">
      <w:start w:val="1"/>
      <w:numFmt w:val="decimal"/>
      <w:pStyle w:val="Heading1"/>
      <w:lvlText w:val="%1."/>
      <w:lvlJc w:val="left"/>
      <w:pPr>
        <w:ind w:left="720" w:hanging="360"/>
      </w:pPr>
    </w:lvl>
    <w:lvl w:ilvl="1">
      <w:start w:val="1"/>
      <w:numFmt w:val="decimal"/>
      <w:pStyle w:val="Heading2"/>
      <w:lvlText w:val="%1.%2."/>
      <w:lvlJc w:val="left"/>
      <w:pPr>
        <w:ind w:left="1152" w:hanging="432"/>
      </w:pPr>
    </w:lvl>
    <w:lvl w:ilvl="2">
      <w:start w:val="1"/>
      <w:numFmt w:val="decimal"/>
      <w:pStyle w:val="Heading3"/>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7">
    <w:nsid w:val="42480BEC"/>
    <w:multiLevelType w:val="hybridMultilevel"/>
    <w:tmpl w:val="68E0DFE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8">
    <w:nsid w:val="461851A6"/>
    <w:multiLevelType w:val="hybridMultilevel"/>
    <w:tmpl w:val="08FE33EA"/>
    <w:lvl w:ilvl="0" w:tplc="040E000F">
      <w:start w:val="1"/>
      <w:numFmt w:val="decimal"/>
      <w:lvlText w:val="%1."/>
      <w:lvlJc w:val="left"/>
      <w:pPr>
        <w:ind w:left="1429" w:hanging="360"/>
      </w:pPr>
    </w:lvl>
    <w:lvl w:ilvl="1" w:tplc="040E0019" w:tentative="1">
      <w:start w:val="1"/>
      <w:numFmt w:val="lowerLetter"/>
      <w:lvlText w:val="%2."/>
      <w:lvlJc w:val="left"/>
      <w:pPr>
        <w:ind w:left="2149" w:hanging="360"/>
      </w:pPr>
    </w:lvl>
    <w:lvl w:ilvl="2" w:tplc="040E001B" w:tentative="1">
      <w:start w:val="1"/>
      <w:numFmt w:val="lowerRoman"/>
      <w:lvlText w:val="%3."/>
      <w:lvlJc w:val="right"/>
      <w:pPr>
        <w:ind w:left="2869" w:hanging="180"/>
      </w:pPr>
    </w:lvl>
    <w:lvl w:ilvl="3" w:tplc="040E000F" w:tentative="1">
      <w:start w:val="1"/>
      <w:numFmt w:val="decimal"/>
      <w:lvlText w:val="%4."/>
      <w:lvlJc w:val="left"/>
      <w:pPr>
        <w:ind w:left="3589" w:hanging="360"/>
      </w:pPr>
    </w:lvl>
    <w:lvl w:ilvl="4" w:tplc="040E0019" w:tentative="1">
      <w:start w:val="1"/>
      <w:numFmt w:val="lowerLetter"/>
      <w:lvlText w:val="%5."/>
      <w:lvlJc w:val="left"/>
      <w:pPr>
        <w:ind w:left="4309" w:hanging="360"/>
      </w:pPr>
    </w:lvl>
    <w:lvl w:ilvl="5" w:tplc="040E001B" w:tentative="1">
      <w:start w:val="1"/>
      <w:numFmt w:val="lowerRoman"/>
      <w:lvlText w:val="%6."/>
      <w:lvlJc w:val="right"/>
      <w:pPr>
        <w:ind w:left="5029" w:hanging="180"/>
      </w:pPr>
    </w:lvl>
    <w:lvl w:ilvl="6" w:tplc="040E000F" w:tentative="1">
      <w:start w:val="1"/>
      <w:numFmt w:val="decimal"/>
      <w:lvlText w:val="%7."/>
      <w:lvlJc w:val="left"/>
      <w:pPr>
        <w:ind w:left="5749" w:hanging="360"/>
      </w:pPr>
    </w:lvl>
    <w:lvl w:ilvl="7" w:tplc="040E0019" w:tentative="1">
      <w:start w:val="1"/>
      <w:numFmt w:val="lowerLetter"/>
      <w:lvlText w:val="%8."/>
      <w:lvlJc w:val="left"/>
      <w:pPr>
        <w:ind w:left="6469" w:hanging="360"/>
      </w:pPr>
    </w:lvl>
    <w:lvl w:ilvl="8" w:tplc="040E001B" w:tentative="1">
      <w:start w:val="1"/>
      <w:numFmt w:val="lowerRoman"/>
      <w:lvlText w:val="%9."/>
      <w:lvlJc w:val="right"/>
      <w:pPr>
        <w:ind w:left="7189" w:hanging="180"/>
      </w:pPr>
    </w:lvl>
  </w:abstractNum>
  <w:abstractNum w:abstractNumId="9">
    <w:nsid w:val="466B343F"/>
    <w:multiLevelType w:val="multilevel"/>
    <w:tmpl w:val="1A5C8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84A1359"/>
    <w:multiLevelType w:val="hybridMultilevel"/>
    <w:tmpl w:val="0480EF9C"/>
    <w:lvl w:ilvl="0" w:tplc="040E000F">
      <w:start w:val="1"/>
      <w:numFmt w:val="decimal"/>
      <w:lvlText w:val="%1."/>
      <w:lvlJc w:val="left"/>
      <w:pPr>
        <w:ind w:left="720" w:hanging="360"/>
      </w:pPr>
    </w:lvl>
    <w:lvl w:ilvl="1" w:tplc="040E0019">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1">
    <w:nsid w:val="493D63B9"/>
    <w:multiLevelType w:val="multilevel"/>
    <w:tmpl w:val="DD70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8C05DA6"/>
    <w:multiLevelType w:val="multilevel"/>
    <w:tmpl w:val="C1600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BAE460F"/>
    <w:multiLevelType w:val="multilevel"/>
    <w:tmpl w:val="DE1A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9C41B26"/>
    <w:multiLevelType w:val="hybridMultilevel"/>
    <w:tmpl w:val="638086D8"/>
    <w:lvl w:ilvl="0" w:tplc="040E0001">
      <w:start w:val="1"/>
      <w:numFmt w:val="bullet"/>
      <w:lvlText w:val=""/>
      <w:lvlJc w:val="left"/>
      <w:pPr>
        <w:ind w:left="1430" w:hanging="360"/>
      </w:pPr>
      <w:rPr>
        <w:rFonts w:ascii="Symbol" w:hAnsi="Symbol" w:hint="default"/>
      </w:rPr>
    </w:lvl>
    <w:lvl w:ilvl="1" w:tplc="040E0003" w:tentative="1">
      <w:start w:val="1"/>
      <w:numFmt w:val="bullet"/>
      <w:lvlText w:val="o"/>
      <w:lvlJc w:val="left"/>
      <w:pPr>
        <w:ind w:left="2150" w:hanging="360"/>
      </w:pPr>
      <w:rPr>
        <w:rFonts w:ascii="Courier New" w:hAnsi="Courier New" w:cs="Courier New" w:hint="default"/>
      </w:rPr>
    </w:lvl>
    <w:lvl w:ilvl="2" w:tplc="040E0005" w:tentative="1">
      <w:start w:val="1"/>
      <w:numFmt w:val="bullet"/>
      <w:lvlText w:val=""/>
      <w:lvlJc w:val="left"/>
      <w:pPr>
        <w:ind w:left="2870" w:hanging="360"/>
      </w:pPr>
      <w:rPr>
        <w:rFonts w:ascii="Wingdings" w:hAnsi="Wingdings" w:hint="default"/>
      </w:rPr>
    </w:lvl>
    <w:lvl w:ilvl="3" w:tplc="040E0001" w:tentative="1">
      <w:start w:val="1"/>
      <w:numFmt w:val="bullet"/>
      <w:lvlText w:val=""/>
      <w:lvlJc w:val="left"/>
      <w:pPr>
        <w:ind w:left="3590" w:hanging="360"/>
      </w:pPr>
      <w:rPr>
        <w:rFonts w:ascii="Symbol" w:hAnsi="Symbol" w:hint="default"/>
      </w:rPr>
    </w:lvl>
    <w:lvl w:ilvl="4" w:tplc="040E0003" w:tentative="1">
      <w:start w:val="1"/>
      <w:numFmt w:val="bullet"/>
      <w:lvlText w:val="o"/>
      <w:lvlJc w:val="left"/>
      <w:pPr>
        <w:ind w:left="4310" w:hanging="360"/>
      </w:pPr>
      <w:rPr>
        <w:rFonts w:ascii="Courier New" w:hAnsi="Courier New" w:cs="Courier New" w:hint="default"/>
      </w:rPr>
    </w:lvl>
    <w:lvl w:ilvl="5" w:tplc="040E0005" w:tentative="1">
      <w:start w:val="1"/>
      <w:numFmt w:val="bullet"/>
      <w:lvlText w:val=""/>
      <w:lvlJc w:val="left"/>
      <w:pPr>
        <w:ind w:left="5030" w:hanging="360"/>
      </w:pPr>
      <w:rPr>
        <w:rFonts w:ascii="Wingdings" w:hAnsi="Wingdings" w:hint="default"/>
      </w:rPr>
    </w:lvl>
    <w:lvl w:ilvl="6" w:tplc="040E0001" w:tentative="1">
      <w:start w:val="1"/>
      <w:numFmt w:val="bullet"/>
      <w:lvlText w:val=""/>
      <w:lvlJc w:val="left"/>
      <w:pPr>
        <w:ind w:left="5750" w:hanging="360"/>
      </w:pPr>
      <w:rPr>
        <w:rFonts w:ascii="Symbol" w:hAnsi="Symbol" w:hint="default"/>
      </w:rPr>
    </w:lvl>
    <w:lvl w:ilvl="7" w:tplc="040E0003" w:tentative="1">
      <w:start w:val="1"/>
      <w:numFmt w:val="bullet"/>
      <w:lvlText w:val="o"/>
      <w:lvlJc w:val="left"/>
      <w:pPr>
        <w:ind w:left="6470" w:hanging="360"/>
      </w:pPr>
      <w:rPr>
        <w:rFonts w:ascii="Courier New" w:hAnsi="Courier New" w:cs="Courier New" w:hint="default"/>
      </w:rPr>
    </w:lvl>
    <w:lvl w:ilvl="8" w:tplc="040E0005" w:tentative="1">
      <w:start w:val="1"/>
      <w:numFmt w:val="bullet"/>
      <w:lvlText w:val=""/>
      <w:lvlJc w:val="left"/>
      <w:pPr>
        <w:ind w:left="7190" w:hanging="360"/>
      </w:pPr>
      <w:rPr>
        <w:rFonts w:ascii="Wingdings" w:hAnsi="Wingdings" w:hint="default"/>
      </w:rPr>
    </w:lvl>
  </w:abstractNum>
  <w:abstractNum w:abstractNumId="15">
    <w:nsid w:val="7C9A68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E1C555B"/>
    <w:multiLevelType w:val="multilevel"/>
    <w:tmpl w:val="BC524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E9C7A5E"/>
    <w:multiLevelType w:val="hybridMultilevel"/>
    <w:tmpl w:val="5A40A15E"/>
    <w:lvl w:ilvl="0" w:tplc="040E000F">
      <w:start w:val="1"/>
      <w:numFmt w:val="decimal"/>
      <w:lvlText w:val="%1."/>
      <w:lvlJc w:val="left"/>
      <w:pPr>
        <w:ind w:left="1429" w:hanging="360"/>
      </w:pPr>
    </w:lvl>
    <w:lvl w:ilvl="1" w:tplc="040E0019" w:tentative="1">
      <w:start w:val="1"/>
      <w:numFmt w:val="lowerLetter"/>
      <w:lvlText w:val="%2."/>
      <w:lvlJc w:val="left"/>
      <w:pPr>
        <w:ind w:left="2149" w:hanging="360"/>
      </w:pPr>
    </w:lvl>
    <w:lvl w:ilvl="2" w:tplc="040E001B" w:tentative="1">
      <w:start w:val="1"/>
      <w:numFmt w:val="lowerRoman"/>
      <w:lvlText w:val="%3."/>
      <w:lvlJc w:val="right"/>
      <w:pPr>
        <w:ind w:left="2869" w:hanging="180"/>
      </w:pPr>
    </w:lvl>
    <w:lvl w:ilvl="3" w:tplc="040E000F" w:tentative="1">
      <w:start w:val="1"/>
      <w:numFmt w:val="decimal"/>
      <w:lvlText w:val="%4."/>
      <w:lvlJc w:val="left"/>
      <w:pPr>
        <w:ind w:left="3589" w:hanging="360"/>
      </w:pPr>
    </w:lvl>
    <w:lvl w:ilvl="4" w:tplc="040E0019" w:tentative="1">
      <w:start w:val="1"/>
      <w:numFmt w:val="lowerLetter"/>
      <w:lvlText w:val="%5."/>
      <w:lvlJc w:val="left"/>
      <w:pPr>
        <w:ind w:left="4309" w:hanging="360"/>
      </w:pPr>
    </w:lvl>
    <w:lvl w:ilvl="5" w:tplc="040E001B" w:tentative="1">
      <w:start w:val="1"/>
      <w:numFmt w:val="lowerRoman"/>
      <w:lvlText w:val="%6."/>
      <w:lvlJc w:val="right"/>
      <w:pPr>
        <w:ind w:left="5029" w:hanging="180"/>
      </w:pPr>
    </w:lvl>
    <w:lvl w:ilvl="6" w:tplc="040E000F" w:tentative="1">
      <w:start w:val="1"/>
      <w:numFmt w:val="decimal"/>
      <w:lvlText w:val="%7."/>
      <w:lvlJc w:val="left"/>
      <w:pPr>
        <w:ind w:left="5749" w:hanging="360"/>
      </w:pPr>
    </w:lvl>
    <w:lvl w:ilvl="7" w:tplc="040E0019" w:tentative="1">
      <w:start w:val="1"/>
      <w:numFmt w:val="lowerLetter"/>
      <w:lvlText w:val="%8."/>
      <w:lvlJc w:val="left"/>
      <w:pPr>
        <w:ind w:left="6469" w:hanging="360"/>
      </w:pPr>
    </w:lvl>
    <w:lvl w:ilvl="8" w:tplc="040E001B" w:tentative="1">
      <w:start w:val="1"/>
      <w:numFmt w:val="lowerRoman"/>
      <w:lvlText w:val="%9."/>
      <w:lvlJc w:val="right"/>
      <w:pPr>
        <w:ind w:left="7189" w:hanging="180"/>
      </w:pPr>
    </w:lvl>
  </w:abstractNum>
  <w:num w:numId="1">
    <w:abstractNumId w:val="6"/>
  </w:num>
  <w:num w:numId="2">
    <w:abstractNumId w:val="0"/>
  </w:num>
  <w:num w:numId="3">
    <w:abstractNumId w:val="14"/>
  </w:num>
  <w:num w:numId="4">
    <w:abstractNumId w:val="1"/>
  </w:num>
  <w:num w:numId="5">
    <w:abstractNumId w:val="7"/>
  </w:num>
  <w:num w:numId="6">
    <w:abstractNumId w:val="17"/>
  </w:num>
  <w:num w:numId="7">
    <w:abstractNumId w:val="3"/>
  </w:num>
  <w:num w:numId="8">
    <w:abstractNumId w:val="8"/>
  </w:num>
  <w:num w:numId="9">
    <w:abstractNumId w:val="10"/>
  </w:num>
  <w:num w:numId="10">
    <w:abstractNumId w:val="15"/>
  </w:num>
  <w:num w:numId="11">
    <w:abstractNumId w:val="13"/>
  </w:num>
  <w:num w:numId="12">
    <w:abstractNumId w:val="5"/>
  </w:num>
  <w:num w:numId="13">
    <w:abstractNumId w:val="12"/>
  </w:num>
  <w:num w:numId="14">
    <w:abstractNumId w:val="16"/>
  </w:num>
  <w:num w:numId="15">
    <w:abstractNumId w:val="11"/>
  </w:num>
  <w:num w:numId="16">
    <w:abstractNumId w:val="9"/>
  </w:num>
  <w:num w:numId="17">
    <w:abstractNumId w:val="4"/>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4797"/>
    <w:rsid w:val="000E4D08"/>
    <w:rsid w:val="001244B4"/>
    <w:rsid w:val="00170F73"/>
    <w:rsid w:val="00190849"/>
    <w:rsid w:val="001E6BFE"/>
    <w:rsid w:val="001F1E53"/>
    <w:rsid w:val="001F4D4F"/>
    <w:rsid w:val="00222748"/>
    <w:rsid w:val="002C564B"/>
    <w:rsid w:val="002C7EDE"/>
    <w:rsid w:val="002E1603"/>
    <w:rsid w:val="002F6D68"/>
    <w:rsid w:val="00377E5C"/>
    <w:rsid w:val="003C0F28"/>
    <w:rsid w:val="00447FA7"/>
    <w:rsid w:val="0049600D"/>
    <w:rsid w:val="004B4DDC"/>
    <w:rsid w:val="004C3CF8"/>
    <w:rsid w:val="005000CF"/>
    <w:rsid w:val="00535ACA"/>
    <w:rsid w:val="0056518E"/>
    <w:rsid w:val="005947C3"/>
    <w:rsid w:val="005A1300"/>
    <w:rsid w:val="005B0D4C"/>
    <w:rsid w:val="005C3029"/>
    <w:rsid w:val="005C6CBC"/>
    <w:rsid w:val="00640D4C"/>
    <w:rsid w:val="007025A1"/>
    <w:rsid w:val="007041B1"/>
    <w:rsid w:val="00733486"/>
    <w:rsid w:val="0082749F"/>
    <w:rsid w:val="00830859"/>
    <w:rsid w:val="008364B6"/>
    <w:rsid w:val="008437F8"/>
    <w:rsid w:val="00855643"/>
    <w:rsid w:val="008609F0"/>
    <w:rsid w:val="008A560E"/>
    <w:rsid w:val="008C2F09"/>
    <w:rsid w:val="009454B3"/>
    <w:rsid w:val="00A07FB0"/>
    <w:rsid w:val="00A37E96"/>
    <w:rsid w:val="00A7203F"/>
    <w:rsid w:val="00A90F57"/>
    <w:rsid w:val="00AA124B"/>
    <w:rsid w:val="00AB7987"/>
    <w:rsid w:val="00B03657"/>
    <w:rsid w:val="00B127F9"/>
    <w:rsid w:val="00BE20F9"/>
    <w:rsid w:val="00BF1996"/>
    <w:rsid w:val="00C910A8"/>
    <w:rsid w:val="00C932B2"/>
    <w:rsid w:val="00CD7D39"/>
    <w:rsid w:val="00CF02F8"/>
    <w:rsid w:val="00CF47DD"/>
    <w:rsid w:val="00D17D14"/>
    <w:rsid w:val="00D449D5"/>
    <w:rsid w:val="00D4763B"/>
    <w:rsid w:val="00D840B7"/>
    <w:rsid w:val="00DD73D7"/>
    <w:rsid w:val="00DE687A"/>
    <w:rsid w:val="00DF2724"/>
    <w:rsid w:val="00DF4797"/>
    <w:rsid w:val="00E23485"/>
    <w:rsid w:val="00E240FB"/>
    <w:rsid w:val="00E37605"/>
    <w:rsid w:val="00E53086"/>
    <w:rsid w:val="00E60CEE"/>
    <w:rsid w:val="00E6446F"/>
    <w:rsid w:val="00EA7AC1"/>
    <w:rsid w:val="00EB4782"/>
    <w:rsid w:val="00EC62C7"/>
    <w:rsid w:val="00ED37A2"/>
    <w:rsid w:val="00EE41B6"/>
    <w:rsid w:val="00EE60B7"/>
    <w:rsid w:val="00EE6CAE"/>
    <w:rsid w:val="00F25F50"/>
    <w:rsid w:val="00FA6DC6"/>
    <w:rsid w:val="00FF7A09"/>
  </w:rsids>
  <m:mathPr>
    <m:mathFont m:val="Cambria Math"/>
    <m:brkBin m:val="before"/>
    <m:brkBinSub m:val="--"/>
    <m:smallFrac m:val="0"/>
    <m:dispDef/>
    <m:lMargin m:val="0"/>
    <m:rMargin m:val="0"/>
    <m:defJc m:val="centerGroup"/>
    <m:wrapIndent m:val="1440"/>
    <m:intLim m:val="subSup"/>
    <m:naryLim m:val="undOvr"/>
  </m:mathPr>
  <w:themeFontLang w:val="hu-H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ED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hu-HU" w:eastAsia="zh-CN"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3657"/>
    <w:pPr>
      <w:spacing w:after="240" w:line="360" w:lineRule="auto"/>
      <w:ind w:firstLine="709"/>
      <w:jc w:val="both"/>
    </w:pPr>
    <w:rPr>
      <w:rFonts w:asciiTheme="majorBidi" w:hAnsiTheme="majorBidi"/>
    </w:rPr>
  </w:style>
  <w:style w:type="paragraph" w:styleId="Heading1">
    <w:name w:val="heading 1"/>
    <w:basedOn w:val="Normal"/>
    <w:next w:val="Normal"/>
    <w:link w:val="Heading1Char"/>
    <w:uiPriority w:val="9"/>
    <w:qFormat/>
    <w:rsid w:val="00C932B2"/>
    <w:pPr>
      <w:keepNext/>
      <w:keepLines/>
      <w:numPr>
        <w:numId w:val="1"/>
      </w:numPr>
      <w:spacing w:before="240"/>
      <w:ind w:left="0" w:firstLine="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840B7"/>
    <w:pPr>
      <w:keepNext/>
      <w:keepLines/>
      <w:numPr>
        <w:ilvl w:val="1"/>
        <w:numId w:val="1"/>
      </w:numPr>
      <w:spacing w:before="40"/>
      <w:ind w:left="0" w:firstLine="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855643"/>
    <w:pPr>
      <w:keepNext/>
      <w:keepLines/>
      <w:numPr>
        <w:ilvl w:val="2"/>
        <w:numId w:val="1"/>
      </w:numPr>
      <w:spacing w:before="40"/>
      <w:ind w:left="0" w:firstLine="0"/>
      <w:outlineLvl w:val="2"/>
    </w:pPr>
    <w:rPr>
      <w:rFonts w:ascii="Times New Roman" w:eastAsiaTheme="majorEastAsia" w:hAnsi="Times New Roman" w:cstheme="majorBidi"/>
      <w:b/>
      <w:color w:val="000000" w:themeColor="text1"/>
    </w:rPr>
  </w:style>
  <w:style w:type="paragraph" w:styleId="Heading4">
    <w:name w:val="heading 4"/>
    <w:basedOn w:val="Normal"/>
    <w:next w:val="Normal"/>
    <w:link w:val="Heading4Char"/>
    <w:uiPriority w:val="9"/>
    <w:semiHidden/>
    <w:unhideWhenUsed/>
    <w:qFormat/>
    <w:rsid w:val="00CF47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2B2"/>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D840B7"/>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55643"/>
    <w:rPr>
      <w:rFonts w:ascii="Times New Roman" w:eastAsiaTheme="majorEastAsia" w:hAnsi="Times New Roman" w:cstheme="majorBidi"/>
      <w:b/>
      <w:color w:val="000000" w:themeColor="text1"/>
    </w:rPr>
  </w:style>
  <w:style w:type="numbering" w:customStyle="1" w:styleId="Aktulislista1">
    <w:name w:val="Aktuális lista1"/>
    <w:uiPriority w:val="99"/>
    <w:rsid w:val="00D840B7"/>
    <w:pPr>
      <w:numPr>
        <w:numId w:val="2"/>
      </w:numPr>
    </w:pPr>
  </w:style>
  <w:style w:type="table" w:customStyle="1" w:styleId="TableGrid">
    <w:name w:val="TableGrid"/>
    <w:rsid w:val="00D840B7"/>
    <w:rPr>
      <w:kern w:val="0"/>
      <w:lang w:eastAsia="hu-HU"/>
      <w14:ligatures w14:val="none"/>
    </w:rPr>
    <w:tblPr>
      <w:tblCellMar>
        <w:top w:w="0" w:type="dxa"/>
        <w:left w:w="0" w:type="dxa"/>
        <w:bottom w:w="0" w:type="dxa"/>
        <w:right w:w="0" w:type="dxa"/>
      </w:tblCellMar>
    </w:tblPr>
  </w:style>
  <w:style w:type="paragraph" w:styleId="Header">
    <w:name w:val="header"/>
    <w:basedOn w:val="Normal"/>
    <w:link w:val="HeaderChar"/>
    <w:uiPriority w:val="99"/>
    <w:unhideWhenUsed/>
    <w:rsid w:val="00D840B7"/>
    <w:pPr>
      <w:tabs>
        <w:tab w:val="center" w:pos="4536"/>
        <w:tab w:val="right" w:pos="9072"/>
      </w:tabs>
      <w:spacing w:after="0"/>
      <w:ind w:firstLine="0"/>
    </w:pPr>
    <w:rPr>
      <w:rFonts w:eastAsia="Calibri" w:cs="Calibri"/>
      <w:color w:val="000000"/>
      <w:kern w:val="0"/>
      <w:lang w:eastAsia="hu-HU" w:bidi="hu-HU"/>
      <w14:ligatures w14:val="none"/>
    </w:rPr>
  </w:style>
  <w:style w:type="character" w:customStyle="1" w:styleId="HeaderChar">
    <w:name w:val="Header Char"/>
    <w:basedOn w:val="DefaultParagraphFont"/>
    <w:link w:val="Header"/>
    <w:uiPriority w:val="99"/>
    <w:rsid w:val="00D840B7"/>
    <w:rPr>
      <w:rFonts w:asciiTheme="majorBidi" w:eastAsia="Calibri" w:hAnsiTheme="majorBidi" w:cs="Calibri"/>
      <w:color w:val="000000"/>
      <w:kern w:val="0"/>
      <w:lang w:eastAsia="hu-HU" w:bidi="hu-HU"/>
      <w14:ligatures w14:val="none"/>
    </w:rPr>
  </w:style>
  <w:style w:type="paragraph" w:styleId="ListParagraph">
    <w:name w:val="List Paragraph"/>
    <w:basedOn w:val="Normal"/>
    <w:uiPriority w:val="34"/>
    <w:qFormat/>
    <w:rsid w:val="00D840B7"/>
    <w:pPr>
      <w:spacing w:after="0"/>
      <w:ind w:left="720" w:firstLine="0"/>
      <w:contextualSpacing/>
    </w:pPr>
    <w:rPr>
      <w:rFonts w:asciiTheme="minorHAnsi" w:eastAsiaTheme="minorHAnsi" w:hAnsiTheme="minorHAnsi"/>
      <w:kern w:val="0"/>
      <w:lang w:eastAsia="en-US"/>
      <w14:ligatures w14:val="none"/>
    </w:rPr>
  </w:style>
  <w:style w:type="paragraph" w:styleId="Footer">
    <w:name w:val="footer"/>
    <w:basedOn w:val="Normal"/>
    <w:link w:val="FooterChar"/>
    <w:uiPriority w:val="99"/>
    <w:unhideWhenUsed/>
    <w:rsid w:val="00C932B2"/>
    <w:pPr>
      <w:tabs>
        <w:tab w:val="center" w:pos="4536"/>
        <w:tab w:val="right" w:pos="9072"/>
      </w:tabs>
      <w:spacing w:after="0" w:line="240" w:lineRule="auto"/>
    </w:pPr>
  </w:style>
  <w:style w:type="character" w:customStyle="1" w:styleId="FooterChar">
    <w:name w:val="Footer Char"/>
    <w:basedOn w:val="DefaultParagraphFont"/>
    <w:link w:val="Footer"/>
    <w:uiPriority w:val="99"/>
    <w:rsid w:val="00C932B2"/>
    <w:rPr>
      <w:rFonts w:asciiTheme="majorBidi" w:hAnsiTheme="majorBidi"/>
    </w:rPr>
  </w:style>
  <w:style w:type="paragraph" w:styleId="TOCHeading">
    <w:name w:val="TOC Heading"/>
    <w:basedOn w:val="Heading1"/>
    <w:next w:val="Normal"/>
    <w:uiPriority w:val="39"/>
    <w:unhideWhenUsed/>
    <w:qFormat/>
    <w:rsid w:val="00855643"/>
    <w:pPr>
      <w:numPr>
        <w:numId w:val="0"/>
      </w:numPr>
      <w:spacing w:before="480" w:after="0" w:line="276" w:lineRule="auto"/>
      <w:jc w:val="left"/>
      <w:outlineLvl w:val="9"/>
    </w:pPr>
    <w:rPr>
      <w:rFonts w:asciiTheme="majorHAnsi" w:hAnsiTheme="majorHAnsi"/>
      <w:bCs/>
      <w:color w:val="2F5496" w:themeColor="accent1" w:themeShade="BF"/>
      <w:kern w:val="0"/>
      <w:sz w:val="28"/>
      <w:szCs w:val="28"/>
      <w14:ligatures w14:val="none"/>
    </w:rPr>
  </w:style>
  <w:style w:type="paragraph" w:styleId="TOC1">
    <w:name w:val="toc 1"/>
    <w:basedOn w:val="Normal"/>
    <w:next w:val="Normal"/>
    <w:autoRedefine/>
    <w:uiPriority w:val="39"/>
    <w:unhideWhenUsed/>
    <w:rsid w:val="00855643"/>
    <w:pPr>
      <w:spacing w:before="240" w:after="120"/>
      <w:jc w:val="left"/>
    </w:pPr>
    <w:rPr>
      <w:rFonts w:asciiTheme="minorHAnsi" w:hAnsiTheme="minorHAnsi" w:cstheme="minorHAnsi"/>
      <w:b/>
      <w:bCs/>
      <w:sz w:val="20"/>
    </w:rPr>
  </w:style>
  <w:style w:type="paragraph" w:styleId="TOC2">
    <w:name w:val="toc 2"/>
    <w:basedOn w:val="Normal"/>
    <w:next w:val="Normal"/>
    <w:autoRedefine/>
    <w:uiPriority w:val="39"/>
    <w:unhideWhenUsed/>
    <w:rsid w:val="00855643"/>
    <w:pPr>
      <w:spacing w:before="120" w:after="0"/>
      <w:ind w:left="240"/>
      <w:jc w:val="left"/>
    </w:pPr>
    <w:rPr>
      <w:rFonts w:asciiTheme="minorHAnsi" w:hAnsiTheme="minorHAnsi" w:cstheme="minorHAnsi"/>
      <w:i/>
      <w:iCs/>
      <w:sz w:val="20"/>
    </w:rPr>
  </w:style>
  <w:style w:type="paragraph" w:styleId="TOC3">
    <w:name w:val="toc 3"/>
    <w:basedOn w:val="Normal"/>
    <w:next w:val="Normal"/>
    <w:autoRedefine/>
    <w:uiPriority w:val="39"/>
    <w:unhideWhenUsed/>
    <w:rsid w:val="00855643"/>
    <w:pPr>
      <w:spacing w:after="0"/>
      <w:ind w:left="480"/>
      <w:jc w:val="left"/>
    </w:pPr>
    <w:rPr>
      <w:rFonts w:asciiTheme="minorHAnsi" w:hAnsiTheme="minorHAnsi" w:cstheme="minorHAnsi"/>
      <w:sz w:val="20"/>
    </w:rPr>
  </w:style>
  <w:style w:type="character" w:styleId="Hyperlink">
    <w:name w:val="Hyperlink"/>
    <w:basedOn w:val="DefaultParagraphFont"/>
    <w:uiPriority w:val="99"/>
    <w:unhideWhenUsed/>
    <w:rsid w:val="00855643"/>
    <w:rPr>
      <w:color w:val="0563C1" w:themeColor="hyperlink"/>
      <w:u w:val="single"/>
    </w:rPr>
  </w:style>
  <w:style w:type="paragraph" w:styleId="TOC4">
    <w:name w:val="toc 4"/>
    <w:basedOn w:val="Normal"/>
    <w:next w:val="Normal"/>
    <w:autoRedefine/>
    <w:uiPriority w:val="39"/>
    <w:semiHidden/>
    <w:unhideWhenUsed/>
    <w:rsid w:val="00855643"/>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855643"/>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855643"/>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855643"/>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855643"/>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855643"/>
    <w:pPr>
      <w:spacing w:after="0"/>
      <w:ind w:left="1920"/>
      <w:jc w:val="left"/>
    </w:pPr>
    <w:rPr>
      <w:rFonts w:asciiTheme="minorHAnsi" w:hAnsiTheme="minorHAnsi" w:cstheme="minorHAnsi"/>
      <w:sz w:val="20"/>
    </w:rPr>
  </w:style>
  <w:style w:type="paragraph" w:styleId="NormalWeb">
    <w:name w:val="Normal (Web)"/>
    <w:basedOn w:val="Normal"/>
    <w:uiPriority w:val="99"/>
    <w:semiHidden/>
    <w:unhideWhenUsed/>
    <w:rsid w:val="008A560E"/>
    <w:pPr>
      <w:spacing w:before="100" w:beforeAutospacing="1" w:after="100" w:afterAutospacing="1" w:line="240" w:lineRule="auto"/>
      <w:ind w:firstLine="0"/>
      <w:jc w:val="left"/>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8A560E"/>
  </w:style>
  <w:style w:type="character" w:customStyle="1" w:styleId="url">
    <w:name w:val="url"/>
    <w:basedOn w:val="DefaultParagraphFont"/>
    <w:rsid w:val="008A560E"/>
  </w:style>
  <w:style w:type="paragraph" w:styleId="Caption">
    <w:name w:val="caption"/>
    <w:basedOn w:val="Normal"/>
    <w:next w:val="Normal"/>
    <w:uiPriority w:val="35"/>
    <w:unhideWhenUsed/>
    <w:qFormat/>
    <w:rsid w:val="008A560E"/>
    <w:pPr>
      <w:spacing w:after="360" w:line="240" w:lineRule="auto"/>
      <w:ind w:firstLine="0"/>
      <w:jc w:val="center"/>
    </w:pPr>
    <w:rPr>
      <w:i/>
      <w:iCs/>
      <w:color w:val="000000" w:themeColor="text1"/>
      <w:sz w:val="21"/>
      <w:szCs w:val="18"/>
    </w:rPr>
  </w:style>
  <w:style w:type="character" w:customStyle="1" w:styleId="UnresolvedMention">
    <w:name w:val="Unresolved Mention"/>
    <w:basedOn w:val="DefaultParagraphFont"/>
    <w:uiPriority w:val="99"/>
    <w:semiHidden/>
    <w:unhideWhenUsed/>
    <w:rsid w:val="004B4DDC"/>
    <w:rPr>
      <w:color w:val="605E5C"/>
      <w:shd w:val="clear" w:color="auto" w:fill="E1DFDD"/>
    </w:rPr>
  </w:style>
  <w:style w:type="character" w:styleId="FollowedHyperlink">
    <w:name w:val="FollowedHyperlink"/>
    <w:basedOn w:val="DefaultParagraphFont"/>
    <w:uiPriority w:val="99"/>
    <w:semiHidden/>
    <w:unhideWhenUsed/>
    <w:rsid w:val="00ED37A2"/>
    <w:rPr>
      <w:color w:val="954F72" w:themeColor="followedHyperlink"/>
      <w:u w:val="single"/>
    </w:rPr>
  </w:style>
  <w:style w:type="paragraph" w:styleId="Bibliography">
    <w:name w:val="Bibliography"/>
    <w:basedOn w:val="Normal"/>
    <w:next w:val="Normal"/>
    <w:uiPriority w:val="37"/>
    <w:unhideWhenUsed/>
    <w:rsid w:val="00AA124B"/>
  </w:style>
  <w:style w:type="paragraph" w:styleId="NoSpacing">
    <w:name w:val="No Spacing"/>
    <w:link w:val="NoSpacingChar"/>
    <w:uiPriority w:val="1"/>
    <w:qFormat/>
    <w:rsid w:val="00AA124B"/>
    <w:rPr>
      <w:kern w:val="0"/>
      <w:sz w:val="22"/>
      <w:szCs w:val="22"/>
      <w:lang w:val="en-US"/>
      <w14:ligatures w14:val="none"/>
    </w:rPr>
  </w:style>
  <w:style w:type="character" w:customStyle="1" w:styleId="NoSpacingChar">
    <w:name w:val="No Spacing Char"/>
    <w:basedOn w:val="DefaultParagraphFont"/>
    <w:link w:val="NoSpacing"/>
    <w:uiPriority w:val="1"/>
    <w:rsid w:val="00AA124B"/>
    <w:rPr>
      <w:kern w:val="0"/>
      <w:sz w:val="22"/>
      <w:szCs w:val="22"/>
      <w:lang w:val="en-US"/>
      <w14:ligatures w14:val="none"/>
    </w:rPr>
  </w:style>
  <w:style w:type="character" w:customStyle="1" w:styleId="Heading4Char">
    <w:name w:val="Heading 4 Char"/>
    <w:basedOn w:val="DefaultParagraphFont"/>
    <w:link w:val="Heading4"/>
    <w:uiPriority w:val="9"/>
    <w:semiHidden/>
    <w:rsid w:val="00CF47DD"/>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C910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0A8"/>
    <w:rPr>
      <w:rFonts w:ascii="Tahoma" w:hAnsi="Tahoma" w:cs="Tahoma"/>
      <w:sz w:val="16"/>
      <w:szCs w:val="16"/>
    </w:rPr>
  </w:style>
  <w:style w:type="character" w:styleId="Emphasis">
    <w:name w:val="Emphasis"/>
    <w:basedOn w:val="DefaultParagraphFont"/>
    <w:uiPriority w:val="20"/>
    <w:qFormat/>
    <w:rsid w:val="001E6BFE"/>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hu-HU" w:eastAsia="zh-CN"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3657"/>
    <w:pPr>
      <w:spacing w:after="240" w:line="360" w:lineRule="auto"/>
      <w:ind w:firstLine="709"/>
      <w:jc w:val="both"/>
    </w:pPr>
    <w:rPr>
      <w:rFonts w:asciiTheme="majorBidi" w:hAnsiTheme="majorBidi"/>
    </w:rPr>
  </w:style>
  <w:style w:type="paragraph" w:styleId="Heading1">
    <w:name w:val="heading 1"/>
    <w:basedOn w:val="Normal"/>
    <w:next w:val="Normal"/>
    <w:link w:val="Heading1Char"/>
    <w:uiPriority w:val="9"/>
    <w:qFormat/>
    <w:rsid w:val="00C932B2"/>
    <w:pPr>
      <w:keepNext/>
      <w:keepLines/>
      <w:numPr>
        <w:numId w:val="1"/>
      </w:numPr>
      <w:spacing w:before="240"/>
      <w:ind w:left="0" w:firstLine="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840B7"/>
    <w:pPr>
      <w:keepNext/>
      <w:keepLines/>
      <w:numPr>
        <w:ilvl w:val="1"/>
        <w:numId w:val="1"/>
      </w:numPr>
      <w:spacing w:before="40"/>
      <w:ind w:left="0" w:firstLine="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855643"/>
    <w:pPr>
      <w:keepNext/>
      <w:keepLines/>
      <w:numPr>
        <w:ilvl w:val="2"/>
        <w:numId w:val="1"/>
      </w:numPr>
      <w:spacing w:before="40"/>
      <w:ind w:left="0" w:firstLine="0"/>
      <w:outlineLvl w:val="2"/>
    </w:pPr>
    <w:rPr>
      <w:rFonts w:ascii="Times New Roman" w:eastAsiaTheme="majorEastAsia" w:hAnsi="Times New Roman" w:cstheme="majorBidi"/>
      <w:b/>
      <w:color w:val="000000" w:themeColor="text1"/>
    </w:rPr>
  </w:style>
  <w:style w:type="paragraph" w:styleId="Heading4">
    <w:name w:val="heading 4"/>
    <w:basedOn w:val="Normal"/>
    <w:next w:val="Normal"/>
    <w:link w:val="Heading4Char"/>
    <w:uiPriority w:val="9"/>
    <w:semiHidden/>
    <w:unhideWhenUsed/>
    <w:qFormat/>
    <w:rsid w:val="00CF47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2B2"/>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D840B7"/>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55643"/>
    <w:rPr>
      <w:rFonts w:ascii="Times New Roman" w:eastAsiaTheme="majorEastAsia" w:hAnsi="Times New Roman" w:cstheme="majorBidi"/>
      <w:b/>
      <w:color w:val="000000" w:themeColor="text1"/>
    </w:rPr>
  </w:style>
  <w:style w:type="numbering" w:customStyle="1" w:styleId="Aktulislista1">
    <w:name w:val="Aktuális lista1"/>
    <w:uiPriority w:val="99"/>
    <w:rsid w:val="00D840B7"/>
    <w:pPr>
      <w:numPr>
        <w:numId w:val="2"/>
      </w:numPr>
    </w:pPr>
  </w:style>
  <w:style w:type="table" w:customStyle="1" w:styleId="TableGrid">
    <w:name w:val="TableGrid"/>
    <w:rsid w:val="00D840B7"/>
    <w:rPr>
      <w:kern w:val="0"/>
      <w:lang w:eastAsia="hu-HU"/>
      <w14:ligatures w14:val="none"/>
    </w:rPr>
    <w:tblPr>
      <w:tblCellMar>
        <w:top w:w="0" w:type="dxa"/>
        <w:left w:w="0" w:type="dxa"/>
        <w:bottom w:w="0" w:type="dxa"/>
        <w:right w:w="0" w:type="dxa"/>
      </w:tblCellMar>
    </w:tblPr>
  </w:style>
  <w:style w:type="paragraph" w:styleId="Header">
    <w:name w:val="header"/>
    <w:basedOn w:val="Normal"/>
    <w:link w:val="HeaderChar"/>
    <w:uiPriority w:val="99"/>
    <w:unhideWhenUsed/>
    <w:rsid w:val="00D840B7"/>
    <w:pPr>
      <w:tabs>
        <w:tab w:val="center" w:pos="4536"/>
        <w:tab w:val="right" w:pos="9072"/>
      </w:tabs>
      <w:spacing w:after="0"/>
      <w:ind w:firstLine="0"/>
    </w:pPr>
    <w:rPr>
      <w:rFonts w:eastAsia="Calibri" w:cs="Calibri"/>
      <w:color w:val="000000"/>
      <w:kern w:val="0"/>
      <w:lang w:eastAsia="hu-HU" w:bidi="hu-HU"/>
      <w14:ligatures w14:val="none"/>
    </w:rPr>
  </w:style>
  <w:style w:type="character" w:customStyle="1" w:styleId="HeaderChar">
    <w:name w:val="Header Char"/>
    <w:basedOn w:val="DefaultParagraphFont"/>
    <w:link w:val="Header"/>
    <w:uiPriority w:val="99"/>
    <w:rsid w:val="00D840B7"/>
    <w:rPr>
      <w:rFonts w:asciiTheme="majorBidi" w:eastAsia="Calibri" w:hAnsiTheme="majorBidi" w:cs="Calibri"/>
      <w:color w:val="000000"/>
      <w:kern w:val="0"/>
      <w:lang w:eastAsia="hu-HU" w:bidi="hu-HU"/>
      <w14:ligatures w14:val="none"/>
    </w:rPr>
  </w:style>
  <w:style w:type="paragraph" w:styleId="ListParagraph">
    <w:name w:val="List Paragraph"/>
    <w:basedOn w:val="Normal"/>
    <w:uiPriority w:val="34"/>
    <w:qFormat/>
    <w:rsid w:val="00D840B7"/>
    <w:pPr>
      <w:spacing w:after="0"/>
      <w:ind w:left="720" w:firstLine="0"/>
      <w:contextualSpacing/>
    </w:pPr>
    <w:rPr>
      <w:rFonts w:asciiTheme="minorHAnsi" w:eastAsiaTheme="minorHAnsi" w:hAnsiTheme="minorHAnsi"/>
      <w:kern w:val="0"/>
      <w:lang w:eastAsia="en-US"/>
      <w14:ligatures w14:val="none"/>
    </w:rPr>
  </w:style>
  <w:style w:type="paragraph" w:styleId="Footer">
    <w:name w:val="footer"/>
    <w:basedOn w:val="Normal"/>
    <w:link w:val="FooterChar"/>
    <w:uiPriority w:val="99"/>
    <w:unhideWhenUsed/>
    <w:rsid w:val="00C932B2"/>
    <w:pPr>
      <w:tabs>
        <w:tab w:val="center" w:pos="4536"/>
        <w:tab w:val="right" w:pos="9072"/>
      </w:tabs>
      <w:spacing w:after="0" w:line="240" w:lineRule="auto"/>
    </w:pPr>
  </w:style>
  <w:style w:type="character" w:customStyle="1" w:styleId="FooterChar">
    <w:name w:val="Footer Char"/>
    <w:basedOn w:val="DefaultParagraphFont"/>
    <w:link w:val="Footer"/>
    <w:uiPriority w:val="99"/>
    <w:rsid w:val="00C932B2"/>
    <w:rPr>
      <w:rFonts w:asciiTheme="majorBidi" w:hAnsiTheme="majorBidi"/>
    </w:rPr>
  </w:style>
  <w:style w:type="paragraph" w:styleId="TOCHeading">
    <w:name w:val="TOC Heading"/>
    <w:basedOn w:val="Heading1"/>
    <w:next w:val="Normal"/>
    <w:uiPriority w:val="39"/>
    <w:unhideWhenUsed/>
    <w:qFormat/>
    <w:rsid w:val="00855643"/>
    <w:pPr>
      <w:numPr>
        <w:numId w:val="0"/>
      </w:numPr>
      <w:spacing w:before="480" w:after="0" w:line="276" w:lineRule="auto"/>
      <w:jc w:val="left"/>
      <w:outlineLvl w:val="9"/>
    </w:pPr>
    <w:rPr>
      <w:rFonts w:asciiTheme="majorHAnsi" w:hAnsiTheme="majorHAnsi"/>
      <w:bCs/>
      <w:color w:val="2F5496" w:themeColor="accent1" w:themeShade="BF"/>
      <w:kern w:val="0"/>
      <w:sz w:val="28"/>
      <w:szCs w:val="28"/>
      <w14:ligatures w14:val="none"/>
    </w:rPr>
  </w:style>
  <w:style w:type="paragraph" w:styleId="TOC1">
    <w:name w:val="toc 1"/>
    <w:basedOn w:val="Normal"/>
    <w:next w:val="Normal"/>
    <w:autoRedefine/>
    <w:uiPriority w:val="39"/>
    <w:unhideWhenUsed/>
    <w:rsid w:val="00855643"/>
    <w:pPr>
      <w:spacing w:before="240" w:after="120"/>
      <w:jc w:val="left"/>
    </w:pPr>
    <w:rPr>
      <w:rFonts w:asciiTheme="minorHAnsi" w:hAnsiTheme="minorHAnsi" w:cstheme="minorHAnsi"/>
      <w:b/>
      <w:bCs/>
      <w:sz w:val="20"/>
    </w:rPr>
  </w:style>
  <w:style w:type="paragraph" w:styleId="TOC2">
    <w:name w:val="toc 2"/>
    <w:basedOn w:val="Normal"/>
    <w:next w:val="Normal"/>
    <w:autoRedefine/>
    <w:uiPriority w:val="39"/>
    <w:unhideWhenUsed/>
    <w:rsid w:val="00855643"/>
    <w:pPr>
      <w:spacing w:before="120" w:after="0"/>
      <w:ind w:left="240"/>
      <w:jc w:val="left"/>
    </w:pPr>
    <w:rPr>
      <w:rFonts w:asciiTheme="minorHAnsi" w:hAnsiTheme="minorHAnsi" w:cstheme="minorHAnsi"/>
      <w:i/>
      <w:iCs/>
      <w:sz w:val="20"/>
    </w:rPr>
  </w:style>
  <w:style w:type="paragraph" w:styleId="TOC3">
    <w:name w:val="toc 3"/>
    <w:basedOn w:val="Normal"/>
    <w:next w:val="Normal"/>
    <w:autoRedefine/>
    <w:uiPriority w:val="39"/>
    <w:unhideWhenUsed/>
    <w:rsid w:val="00855643"/>
    <w:pPr>
      <w:spacing w:after="0"/>
      <w:ind w:left="480"/>
      <w:jc w:val="left"/>
    </w:pPr>
    <w:rPr>
      <w:rFonts w:asciiTheme="minorHAnsi" w:hAnsiTheme="minorHAnsi" w:cstheme="minorHAnsi"/>
      <w:sz w:val="20"/>
    </w:rPr>
  </w:style>
  <w:style w:type="character" w:styleId="Hyperlink">
    <w:name w:val="Hyperlink"/>
    <w:basedOn w:val="DefaultParagraphFont"/>
    <w:uiPriority w:val="99"/>
    <w:unhideWhenUsed/>
    <w:rsid w:val="00855643"/>
    <w:rPr>
      <w:color w:val="0563C1" w:themeColor="hyperlink"/>
      <w:u w:val="single"/>
    </w:rPr>
  </w:style>
  <w:style w:type="paragraph" w:styleId="TOC4">
    <w:name w:val="toc 4"/>
    <w:basedOn w:val="Normal"/>
    <w:next w:val="Normal"/>
    <w:autoRedefine/>
    <w:uiPriority w:val="39"/>
    <w:semiHidden/>
    <w:unhideWhenUsed/>
    <w:rsid w:val="00855643"/>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855643"/>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855643"/>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855643"/>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855643"/>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855643"/>
    <w:pPr>
      <w:spacing w:after="0"/>
      <w:ind w:left="1920"/>
      <w:jc w:val="left"/>
    </w:pPr>
    <w:rPr>
      <w:rFonts w:asciiTheme="minorHAnsi" w:hAnsiTheme="minorHAnsi" w:cstheme="minorHAnsi"/>
      <w:sz w:val="20"/>
    </w:rPr>
  </w:style>
  <w:style w:type="paragraph" w:styleId="NormalWeb">
    <w:name w:val="Normal (Web)"/>
    <w:basedOn w:val="Normal"/>
    <w:uiPriority w:val="99"/>
    <w:semiHidden/>
    <w:unhideWhenUsed/>
    <w:rsid w:val="008A560E"/>
    <w:pPr>
      <w:spacing w:before="100" w:beforeAutospacing="1" w:after="100" w:afterAutospacing="1" w:line="240" w:lineRule="auto"/>
      <w:ind w:firstLine="0"/>
      <w:jc w:val="left"/>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8A560E"/>
  </w:style>
  <w:style w:type="character" w:customStyle="1" w:styleId="url">
    <w:name w:val="url"/>
    <w:basedOn w:val="DefaultParagraphFont"/>
    <w:rsid w:val="008A560E"/>
  </w:style>
  <w:style w:type="paragraph" w:styleId="Caption">
    <w:name w:val="caption"/>
    <w:basedOn w:val="Normal"/>
    <w:next w:val="Normal"/>
    <w:uiPriority w:val="35"/>
    <w:unhideWhenUsed/>
    <w:qFormat/>
    <w:rsid w:val="008A560E"/>
    <w:pPr>
      <w:spacing w:after="360" w:line="240" w:lineRule="auto"/>
      <w:ind w:firstLine="0"/>
      <w:jc w:val="center"/>
    </w:pPr>
    <w:rPr>
      <w:i/>
      <w:iCs/>
      <w:color w:val="000000" w:themeColor="text1"/>
      <w:sz w:val="21"/>
      <w:szCs w:val="18"/>
    </w:rPr>
  </w:style>
  <w:style w:type="character" w:customStyle="1" w:styleId="UnresolvedMention">
    <w:name w:val="Unresolved Mention"/>
    <w:basedOn w:val="DefaultParagraphFont"/>
    <w:uiPriority w:val="99"/>
    <w:semiHidden/>
    <w:unhideWhenUsed/>
    <w:rsid w:val="004B4DDC"/>
    <w:rPr>
      <w:color w:val="605E5C"/>
      <w:shd w:val="clear" w:color="auto" w:fill="E1DFDD"/>
    </w:rPr>
  </w:style>
  <w:style w:type="character" w:styleId="FollowedHyperlink">
    <w:name w:val="FollowedHyperlink"/>
    <w:basedOn w:val="DefaultParagraphFont"/>
    <w:uiPriority w:val="99"/>
    <w:semiHidden/>
    <w:unhideWhenUsed/>
    <w:rsid w:val="00ED37A2"/>
    <w:rPr>
      <w:color w:val="954F72" w:themeColor="followedHyperlink"/>
      <w:u w:val="single"/>
    </w:rPr>
  </w:style>
  <w:style w:type="paragraph" w:styleId="Bibliography">
    <w:name w:val="Bibliography"/>
    <w:basedOn w:val="Normal"/>
    <w:next w:val="Normal"/>
    <w:uiPriority w:val="37"/>
    <w:unhideWhenUsed/>
    <w:rsid w:val="00AA124B"/>
  </w:style>
  <w:style w:type="paragraph" w:styleId="NoSpacing">
    <w:name w:val="No Spacing"/>
    <w:link w:val="NoSpacingChar"/>
    <w:uiPriority w:val="1"/>
    <w:qFormat/>
    <w:rsid w:val="00AA124B"/>
    <w:rPr>
      <w:kern w:val="0"/>
      <w:sz w:val="22"/>
      <w:szCs w:val="22"/>
      <w:lang w:val="en-US"/>
      <w14:ligatures w14:val="none"/>
    </w:rPr>
  </w:style>
  <w:style w:type="character" w:customStyle="1" w:styleId="NoSpacingChar">
    <w:name w:val="No Spacing Char"/>
    <w:basedOn w:val="DefaultParagraphFont"/>
    <w:link w:val="NoSpacing"/>
    <w:uiPriority w:val="1"/>
    <w:rsid w:val="00AA124B"/>
    <w:rPr>
      <w:kern w:val="0"/>
      <w:sz w:val="22"/>
      <w:szCs w:val="22"/>
      <w:lang w:val="en-US"/>
      <w14:ligatures w14:val="none"/>
    </w:rPr>
  </w:style>
  <w:style w:type="character" w:customStyle="1" w:styleId="Heading4Char">
    <w:name w:val="Heading 4 Char"/>
    <w:basedOn w:val="DefaultParagraphFont"/>
    <w:link w:val="Heading4"/>
    <w:uiPriority w:val="9"/>
    <w:semiHidden/>
    <w:rsid w:val="00CF47DD"/>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C910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0A8"/>
    <w:rPr>
      <w:rFonts w:ascii="Tahoma" w:hAnsi="Tahoma" w:cs="Tahoma"/>
      <w:sz w:val="16"/>
      <w:szCs w:val="16"/>
    </w:rPr>
  </w:style>
  <w:style w:type="character" w:styleId="Emphasis">
    <w:name w:val="Emphasis"/>
    <w:basedOn w:val="DefaultParagraphFont"/>
    <w:uiPriority w:val="20"/>
    <w:qFormat/>
    <w:rsid w:val="001E6B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358101">
      <w:bodyDiv w:val="1"/>
      <w:marLeft w:val="0"/>
      <w:marRight w:val="0"/>
      <w:marTop w:val="0"/>
      <w:marBottom w:val="0"/>
      <w:divBdr>
        <w:top w:val="none" w:sz="0" w:space="0" w:color="auto"/>
        <w:left w:val="none" w:sz="0" w:space="0" w:color="auto"/>
        <w:bottom w:val="none" w:sz="0" w:space="0" w:color="auto"/>
        <w:right w:val="none" w:sz="0" w:space="0" w:color="auto"/>
      </w:divBdr>
      <w:divsChild>
        <w:div w:id="949430288">
          <w:marLeft w:val="-720"/>
          <w:marRight w:val="0"/>
          <w:marTop w:val="0"/>
          <w:marBottom w:val="0"/>
          <w:divBdr>
            <w:top w:val="none" w:sz="0" w:space="0" w:color="auto"/>
            <w:left w:val="none" w:sz="0" w:space="0" w:color="auto"/>
            <w:bottom w:val="none" w:sz="0" w:space="0" w:color="auto"/>
            <w:right w:val="none" w:sz="0" w:space="0" w:color="auto"/>
          </w:divBdr>
        </w:div>
      </w:divsChild>
    </w:div>
    <w:div w:id="235020530">
      <w:bodyDiv w:val="1"/>
      <w:marLeft w:val="0"/>
      <w:marRight w:val="0"/>
      <w:marTop w:val="0"/>
      <w:marBottom w:val="0"/>
      <w:divBdr>
        <w:top w:val="none" w:sz="0" w:space="0" w:color="auto"/>
        <w:left w:val="none" w:sz="0" w:space="0" w:color="auto"/>
        <w:bottom w:val="none" w:sz="0" w:space="0" w:color="auto"/>
        <w:right w:val="none" w:sz="0" w:space="0" w:color="auto"/>
      </w:divBdr>
    </w:div>
    <w:div w:id="371736332">
      <w:bodyDiv w:val="1"/>
      <w:marLeft w:val="0"/>
      <w:marRight w:val="0"/>
      <w:marTop w:val="0"/>
      <w:marBottom w:val="0"/>
      <w:divBdr>
        <w:top w:val="none" w:sz="0" w:space="0" w:color="auto"/>
        <w:left w:val="none" w:sz="0" w:space="0" w:color="auto"/>
        <w:bottom w:val="none" w:sz="0" w:space="0" w:color="auto"/>
        <w:right w:val="none" w:sz="0" w:space="0" w:color="auto"/>
      </w:divBdr>
    </w:div>
    <w:div w:id="444891069">
      <w:bodyDiv w:val="1"/>
      <w:marLeft w:val="0"/>
      <w:marRight w:val="0"/>
      <w:marTop w:val="0"/>
      <w:marBottom w:val="0"/>
      <w:divBdr>
        <w:top w:val="none" w:sz="0" w:space="0" w:color="auto"/>
        <w:left w:val="none" w:sz="0" w:space="0" w:color="auto"/>
        <w:bottom w:val="none" w:sz="0" w:space="0" w:color="auto"/>
        <w:right w:val="none" w:sz="0" w:space="0" w:color="auto"/>
      </w:divBdr>
      <w:divsChild>
        <w:div w:id="881483945">
          <w:marLeft w:val="0"/>
          <w:marRight w:val="0"/>
          <w:marTop w:val="0"/>
          <w:marBottom w:val="0"/>
          <w:divBdr>
            <w:top w:val="none" w:sz="0" w:space="0" w:color="auto"/>
            <w:left w:val="none" w:sz="0" w:space="0" w:color="auto"/>
            <w:bottom w:val="none" w:sz="0" w:space="0" w:color="auto"/>
            <w:right w:val="none" w:sz="0" w:space="0" w:color="auto"/>
          </w:divBdr>
        </w:div>
      </w:divsChild>
    </w:div>
    <w:div w:id="492917674">
      <w:bodyDiv w:val="1"/>
      <w:marLeft w:val="0"/>
      <w:marRight w:val="0"/>
      <w:marTop w:val="0"/>
      <w:marBottom w:val="0"/>
      <w:divBdr>
        <w:top w:val="none" w:sz="0" w:space="0" w:color="auto"/>
        <w:left w:val="none" w:sz="0" w:space="0" w:color="auto"/>
        <w:bottom w:val="none" w:sz="0" w:space="0" w:color="auto"/>
        <w:right w:val="none" w:sz="0" w:space="0" w:color="auto"/>
      </w:divBdr>
    </w:div>
    <w:div w:id="740056432">
      <w:bodyDiv w:val="1"/>
      <w:marLeft w:val="0"/>
      <w:marRight w:val="0"/>
      <w:marTop w:val="0"/>
      <w:marBottom w:val="0"/>
      <w:divBdr>
        <w:top w:val="none" w:sz="0" w:space="0" w:color="auto"/>
        <w:left w:val="none" w:sz="0" w:space="0" w:color="auto"/>
        <w:bottom w:val="none" w:sz="0" w:space="0" w:color="auto"/>
        <w:right w:val="none" w:sz="0" w:space="0" w:color="auto"/>
      </w:divBdr>
    </w:div>
    <w:div w:id="761804816">
      <w:bodyDiv w:val="1"/>
      <w:marLeft w:val="0"/>
      <w:marRight w:val="0"/>
      <w:marTop w:val="0"/>
      <w:marBottom w:val="0"/>
      <w:divBdr>
        <w:top w:val="none" w:sz="0" w:space="0" w:color="auto"/>
        <w:left w:val="none" w:sz="0" w:space="0" w:color="auto"/>
        <w:bottom w:val="none" w:sz="0" w:space="0" w:color="auto"/>
        <w:right w:val="none" w:sz="0" w:space="0" w:color="auto"/>
      </w:divBdr>
    </w:div>
    <w:div w:id="764349676">
      <w:bodyDiv w:val="1"/>
      <w:marLeft w:val="0"/>
      <w:marRight w:val="0"/>
      <w:marTop w:val="0"/>
      <w:marBottom w:val="0"/>
      <w:divBdr>
        <w:top w:val="none" w:sz="0" w:space="0" w:color="auto"/>
        <w:left w:val="none" w:sz="0" w:space="0" w:color="auto"/>
        <w:bottom w:val="none" w:sz="0" w:space="0" w:color="auto"/>
        <w:right w:val="none" w:sz="0" w:space="0" w:color="auto"/>
      </w:divBdr>
    </w:div>
    <w:div w:id="782699390">
      <w:bodyDiv w:val="1"/>
      <w:marLeft w:val="0"/>
      <w:marRight w:val="0"/>
      <w:marTop w:val="0"/>
      <w:marBottom w:val="0"/>
      <w:divBdr>
        <w:top w:val="none" w:sz="0" w:space="0" w:color="auto"/>
        <w:left w:val="none" w:sz="0" w:space="0" w:color="auto"/>
        <w:bottom w:val="none" w:sz="0" w:space="0" w:color="auto"/>
        <w:right w:val="none" w:sz="0" w:space="0" w:color="auto"/>
      </w:divBdr>
      <w:divsChild>
        <w:div w:id="1577520654">
          <w:marLeft w:val="-720"/>
          <w:marRight w:val="0"/>
          <w:marTop w:val="0"/>
          <w:marBottom w:val="0"/>
          <w:divBdr>
            <w:top w:val="none" w:sz="0" w:space="0" w:color="auto"/>
            <w:left w:val="none" w:sz="0" w:space="0" w:color="auto"/>
            <w:bottom w:val="none" w:sz="0" w:space="0" w:color="auto"/>
            <w:right w:val="none" w:sz="0" w:space="0" w:color="auto"/>
          </w:divBdr>
        </w:div>
      </w:divsChild>
    </w:div>
    <w:div w:id="926888127">
      <w:bodyDiv w:val="1"/>
      <w:marLeft w:val="0"/>
      <w:marRight w:val="0"/>
      <w:marTop w:val="0"/>
      <w:marBottom w:val="0"/>
      <w:divBdr>
        <w:top w:val="none" w:sz="0" w:space="0" w:color="auto"/>
        <w:left w:val="none" w:sz="0" w:space="0" w:color="auto"/>
        <w:bottom w:val="none" w:sz="0" w:space="0" w:color="auto"/>
        <w:right w:val="none" w:sz="0" w:space="0" w:color="auto"/>
      </w:divBdr>
    </w:div>
    <w:div w:id="1008872530">
      <w:bodyDiv w:val="1"/>
      <w:marLeft w:val="0"/>
      <w:marRight w:val="0"/>
      <w:marTop w:val="0"/>
      <w:marBottom w:val="0"/>
      <w:divBdr>
        <w:top w:val="none" w:sz="0" w:space="0" w:color="auto"/>
        <w:left w:val="none" w:sz="0" w:space="0" w:color="auto"/>
        <w:bottom w:val="none" w:sz="0" w:space="0" w:color="auto"/>
        <w:right w:val="none" w:sz="0" w:space="0" w:color="auto"/>
      </w:divBdr>
      <w:divsChild>
        <w:div w:id="1519151440">
          <w:marLeft w:val="-720"/>
          <w:marRight w:val="0"/>
          <w:marTop w:val="0"/>
          <w:marBottom w:val="0"/>
          <w:divBdr>
            <w:top w:val="none" w:sz="0" w:space="0" w:color="auto"/>
            <w:left w:val="none" w:sz="0" w:space="0" w:color="auto"/>
            <w:bottom w:val="none" w:sz="0" w:space="0" w:color="auto"/>
            <w:right w:val="none" w:sz="0" w:space="0" w:color="auto"/>
          </w:divBdr>
        </w:div>
      </w:divsChild>
    </w:div>
    <w:div w:id="1038817441">
      <w:bodyDiv w:val="1"/>
      <w:marLeft w:val="0"/>
      <w:marRight w:val="0"/>
      <w:marTop w:val="0"/>
      <w:marBottom w:val="0"/>
      <w:divBdr>
        <w:top w:val="none" w:sz="0" w:space="0" w:color="auto"/>
        <w:left w:val="none" w:sz="0" w:space="0" w:color="auto"/>
        <w:bottom w:val="none" w:sz="0" w:space="0" w:color="auto"/>
        <w:right w:val="none" w:sz="0" w:space="0" w:color="auto"/>
      </w:divBdr>
    </w:div>
    <w:div w:id="1175220412">
      <w:bodyDiv w:val="1"/>
      <w:marLeft w:val="0"/>
      <w:marRight w:val="0"/>
      <w:marTop w:val="0"/>
      <w:marBottom w:val="0"/>
      <w:divBdr>
        <w:top w:val="none" w:sz="0" w:space="0" w:color="auto"/>
        <w:left w:val="none" w:sz="0" w:space="0" w:color="auto"/>
        <w:bottom w:val="none" w:sz="0" w:space="0" w:color="auto"/>
        <w:right w:val="none" w:sz="0" w:space="0" w:color="auto"/>
      </w:divBdr>
    </w:div>
    <w:div w:id="1283463159">
      <w:bodyDiv w:val="1"/>
      <w:marLeft w:val="0"/>
      <w:marRight w:val="0"/>
      <w:marTop w:val="0"/>
      <w:marBottom w:val="0"/>
      <w:divBdr>
        <w:top w:val="none" w:sz="0" w:space="0" w:color="auto"/>
        <w:left w:val="none" w:sz="0" w:space="0" w:color="auto"/>
        <w:bottom w:val="none" w:sz="0" w:space="0" w:color="auto"/>
        <w:right w:val="none" w:sz="0" w:space="0" w:color="auto"/>
      </w:divBdr>
      <w:divsChild>
        <w:div w:id="166798267">
          <w:marLeft w:val="-720"/>
          <w:marRight w:val="0"/>
          <w:marTop w:val="0"/>
          <w:marBottom w:val="0"/>
          <w:divBdr>
            <w:top w:val="none" w:sz="0" w:space="0" w:color="auto"/>
            <w:left w:val="none" w:sz="0" w:space="0" w:color="auto"/>
            <w:bottom w:val="none" w:sz="0" w:space="0" w:color="auto"/>
            <w:right w:val="none" w:sz="0" w:space="0" w:color="auto"/>
          </w:divBdr>
        </w:div>
      </w:divsChild>
    </w:div>
    <w:div w:id="1331567213">
      <w:bodyDiv w:val="1"/>
      <w:marLeft w:val="0"/>
      <w:marRight w:val="0"/>
      <w:marTop w:val="0"/>
      <w:marBottom w:val="0"/>
      <w:divBdr>
        <w:top w:val="none" w:sz="0" w:space="0" w:color="auto"/>
        <w:left w:val="none" w:sz="0" w:space="0" w:color="auto"/>
        <w:bottom w:val="none" w:sz="0" w:space="0" w:color="auto"/>
        <w:right w:val="none" w:sz="0" w:space="0" w:color="auto"/>
      </w:divBdr>
      <w:divsChild>
        <w:div w:id="1959605430">
          <w:marLeft w:val="-720"/>
          <w:marRight w:val="0"/>
          <w:marTop w:val="0"/>
          <w:marBottom w:val="0"/>
          <w:divBdr>
            <w:top w:val="none" w:sz="0" w:space="0" w:color="auto"/>
            <w:left w:val="none" w:sz="0" w:space="0" w:color="auto"/>
            <w:bottom w:val="none" w:sz="0" w:space="0" w:color="auto"/>
            <w:right w:val="none" w:sz="0" w:space="0" w:color="auto"/>
          </w:divBdr>
        </w:div>
      </w:divsChild>
    </w:div>
    <w:div w:id="1381053831">
      <w:bodyDiv w:val="1"/>
      <w:marLeft w:val="0"/>
      <w:marRight w:val="0"/>
      <w:marTop w:val="0"/>
      <w:marBottom w:val="0"/>
      <w:divBdr>
        <w:top w:val="none" w:sz="0" w:space="0" w:color="auto"/>
        <w:left w:val="none" w:sz="0" w:space="0" w:color="auto"/>
        <w:bottom w:val="none" w:sz="0" w:space="0" w:color="auto"/>
        <w:right w:val="none" w:sz="0" w:space="0" w:color="auto"/>
      </w:divBdr>
      <w:divsChild>
        <w:div w:id="815688587">
          <w:marLeft w:val="-720"/>
          <w:marRight w:val="0"/>
          <w:marTop w:val="0"/>
          <w:marBottom w:val="0"/>
          <w:divBdr>
            <w:top w:val="none" w:sz="0" w:space="0" w:color="auto"/>
            <w:left w:val="none" w:sz="0" w:space="0" w:color="auto"/>
            <w:bottom w:val="none" w:sz="0" w:space="0" w:color="auto"/>
            <w:right w:val="none" w:sz="0" w:space="0" w:color="auto"/>
          </w:divBdr>
        </w:div>
      </w:divsChild>
    </w:div>
    <w:div w:id="1542553025">
      <w:bodyDiv w:val="1"/>
      <w:marLeft w:val="0"/>
      <w:marRight w:val="0"/>
      <w:marTop w:val="0"/>
      <w:marBottom w:val="0"/>
      <w:divBdr>
        <w:top w:val="none" w:sz="0" w:space="0" w:color="auto"/>
        <w:left w:val="none" w:sz="0" w:space="0" w:color="auto"/>
        <w:bottom w:val="none" w:sz="0" w:space="0" w:color="auto"/>
        <w:right w:val="none" w:sz="0" w:space="0" w:color="auto"/>
      </w:divBdr>
    </w:div>
    <w:div w:id="1582523330">
      <w:bodyDiv w:val="1"/>
      <w:marLeft w:val="0"/>
      <w:marRight w:val="0"/>
      <w:marTop w:val="0"/>
      <w:marBottom w:val="0"/>
      <w:divBdr>
        <w:top w:val="none" w:sz="0" w:space="0" w:color="auto"/>
        <w:left w:val="none" w:sz="0" w:space="0" w:color="auto"/>
        <w:bottom w:val="none" w:sz="0" w:space="0" w:color="auto"/>
        <w:right w:val="none" w:sz="0" w:space="0" w:color="auto"/>
      </w:divBdr>
    </w:div>
    <w:div w:id="1587574095">
      <w:bodyDiv w:val="1"/>
      <w:marLeft w:val="0"/>
      <w:marRight w:val="0"/>
      <w:marTop w:val="0"/>
      <w:marBottom w:val="0"/>
      <w:divBdr>
        <w:top w:val="none" w:sz="0" w:space="0" w:color="auto"/>
        <w:left w:val="none" w:sz="0" w:space="0" w:color="auto"/>
        <w:bottom w:val="none" w:sz="0" w:space="0" w:color="auto"/>
        <w:right w:val="none" w:sz="0" w:space="0" w:color="auto"/>
      </w:divBdr>
    </w:div>
    <w:div w:id="1592473404">
      <w:bodyDiv w:val="1"/>
      <w:marLeft w:val="0"/>
      <w:marRight w:val="0"/>
      <w:marTop w:val="0"/>
      <w:marBottom w:val="0"/>
      <w:divBdr>
        <w:top w:val="none" w:sz="0" w:space="0" w:color="auto"/>
        <w:left w:val="none" w:sz="0" w:space="0" w:color="auto"/>
        <w:bottom w:val="none" w:sz="0" w:space="0" w:color="auto"/>
        <w:right w:val="none" w:sz="0" w:space="0" w:color="auto"/>
      </w:divBdr>
    </w:div>
    <w:div w:id="1795711160">
      <w:bodyDiv w:val="1"/>
      <w:marLeft w:val="0"/>
      <w:marRight w:val="0"/>
      <w:marTop w:val="0"/>
      <w:marBottom w:val="0"/>
      <w:divBdr>
        <w:top w:val="none" w:sz="0" w:space="0" w:color="auto"/>
        <w:left w:val="none" w:sz="0" w:space="0" w:color="auto"/>
        <w:bottom w:val="none" w:sz="0" w:space="0" w:color="auto"/>
        <w:right w:val="none" w:sz="0" w:space="0" w:color="auto"/>
      </w:divBdr>
      <w:divsChild>
        <w:div w:id="832989748">
          <w:marLeft w:val="-720"/>
          <w:marRight w:val="0"/>
          <w:marTop w:val="0"/>
          <w:marBottom w:val="0"/>
          <w:divBdr>
            <w:top w:val="none" w:sz="0" w:space="0" w:color="auto"/>
            <w:left w:val="none" w:sz="0" w:space="0" w:color="auto"/>
            <w:bottom w:val="none" w:sz="0" w:space="0" w:color="auto"/>
            <w:right w:val="none" w:sz="0" w:space="0" w:color="auto"/>
          </w:divBdr>
        </w:div>
      </w:divsChild>
    </w:div>
    <w:div w:id="204119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hyperlink" Target="https://group.accor.com/-/media/Corporate/Investors/Documents-financiers/2019/02-21-FY/RevPAR-31122018-EN.pdf?rev=97023615d16741249b6c274feb231358" TargetMode="External"/><Relationship Id="rId39" Type="http://schemas.openxmlformats.org/officeDocument/2006/relationships/hyperlink" Target="https://stories-editor.hilton.com/wp-content/uploads/2023/04/2022-Hilton-Year-in-Review.pdf" TargetMode="External"/><Relationship Id="rId21" Type="http://schemas.openxmlformats.org/officeDocument/2006/relationships/image" Target="media/image6.png"/><Relationship Id="rId34" Type="http://schemas.openxmlformats.org/officeDocument/2006/relationships/hyperlink" Target="https://doi.org/10.3386/w27105" TargetMode="External"/><Relationship Id="rId42" Type="http://schemas.openxmlformats.org/officeDocument/2006/relationships/hyperlink" Target="https://doi.org/10.21298/ijthr.2019.4.33.4.63" TargetMode="External"/><Relationship Id="rId47" Type="http://schemas.openxmlformats.org/officeDocument/2006/relationships/hyperlink" Target="https://sitecore-cd.shangri-la.com/-/media/Project/Shangri-La-Group/Investor/Files/Public-Disclosures/Announcements-and-Circulars/2021/2021-04-26-AR_E.pdf" TargetMode="External"/><Relationship Id="rId50" Type="http://schemas.openxmlformats.org/officeDocument/2006/relationships/hyperlink" Target="https://sitecore-cd.shangri-la.com/-/media/Project/Shangri-La-Group/Investor/Files/Public-Disclosures/Latest-Top-Publications/2023_Annual_Report_E.pdf" TargetMode="External"/><Relationship Id="rId55" Type="http://schemas.openxmlformats.org/officeDocument/2006/relationships/hyperlink" Target="https://www.annualreports.com/Company/whitbread-plc" TargetMode="Externa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7.xml"/><Relationship Id="rId29" Type="http://schemas.openxmlformats.org/officeDocument/2006/relationships/hyperlink" Target="https://group.accor.com/-/media/Corporate/Investors/Documents-financiers/2022/02-24-FY/RevPAR_ENG_122021.pdf?rev=1d26d8ca47aa4671b8f2f1409b09f099" TargetMode="External"/><Relationship Id="rId41" Type="http://schemas.openxmlformats.org/officeDocument/2006/relationships/hyperlink" Target="https://doi.org/10.21474/ijar01/4251" TargetMode="External"/><Relationship Id="rId54" Type="http://schemas.openxmlformats.org/officeDocument/2006/relationships/hyperlink" Target="https://doi.org/10.21125/inted.2023.0291"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image" Target="media/image8.png"/><Relationship Id="rId32" Type="http://schemas.openxmlformats.org/officeDocument/2006/relationships/hyperlink" Target="https://www.oeconomus.hu/irasok/szamhaboru-helyett-betuhaboru-a-v-u-w-es-l-alaku-recessziok-bemutatasa/" TargetMode="External"/><Relationship Id="rId37" Type="http://schemas.openxmlformats.org/officeDocument/2006/relationships/hyperlink" Target="https://www.corporatereport.com/hilton/2020/ar/" TargetMode="External"/><Relationship Id="rId40" Type="http://schemas.openxmlformats.org/officeDocument/2006/relationships/hyperlink" Target="https://stories-editor.hilton.com/wp-content/uploads/2024/04/Hilton2023AnnualReport.pdf" TargetMode="External"/><Relationship Id="rId45" Type="http://schemas.openxmlformats.org/officeDocument/2006/relationships/hyperlink" Target="https://sitecore-cd.shangri-la.com/-/media/Project/Shangri-La-Group/Investor/Files/Public-Disclosures/Financial-Information/Financial-Reports/2018_Annual_Report.pdf" TargetMode="External"/><Relationship Id="rId53" Type="http://schemas.openxmlformats.org/officeDocument/2006/relationships/hyperlink" Target="https://doi.org/10.21125/inted.2021.2001" TargetMode="External"/><Relationship Id="rId58" Type="http://schemas.openxmlformats.org/officeDocument/2006/relationships/hyperlink" Target="https://www.annualreports.com/Company/whitbread-plc" TargetMode="Externa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hyperlink" Target="https://group.accor.com/-/media/Corporate/Investors/Documents-financiers/2021/02-24-FY/RevPAR-ENG-31122020.pdf?rev=729f45b838504e29984dc19527bba8e1" TargetMode="External"/><Relationship Id="rId36" Type="http://schemas.openxmlformats.org/officeDocument/2006/relationships/hyperlink" Target="http://www.corporatereport.com/hilton/2019/ar/" TargetMode="External"/><Relationship Id="rId49" Type="http://schemas.openxmlformats.org/officeDocument/2006/relationships/hyperlink" Target="https://sitecore-cd.shangri-la.com/-/media/Project/Shangri-La-Group/Investor/Files/Public-Disclosures/Latest-Top-Publications/e0069_230418_AR.pdf" TargetMode="External"/><Relationship Id="rId57" Type="http://schemas.openxmlformats.org/officeDocument/2006/relationships/hyperlink" Target="https://www.annualreports.com/HostedData/AnnualReportArchive/w/LSE_WTB_2020.pdf" TargetMode="External"/><Relationship Id="rId61"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chart" Target="charts/chart6.xml"/><Relationship Id="rId31" Type="http://schemas.openxmlformats.org/officeDocument/2006/relationships/hyperlink" Target="https://group.accor.com/-/media/Corporate/Investors/Documents-financiers/2024/02-22-FY/RevPAR_EN_122023.pdf?rev=0a95228df4ac414cb7c2982b28cb0675" TargetMode="External"/><Relationship Id="rId44" Type="http://schemas.openxmlformats.org/officeDocument/2006/relationships/hyperlink" Target="https://www.shangri-la.com/group/our-story/our-heritage" TargetMode="External"/><Relationship Id="rId52" Type="http://schemas.openxmlformats.org/officeDocument/2006/relationships/hyperlink" Target="https://www.similarweb.com/website/shangri-la.com/" TargetMode="External"/><Relationship Id="rId60" Type="http://schemas.openxmlformats.org/officeDocument/2006/relationships/hyperlink" Target="https://www.annualreports.com/Click/23984" TargetMode="Externa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chart" Target="charts/chart4.xml"/><Relationship Id="rId22" Type="http://schemas.openxmlformats.org/officeDocument/2006/relationships/chart" Target="charts/chart8.xml"/><Relationship Id="rId27" Type="http://schemas.openxmlformats.org/officeDocument/2006/relationships/hyperlink" Target="https://group.accor.com/-/media/Corporate/Investors/Documents-financiers/2020/02-20-FY/RevPAR_EN_31122019.pdf?la=en&amp;rev=f7d3f6967133403fb70451e0a9f59e72" TargetMode="External"/><Relationship Id="rId30" Type="http://schemas.openxmlformats.org/officeDocument/2006/relationships/hyperlink" Target="https://group.accor.com/-/media/Corporate/Investors/Documents-financiers/2023/02-23-FY/RevPAR_ENG_122022.pdf?rev=fa15599f35bc47baac7764d5bdfa1869" TargetMode="External"/><Relationship Id="rId35" Type="http://schemas.openxmlformats.org/officeDocument/2006/relationships/hyperlink" Target="http://www.corporatereport.com/hilton/2018/ar/" TargetMode="External"/><Relationship Id="rId43" Type="http://schemas.openxmlformats.org/officeDocument/2006/relationships/hyperlink" Target="https://doi.org/10.1186/s43093-021-00079-4" TargetMode="External"/><Relationship Id="rId48" Type="http://schemas.openxmlformats.org/officeDocument/2006/relationships/hyperlink" Target="https://sitecore-cd.shangri-la.com/-/media/Project/Shangri-La-Group/Investor/Files/Public-Disclosures/Latest-Top-Publications/2021_Annual-Report_E.pdf" TargetMode="External"/><Relationship Id="rId56" Type="http://schemas.openxmlformats.org/officeDocument/2006/relationships/hyperlink" Target="https://www.annualreports.com/Company/whitbread-plc" TargetMode="External"/><Relationship Id="rId8" Type="http://schemas.openxmlformats.org/officeDocument/2006/relationships/endnotes" Target="endnotes.xml"/><Relationship Id="rId51" Type="http://schemas.openxmlformats.org/officeDocument/2006/relationships/hyperlink" Target="https://www.ie.edu/insights/articles/being-better-vs-being-different-whats-more-helpful-when-competition-intensifies/" TargetMode="Externa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9.png"/><Relationship Id="rId33" Type="http://schemas.openxmlformats.org/officeDocument/2006/relationships/hyperlink" Target="https://doi.org/10.1016/j.ijhm.2019.102395" TargetMode="External"/><Relationship Id="rId38" Type="http://schemas.openxmlformats.org/officeDocument/2006/relationships/hyperlink" Target="https://www.corporatereport.com/hilton/2021/ar/index.php" TargetMode="External"/><Relationship Id="rId46" Type="http://schemas.openxmlformats.org/officeDocument/2006/relationships/hyperlink" Target="https://sitecore-cd.shangri-la.com/-/media/Project/Shangri-La-Group/Investor/Files/Public-Disclosures/Financial-Information/Financial-Reports/2019Annual-Report-Eng.pdf" TargetMode="External"/><Relationship Id="rId59" Type="http://schemas.openxmlformats.org/officeDocument/2006/relationships/hyperlink" Target="https://www.annualreports.com/HostedData/AnnualReportArchive/w/LSE_WTB_2022.pdf"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Users\molnaraliz\Documents\okt%206-i%20beadando&#769;.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sers\molnaraliz\Documents\okt%206-i%20beadando&#769;.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molnaraliz\Documents\okt%206-i%20beadando&#769;.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sers\molnaraliz\Documents\okt%206-i%20beadando&#769;.xlsx" TargetMode="External"/></Relationships>
</file>

<file path=word/charts/_rels/chart5.xml.rels><?xml version="1.0" encoding="UTF-8" standalone="yes"?>
<Relationships xmlns="http://schemas.openxmlformats.org/package/2006/relationships"><Relationship Id="rId2" Type="http://schemas.openxmlformats.org/officeDocument/2006/relationships/oleObject" Target="file:///\\Users\molnaraliz\Documents\okt%206-i%20beadando&#769;.xlsx" TargetMode="External"/><Relationship Id="rId1" Type="http://schemas.openxmlformats.org/officeDocument/2006/relationships/themeOverride" Target="../theme/themeOverride1.xml"/></Relationships>
</file>

<file path=word/charts/_rels/chart6.xml.rels><?xml version="1.0" encoding="UTF-8" standalone="yes"?>
<Relationships xmlns="http://schemas.openxmlformats.org/package/2006/relationships"><Relationship Id="rId2" Type="http://schemas.openxmlformats.org/officeDocument/2006/relationships/oleObject" Target="file:///\\Users\molnaraliz\Documents\okt%206-i%20beadando&#769;.xlsx" TargetMode="External"/><Relationship Id="rId1" Type="http://schemas.openxmlformats.org/officeDocument/2006/relationships/themeOverride" Target="../theme/themeOverride2.xml"/></Relationships>
</file>

<file path=word/charts/_rels/chart7.xml.rels><?xml version="1.0" encoding="UTF-8" standalone="yes"?>
<Relationships xmlns="http://schemas.openxmlformats.org/package/2006/relationships"><Relationship Id="rId2" Type="http://schemas.openxmlformats.org/officeDocument/2006/relationships/oleObject" Target="file:///\\Users\molnaraliz\Documents\okt%206-i%20beadando&#769;.xlsx" TargetMode="External"/><Relationship Id="rId1" Type="http://schemas.openxmlformats.org/officeDocument/2006/relationships/themeOverride" Target="../theme/themeOverride3.xml"/></Relationships>
</file>

<file path=word/charts/_rels/chart8.xml.rels><?xml version="1.0" encoding="UTF-8" standalone="yes"?>
<Relationships xmlns="http://schemas.openxmlformats.org/package/2006/relationships"><Relationship Id="rId2" Type="http://schemas.openxmlformats.org/officeDocument/2006/relationships/oleObject" Target="file:///\\Users\molnaraliz\Documents\okt%206-i%20beadando&#769;.xlsx" TargetMode="External"/><Relationship Id="rId1"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sz="1200"/>
              <a:t>Total revenues per year (million USD)</a:t>
            </a:r>
          </a:p>
        </c:rich>
      </c:tx>
      <c:overlay val="0"/>
      <c:spPr>
        <a:noFill/>
        <a:ln>
          <a:noFill/>
        </a:ln>
        <a:effectLst/>
      </c:spPr>
    </c:title>
    <c:autoTitleDeleted val="0"/>
    <c:plotArea>
      <c:layout/>
      <c:lineChart>
        <c:grouping val="standard"/>
        <c:varyColors val="0"/>
        <c:ser>
          <c:idx val="0"/>
          <c:order val="0"/>
          <c:tx>
            <c:strRef>
              <c:f>'Shangri-La'!$B$2</c:f>
              <c:strCache>
                <c:ptCount val="1"/>
                <c:pt idx="0">
                  <c:v>total revenue (million USD)</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'Shangri-La'!$A$3:$A$8</c:f>
              <c:numCache>
                <c:formatCode>General</c:formatCode>
                <c:ptCount val="6"/>
                <c:pt idx="0" formatCode="0">
                  <c:v>2018</c:v>
                </c:pt>
                <c:pt idx="1">
                  <c:v>2019</c:v>
                </c:pt>
                <c:pt idx="2">
                  <c:v>2020</c:v>
                </c:pt>
                <c:pt idx="3">
                  <c:v>2021</c:v>
                </c:pt>
                <c:pt idx="4">
                  <c:v>2022</c:v>
                </c:pt>
                <c:pt idx="5">
                  <c:v>2023</c:v>
                </c:pt>
              </c:numCache>
            </c:numRef>
          </c:cat>
          <c:val>
            <c:numRef>
              <c:f>'Shangri-La'!$B$3:$B$8</c:f>
              <c:numCache>
                <c:formatCode>General</c:formatCode>
                <c:ptCount val="6"/>
                <c:pt idx="0" formatCode="0.0">
                  <c:v>2517.9</c:v>
                </c:pt>
                <c:pt idx="1">
                  <c:v>2431.1999999999998</c:v>
                </c:pt>
                <c:pt idx="2">
                  <c:v>858</c:v>
                </c:pt>
                <c:pt idx="3" formatCode="0.0">
                  <c:v>1241</c:v>
                </c:pt>
                <c:pt idx="4" formatCode="0.0">
                  <c:v>1462.1</c:v>
                </c:pt>
                <c:pt idx="5" formatCode="0.0">
                  <c:v>2141.8000000000002</c:v>
                </c:pt>
              </c:numCache>
            </c:numRef>
          </c:val>
          <c:smooth val="0"/>
          <c:extLst xmlns:c16r2="http://schemas.microsoft.com/office/drawing/2015/06/chart">
            <c:ext xmlns:c16="http://schemas.microsoft.com/office/drawing/2014/chart" uri="{C3380CC4-5D6E-409C-BE32-E72D297353CC}">
              <c16:uniqueId val="{00000000-7B58-8E45-94AD-BB9FB3327080}"/>
            </c:ext>
          </c:extLst>
        </c:ser>
        <c:dLbls>
          <c:showLegendKey val="0"/>
          <c:showVal val="1"/>
          <c:showCatName val="0"/>
          <c:showSerName val="0"/>
          <c:showPercent val="0"/>
          <c:showBubbleSize val="0"/>
        </c:dLbls>
        <c:marker val="1"/>
        <c:smooth val="0"/>
        <c:axId val="49550080"/>
        <c:axId val="49551616"/>
      </c:lineChart>
      <c:catAx>
        <c:axId val="49550080"/>
        <c:scaling>
          <c:orientation val="minMax"/>
        </c:scaling>
        <c:delete val="0"/>
        <c:axPos val="b"/>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49551616"/>
        <c:crosses val="autoZero"/>
        <c:auto val="1"/>
        <c:lblAlgn val="ctr"/>
        <c:lblOffset val="100"/>
        <c:noMultiLvlLbl val="0"/>
      </c:catAx>
      <c:valAx>
        <c:axId val="49551616"/>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49550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hu-HU" sz="1100"/>
              <a:t>Decline in consumption during the covid-19 epidemic</a:t>
            </a:r>
          </a:p>
        </c:rich>
      </c:tx>
      <c:overlay val="0"/>
      <c:spPr>
        <a:noFill/>
        <a:ln>
          <a:noFill/>
        </a:ln>
        <a:effectLst/>
      </c:spPr>
    </c:title>
    <c:autoTitleDeleted val="0"/>
    <c:plotArea>
      <c:layout/>
      <c:lineChart>
        <c:grouping val="standard"/>
        <c:varyColors val="0"/>
        <c:ser>
          <c:idx val="0"/>
          <c:order val="0"/>
          <c:tx>
            <c:strRef>
              <c:f>'fogy visszaesés'!$B$1</c:f>
              <c:strCache>
                <c:ptCount val="1"/>
                <c:pt idx="0">
                  <c:v>relative value of decline in the case of physical products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b"/>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'fogy visszaesés'!$A$2:$A$6</c:f>
              <c:strCache>
                <c:ptCount val="5"/>
                <c:pt idx="0">
                  <c:v>China</c:v>
                </c:pt>
                <c:pt idx="1">
                  <c:v>USA</c:v>
                </c:pt>
                <c:pt idx="2">
                  <c:v>UK</c:v>
                </c:pt>
                <c:pt idx="3">
                  <c:v>Germany</c:v>
                </c:pt>
                <c:pt idx="4">
                  <c:v>France</c:v>
                </c:pt>
              </c:strCache>
            </c:strRef>
          </c:cat>
          <c:val>
            <c:numRef>
              <c:f>'fogy visszaesés'!$B$2:$B$6</c:f>
              <c:numCache>
                <c:formatCode>0%</c:formatCode>
                <c:ptCount val="5"/>
                <c:pt idx="0">
                  <c:v>-0.05</c:v>
                </c:pt>
                <c:pt idx="1">
                  <c:v>-0.01</c:v>
                </c:pt>
                <c:pt idx="2">
                  <c:v>-0.06</c:v>
                </c:pt>
                <c:pt idx="3">
                  <c:v>-0.03</c:v>
                </c:pt>
                <c:pt idx="4">
                  <c:v>-0.05</c:v>
                </c:pt>
              </c:numCache>
            </c:numRef>
          </c:val>
          <c:smooth val="0"/>
          <c:extLst xmlns:c16r2="http://schemas.microsoft.com/office/drawing/2015/06/chart">
            <c:ext xmlns:c16="http://schemas.microsoft.com/office/drawing/2014/chart" uri="{C3380CC4-5D6E-409C-BE32-E72D297353CC}">
              <c16:uniqueId val="{00000000-187D-F542-9DA2-E81A0B067D67}"/>
            </c:ext>
          </c:extLst>
        </c:ser>
        <c:ser>
          <c:idx val="1"/>
          <c:order val="1"/>
          <c:tx>
            <c:strRef>
              <c:f>'fogy visszaesés'!$C$1</c:f>
              <c:strCache>
                <c:ptCount val="1"/>
                <c:pt idx="0">
                  <c:v>relative value of decline in the service sector</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b"/>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'fogy visszaesés'!$A$2:$A$6</c:f>
              <c:strCache>
                <c:ptCount val="5"/>
                <c:pt idx="0">
                  <c:v>China</c:v>
                </c:pt>
                <c:pt idx="1">
                  <c:v>USA</c:v>
                </c:pt>
                <c:pt idx="2">
                  <c:v>UK</c:v>
                </c:pt>
                <c:pt idx="3">
                  <c:v>Germany</c:v>
                </c:pt>
                <c:pt idx="4">
                  <c:v>France</c:v>
                </c:pt>
              </c:strCache>
            </c:strRef>
          </c:cat>
          <c:val>
            <c:numRef>
              <c:f>'fogy visszaesés'!$C$2:$C$6</c:f>
              <c:numCache>
                <c:formatCode>0%</c:formatCode>
                <c:ptCount val="5"/>
                <c:pt idx="0">
                  <c:v>-0.12</c:v>
                </c:pt>
                <c:pt idx="1">
                  <c:v>-0.1</c:v>
                </c:pt>
                <c:pt idx="2">
                  <c:v>-0.19</c:v>
                </c:pt>
                <c:pt idx="3">
                  <c:v>-0.1</c:v>
                </c:pt>
                <c:pt idx="4">
                  <c:v>-0.12</c:v>
                </c:pt>
              </c:numCache>
            </c:numRef>
          </c:val>
          <c:smooth val="0"/>
          <c:extLst xmlns:c16r2="http://schemas.microsoft.com/office/drawing/2015/06/chart">
            <c:ext xmlns:c16="http://schemas.microsoft.com/office/drawing/2014/chart" uri="{C3380CC4-5D6E-409C-BE32-E72D297353CC}">
              <c16:uniqueId val="{00000001-187D-F542-9DA2-E81A0B067D67}"/>
            </c:ext>
          </c:extLst>
        </c:ser>
        <c:dLbls>
          <c:dLblPos val="b"/>
          <c:showLegendKey val="0"/>
          <c:showVal val="1"/>
          <c:showCatName val="0"/>
          <c:showSerName val="0"/>
          <c:showPercent val="0"/>
          <c:showBubbleSize val="0"/>
        </c:dLbls>
        <c:marker val="1"/>
        <c:smooth val="0"/>
        <c:axId val="49570176"/>
        <c:axId val="49571712"/>
      </c:lineChart>
      <c:catAx>
        <c:axId val="49570176"/>
        <c:scaling>
          <c:orientation val="minMax"/>
        </c:scaling>
        <c:delete val="0"/>
        <c:axPos val="b"/>
        <c:numFmt formatCode="General" sourceLinked="1"/>
        <c:majorTickMark val="none"/>
        <c:minorTickMark val="none"/>
        <c:tickLblPos val="nextTo"/>
        <c:spPr>
          <a:solidFill>
            <a:schemeClr val="accent2">
              <a:lumMod val="40000"/>
              <a:lumOff val="60000"/>
            </a:schemeClr>
          </a:solid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49571712"/>
        <c:crosses val="autoZero"/>
        <c:auto val="1"/>
        <c:lblAlgn val="ctr"/>
        <c:lblOffset val="100"/>
        <c:noMultiLvlLbl val="0"/>
      </c:catAx>
      <c:valAx>
        <c:axId val="495717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49570176"/>
        <c:crossesAt val="1"/>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r>
              <a:rPr lang="hu-HU"/>
              <a:t>gross profit vs. cost of sales vs. operating costs per year from 2018-2023 in million USD </a:t>
            </a:r>
          </a:p>
        </c:rich>
      </c:tx>
      <c:overlay val="0"/>
      <c:spPr>
        <a:noFill/>
        <a:ln>
          <a:noFill/>
        </a:ln>
        <a:effectLst/>
      </c:spPr>
    </c:title>
    <c:autoTitleDeleted val="0"/>
    <c:plotArea>
      <c:layout/>
      <c:lineChart>
        <c:grouping val="standard"/>
        <c:varyColors val="0"/>
        <c:ser>
          <c:idx val="0"/>
          <c:order val="0"/>
          <c:tx>
            <c:strRef>
              <c:f>'Shangri-La'!$C$2</c:f>
              <c:strCache>
                <c:ptCount val="1"/>
                <c:pt idx="0">
                  <c:v>cost of sales (million USD)</c:v>
                </c:pt>
              </c:strCache>
            </c:strRef>
          </c:tx>
          <c:spPr>
            <a:ln w="28575" cap="rnd">
              <a:solidFill>
                <a:schemeClr val="accent1"/>
              </a:solidFill>
              <a:round/>
            </a:ln>
            <a:effectLst/>
          </c:spPr>
          <c:marker>
            <c:symbol val="none"/>
          </c:marker>
          <c:dLbls>
            <c:spPr>
              <a:solidFill>
                <a:schemeClr val="accent1">
                  <a:lumMod val="20000"/>
                  <a:lumOff val="80000"/>
                </a:schemeClr>
              </a:solidFill>
              <a:ln>
                <a:noFill/>
              </a:ln>
              <a:effectLst/>
            </c:spPr>
            <c:txPr>
              <a:bodyPr rot="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'Shangri-La'!$A$3:$A$8</c:f>
              <c:numCache>
                <c:formatCode>General</c:formatCode>
                <c:ptCount val="6"/>
                <c:pt idx="0" formatCode="0">
                  <c:v>2018</c:v>
                </c:pt>
                <c:pt idx="1">
                  <c:v>2019</c:v>
                </c:pt>
                <c:pt idx="2">
                  <c:v>2020</c:v>
                </c:pt>
                <c:pt idx="3">
                  <c:v>2021</c:v>
                </c:pt>
                <c:pt idx="4">
                  <c:v>2022</c:v>
                </c:pt>
                <c:pt idx="5">
                  <c:v>2023</c:v>
                </c:pt>
              </c:numCache>
            </c:numRef>
          </c:cat>
          <c:val>
            <c:numRef>
              <c:f>'Shangri-La'!$C$3:$C$8</c:f>
              <c:numCache>
                <c:formatCode>General</c:formatCode>
                <c:ptCount val="6"/>
                <c:pt idx="0" formatCode="0.0">
                  <c:v>1113.3</c:v>
                </c:pt>
                <c:pt idx="1">
                  <c:v>1108.5999999999999</c:v>
                </c:pt>
                <c:pt idx="2">
                  <c:v>600.6</c:v>
                </c:pt>
                <c:pt idx="3" formatCode="0.0">
                  <c:v>696.5</c:v>
                </c:pt>
                <c:pt idx="4" formatCode="0.0">
                  <c:v>775.6</c:v>
                </c:pt>
                <c:pt idx="5" formatCode="0.0">
                  <c:v>975.1</c:v>
                </c:pt>
              </c:numCache>
            </c:numRef>
          </c:val>
          <c:smooth val="0"/>
          <c:extLst xmlns:c16r2="http://schemas.microsoft.com/office/drawing/2015/06/chart">
            <c:ext xmlns:c16="http://schemas.microsoft.com/office/drawing/2014/chart" uri="{C3380CC4-5D6E-409C-BE32-E72D297353CC}">
              <c16:uniqueId val="{00000000-63AB-7B47-8E22-E29824E54E0D}"/>
            </c:ext>
          </c:extLst>
        </c:ser>
        <c:ser>
          <c:idx val="1"/>
          <c:order val="1"/>
          <c:tx>
            <c:strRef>
              <c:f>'Shangri-La'!$D$2</c:f>
              <c:strCache>
                <c:ptCount val="1"/>
                <c:pt idx="0">
                  <c:v>gross profit (million USD)</c:v>
                </c:pt>
              </c:strCache>
            </c:strRef>
          </c:tx>
          <c:spPr>
            <a:ln w="28575" cap="rnd">
              <a:solidFill>
                <a:schemeClr val="accent2"/>
              </a:solidFill>
              <a:round/>
            </a:ln>
            <a:effectLst/>
          </c:spPr>
          <c:marker>
            <c:symbol val="none"/>
          </c:marker>
          <c:dLbls>
            <c:spPr>
              <a:solidFill>
                <a:schemeClr val="accent2">
                  <a:lumMod val="20000"/>
                  <a:lumOff val="80000"/>
                </a:schemeClr>
              </a:solidFill>
              <a:ln>
                <a:noFill/>
              </a:ln>
              <a:effectLst/>
            </c:spPr>
            <c:txPr>
              <a:bodyPr rot="0" spcFirstLastPara="1" vertOverflow="ellipsis" vert="horz" wrap="square" anchor="ctr" anchorCtr="1"/>
              <a:lstStyle/>
              <a:p>
                <a:pPr>
                  <a:defRPr sz="7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'Shangri-La'!$A$3:$A$8</c:f>
              <c:numCache>
                <c:formatCode>General</c:formatCode>
                <c:ptCount val="6"/>
                <c:pt idx="0" formatCode="0">
                  <c:v>2018</c:v>
                </c:pt>
                <c:pt idx="1">
                  <c:v>2019</c:v>
                </c:pt>
                <c:pt idx="2">
                  <c:v>2020</c:v>
                </c:pt>
                <c:pt idx="3">
                  <c:v>2021</c:v>
                </c:pt>
                <c:pt idx="4">
                  <c:v>2022</c:v>
                </c:pt>
                <c:pt idx="5">
                  <c:v>2023</c:v>
                </c:pt>
              </c:numCache>
            </c:numRef>
          </c:cat>
          <c:val>
            <c:numRef>
              <c:f>'Shangri-La'!$D$3:$D$8</c:f>
              <c:numCache>
                <c:formatCode>General</c:formatCode>
                <c:ptCount val="6"/>
                <c:pt idx="0" formatCode="0.0">
                  <c:v>1404.6</c:v>
                </c:pt>
                <c:pt idx="1">
                  <c:v>1322.6</c:v>
                </c:pt>
                <c:pt idx="2">
                  <c:v>257.39999999999998</c:v>
                </c:pt>
                <c:pt idx="3" formatCode="0.0">
                  <c:v>989.1</c:v>
                </c:pt>
                <c:pt idx="4" formatCode="0.0">
                  <c:v>686.5</c:v>
                </c:pt>
                <c:pt idx="5" formatCode="0.0">
                  <c:v>1166.7</c:v>
                </c:pt>
              </c:numCache>
            </c:numRef>
          </c:val>
          <c:smooth val="0"/>
          <c:extLst xmlns:c16r2="http://schemas.microsoft.com/office/drawing/2015/06/chart">
            <c:ext xmlns:c16="http://schemas.microsoft.com/office/drawing/2014/chart" uri="{C3380CC4-5D6E-409C-BE32-E72D297353CC}">
              <c16:uniqueId val="{00000001-63AB-7B47-8E22-E29824E54E0D}"/>
            </c:ext>
          </c:extLst>
        </c:ser>
        <c:ser>
          <c:idx val="2"/>
          <c:order val="2"/>
          <c:tx>
            <c:strRef>
              <c:f>'Shangri-La'!$E$2</c:f>
              <c:strCache>
                <c:ptCount val="1"/>
                <c:pt idx="0">
                  <c:v>operating costs (million USD)</c:v>
                </c:pt>
              </c:strCache>
            </c:strRef>
          </c:tx>
          <c:spPr>
            <a:ln w="28575" cap="rnd">
              <a:solidFill>
                <a:schemeClr val="accent3"/>
              </a:solidFill>
              <a:round/>
            </a:ln>
            <a:effectLst/>
          </c:spPr>
          <c:marker>
            <c:symbol val="none"/>
          </c:marker>
          <c:dLbls>
            <c:spPr>
              <a:solidFill>
                <a:schemeClr val="accent6">
                  <a:lumMod val="20000"/>
                  <a:lumOff val="80000"/>
                </a:schemeClr>
              </a:solidFill>
              <a:ln>
                <a:noFill/>
              </a:ln>
              <a:effectLst/>
            </c:spPr>
            <c:txPr>
              <a:bodyPr rot="0" spcFirstLastPara="1" vertOverflow="ellipsis" vert="horz" wrap="square" anchor="ctr" anchorCtr="1"/>
              <a:lstStyle/>
              <a:p>
                <a:pPr>
                  <a:defRPr sz="7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'Shangri-La'!$A$3:$A$8</c:f>
              <c:numCache>
                <c:formatCode>General</c:formatCode>
                <c:ptCount val="6"/>
                <c:pt idx="0" formatCode="0">
                  <c:v>2018</c:v>
                </c:pt>
                <c:pt idx="1">
                  <c:v>2019</c:v>
                </c:pt>
                <c:pt idx="2">
                  <c:v>2020</c:v>
                </c:pt>
                <c:pt idx="3">
                  <c:v>2021</c:v>
                </c:pt>
                <c:pt idx="4">
                  <c:v>2022</c:v>
                </c:pt>
                <c:pt idx="5">
                  <c:v>2023</c:v>
                </c:pt>
              </c:numCache>
            </c:numRef>
          </c:cat>
          <c:val>
            <c:numRef>
              <c:f>'Shangri-La'!$E$3:$E$8</c:f>
              <c:numCache>
                <c:formatCode>General</c:formatCode>
                <c:ptCount val="6"/>
                <c:pt idx="0" formatCode="0.0">
                  <c:v>743.8</c:v>
                </c:pt>
                <c:pt idx="1">
                  <c:v>739.8</c:v>
                </c:pt>
                <c:pt idx="2">
                  <c:v>447.1</c:v>
                </c:pt>
                <c:pt idx="3" formatCode="0.0">
                  <c:v>451.9</c:v>
                </c:pt>
                <c:pt idx="4" formatCode="0.0">
                  <c:v>527.1</c:v>
                </c:pt>
                <c:pt idx="5" formatCode="0.0">
                  <c:v>650</c:v>
                </c:pt>
              </c:numCache>
            </c:numRef>
          </c:val>
          <c:smooth val="0"/>
          <c:extLst xmlns:c16r2="http://schemas.microsoft.com/office/drawing/2015/06/chart">
            <c:ext xmlns:c16="http://schemas.microsoft.com/office/drawing/2014/chart" uri="{C3380CC4-5D6E-409C-BE32-E72D297353CC}">
              <c16:uniqueId val="{00000002-63AB-7B47-8E22-E29824E54E0D}"/>
            </c:ext>
          </c:extLst>
        </c:ser>
        <c:dLbls>
          <c:dLblPos val="r"/>
          <c:showLegendKey val="0"/>
          <c:showVal val="1"/>
          <c:showCatName val="0"/>
          <c:showSerName val="0"/>
          <c:showPercent val="0"/>
          <c:showBubbleSize val="0"/>
        </c:dLbls>
        <c:marker val="1"/>
        <c:smooth val="0"/>
        <c:axId val="49752320"/>
        <c:axId val="49762304"/>
      </c:lineChart>
      <c:catAx>
        <c:axId val="49752320"/>
        <c:scaling>
          <c:orientation val="minMax"/>
        </c:scaling>
        <c:delete val="0"/>
        <c:axPos val="b"/>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49762304"/>
        <c:crosses val="autoZero"/>
        <c:auto val="1"/>
        <c:lblAlgn val="ctr"/>
        <c:lblOffset val="100"/>
        <c:noMultiLvlLbl val="0"/>
      </c:catAx>
      <c:valAx>
        <c:axId val="4976230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49752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7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80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80" b="0" i="0" u="none" strike="noStrike" kern="1200" spc="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title>
    <c:autoTitleDeleted val="0"/>
    <c:plotArea>
      <c:layout/>
      <c:barChart>
        <c:barDir val="col"/>
        <c:grouping val="clustered"/>
        <c:varyColors val="0"/>
        <c:ser>
          <c:idx val="0"/>
          <c:order val="0"/>
          <c:tx>
            <c:strRef>
              <c:f>ADR!$G$28</c:f>
              <c:strCache>
                <c:ptCount val="1"/>
                <c:pt idx="0">
                  <c:v>RevPAR (Revenue Per Available Room) USD</c:v>
                </c:pt>
              </c:strCache>
            </c:strRef>
          </c:tx>
          <c:spPr>
            <a:solidFill>
              <a:schemeClr val="accent1"/>
            </a:solidFill>
            <a:ln>
              <a:noFill/>
            </a:ln>
            <a:effectLst/>
          </c:spPr>
          <c:invertIfNegative val="0"/>
          <c:dPt>
            <c:idx val="0"/>
            <c:invertIfNegative val="0"/>
            <c:bubble3D val="0"/>
            <c:spPr>
              <a:solidFill>
                <a:schemeClr val="accent2">
                  <a:lumMod val="60000"/>
                  <a:lumOff val="40000"/>
                </a:schemeClr>
              </a:solidFill>
              <a:ln>
                <a:noFill/>
              </a:ln>
              <a:effectLst/>
            </c:spPr>
            <c:extLst xmlns:c16r2="http://schemas.microsoft.com/office/drawing/2015/06/chart">
              <c:ext xmlns:c16="http://schemas.microsoft.com/office/drawing/2014/chart" uri="{C3380CC4-5D6E-409C-BE32-E72D297353CC}">
                <c16:uniqueId val="{00000001-97FA-9047-8A65-8ABBF0AA8BF4}"/>
              </c:ext>
            </c:extLst>
          </c:dPt>
          <c:dPt>
            <c:idx val="1"/>
            <c:invertIfNegative val="0"/>
            <c:bubble3D val="0"/>
            <c:spPr>
              <a:solidFill>
                <a:schemeClr val="accent2">
                  <a:lumMod val="60000"/>
                  <a:lumOff val="40000"/>
                </a:schemeClr>
              </a:solidFill>
              <a:ln>
                <a:noFill/>
              </a:ln>
              <a:effectLst/>
            </c:spPr>
            <c:extLst xmlns:c16r2="http://schemas.microsoft.com/office/drawing/2015/06/chart">
              <c:ext xmlns:c16="http://schemas.microsoft.com/office/drawing/2014/chart" uri="{C3380CC4-5D6E-409C-BE32-E72D297353CC}">
                <c16:uniqueId val="{00000002-97FA-9047-8A65-8ABBF0AA8BF4}"/>
              </c:ext>
            </c:extLst>
          </c:dPt>
          <c:dPt>
            <c:idx val="2"/>
            <c:invertIfNegative val="0"/>
            <c:bubble3D val="0"/>
            <c:spPr>
              <a:solidFill>
                <a:schemeClr val="accent2">
                  <a:lumMod val="60000"/>
                  <a:lumOff val="40000"/>
                </a:schemeClr>
              </a:solidFill>
              <a:ln>
                <a:noFill/>
              </a:ln>
              <a:effectLst/>
            </c:spPr>
            <c:extLst xmlns:c16r2="http://schemas.microsoft.com/office/drawing/2015/06/chart">
              <c:ext xmlns:c16="http://schemas.microsoft.com/office/drawing/2014/chart" uri="{C3380CC4-5D6E-409C-BE32-E72D297353CC}">
                <c16:uniqueId val="{00000003-97FA-9047-8A65-8ABBF0AA8BF4}"/>
              </c:ext>
            </c:extLst>
          </c:dPt>
          <c:dPt>
            <c:idx val="3"/>
            <c:invertIfNegative val="0"/>
            <c:bubble3D val="0"/>
            <c:spPr>
              <a:solidFill>
                <a:schemeClr val="accent2">
                  <a:lumMod val="60000"/>
                  <a:lumOff val="40000"/>
                </a:schemeClr>
              </a:solidFill>
              <a:ln>
                <a:noFill/>
              </a:ln>
              <a:effectLst/>
            </c:spPr>
            <c:extLst xmlns:c16r2="http://schemas.microsoft.com/office/drawing/2015/06/chart">
              <c:ext xmlns:c16="http://schemas.microsoft.com/office/drawing/2014/chart" uri="{C3380CC4-5D6E-409C-BE32-E72D297353CC}">
                <c16:uniqueId val="{00000004-97FA-9047-8A65-8ABBF0AA8BF4}"/>
              </c:ext>
            </c:extLst>
          </c:dPt>
          <c:dPt>
            <c:idx val="4"/>
            <c:invertIfNegative val="0"/>
            <c:bubble3D val="0"/>
            <c:spPr>
              <a:solidFill>
                <a:schemeClr val="accent2">
                  <a:lumMod val="60000"/>
                  <a:lumOff val="40000"/>
                </a:schemeClr>
              </a:solidFill>
              <a:ln>
                <a:noFill/>
              </a:ln>
              <a:effectLst/>
            </c:spPr>
            <c:extLst xmlns:c16r2="http://schemas.microsoft.com/office/drawing/2015/06/chart">
              <c:ext xmlns:c16="http://schemas.microsoft.com/office/drawing/2014/chart" uri="{C3380CC4-5D6E-409C-BE32-E72D297353CC}">
                <c16:uniqueId val="{00000005-97FA-9047-8A65-8ABBF0AA8BF4}"/>
              </c:ext>
            </c:extLst>
          </c:dPt>
          <c:dPt>
            <c:idx val="5"/>
            <c:invertIfNegative val="0"/>
            <c:bubble3D val="0"/>
            <c:spPr>
              <a:solidFill>
                <a:schemeClr val="accent2">
                  <a:lumMod val="60000"/>
                  <a:lumOff val="40000"/>
                </a:schemeClr>
              </a:solidFill>
              <a:ln>
                <a:noFill/>
              </a:ln>
              <a:effectLst/>
            </c:spPr>
            <c:extLst xmlns:c16r2="http://schemas.microsoft.com/office/drawing/2015/06/chart">
              <c:ext xmlns:c16="http://schemas.microsoft.com/office/drawing/2014/chart" uri="{C3380CC4-5D6E-409C-BE32-E72D297353CC}">
                <c16:uniqueId val="{00000006-97FA-9047-8A65-8ABBF0AA8BF4}"/>
              </c:ext>
            </c:extLst>
          </c:dPt>
          <c:dPt>
            <c:idx val="12"/>
            <c:invertIfNegative val="0"/>
            <c:bubble3D val="0"/>
            <c:spPr>
              <a:solidFill>
                <a:schemeClr val="accent6">
                  <a:lumMod val="40000"/>
                  <a:lumOff val="60000"/>
                </a:schemeClr>
              </a:solidFill>
              <a:ln>
                <a:noFill/>
              </a:ln>
              <a:effectLst/>
            </c:spPr>
            <c:extLst xmlns:c16r2="http://schemas.microsoft.com/office/drawing/2015/06/chart">
              <c:ext xmlns:c16="http://schemas.microsoft.com/office/drawing/2014/chart" uri="{C3380CC4-5D6E-409C-BE32-E72D297353CC}">
                <c16:uniqueId val="{00000007-97FA-9047-8A65-8ABBF0AA8BF4}"/>
              </c:ext>
            </c:extLst>
          </c:dPt>
          <c:dPt>
            <c:idx val="13"/>
            <c:invertIfNegative val="0"/>
            <c:bubble3D val="0"/>
            <c:spPr>
              <a:solidFill>
                <a:schemeClr val="accent6">
                  <a:lumMod val="40000"/>
                  <a:lumOff val="60000"/>
                </a:schemeClr>
              </a:solidFill>
              <a:ln>
                <a:noFill/>
              </a:ln>
              <a:effectLst/>
            </c:spPr>
            <c:extLst xmlns:c16r2="http://schemas.microsoft.com/office/drawing/2015/06/chart">
              <c:ext xmlns:c16="http://schemas.microsoft.com/office/drawing/2014/chart" uri="{C3380CC4-5D6E-409C-BE32-E72D297353CC}">
                <c16:uniqueId val="{00000008-97FA-9047-8A65-8ABBF0AA8BF4}"/>
              </c:ext>
            </c:extLst>
          </c:dPt>
          <c:dPt>
            <c:idx val="14"/>
            <c:invertIfNegative val="0"/>
            <c:bubble3D val="0"/>
            <c:spPr>
              <a:solidFill>
                <a:schemeClr val="accent6">
                  <a:lumMod val="40000"/>
                  <a:lumOff val="60000"/>
                </a:schemeClr>
              </a:solidFill>
              <a:ln>
                <a:noFill/>
              </a:ln>
              <a:effectLst/>
            </c:spPr>
            <c:extLst xmlns:c16r2="http://schemas.microsoft.com/office/drawing/2015/06/chart">
              <c:ext xmlns:c16="http://schemas.microsoft.com/office/drawing/2014/chart" uri="{C3380CC4-5D6E-409C-BE32-E72D297353CC}">
                <c16:uniqueId val="{0000000A-97FA-9047-8A65-8ABBF0AA8BF4}"/>
              </c:ext>
            </c:extLst>
          </c:dPt>
          <c:dPt>
            <c:idx val="15"/>
            <c:invertIfNegative val="0"/>
            <c:bubble3D val="0"/>
            <c:spPr>
              <a:solidFill>
                <a:schemeClr val="accent6">
                  <a:lumMod val="40000"/>
                  <a:lumOff val="60000"/>
                </a:schemeClr>
              </a:solidFill>
              <a:ln>
                <a:noFill/>
              </a:ln>
              <a:effectLst/>
            </c:spPr>
            <c:extLst xmlns:c16r2="http://schemas.microsoft.com/office/drawing/2015/06/chart">
              <c:ext xmlns:c16="http://schemas.microsoft.com/office/drawing/2014/chart" uri="{C3380CC4-5D6E-409C-BE32-E72D297353CC}">
                <c16:uniqueId val="{00000009-97FA-9047-8A65-8ABBF0AA8BF4}"/>
              </c:ext>
            </c:extLst>
          </c:dPt>
          <c:dPt>
            <c:idx val="16"/>
            <c:invertIfNegative val="0"/>
            <c:bubble3D val="0"/>
            <c:spPr>
              <a:solidFill>
                <a:schemeClr val="accent6">
                  <a:lumMod val="40000"/>
                  <a:lumOff val="60000"/>
                </a:schemeClr>
              </a:solidFill>
              <a:ln>
                <a:noFill/>
              </a:ln>
              <a:effectLst/>
            </c:spPr>
            <c:extLst xmlns:c16r2="http://schemas.microsoft.com/office/drawing/2015/06/chart">
              <c:ext xmlns:c16="http://schemas.microsoft.com/office/drawing/2014/chart" uri="{C3380CC4-5D6E-409C-BE32-E72D297353CC}">
                <c16:uniqueId val="{0000000B-97FA-9047-8A65-8ABBF0AA8BF4}"/>
              </c:ext>
            </c:extLst>
          </c:dPt>
          <c:dPt>
            <c:idx val="17"/>
            <c:invertIfNegative val="0"/>
            <c:bubble3D val="0"/>
            <c:spPr>
              <a:solidFill>
                <a:schemeClr val="accent6">
                  <a:lumMod val="40000"/>
                  <a:lumOff val="60000"/>
                </a:schemeClr>
              </a:solidFill>
              <a:ln>
                <a:noFill/>
              </a:ln>
              <a:effectLst/>
            </c:spPr>
            <c:extLst xmlns:c16r2="http://schemas.microsoft.com/office/drawing/2015/06/chart">
              <c:ext xmlns:c16="http://schemas.microsoft.com/office/drawing/2014/chart" uri="{C3380CC4-5D6E-409C-BE32-E72D297353CC}">
                <c16:uniqueId val="{0000000C-97FA-9047-8A65-8ABBF0AA8BF4}"/>
              </c:ext>
            </c:extLst>
          </c:dPt>
          <c:dPt>
            <c:idx val="18"/>
            <c:invertIfNegative val="0"/>
            <c:bubble3D val="0"/>
            <c:spPr>
              <a:solidFill>
                <a:schemeClr val="accent4">
                  <a:lumMod val="60000"/>
                  <a:lumOff val="40000"/>
                </a:schemeClr>
              </a:solidFill>
              <a:ln>
                <a:noFill/>
              </a:ln>
              <a:effectLst/>
            </c:spPr>
            <c:extLst xmlns:c16r2="http://schemas.microsoft.com/office/drawing/2015/06/chart">
              <c:ext xmlns:c16="http://schemas.microsoft.com/office/drawing/2014/chart" uri="{C3380CC4-5D6E-409C-BE32-E72D297353CC}">
                <c16:uniqueId val="{0000000D-97FA-9047-8A65-8ABBF0AA8BF4}"/>
              </c:ext>
            </c:extLst>
          </c:dPt>
          <c:dPt>
            <c:idx val="19"/>
            <c:invertIfNegative val="0"/>
            <c:bubble3D val="0"/>
            <c:spPr>
              <a:solidFill>
                <a:schemeClr val="accent4">
                  <a:lumMod val="60000"/>
                  <a:lumOff val="40000"/>
                </a:schemeClr>
              </a:solidFill>
              <a:ln>
                <a:noFill/>
              </a:ln>
              <a:effectLst/>
            </c:spPr>
            <c:extLst xmlns:c16r2="http://schemas.microsoft.com/office/drawing/2015/06/chart">
              <c:ext xmlns:c16="http://schemas.microsoft.com/office/drawing/2014/chart" uri="{C3380CC4-5D6E-409C-BE32-E72D297353CC}">
                <c16:uniqueId val="{0000000E-97FA-9047-8A65-8ABBF0AA8BF4}"/>
              </c:ext>
            </c:extLst>
          </c:dPt>
          <c:dPt>
            <c:idx val="20"/>
            <c:invertIfNegative val="0"/>
            <c:bubble3D val="0"/>
            <c:spPr>
              <a:solidFill>
                <a:schemeClr val="accent4">
                  <a:lumMod val="60000"/>
                  <a:lumOff val="40000"/>
                </a:schemeClr>
              </a:solidFill>
              <a:ln>
                <a:noFill/>
              </a:ln>
              <a:effectLst/>
            </c:spPr>
            <c:extLst xmlns:c16r2="http://schemas.microsoft.com/office/drawing/2015/06/chart">
              <c:ext xmlns:c16="http://schemas.microsoft.com/office/drawing/2014/chart" uri="{C3380CC4-5D6E-409C-BE32-E72D297353CC}">
                <c16:uniqueId val="{0000000F-97FA-9047-8A65-8ABBF0AA8BF4}"/>
              </c:ext>
            </c:extLst>
          </c:dPt>
          <c:dPt>
            <c:idx val="21"/>
            <c:invertIfNegative val="0"/>
            <c:bubble3D val="0"/>
            <c:spPr>
              <a:solidFill>
                <a:schemeClr val="accent4">
                  <a:lumMod val="60000"/>
                  <a:lumOff val="40000"/>
                </a:schemeClr>
              </a:solidFill>
              <a:ln>
                <a:noFill/>
              </a:ln>
              <a:effectLst/>
            </c:spPr>
            <c:extLst xmlns:c16r2="http://schemas.microsoft.com/office/drawing/2015/06/chart">
              <c:ext xmlns:c16="http://schemas.microsoft.com/office/drawing/2014/chart" uri="{C3380CC4-5D6E-409C-BE32-E72D297353CC}">
                <c16:uniqueId val="{00000010-97FA-9047-8A65-8ABBF0AA8BF4}"/>
              </c:ext>
            </c:extLst>
          </c:dPt>
          <c:dPt>
            <c:idx val="22"/>
            <c:invertIfNegative val="0"/>
            <c:bubble3D val="0"/>
            <c:spPr>
              <a:solidFill>
                <a:schemeClr val="accent4">
                  <a:lumMod val="60000"/>
                  <a:lumOff val="40000"/>
                </a:schemeClr>
              </a:solidFill>
              <a:ln>
                <a:noFill/>
              </a:ln>
              <a:effectLst/>
            </c:spPr>
            <c:extLst xmlns:c16r2="http://schemas.microsoft.com/office/drawing/2015/06/chart">
              <c:ext xmlns:c16="http://schemas.microsoft.com/office/drawing/2014/chart" uri="{C3380CC4-5D6E-409C-BE32-E72D297353CC}">
                <c16:uniqueId val="{00000011-97FA-9047-8A65-8ABBF0AA8BF4}"/>
              </c:ext>
            </c:extLst>
          </c:dPt>
          <c:dPt>
            <c:idx val="23"/>
            <c:invertIfNegative val="0"/>
            <c:bubble3D val="0"/>
            <c:spPr>
              <a:solidFill>
                <a:schemeClr val="accent4">
                  <a:lumMod val="60000"/>
                  <a:lumOff val="40000"/>
                </a:schemeClr>
              </a:solidFill>
              <a:ln>
                <a:noFill/>
              </a:ln>
              <a:effectLst/>
            </c:spPr>
            <c:extLst xmlns:c16r2="http://schemas.microsoft.com/office/drawing/2015/06/chart">
              <c:ext xmlns:c16="http://schemas.microsoft.com/office/drawing/2014/chart" uri="{C3380CC4-5D6E-409C-BE32-E72D297353CC}">
                <c16:uniqueId val="{00000012-97FA-9047-8A65-8ABBF0AA8BF4}"/>
              </c:ext>
            </c:extLst>
          </c:dPt>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ADR!$E$29:$F$52</c:f>
              <c:multiLvlStrCache>
                <c:ptCount val="24"/>
                <c:lvl>
                  <c:pt idx="0">
                    <c:v>y2018</c:v>
                  </c:pt>
                  <c:pt idx="1">
                    <c:v>y2019</c:v>
                  </c:pt>
                  <c:pt idx="2">
                    <c:v>y2020</c:v>
                  </c:pt>
                  <c:pt idx="3">
                    <c:v>y2021</c:v>
                  </c:pt>
                  <c:pt idx="4">
                    <c:v>y2022</c:v>
                  </c:pt>
                  <c:pt idx="5">
                    <c:v>y2023</c:v>
                  </c:pt>
                  <c:pt idx="6">
                    <c:v>y2018</c:v>
                  </c:pt>
                  <c:pt idx="7">
                    <c:v>y2019</c:v>
                  </c:pt>
                  <c:pt idx="8">
                    <c:v>y2020</c:v>
                  </c:pt>
                  <c:pt idx="9">
                    <c:v>y2021</c:v>
                  </c:pt>
                  <c:pt idx="10">
                    <c:v>y2022</c:v>
                  </c:pt>
                  <c:pt idx="11">
                    <c:v>y2023</c:v>
                  </c:pt>
                  <c:pt idx="12">
                    <c:v>y2018</c:v>
                  </c:pt>
                  <c:pt idx="13">
                    <c:v>y2019</c:v>
                  </c:pt>
                  <c:pt idx="14">
                    <c:v>y2020</c:v>
                  </c:pt>
                  <c:pt idx="15">
                    <c:v>y2021</c:v>
                  </c:pt>
                  <c:pt idx="16">
                    <c:v>y2022</c:v>
                  </c:pt>
                  <c:pt idx="17">
                    <c:v>y2023</c:v>
                  </c:pt>
                  <c:pt idx="18">
                    <c:v>y2018</c:v>
                  </c:pt>
                  <c:pt idx="19">
                    <c:v>y2019</c:v>
                  </c:pt>
                  <c:pt idx="20">
                    <c:v>y2020</c:v>
                  </c:pt>
                  <c:pt idx="21">
                    <c:v>y2021</c:v>
                  </c:pt>
                  <c:pt idx="22">
                    <c:v>y2022</c:v>
                  </c:pt>
                  <c:pt idx="23">
                    <c:v>y2023</c:v>
                  </c:pt>
                </c:lvl>
                <c:lvl>
                  <c:pt idx="0">
                    <c:v>Shanri-La</c:v>
                  </c:pt>
                  <c:pt idx="6">
                    <c:v>Conrad Hotels</c:v>
                  </c:pt>
                  <c:pt idx="12">
                    <c:v>W Hotels</c:v>
                  </c:pt>
                  <c:pt idx="18">
                    <c:v>Ritz Carlton</c:v>
                  </c:pt>
                </c:lvl>
              </c:multiLvlStrCache>
            </c:multiLvlStrRef>
          </c:cat>
          <c:val>
            <c:numRef>
              <c:f>ADR!$G$29:$G$52</c:f>
              <c:numCache>
                <c:formatCode>General</c:formatCode>
                <c:ptCount val="24"/>
                <c:pt idx="0" formatCode="0.0">
                  <c:v>85</c:v>
                </c:pt>
                <c:pt idx="1">
                  <c:v>81</c:v>
                </c:pt>
                <c:pt idx="2">
                  <c:v>40</c:v>
                </c:pt>
                <c:pt idx="3">
                  <c:v>51</c:v>
                </c:pt>
                <c:pt idx="4">
                  <c:v>64</c:v>
                </c:pt>
                <c:pt idx="5">
                  <c:v>108</c:v>
                </c:pt>
                <c:pt idx="6">
                  <c:v>265.81</c:v>
                </c:pt>
                <c:pt idx="7">
                  <c:v>195.86</c:v>
                </c:pt>
                <c:pt idx="8">
                  <c:v>70.23</c:v>
                </c:pt>
                <c:pt idx="9">
                  <c:v>132.32</c:v>
                </c:pt>
                <c:pt idx="10">
                  <c:v>192.52</c:v>
                </c:pt>
                <c:pt idx="11">
                  <c:v>272.60000000000002</c:v>
                </c:pt>
                <c:pt idx="12">
                  <c:v>253.18</c:v>
                </c:pt>
                <c:pt idx="13">
                  <c:v>244.11</c:v>
                </c:pt>
                <c:pt idx="14">
                  <c:v>47.52</c:v>
                </c:pt>
                <c:pt idx="15">
                  <c:v>152.07</c:v>
                </c:pt>
                <c:pt idx="16">
                  <c:v>216.02</c:v>
                </c:pt>
                <c:pt idx="17">
                  <c:v>214.88</c:v>
                </c:pt>
                <c:pt idx="18">
                  <c:v>267.85000000000002</c:v>
                </c:pt>
                <c:pt idx="19">
                  <c:v>294.94</c:v>
                </c:pt>
                <c:pt idx="20">
                  <c:v>119.92</c:v>
                </c:pt>
                <c:pt idx="21">
                  <c:v>253.78</c:v>
                </c:pt>
                <c:pt idx="22">
                  <c:v>304.97000000000003</c:v>
                </c:pt>
                <c:pt idx="23">
                  <c:v>317.64999999999998</c:v>
                </c:pt>
              </c:numCache>
            </c:numRef>
          </c:val>
          <c:extLst xmlns:c16r2="http://schemas.microsoft.com/office/drawing/2015/06/chart">
            <c:ext xmlns:c16="http://schemas.microsoft.com/office/drawing/2014/chart" uri="{C3380CC4-5D6E-409C-BE32-E72D297353CC}">
              <c16:uniqueId val="{00000000-97FA-9047-8A65-8ABBF0AA8BF4}"/>
            </c:ext>
          </c:extLst>
        </c:ser>
        <c:dLbls>
          <c:dLblPos val="outEnd"/>
          <c:showLegendKey val="0"/>
          <c:showVal val="1"/>
          <c:showCatName val="0"/>
          <c:showSerName val="0"/>
          <c:showPercent val="0"/>
          <c:showBubbleSize val="0"/>
        </c:dLbls>
        <c:gapWidth val="219"/>
        <c:overlap val="-27"/>
        <c:axId val="49786240"/>
        <c:axId val="49817088"/>
      </c:barChart>
      <c:catAx>
        <c:axId val="49786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49817088"/>
        <c:crosses val="autoZero"/>
        <c:auto val="1"/>
        <c:lblAlgn val="ctr"/>
        <c:lblOffset val="100"/>
        <c:noMultiLvlLbl val="0"/>
      </c:catAx>
      <c:valAx>
        <c:axId val="4981708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4978624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90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80" b="0" i="0" u="none" strike="noStrike" kern="1200" spc="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r>
              <a:rPr lang="hu-HU"/>
              <a:t>Price-demand-supply function </a:t>
            </a:r>
          </a:p>
        </c:rich>
      </c:tx>
      <c:overlay val="0"/>
      <c:spPr>
        <a:noFill/>
        <a:ln>
          <a:noFill/>
        </a:ln>
        <a:effectLst/>
      </c:spPr>
    </c:title>
    <c:autoTitleDeleted val="0"/>
    <c:plotArea>
      <c:layout/>
      <c:lineChart>
        <c:grouping val="standard"/>
        <c:varyColors val="0"/>
        <c:ser>
          <c:idx val="0"/>
          <c:order val="0"/>
          <c:tx>
            <c:strRef>
              <c:f>függvény!$C$22</c:f>
              <c:strCache>
                <c:ptCount val="1"/>
                <c:pt idx="0">
                  <c:v>Price</c:v>
                </c:pt>
              </c:strCache>
            </c:strRef>
          </c:tx>
          <c:spPr>
            <a:ln w="28575" cap="rnd">
              <a:solidFill>
                <a:schemeClr val="accent1"/>
              </a:solidFill>
              <a:round/>
            </a:ln>
            <a:effectLst/>
          </c:spPr>
          <c:marker>
            <c:symbol val="circle"/>
            <c:size val="5"/>
            <c:spPr>
              <a:solidFill>
                <a:schemeClr val="accent1"/>
              </a:solidFill>
              <a:ln w="9525">
                <a:solidFill>
                  <a:sysClr val="windowText" lastClr="000000"/>
                </a:solidFill>
              </a:ln>
              <a:effectLst/>
            </c:spPr>
          </c:marker>
          <c:dLbls>
            <c:dLbl>
              <c:idx val="2"/>
              <c:layout>
                <c:manualLayout>
                  <c:x val="-4.8159977780863769E-2"/>
                  <c:y val="0.13187928574422295"/>
                </c:manualLayout>
              </c:layout>
              <c:dLblPos val="r"/>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1-B30B-1F4E-BE30-97BE978815CB}"/>
                </c:ext>
              </c:extLst>
            </c:dLbl>
            <c:spPr>
              <a:solidFill>
                <a:srgbClr val="4472C4">
                  <a:lumMod val="60000"/>
                  <a:lumOff val="40000"/>
                </a:srgb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b"/>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függvény!$C$23:$C$28</c:f>
              <c:numCache>
                <c:formatCode>General</c:formatCode>
                <c:ptCount val="6"/>
                <c:pt idx="0">
                  <c:v>200</c:v>
                </c:pt>
                <c:pt idx="1">
                  <c:v>180</c:v>
                </c:pt>
                <c:pt idx="2">
                  <c:v>160</c:v>
                </c:pt>
                <c:pt idx="3">
                  <c:v>140</c:v>
                </c:pt>
                <c:pt idx="4">
                  <c:v>120</c:v>
                </c:pt>
                <c:pt idx="5">
                  <c:v>100</c:v>
                </c:pt>
              </c:numCache>
            </c:numRef>
          </c:val>
          <c:smooth val="0"/>
          <c:extLst xmlns:c16r2="http://schemas.microsoft.com/office/drawing/2015/06/chart">
            <c:ext xmlns:c16="http://schemas.microsoft.com/office/drawing/2014/chart" uri="{C3380CC4-5D6E-409C-BE32-E72D297353CC}">
              <c16:uniqueId val="{00000000-2F34-DF4F-9DB6-82A6C80A9CBA}"/>
            </c:ext>
          </c:extLst>
        </c:ser>
        <c:ser>
          <c:idx val="1"/>
          <c:order val="1"/>
          <c:tx>
            <c:strRef>
              <c:f>függvény!$D$22</c:f>
              <c:strCache>
                <c:ptCount val="1"/>
                <c:pt idx="0">
                  <c:v>Demand (1000)</c:v>
                </c:pt>
              </c:strCache>
            </c:strRef>
          </c:tx>
          <c:spPr>
            <a:ln w="28575" cap="rnd">
              <a:solidFill>
                <a:schemeClr val="accent2"/>
              </a:solidFill>
              <a:round/>
            </a:ln>
            <a:effectLst/>
          </c:spPr>
          <c:marker>
            <c:symbol val="circle"/>
            <c:size val="5"/>
            <c:spPr>
              <a:solidFill>
                <a:schemeClr val="accent2"/>
              </a:solidFill>
              <a:ln w="9525">
                <a:solidFill>
                  <a:sysClr val="windowText" lastClr="000000"/>
                </a:solidFill>
              </a:ln>
              <a:effectLst/>
            </c:spPr>
          </c:marker>
          <c:dLbls>
            <c:dLbl>
              <c:idx val="2"/>
              <c:layout>
                <c:manualLayout>
                  <c:x val="-2.3163449520899874E-2"/>
                  <c:y val="-0.11806285727822563"/>
                </c:manualLayout>
              </c:layout>
              <c:dLblPos val="r"/>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B30B-1F4E-BE30-97BE978815CB}"/>
                </c:ext>
              </c:extLst>
            </c:dLbl>
            <c:spPr>
              <a:solidFill>
                <a:srgbClr val="ED7D31">
                  <a:lumMod val="60000"/>
                  <a:lumOff val="40000"/>
                </a:srgb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b"/>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függvény!$D$23:$D$28</c:f>
              <c:numCache>
                <c:formatCode>0</c:formatCode>
                <c:ptCount val="6"/>
                <c:pt idx="0">
                  <c:v>287.25899999999996</c:v>
                </c:pt>
                <c:pt idx="1">
                  <c:v>274.9479</c:v>
                </c:pt>
                <c:pt idx="2">
                  <c:v>135.4221</c:v>
                </c:pt>
                <c:pt idx="3">
                  <c:v>160.04429999999999</c:v>
                </c:pt>
                <c:pt idx="4">
                  <c:v>172.3554</c:v>
                </c:pt>
                <c:pt idx="5">
                  <c:v>254.42939999999999</c:v>
                </c:pt>
              </c:numCache>
            </c:numRef>
          </c:val>
          <c:smooth val="0"/>
          <c:extLst xmlns:c16r2="http://schemas.microsoft.com/office/drawing/2015/06/chart">
            <c:ext xmlns:c16="http://schemas.microsoft.com/office/drawing/2014/chart" uri="{C3380CC4-5D6E-409C-BE32-E72D297353CC}">
              <c16:uniqueId val="{00000001-2F34-DF4F-9DB6-82A6C80A9CBA}"/>
            </c:ext>
          </c:extLst>
        </c:ser>
        <c:ser>
          <c:idx val="2"/>
          <c:order val="2"/>
          <c:tx>
            <c:strRef>
              <c:f>függvény!$E$22</c:f>
              <c:strCache>
                <c:ptCount val="1"/>
                <c:pt idx="0">
                  <c:v>Supply (1000)</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b"/>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függvény!$E$23:$E$28</c:f>
              <c:numCache>
                <c:formatCode>General</c:formatCode>
                <c:ptCount val="6"/>
                <c:pt idx="0">
                  <c:v>410.37</c:v>
                </c:pt>
                <c:pt idx="1">
                  <c:v>410.37</c:v>
                </c:pt>
                <c:pt idx="2">
                  <c:v>410.37</c:v>
                </c:pt>
                <c:pt idx="3">
                  <c:v>410.37</c:v>
                </c:pt>
                <c:pt idx="4">
                  <c:v>410.37</c:v>
                </c:pt>
                <c:pt idx="5">
                  <c:v>410.37</c:v>
                </c:pt>
              </c:numCache>
            </c:numRef>
          </c:val>
          <c:smooth val="0"/>
          <c:extLst xmlns:c16r2="http://schemas.microsoft.com/office/drawing/2015/06/chart">
            <c:ext xmlns:c16="http://schemas.microsoft.com/office/drawing/2014/chart" uri="{C3380CC4-5D6E-409C-BE32-E72D297353CC}">
              <c16:uniqueId val="{00000002-2F34-DF4F-9DB6-82A6C80A9CBA}"/>
            </c:ext>
          </c:extLst>
        </c:ser>
        <c:dLbls>
          <c:dLblPos val="b"/>
          <c:showLegendKey val="0"/>
          <c:showVal val="1"/>
          <c:showCatName val="0"/>
          <c:showSerName val="0"/>
          <c:showPercent val="0"/>
          <c:showBubbleSize val="0"/>
        </c:dLbls>
        <c:marker val="1"/>
        <c:smooth val="0"/>
        <c:axId val="49846912"/>
        <c:axId val="49860992"/>
      </c:lineChart>
      <c:catAx>
        <c:axId val="4984691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49860992"/>
        <c:crosses val="autoZero"/>
        <c:auto val="1"/>
        <c:lblAlgn val="ctr"/>
        <c:lblOffset val="100"/>
        <c:noMultiLvlLbl val="0"/>
      </c:catAx>
      <c:valAx>
        <c:axId val="49860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49846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90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8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a:t>Premier Inn total revenue (million £)</a:t>
            </a:r>
          </a:p>
        </c:rich>
      </c:tx>
      <c:overlay val="0"/>
      <c:spPr>
        <a:noFill/>
        <a:ln>
          <a:noFill/>
        </a:ln>
        <a:effectLst/>
      </c:spPr>
    </c:title>
    <c:autoTitleDeleted val="0"/>
    <c:plotArea>
      <c:layout/>
      <c:lineChart>
        <c:grouping val="standard"/>
        <c:varyColors val="0"/>
        <c:ser>
          <c:idx val="0"/>
          <c:order val="0"/>
          <c:tx>
            <c:strRef>
              <c:f>'preimer inn'!$C$2</c:f>
              <c:strCache>
                <c:ptCount val="1"/>
                <c:pt idx="0">
                  <c:v>total revenue (million £)</c:v>
                </c:pt>
              </c:strCache>
            </c:strRef>
          </c:tx>
          <c:spPr>
            <a:ln w="28575" cap="rnd">
              <a:solidFill>
                <a:schemeClr val="accent1"/>
              </a:solidFill>
              <a:round/>
            </a:ln>
            <a:effectLst/>
          </c:spPr>
          <c:marker>
            <c:symbol val="none"/>
          </c:marker>
          <c:dLbls>
            <c:dLbl>
              <c:idx val="3"/>
              <c:layout>
                <c:manualLayout>
                  <c:x val="-2.7229442203021807E-2"/>
                  <c:y val="-8.9380699257657653E-2"/>
                </c:manualLayout>
              </c:layout>
              <c:dLblPos val="r"/>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3DF6-A640-A12F-ABB37115F197}"/>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'preimer inn'!$B$3:$B$8</c:f>
              <c:numCache>
                <c:formatCode>General</c:formatCode>
                <c:ptCount val="6"/>
                <c:pt idx="0" formatCode="0">
                  <c:v>2018</c:v>
                </c:pt>
                <c:pt idx="1">
                  <c:v>2019</c:v>
                </c:pt>
                <c:pt idx="2">
                  <c:v>2020</c:v>
                </c:pt>
                <c:pt idx="3">
                  <c:v>2021</c:v>
                </c:pt>
                <c:pt idx="4">
                  <c:v>2022</c:v>
                </c:pt>
                <c:pt idx="5">
                  <c:v>2023</c:v>
                </c:pt>
              </c:numCache>
            </c:numRef>
          </c:cat>
          <c:val>
            <c:numRef>
              <c:f>'preimer inn'!$C$3:$C$8</c:f>
              <c:numCache>
                <c:formatCode>General</c:formatCode>
                <c:ptCount val="6"/>
                <c:pt idx="0">
                  <c:v>1907</c:v>
                </c:pt>
                <c:pt idx="1">
                  <c:v>2049</c:v>
                </c:pt>
                <c:pt idx="2">
                  <c:v>2072</c:v>
                </c:pt>
                <c:pt idx="3">
                  <c:v>590</c:v>
                </c:pt>
                <c:pt idx="4">
                  <c:v>1703</c:v>
                </c:pt>
                <c:pt idx="5">
                  <c:v>2508</c:v>
                </c:pt>
              </c:numCache>
            </c:numRef>
          </c:val>
          <c:smooth val="0"/>
          <c:extLst xmlns:c16r2="http://schemas.microsoft.com/office/drawing/2015/06/chart">
            <c:ext xmlns:c16="http://schemas.microsoft.com/office/drawing/2014/chart" uri="{C3380CC4-5D6E-409C-BE32-E72D297353CC}">
              <c16:uniqueId val="{00000001-3DF6-A640-A12F-ABB37115F197}"/>
            </c:ext>
          </c:extLst>
        </c:ser>
        <c:dLbls>
          <c:dLblPos val="t"/>
          <c:showLegendKey val="0"/>
          <c:showVal val="1"/>
          <c:showCatName val="0"/>
          <c:showSerName val="0"/>
          <c:showPercent val="0"/>
          <c:showBubbleSize val="0"/>
        </c:dLbls>
        <c:marker val="1"/>
        <c:smooth val="0"/>
        <c:axId val="50075520"/>
        <c:axId val="50094848"/>
      </c:lineChart>
      <c:catAx>
        <c:axId val="50075520"/>
        <c:scaling>
          <c:orientation val="minMax"/>
        </c:scaling>
        <c:delete val="0"/>
        <c:axPos val="b"/>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50094848"/>
        <c:crosses val="autoZero"/>
        <c:auto val="1"/>
        <c:lblAlgn val="ctr"/>
        <c:lblOffset val="100"/>
        <c:noMultiLvlLbl val="0"/>
      </c:catAx>
      <c:valAx>
        <c:axId val="50094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50075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900">
          <a:solidFill>
            <a:schemeClr val="tx1"/>
          </a:solidFill>
          <a:latin typeface="Times New Roman" panose="02020603050405020304" pitchFamily="18" charset="0"/>
          <a:cs typeface="Times New Roman" panose="02020603050405020304" pitchFamily="18" charset="0"/>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8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hu-HU"/>
              <a:t>RevPAR (Revenue Per Available Room) £</a:t>
            </a:r>
          </a:p>
        </c:rich>
      </c:tx>
      <c:overlay val="0"/>
      <c:spPr>
        <a:noFill/>
        <a:ln>
          <a:noFill/>
        </a:ln>
        <a:effectLst/>
      </c:spPr>
    </c:title>
    <c:autoTitleDeleted val="0"/>
    <c:plotArea>
      <c:layout/>
      <c:barChart>
        <c:barDir val="col"/>
        <c:grouping val="clustered"/>
        <c:varyColors val="0"/>
        <c:ser>
          <c:idx val="0"/>
          <c:order val="0"/>
          <c:tx>
            <c:strRef>
              <c:f>premrevpar!$B$1</c:f>
              <c:strCache>
                <c:ptCount val="1"/>
                <c:pt idx="0">
                  <c:v>premier inn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premrevpar!$A$2:$A$7</c:f>
              <c:numCache>
                <c:formatCode>General</c:formatCode>
                <c:ptCount val="6"/>
                <c:pt idx="0" formatCode="0">
                  <c:v>2018</c:v>
                </c:pt>
                <c:pt idx="1">
                  <c:v>2019</c:v>
                </c:pt>
                <c:pt idx="2">
                  <c:v>2020</c:v>
                </c:pt>
                <c:pt idx="3">
                  <c:v>2021</c:v>
                </c:pt>
                <c:pt idx="4">
                  <c:v>2022</c:v>
                </c:pt>
                <c:pt idx="5">
                  <c:v>2023</c:v>
                </c:pt>
              </c:numCache>
            </c:numRef>
          </c:cat>
          <c:val>
            <c:numRef>
              <c:f>premrevpar!$B$2:$B$7</c:f>
              <c:numCache>
                <c:formatCode>General</c:formatCode>
                <c:ptCount val="6"/>
                <c:pt idx="0">
                  <c:v>49.85</c:v>
                </c:pt>
                <c:pt idx="1">
                  <c:v>48.99</c:v>
                </c:pt>
                <c:pt idx="2">
                  <c:v>46.91</c:v>
                </c:pt>
                <c:pt idx="3">
                  <c:v>9.02</c:v>
                </c:pt>
                <c:pt idx="4">
                  <c:v>28</c:v>
                </c:pt>
                <c:pt idx="5">
                  <c:v>43</c:v>
                </c:pt>
              </c:numCache>
            </c:numRef>
          </c:val>
          <c:extLst xmlns:c16r2="http://schemas.microsoft.com/office/drawing/2015/06/chart">
            <c:ext xmlns:c16="http://schemas.microsoft.com/office/drawing/2014/chart" uri="{C3380CC4-5D6E-409C-BE32-E72D297353CC}">
              <c16:uniqueId val="{00000000-3C33-8241-A048-9898F4DAE96B}"/>
            </c:ext>
          </c:extLst>
        </c:ser>
        <c:ser>
          <c:idx val="1"/>
          <c:order val="1"/>
          <c:tx>
            <c:strRef>
              <c:f>premrevpar!$C$1</c:f>
              <c:strCache>
                <c:ptCount val="1"/>
                <c:pt idx="0">
                  <c:v>Novotel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6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premrevpar!$A$2:$A$7</c:f>
              <c:numCache>
                <c:formatCode>General</c:formatCode>
                <c:ptCount val="6"/>
                <c:pt idx="0" formatCode="0">
                  <c:v>2018</c:v>
                </c:pt>
                <c:pt idx="1">
                  <c:v>2019</c:v>
                </c:pt>
                <c:pt idx="2">
                  <c:v>2020</c:v>
                </c:pt>
                <c:pt idx="3">
                  <c:v>2021</c:v>
                </c:pt>
                <c:pt idx="4">
                  <c:v>2022</c:v>
                </c:pt>
                <c:pt idx="5">
                  <c:v>2023</c:v>
                </c:pt>
              </c:numCache>
            </c:numRef>
          </c:cat>
          <c:val>
            <c:numRef>
              <c:f>premrevpar!$C$2:$C$7</c:f>
              <c:numCache>
                <c:formatCode>0</c:formatCode>
                <c:ptCount val="6"/>
                <c:pt idx="0">
                  <c:v>40</c:v>
                </c:pt>
                <c:pt idx="1">
                  <c:v>40</c:v>
                </c:pt>
                <c:pt idx="2">
                  <c:v>16</c:v>
                </c:pt>
                <c:pt idx="3">
                  <c:v>21</c:v>
                </c:pt>
                <c:pt idx="4">
                  <c:v>39</c:v>
                </c:pt>
                <c:pt idx="5">
                  <c:v>60</c:v>
                </c:pt>
              </c:numCache>
            </c:numRef>
          </c:val>
          <c:extLst xmlns:c16r2="http://schemas.microsoft.com/office/drawing/2015/06/chart">
            <c:ext xmlns:c16="http://schemas.microsoft.com/office/drawing/2014/chart" uri="{C3380CC4-5D6E-409C-BE32-E72D297353CC}">
              <c16:uniqueId val="{00000001-3C33-8241-A048-9898F4DAE96B}"/>
            </c:ext>
          </c:extLst>
        </c:ser>
        <c:ser>
          <c:idx val="2"/>
          <c:order val="2"/>
          <c:tx>
            <c:strRef>
              <c:f>premrevpar!$D$1</c:f>
              <c:strCache>
                <c:ptCount val="1"/>
                <c:pt idx="0">
                  <c:v>Travelodge</c:v>
                </c:pt>
              </c:strCache>
            </c:strRef>
          </c:tx>
          <c:spPr>
            <a:solidFill>
              <a:schemeClr val="accent3"/>
            </a:solidFill>
            <a:ln>
              <a:noFill/>
            </a:ln>
            <a:effectLst/>
          </c:spPr>
          <c:invertIfNegative val="0"/>
          <c:dLbls>
            <c:dLbl>
              <c:idx val="0"/>
              <c:layout>
                <c:manualLayout>
                  <c:x val="-1.0590415673815197E-2"/>
                  <c:y val="-0.13319672131147542"/>
                </c:manualLayout>
              </c:layout>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5E26-5141-B347-7CBBDB7E5FF5}"/>
                </c:ext>
              </c:extLst>
            </c:dLbl>
            <c:dLbl>
              <c:idx val="1"/>
              <c:layout>
                <c:manualLayout>
                  <c:x val="-1.5885623510722795E-2"/>
                  <c:y val="-0.1741803278688524"/>
                </c:manualLayout>
              </c:layout>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2-5E26-5141-B347-7CBBDB7E5FF5}"/>
                </c:ext>
              </c:extLst>
            </c:dLbl>
            <c:dLbl>
              <c:idx val="5"/>
              <c:layout>
                <c:manualLayout>
                  <c:x val="1.0590415673815197E-2"/>
                  <c:y val="-0.10758196721311478"/>
                </c:manualLayout>
              </c:layout>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1-5E26-5141-B347-7CBBDB7E5FF5}"/>
                </c:ext>
              </c:extLst>
            </c:dLbl>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premrevpar!$A$2:$A$7</c:f>
              <c:numCache>
                <c:formatCode>General</c:formatCode>
                <c:ptCount val="6"/>
                <c:pt idx="0" formatCode="0">
                  <c:v>2018</c:v>
                </c:pt>
                <c:pt idx="1">
                  <c:v>2019</c:v>
                </c:pt>
                <c:pt idx="2">
                  <c:v>2020</c:v>
                </c:pt>
                <c:pt idx="3">
                  <c:v>2021</c:v>
                </c:pt>
                <c:pt idx="4">
                  <c:v>2022</c:v>
                </c:pt>
                <c:pt idx="5">
                  <c:v>2023</c:v>
                </c:pt>
              </c:numCache>
            </c:numRef>
          </c:cat>
          <c:val>
            <c:numRef>
              <c:f>premrevpar!$D$2:$D$7</c:f>
              <c:numCache>
                <c:formatCode>General</c:formatCode>
                <c:ptCount val="6"/>
                <c:pt idx="0">
                  <c:v>41.11</c:v>
                </c:pt>
                <c:pt idx="1">
                  <c:v>42.46</c:v>
                </c:pt>
                <c:pt idx="3" formatCode="0.0">
                  <c:v>33.4</c:v>
                </c:pt>
                <c:pt idx="4">
                  <c:v>52.59</c:v>
                </c:pt>
                <c:pt idx="5">
                  <c:v>59.14</c:v>
                </c:pt>
              </c:numCache>
            </c:numRef>
          </c:val>
          <c:extLst xmlns:c16r2="http://schemas.microsoft.com/office/drawing/2015/06/chart">
            <c:ext xmlns:c16="http://schemas.microsoft.com/office/drawing/2014/chart" uri="{C3380CC4-5D6E-409C-BE32-E72D297353CC}">
              <c16:uniqueId val="{00000002-3C33-8241-A048-9898F4DAE96B}"/>
            </c:ext>
          </c:extLst>
        </c:ser>
        <c:ser>
          <c:idx val="3"/>
          <c:order val="3"/>
          <c:tx>
            <c:strRef>
              <c:f>premrevpar!$E$1</c:f>
              <c:strCache>
                <c:ptCount val="1"/>
                <c:pt idx="0">
                  <c:v>Hilton Inn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premrevpar!$A$2:$A$7</c:f>
              <c:numCache>
                <c:formatCode>General</c:formatCode>
                <c:ptCount val="6"/>
                <c:pt idx="0" formatCode="0">
                  <c:v>2018</c:v>
                </c:pt>
                <c:pt idx="1">
                  <c:v>2019</c:v>
                </c:pt>
                <c:pt idx="2">
                  <c:v>2020</c:v>
                </c:pt>
                <c:pt idx="3">
                  <c:v>2021</c:v>
                </c:pt>
                <c:pt idx="4">
                  <c:v>2022</c:v>
                </c:pt>
                <c:pt idx="5">
                  <c:v>2023</c:v>
                </c:pt>
              </c:numCache>
            </c:numRef>
          </c:cat>
          <c:val>
            <c:numRef>
              <c:f>premrevpar!$E$2:$E$7</c:f>
              <c:numCache>
                <c:formatCode>General</c:formatCode>
                <c:ptCount val="6"/>
                <c:pt idx="0">
                  <c:v>65.7</c:v>
                </c:pt>
                <c:pt idx="1">
                  <c:v>74.3</c:v>
                </c:pt>
                <c:pt idx="2">
                  <c:v>54.4</c:v>
                </c:pt>
                <c:pt idx="3">
                  <c:v>83.9</c:v>
                </c:pt>
                <c:pt idx="4">
                  <c:v>77.2</c:v>
                </c:pt>
              </c:numCache>
            </c:numRef>
          </c:val>
          <c:extLst xmlns:c16r2="http://schemas.microsoft.com/office/drawing/2015/06/chart">
            <c:ext xmlns:c16="http://schemas.microsoft.com/office/drawing/2014/chart" uri="{C3380CC4-5D6E-409C-BE32-E72D297353CC}">
              <c16:uniqueId val="{00000003-3C33-8241-A048-9898F4DAE96B}"/>
            </c:ext>
          </c:extLst>
        </c:ser>
        <c:ser>
          <c:idx val="4"/>
          <c:order val="4"/>
          <c:tx>
            <c:strRef>
              <c:f>premrevpar!$F$1</c:f>
              <c:strCache>
                <c:ptCount val="1"/>
                <c:pt idx="0">
                  <c:v>Ibis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premrevpar!$A$2:$A$7</c:f>
              <c:numCache>
                <c:formatCode>General</c:formatCode>
                <c:ptCount val="6"/>
                <c:pt idx="0" formatCode="0">
                  <c:v>2018</c:v>
                </c:pt>
                <c:pt idx="1">
                  <c:v>2019</c:v>
                </c:pt>
                <c:pt idx="2">
                  <c:v>2020</c:v>
                </c:pt>
                <c:pt idx="3">
                  <c:v>2021</c:v>
                </c:pt>
                <c:pt idx="4">
                  <c:v>2022</c:v>
                </c:pt>
                <c:pt idx="5">
                  <c:v>2023</c:v>
                </c:pt>
              </c:numCache>
            </c:numRef>
          </c:cat>
          <c:val>
            <c:numRef>
              <c:f>premrevpar!$F$2:$F$7</c:f>
              <c:numCache>
                <c:formatCode>General</c:formatCode>
                <c:ptCount val="6"/>
                <c:pt idx="0">
                  <c:v>51.85</c:v>
                </c:pt>
                <c:pt idx="1">
                  <c:v>50.79</c:v>
                </c:pt>
                <c:pt idx="2">
                  <c:v>45.81</c:v>
                </c:pt>
                <c:pt idx="3">
                  <c:v>22.3</c:v>
                </c:pt>
                <c:pt idx="4">
                  <c:v>27.1</c:v>
                </c:pt>
                <c:pt idx="5">
                  <c:v>40.409999999999997</c:v>
                </c:pt>
              </c:numCache>
            </c:numRef>
          </c:val>
          <c:extLst xmlns:c16r2="http://schemas.microsoft.com/office/drawing/2015/06/chart">
            <c:ext xmlns:c16="http://schemas.microsoft.com/office/drawing/2014/chart" uri="{C3380CC4-5D6E-409C-BE32-E72D297353CC}">
              <c16:uniqueId val="{00000004-3C33-8241-A048-9898F4DAE96B}"/>
            </c:ext>
          </c:extLst>
        </c:ser>
        <c:dLbls>
          <c:dLblPos val="outEnd"/>
          <c:showLegendKey val="0"/>
          <c:showVal val="1"/>
          <c:showCatName val="0"/>
          <c:showSerName val="0"/>
          <c:showPercent val="0"/>
          <c:showBubbleSize val="0"/>
        </c:dLbls>
        <c:gapWidth val="219"/>
        <c:overlap val="-27"/>
        <c:axId val="133321856"/>
        <c:axId val="133323392"/>
      </c:barChart>
      <c:catAx>
        <c:axId val="133321856"/>
        <c:scaling>
          <c:orientation val="minMax"/>
        </c:scaling>
        <c:delete val="0"/>
        <c:axPos val="b"/>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33323392"/>
        <c:crosses val="autoZero"/>
        <c:auto val="1"/>
        <c:lblAlgn val="ctr"/>
        <c:lblOffset val="100"/>
        <c:noMultiLvlLbl val="0"/>
      </c:catAx>
      <c:valAx>
        <c:axId val="133323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33321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900">
          <a:solidFill>
            <a:schemeClr val="tx1"/>
          </a:solidFill>
          <a:latin typeface="Times New Roman" panose="02020603050405020304" pitchFamily="18" charset="0"/>
          <a:cs typeface="Times New Roman" panose="02020603050405020304" pitchFamily="18" charset="0"/>
        </a:defRPr>
      </a:pPr>
      <a:endParaRPr lang="en-US"/>
    </a:p>
  </c:txPr>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80" b="0" i="0" u="none" strike="noStrike" kern="1200" spc="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r>
              <a:rPr lang="hu-HU"/>
              <a:t>Demand and supply for Premimer Inn </a:t>
            </a:r>
          </a:p>
        </c:rich>
      </c:tx>
      <c:overlay val="0"/>
      <c:spPr>
        <a:noFill/>
        <a:ln>
          <a:noFill/>
        </a:ln>
        <a:effectLst/>
      </c:spPr>
    </c:title>
    <c:autoTitleDeleted val="0"/>
    <c:plotArea>
      <c:layout/>
      <c:lineChart>
        <c:grouping val="standard"/>
        <c:varyColors val="0"/>
        <c:ser>
          <c:idx val="0"/>
          <c:order val="0"/>
          <c:tx>
            <c:strRef>
              <c:f>premsupldem!$C$23</c:f>
              <c:strCache>
                <c:ptCount val="1"/>
                <c:pt idx="0">
                  <c:v>RevPAR £</c:v>
                </c:pt>
              </c:strCache>
            </c:strRef>
          </c:tx>
          <c:spPr>
            <a:ln w="28575" cap="rnd">
              <a:solidFill>
                <a:schemeClr val="accent1"/>
              </a:solidFill>
              <a:round/>
            </a:ln>
            <a:effectLst/>
          </c:spPr>
          <c:marker>
            <c:symbol val="none"/>
          </c:marker>
          <c:val>
            <c:numRef>
              <c:f>premsupldem!$C$24:$C$29</c:f>
              <c:numCache>
                <c:formatCode>General</c:formatCode>
                <c:ptCount val="6"/>
                <c:pt idx="0">
                  <c:v>49.85</c:v>
                </c:pt>
                <c:pt idx="1">
                  <c:v>48.99</c:v>
                </c:pt>
                <c:pt idx="2">
                  <c:v>46.91</c:v>
                </c:pt>
                <c:pt idx="3">
                  <c:v>9.02</c:v>
                </c:pt>
                <c:pt idx="4">
                  <c:v>28</c:v>
                </c:pt>
                <c:pt idx="5">
                  <c:v>43</c:v>
                </c:pt>
              </c:numCache>
            </c:numRef>
          </c:val>
          <c:smooth val="0"/>
          <c:extLst xmlns:c16r2="http://schemas.microsoft.com/office/drawing/2015/06/chart">
            <c:ext xmlns:c16="http://schemas.microsoft.com/office/drawing/2014/chart" uri="{C3380CC4-5D6E-409C-BE32-E72D297353CC}">
              <c16:uniqueId val="{00000000-A213-E949-8C6B-7BD756FF15C3}"/>
            </c:ext>
          </c:extLst>
        </c:ser>
        <c:ser>
          <c:idx val="1"/>
          <c:order val="1"/>
          <c:tx>
            <c:strRef>
              <c:f>premsupldem!$D$23</c:f>
              <c:strCache>
                <c:ptCount val="1"/>
                <c:pt idx="0">
                  <c:v>Occupancy Rate (1000 rooms)</c:v>
                </c:pt>
              </c:strCache>
            </c:strRef>
          </c:tx>
          <c:spPr>
            <a:ln w="28575" cap="rnd">
              <a:solidFill>
                <a:schemeClr val="accent2"/>
              </a:solidFill>
              <a:round/>
            </a:ln>
            <a:effectLst/>
          </c:spPr>
          <c:marker>
            <c:symbol val="none"/>
          </c:marker>
          <c:val>
            <c:numRef>
              <c:f>premsupldem!$D$24:$D$29</c:f>
              <c:numCache>
                <c:formatCode>General</c:formatCode>
                <c:ptCount val="6"/>
                <c:pt idx="0">
                  <c:v>66.215500000000006</c:v>
                </c:pt>
                <c:pt idx="1">
                  <c:v>65.13</c:v>
                </c:pt>
                <c:pt idx="2">
                  <c:v>63.710500000000003</c:v>
                </c:pt>
                <c:pt idx="3">
                  <c:v>24.548999999999999</c:v>
                </c:pt>
                <c:pt idx="4">
                  <c:v>57.030500000000011</c:v>
                </c:pt>
                <c:pt idx="5">
                  <c:v>69.054500000000004</c:v>
                </c:pt>
              </c:numCache>
            </c:numRef>
          </c:val>
          <c:smooth val="0"/>
          <c:extLst xmlns:c16r2="http://schemas.microsoft.com/office/drawing/2015/06/chart">
            <c:ext xmlns:c16="http://schemas.microsoft.com/office/drawing/2014/chart" uri="{C3380CC4-5D6E-409C-BE32-E72D297353CC}">
              <c16:uniqueId val="{00000001-A213-E949-8C6B-7BD756FF15C3}"/>
            </c:ext>
          </c:extLst>
        </c:ser>
        <c:ser>
          <c:idx val="2"/>
          <c:order val="2"/>
          <c:tx>
            <c:strRef>
              <c:f>premsupldem!$E$23</c:f>
              <c:strCache>
                <c:ptCount val="1"/>
                <c:pt idx="0">
                  <c:v>Supply (1000 rooms)</c:v>
                </c:pt>
              </c:strCache>
            </c:strRef>
          </c:tx>
          <c:spPr>
            <a:ln w="28575" cap="rnd">
              <a:solidFill>
                <a:schemeClr val="accent3"/>
              </a:solidFill>
              <a:round/>
            </a:ln>
            <a:effectLst/>
          </c:spPr>
          <c:marker>
            <c:symbol val="none"/>
          </c:marker>
          <c:val>
            <c:numRef>
              <c:f>premsupldem!$E$24:$E$29</c:f>
              <c:numCache>
                <c:formatCode>General</c:formatCode>
                <c:ptCount val="6"/>
                <c:pt idx="0">
                  <c:v>83.5</c:v>
                </c:pt>
                <c:pt idx="1">
                  <c:v>83.5</c:v>
                </c:pt>
                <c:pt idx="2">
                  <c:v>83.5</c:v>
                </c:pt>
                <c:pt idx="3">
                  <c:v>83.5</c:v>
                </c:pt>
                <c:pt idx="4">
                  <c:v>83.5</c:v>
                </c:pt>
                <c:pt idx="5">
                  <c:v>83.5</c:v>
                </c:pt>
              </c:numCache>
            </c:numRef>
          </c:val>
          <c:smooth val="0"/>
          <c:extLst xmlns:c16r2="http://schemas.microsoft.com/office/drawing/2015/06/chart">
            <c:ext xmlns:c16="http://schemas.microsoft.com/office/drawing/2014/chart" uri="{C3380CC4-5D6E-409C-BE32-E72D297353CC}">
              <c16:uniqueId val="{00000002-A213-E949-8C6B-7BD756FF15C3}"/>
            </c:ext>
          </c:extLst>
        </c:ser>
        <c:dLbls>
          <c:showLegendKey val="0"/>
          <c:showVal val="0"/>
          <c:showCatName val="0"/>
          <c:showSerName val="0"/>
          <c:showPercent val="0"/>
          <c:showBubbleSize val="0"/>
        </c:dLbls>
        <c:marker val="1"/>
        <c:smooth val="0"/>
        <c:axId val="161159808"/>
        <c:axId val="161161600"/>
      </c:lineChart>
      <c:catAx>
        <c:axId val="16115980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161161600"/>
        <c:crosses val="autoZero"/>
        <c:auto val="1"/>
        <c:lblAlgn val="ctr"/>
        <c:lblOffset val="100"/>
        <c:noMultiLvlLbl val="0"/>
      </c:catAx>
      <c:valAx>
        <c:axId val="161161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161159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900">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2">
    <c:autoUpdate val="0"/>
  </c:externalData>
</c:chartSpace>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17FE4-8D5E-4E10-AAD5-17EC038A8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4489</Words>
  <Characters>25592</Characters>
  <Application>Microsoft Office Word</Application>
  <DocSecurity>0</DocSecurity>
  <Lines>213</Lines>
  <Paragraphs>60</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30021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Aniko Feher</cp:lastModifiedBy>
  <cp:revision>2</cp:revision>
  <dcterms:created xsi:type="dcterms:W3CDTF">2024-10-17T17:58:00Z</dcterms:created>
  <dcterms:modified xsi:type="dcterms:W3CDTF">2024-10-17T17:58:00Z</dcterms:modified>
</cp:coreProperties>
</file>