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CAA25" w14:textId="77777777" w:rsidR="00AF4687" w:rsidRPr="001E09D7" w:rsidRDefault="00AF4687" w:rsidP="00AF4687">
      <w:pPr>
        <w:jc w:val="both"/>
        <w:rPr>
          <w:rFonts w:ascii="Calibri" w:hAnsi="Calibri" w:cs="Calibri"/>
        </w:rPr>
      </w:pPr>
      <w:r w:rsidRPr="001E09D7">
        <w:rPr>
          <w:rFonts w:ascii="Calibri" w:hAnsi="Calibri" w:cs="Calibri"/>
        </w:rPr>
        <w:t>(AC 1.1.)</w:t>
      </w:r>
    </w:p>
    <w:p w14:paraId="6DF829C0" w14:textId="77777777" w:rsidR="00AF4687" w:rsidRPr="001E09D7" w:rsidRDefault="00AF4687" w:rsidP="00AF4687">
      <w:pPr>
        <w:jc w:val="both"/>
        <w:rPr>
          <w:rFonts w:ascii="Calibri" w:hAnsi="Calibri" w:cs="Calibri"/>
        </w:rPr>
      </w:pPr>
      <w:r w:rsidRPr="001E09D7">
        <w:rPr>
          <w:rFonts w:ascii="Calibri" w:hAnsi="Calibri" w:cs="Calibri"/>
        </w:rPr>
        <w:t>You mention that around 20% of your working days are taken up with activity generated by employment regulation, time you would prefer to spend improving the employee experience within the Trust. This is a common frustration among people professionals. However, understanding the aims and objectives of employment regulation helps clarify why this work is not only necessary but fundamental to the very improvements you want to make.</w:t>
      </w:r>
    </w:p>
    <w:p w14:paraId="6466A28F" w14:textId="77777777" w:rsidR="00AF4687" w:rsidRPr="001E09D7" w:rsidRDefault="00AF4687" w:rsidP="00AF4687">
      <w:pPr>
        <w:jc w:val="both"/>
        <w:rPr>
          <w:rFonts w:ascii="Calibri" w:hAnsi="Calibri" w:cs="Calibri"/>
        </w:rPr>
      </w:pPr>
      <w:r w:rsidRPr="001E09D7">
        <w:rPr>
          <w:rFonts w:ascii="Calibri" w:hAnsi="Calibri" w:cs="Calibri"/>
        </w:rPr>
        <w:t>Employment regulation is not an administrative burden for its own sake, it is a framework designed to protect employees, support employers, and create a fair, safe, and productive working environment. By engaging with it, you are actively shaping the conditions that allow positive employee experience.</w:t>
      </w:r>
    </w:p>
    <w:p w14:paraId="507732DF" w14:textId="77777777" w:rsidR="00AF4687" w:rsidRPr="001E09D7" w:rsidRDefault="00AF4687" w:rsidP="00AF4687">
      <w:pPr>
        <w:jc w:val="both"/>
        <w:rPr>
          <w:rFonts w:ascii="Calibri" w:hAnsi="Calibri" w:cs="Calibri"/>
        </w:rPr>
      </w:pPr>
      <w:r w:rsidRPr="001E09D7">
        <w:rPr>
          <w:rFonts w:ascii="Calibri" w:hAnsi="Calibri" w:cs="Calibri"/>
        </w:rPr>
        <w:t>Employment regulation exists primarily to protect workers from unfair treatment, unsafe conditions, and exploitation. Government guidance emphasises that employment rights are designed to protect individuals and ensure clarity around entitlements such as pay, leave, and working hours (GOV.UK, 2026).</w:t>
      </w:r>
    </w:p>
    <w:p w14:paraId="07E77692" w14:textId="77777777" w:rsidR="00AF4687" w:rsidRPr="001E09D7" w:rsidRDefault="00AF4687" w:rsidP="00AF4687">
      <w:pPr>
        <w:jc w:val="both"/>
        <w:rPr>
          <w:rFonts w:ascii="Calibri" w:hAnsi="Calibri" w:cs="Calibri"/>
        </w:rPr>
      </w:pPr>
      <w:r w:rsidRPr="001E09D7">
        <w:rPr>
          <w:rFonts w:ascii="Calibri" w:hAnsi="Calibri" w:cs="Calibri"/>
        </w:rPr>
        <w:t>An aim of employment legislation is to protect employees from unfair treatment and exploitation. Government guidance emphasises that employment rights exist to protect individuals and ensure clarity around entitlements such as pay, leave, and working hours (GOV.UK, 2026). This protection is not merely procedural; it underpins dignity at work and ensures that organisations uphold minimum standards. Lewis, Sargeant and Schwab (2022) argue that employment law seeks to ‘rebalance the inherent inequality of bargaining power between employer and employee,’ highlighting its role in correcting structural imbalances that would otherwise disadvantage workers. Evaluating this aim shows that regulation is not an obstacle to good practice but a foundation for fairness.</w:t>
      </w:r>
    </w:p>
    <w:p w14:paraId="55BC858C" w14:textId="77777777" w:rsidR="00AF4687" w:rsidRPr="001E09D7" w:rsidRDefault="00AF4687" w:rsidP="00AF4687">
      <w:pPr>
        <w:jc w:val="both"/>
        <w:rPr>
          <w:rFonts w:ascii="Calibri" w:hAnsi="Calibri" w:cs="Calibri"/>
        </w:rPr>
      </w:pPr>
      <w:r w:rsidRPr="001E09D7">
        <w:rPr>
          <w:rFonts w:ascii="Calibri" w:hAnsi="Calibri" w:cs="Calibri"/>
        </w:rPr>
        <w:t>Another key objective is to support a well</w:t>
      </w:r>
      <w:r w:rsidRPr="001E09D7">
        <w:rPr>
          <w:rFonts w:ascii="Calibri" w:hAnsi="Calibri" w:cs="Calibri"/>
        </w:rPr>
        <w:noBreakHyphen/>
        <w:t>functioning labour market. The UK government notes that clear rights and responsibilities contribute to a fair and predictable employment environment, which benefits both employers and employees (GOV.UK, 2026). From an organisational perspective, this stability reduces conflict, supports workforce planning, and enhances employer reputation. CIPD reinforces this by stating that strong employment relations frameworks contribute to ‘better work and working lives,’ demonstrating that regulation is integral to positive organisational culture rather than separate from it (CIPD, 2026 A). Evaluating this objective shows that legislation is designed not only to protect individuals but also to create conditions in which organisations can thrive.</w:t>
      </w:r>
    </w:p>
    <w:p w14:paraId="3C5C22C7" w14:textId="77777777" w:rsidR="00AF4687" w:rsidRPr="001E09D7" w:rsidRDefault="00AF4687" w:rsidP="00AF4687">
      <w:pPr>
        <w:jc w:val="both"/>
        <w:rPr>
          <w:rFonts w:ascii="Calibri" w:hAnsi="Calibri" w:cs="Calibri"/>
        </w:rPr>
      </w:pPr>
      <w:r w:rsidRPr="001E09D7">
        <w:rPr>
          <w:rFonts w:ascii="Calibri" w:hAnsi="Calibri" w:cs="Calibri"/>
        </w:rPr>
        <w:t xml:space="preserve">Employment legislation also aims to promote good employment relations and employee voice. Statutory requirements around consultation, whistleblowing protection, and fair procedures ensure that employees can raise concerns safely and participate meaningfully in workplace decisions. CIPD research highlights that such frameworks reduce conflict and support constructive dialogue, which directly enhances the employee experience (CIPD, 2026 </w:t>
      </w:r>
      <w:r w:rsidRPr="001E09D7">
        <w:rPr>
          <w:rFonts w:ascii="Calibri" w:hAnsi="Calibri" w:cs="Calibri"/>
        </w:rPr>
        <w:lastRenderedPageBreak/>
        <w:t>B). The evaluation here demonstrates that regulation is not simply reactive but actively supports healthier organisational dynamics.</w:t>
      </w:r>
    </w:p>
    <w:p w14:paraId="35AEFABE" w14:textId="77777777" w:rsidR="00AF4687" w:rsidRPr="001E09D7" w:rsidRDefault="00AF4687" w:rsidP="00AF4687">
      <w:pPr>
        <w:jc w:val="both"/>
        <w:rPr>
          <w:rFonts w:ascii="Calibri" w:hAnsi="Calibri" w:cs="Calibri"/>
        </w:rPr>
      </w:pPr>
      <w:r w:rsidRPr="001E09D7">
        <w:rPr>
          <w:rFonts w:ascii="Calibri" w:hAnsi="Calibri" w:cs="Calibri"/>
        </w:rPr>
        <w:t>Another objective is to reduce legal, financial, and reputational risk for employers. Lewis et al. (2022) emphasise that non</w:t>
      </w:r>
      <w:r w:rsidRPr="001E09D7">
        <w:rPr>
          <w:rFonts w:ascii="Calibri" w:hAnsi="Calibri" w:cs="Calibri"/>
        </w:rPr>
        <w:noBreakHyphen/>
        <w:t>compliance can lead to tribunal claims, damage to reputation and potential financial claims. By ensuring compliance, HR professionals protect the organisation and maintain public trust. This evaluative perspective shows that time spent on regulation is a strategic investment in organisational resilience.</w:t>
      </w:r>
    </w:p>
    <w:p w14:paraId="7756982F" w14:textId="4C939F09" w:rsidR="00AF4687" w:rsidRPr="001E09D7" w:rsidRDefault="00AF4687" w:rsidP="00AF4687">
      <w:pPr>
        <w:jc w:val="both"/>
        <w:rPr>
          <w:rFonts w:ascii="Calibri" w:hAnsi="Calibri" w:cs="Calibri"/>
        </w:rPr>
      </w:pPr>
      <w:r w:rsidRPr="001E09D7">
        <w:rPr>
          <w:rFonts w:ascii="Calibri" w:hAnsi="Calibri" w:cs="Calibri"/>
        </w:rPr>
        <w:t>Overall, while regulatory work may feel time</w:t>
      </w:r>
      <w:r w:rsidRPr="001E09D7">
        <w:rPr>
          <w:rFonts w:ascii="Calibri" w:hAnsi="Calibri" w:cs="Calibri"/>
        </w:rPr>
        <w:noBreakHyphen/>
        <w:t>consuming, evaluating the aims and objectives of employment legislation reveals that it is essential to fairness, stability, employee voice, and organisational protection. Rather than detracting from your efforts to improve the employee experience, it provides the legal and ethical framework that makes such improvements possible.</w:t>
      </w:r>
    </w:p>
    <w:p w14:paraId="50194B71" w14:textId="77777777" w:rsidR="00AF4687" w:rsidRPr="001E09D7" w:rsidRDefault="00AF4687" w:rsidP="00AF4687">
      <w:pPr>
        <w:jc w:val="both"/>
        <w:rPr>
          <w:rFonts w:ascii="Calibri" w:hAnsi="Calibri" w:cs="Calibri"/>
        </w:rPr>
      </w:pPr>
      <w:r w:rsidRPr="001E09D7">
        <w:rPr>
          <w:rFonts w:ascii="Calibri" w:hAnsi="Calibri" w:cs="Calibri"/>
        </w:rPr>
        <w:t>(AC 1.2)</w:t>
      </w:r>
    </w:p>
    <w:p w14:paraId="75701E5E" w14:textId="77777777" w:rsidR="00AF4687" w:rsidRPr="001E09D7" w:rsidRDefault="00AF4687" w:rsidP="00AF4687">
      <w:pPr>
        <w:jc w:val="both"/>
        <w:rPr>
          <w:rFonts w:ascii="Calibri" w:hAnsi="Calibri" w:cs="Calibri"/>
        </w:rPr>
      </w:pPr>
      <w:r w:rsidRPr="001E09D7">
        <w:rPr>
          <w:rFonts w:ascii="Calibri" w:hAnsi="Calibri" w:cs="Calibri"/>
        </w:rPr>
        <w:t>You asked about the status of pre</w:t>
      </w:r>
      <w:r w:rsidRPr="001E09D7">
        <w:rPr>
          <w:rFonts w:ascii="Calibri" w:hAnsi="Calibri" w:cs="Calibri"/>
        </w:rPr>
        <w:noBreakHyphen/>
        <w:t>2020 European Court of Justice (ECJ) judgments and how they interact with the UK tribunal and court system. To understand this, it is important to clarify that ‘good law’ refers to legal principles that remain valid, authoritative, and binding unless overturned by legislation or a higher court. CIPD highlights that determining whether a rule remains good law is essential for ensuring consistent and defensible HR practice (CIPD, 2023 C).</w:t>
      </w:r>
    </w:p>
    <w:p w14:paraId="6949E0B3" w14:textId="77777777" w:rsidR="00AF4687" w:rsidRPr="001E09D7" w:rsidRDefault="00AF4687" w:rsidP="00AF4687">
      <w:pPr>
        <w:jc w:val="both"/>
        <w:rPr>
          <w:rFonts w:ascii="Calibri" w:hAnsi="Calibri" w:cs="Calibri"/>
        </w:rPr>
      </w:pPr>
      <w:r w:rsidRPr="001E09D7">
        <w:rPr>
          <w:rFonts w:ascii="Calibri" w:hAnsi="Calibri" w:cs="Calibri"/>
        </w:rPr>
        <w:t xml:space="preserve">Under the European Union Act 2018, all EU derived legislation and ECJ judgments made before 31 December 2020 were incorporated into ‘retained EU law.’ The UK government confirms that these rulings continue to apply unless changed by parliament or a </w:t>
      </w:r>
      <w:proofErr w:type="gramStart"/>
      <w:r w:rsidRPr="001E09D7">
        <w:rPr>
          <w:rFonts w:ascii="Calibri" w:hAnsi="Calibri" w:cs="Calibri"/>
        </w:rPr>
        <w:t>high level</w:t>
      </w:r>
      <w:proofErr w:type="gramEnd"/>
      <w:r w:rsidRPr="001E09D7">
        <w:rPr>
          <w:rFonts w:ascii="Calibri" w:hAnsi="Calibri" w:cs="Calibri"/>
        </w:rPr>
        <w:t xml:space="preserve"> UK court decides to depart from them (GOV.UK, 2021). This means that pre</w:t>
      </w:r>
      <w:r w:rsidRPr="001E09D7">
        <w:rPr>
          <w:rFonts w:ascii="Calibri" w:hAnsi="Calibri" w:cs="Calibri"/>
        </w:rPr>
        <w:noBreakHyphen/>
        <w:t>Brexit ECJ decisions remain good law and are still binding on employment tribunals and lower courts. Only the Court of Appeal and Supreme Court may depart from them. Lewis, Sargeant and Schwab (2022) explain that this approach was designed to maintain legal continuity and avoid uncertainty during the transition away from EU membership.</w:t>
      </w:r>
    </w:p>
    <w:p w14:paraId="523E2A3D" w14:textId="77777777" w:rsidR="00AF4687" w:rsidRPr="001E09D7" w:rsidRDefault="00AF4687" w:rsidP="00AF4687">
      <w:pPr>
        <w:jc w:val="both"/>
        <w:rPr>
          <w:rFonts w:ascii="Calibri" w:hAnsi="Calibri" w:cs="Calibri"/>
        </w:rPr>
      </w:pPr>
      <w:r w:rsidRPr="001E09D7">
        <w:rPr>
          <w:rFonts w:ascii="Calibri" w:hAnsi="Calibri" w:cs="Calibri"/>
        </w:rPr>
        <w:t>Employment tribunals and courts are responsible for interpreting and enforcing employment law, ensuring that both employers and employees comply with statutory rights and obligations. Tribunals act as the first point of judgment, resolving disputes such as unfair dismissal, discrimination, and working time directive breaches. They apply retained EU law where relevant, meaning they must continue to follow pre</w:t>
      </w:r>
      <w:r w:rsidRPr="001E09D7">
        <w:rPr>
          <w:rFonts w:ascii="Calibri" w:hAnsi="Calibri" w:cs="Calibri"/>
        </w:rPr>
        <w:noBreakHyphen/>
        <w:t>2020 ECJ judgments. Courts above tribunal level provide authoritative interpretations, and their decisions shape how employment law is applied in practice. CIPD notes that this layered system ensures fairness, consistency, and accountability in employment relations (CIPD, 2023 D).</w:t>
      </w:r>
    </w:p>
    <w:p w14:paraId="35E73FA0" w14:textId="77777777" w:rsidR="00AF4687" w:rsidRPr="001E09D7" w:rsidRDefault="00AF4687" w:rsidP="00AF4687">
      <w:pPr>
        <w:jc w:val="both"/>
        <w:rPr>
          <w:rFonts w:ascii="Calibri" w:hAnsi="Calibri" w:cs="Calibri"/>
        </w:rPr>
      </w:pPr>
      <w:r w:rsidRPr="001E09D7">
        <w:rPr>
          <w:rFonts w:ascii="Calibri" w:hAnsi="Calibri" w:cs="Calibri"/>
        </w:rPr>
        <w:t>Working time directive (WTD), which was established in 1998 is a key component of ECJ. WTD is a   core component of NHS rota building, established that time spent on</w:t>
      </w:r>
      <w:r w:rsidRPr="001E09D7">
        <w:rPr>
          <w:rFonts w:ascii="Calibri" w:hAnsi="Calibri" w:cs="Calibri"/>
        </w:rPr>
        <w:noBreakHyphen/>
        <w:t xml:space="preserve">call on site at the </w:t>
      </w:r>
      <w:r w:rsidRPr="001E09D7">
        <w:rPr>
          <w:rFonts w:ascii="Calibri" w:hAnsi="Calibri" w:cs="Calibri"/>
        </w:rPr>
        <w:lastRenderedPageBreak/>
        <w:t xml:space="preserve">workplace counts as working time, ECJ also confirm that the working week cannot exceed 48 hours and ensures that ‘natural rest’ is </w:t>
      </w:r>
      <w:proofErr w:type="gramStart"/>
      <w:r w:rsidRPr="001E09D7">
        <w:rPr>
          <w:rFonts w:ascii="Calibri" w:hAnsi="Calibri" w:cs="Calibri"/>
        </w:rPr>
        <w:t>achieved..</w:t>
      </w:r>
      <w:proofErr w:type="gramEnd"/>
      <w:r w:rsidRPr="001E09D7">
        <w:rPr>
          <w:rFonts w:ascii="Calibri" w:hAnsi="Calibri" w:cs="Calibri"/>
        </w:rPr>
        <w:t xml:space="preserve"> This, as mentioned, has been central to NHS rostering, particularly for junior doctors. When disputes arose, such as claims that rest breaks were not being provided or that on</w:t>
      </w:r>
      <w:r w:rsidRPr="001E09D7">
        <w:rPr>
          <w:rFonts w:ascii="Calibri" w:hAnsi="Calibri" w:cs="Calibri"/>
        </w:rPr>
        <w:noBreakHyphen/>
        <w:t>call hours exceeded legal limits, employment tribunals are required to apply these ECJ principles. As these judgments pre</w:t>
      </w:r>
      <w:r w:rsidRPr="001E09D7">
        <w:rPr>
          <w:rFonts w:ascii="Calibri" w:hAnsi="Calibri" w:cs="Calibri"/>
        </w:rPr>
        <w:noBreakHyphen/>
        <w:t>date Brexit, tribunals must still follow them unless a higher UK court decides otherwise. This ensures that NHS staff continue to receive the protections intended under the WTD.</w:t>
      </w:r>
    </w:p>
    <w:p w14:paraId="0380B253" w14:textId="77777777" w:rsidR="00AF4687" w:rsidRPr="001E09D7" w:rsidRDefault="00AF4687" w:rsidP="00AF4687">
      <w:pPr>
        <w:jc w:val="both"/>
        <w:rPr>
          <w:rFonts w:ascii="Calibri" w:hAnsi="Calibri" w:cs="Calibri"/>
        </w:rPr>
      </w:pPr>
      <w:r w:rsidRPr="001E09D7">
        <w:rPr>
          <w:rFonts w:ascii="Calibri" w:hAnsi="Calibri" w:cs="Calibri"/>
        </w:rPr>
        <w:t>In summary, pre</w:t>
      </w:r>
      <w:r w:rsidRPr="001E09D7">
        <w:rPr>
          <w:rFonts w:ascii="Calibri" w:hAnsi="Calibri" w:cs="Calibri"/>
        </w:rPr>
        <w:noBreakHyphen/>
        <w:t>2020 ECJ judgments remain ‘good law’ and continue to bind UK tribunals and lower courts. The tribunal and court system play a crucial role in enforcing these principles, ensuring that organisations including NHS Trusts, comply with employment rights until such a time when Parliament or senior courts determine otherwise.</w:t>
      </w:r>
    </w:p>
    <w:p w14:paraId="7B45BB6B" w14:textId="77777777" w:rsidR="00AF4687" w:rsidRPr="001E09D7" w:rsidRDefault="00AF4687" w:rsidP="00AF4687">
      <w:pPr>
        <w:jc w:val="both"/>
        <w:rPr>
          <w:rFonts w:ascii="Calibri" w:hAnsi="Calibri" w:cs="Calibri"/>
        </w:rPr>
      </w:pPr>
      <w:r w:rsidRPr="001E09D7">
        <w:rPr>
          <w:rFonts w:ascii="Calibri" w:hAnsi="Calibri" w:cs="Calibri"/>
        </w:rPr>
        <w:t>(AC 2.1)</w:t>
      </w:r>
    </w:p>
    <w:p w14:paraId="3D33EA96" w14:textId="00CF4C02" w:rsidR="00AF4687" w:rsidRPr="001E09D7" w:rsidRDefault="00AF4687" w:rsidP="00AF4687">
      <w:pPr>
        <w:jc w:val="both"/>
        <w:rPr>
          <w:rFonts w:ascii="Calibri" w:hAnsi="Calibri" w:cs="Calibri"/>
        </w:rPr>
      </w:pPr>
      <w:r w:rsidRPr="001E09D7">
        <w:rPr>
          <w:rFonts w:ascii="Calibri" w:hAnsi="Calibri" w:cs="Calibri"/>
        </w:rPr>
        <w:t xml:space="preserve">To answer your query, when it is lawful to specify that a role must be carried out by either a man or a woman. Under UK discrimination law, sex is a protected </w:t>
      </w:r>
      <w:proofErr w:type="gramStart"/>
      <w:r w:rsidRPr="001E09D7">
        <w:rPr>
          <w:rFonts w:ascii="Calibri" w:hAnsi="Calibri" w:cs="Calibri"/>
        </w:rPr>
        <w:t>characteristic</w:t>
      </w:r>
      <w:proofErr w:type="gramEnd"/>
      <w:r w:rsidRPr="001E09D7">
        <w:rPr>
          <w:rFonts w:ascii="Calibri" w:hAnsi="Calibri" w:cs="Calibri"/>
        </w:rPr>
        <w:t xml:space="preserve"> and employers must not treat applicants any differently because of it. CIPD emphasises that recruitment decisions must be based on job</w:t>
      </w:r>
      <w:r w:rsidRPr="001E09D7">
        <w:rPr>
          <w:rFonts w:ascii="Calibri" w:hAnsi="Calibri" w:cs="Calibri"/>
        </w:rPr>
        <w:noBreakHyphen/>
        <w:t>related specifications and not on assumptions or stereotypes about protected groups</w:t>
      </w:r>
      <w:r w:rsidR="008802CC">
        <w:rPr>
          <w:rFonts w:ascii="Calibri" w:hAnsi="Calibri" w:cs="Calibri"/>
        </w:rPr>
        <w:t xml:space="preserve"> and must be objective</w:t>
      </w:r>
      <w:r w:rsidRPr="001E09D7">
        <w:rPr>
          <w:rFonts w:ascii="Calibri" w:hAnsi="Calibri" w:cs="Calibri"/>
        </w:rPr>
        <w:t xml:space="preserve"> (CIPD, 2023 E). The Equality Act 2010 allows a very narrow exception known as an ‘occupational requirement,’ but this can only be used in limited and justifiable circumstances.</w:t>
      </w:r>
    </w:p>
    <w:p w14:paraId="0BBB59EE" w14:textId="77777777" w:rsidR="00AF4687" w:rsidRPr="001E09D7" w:rsidRDefault="00AF4687" w:rsidP="00AF4687">
      <w:pPr>
        <w:jc w:val="both"/>
        <w:rPr>
          <w:rFonts w:ascii="Calibri" w:hAnsi="Calibri" w:cs="Calibri"/>
        </w:rPr>
      </w:pPr>
      <w:r w:rsidRPr="001E09D7">
        <w:rPr>
          <w:rFonts w:ascii="Calibri" w:hAnsi="Calibri" w:cs="Calibri"/>
        </w:rPr>
        <w:t>An occupational requirement applies only where having a specific protected characteristic is essential to the role, not only preferable. The EHRC states that the requirement must be ‘crucial to the post and not just one of several important factors’ and it also must be a proportionate means of achieving a legitimate aim (EHRC, 2024). This means the employer must show that the job could not reasonably be done by someone without that characteristic e.g. a receptionist can be either a man or a woman, the sex of the employee is not essential to the undertakings of the role.</w:t>
      </w:r>
    </w:p>
    <w:p w14:paraId="2D75C658" w14:textId="77777777" w:rsidR="00AF4687" w:rsidRPr="001E09D7" w:rsidRDefault="00AF4687" w:rsidP="00AF4687">
      <w:pPr>
        <w:jc w:val="both"/>
        <w:rPr>
          <w:rFonts w:ascii="Calibri" w:hAnsi="Calibri" w:cs="Calibri"/>
        </w:rPr>
      </w:pPr>
      <w:r w:rsidRPr="001E09D7">
        <w:rPr>
          <w:rFonts w:ascii="Calibri" w:hAnsi="Calibri" w:cs="Calibri"/>
        </w:rPr>
        <w:t xml:space="preserve">A further example would be a women’s refuge requiring a female support worker because service users have experienced male violence and would possibly be unable to engage safely with a male worker in that environment. Here, the sex requirement is directly linked to the nature of the service, is proportionate and justifiable. </w:t>
      </w:r>
    </w:p>
    <w:p w14:paraId="1A46F15E" w14:textId="77777777" w:rsidR="00AF4687" w:rsidRPr="001E09D7" w:rsidRDefault="00AF4687" w:rsidP="00AF4687">
      <w:pPr>
        <w:jc w:val="both"/>
        <w:rPr>
          <w:rFonts w:ascii="Calibri" w:hAnsi="Calibri" w:cs="Calibri"/>
        </w:rPr>
      </w:pPr>
      <w:r w:rsidRPr="001E09D7">
        <w:rPr>
          <w:rFonts w:ascii="Calibri" w:hAnsi="Calibri" w:cs="Calibri"/>
        </w:rPr>
        <w:t>However, most roles in a directorate, administrative, managerial, operational or professional role will not meet this threshold. It would be unlawful, for instance, to specify that a cleaner or an electrician must be male or female based on preference, team balance, or assumptions about physical capability. The EHRC is clear that employer convenience, tradition, or perceived cultural fit do not justify an occupational requirement (EHRC, 2024).</w:t>
      </w:r>
    </w:p>
    <w:p w14:paraId="2EA65CFF" w14:textId="77777777" w:rsidR="00AF4687" w:rsidRPr="001E09D7" w:rsidRDefault="00AF4687" w:rsidP="00AF4687">
      <w:pPr>
        <w:jc w:val="both"/>
        <w:rPr>
          <w:rFonts w:ascii="Calibri" w:hAnsi="Calibri" w:cs="Calibri"/>
        </w:rPr>
      </w:pPr>
      <w:r w:rsidRPr="001E09D7">
        <w:rPr>
          <w:rFonts w:ascii="Calibri" w:hAnsi="Calibri" w:cs="Calibri"/>
        </w:rPr>
        <w:t xml:space="preserve">CIPD guidance also stresses that recruitment processes must avoid indirect discrimination, such as criteria that disproportionately disadvantage one sex unless objectively justified (CIPD, </w:t>
      </w:r>
      <w:r w:rsidRPr="001E09D7">
        <w:rPr>
          <w:rFonts w:ascii="Calibri" w:hAnsi="Calibri" w:cs="Calibri"/>
        </w:rPr>
        <w:lastRenderedPageBreak/>
        <w:t>2023 F). For example, requiring full</w:t>
      </w:r>
      <w:r w:rsidRPr="001E09D7">
        <w:rPr>
          <w:rFonts w:ascii="Calibri" w:hAnsi="Calibri" w:cs="Calibri"/>
        </w:rPr>
        <w:noBreakHyphen/>
        <w:t>time working where flexible options are possible may indirectly disadvantage women and could be challenged unless the employer can show a legitimate business need.</w:t>
      </w:r>
    </w:p>
    <w:p w14:paraId="3F4A5ECE" w14:textId="77777777" w:rsidR="00AF4687" w:rsidRPr="001E09D7" w:rsidRDefault="00AF4687" w:rsidP="00AF4687">
      <w:pPr>
        <w:jc w:val="both"/>
        <w:rPr>
          <w:rFonts w:ascii="Calibri" w:hAnsi="Calibri" w:cs="Calibri"/>
        </w:rPr>
      </w:pPr>
      <w:r w:rsidRPr="001E09D7">
        <w:rPr>
          <w:rFonts w:ascii="Calibri" w:hAnsi="Calibri" w:cs="Calibri"/>
        </w:rPr>
        <w:t>In brief, you can only specify that a job must be carried out by a man or a woman where sex is a genuine occupational requirement, the need for a specific gender is essential to the advertised role, and the approach is proportionate to the job requirements. These situations are rare, and most roles must remain open to applicants of any sex to comply with discrimination law.</w:t>
      </w:r>
    </w:p>
    <w:p w14:paraId="2323D935" w14:textId="77777777" w:rsidR="00AF4687" w:rsidRPr="001E09D7" w:rsidRDefault="00AF4687" w:rsidP="00AF4687">
      <w:pPr>
        <w:jc w:val="both"/>
        <w:rPr>
          <w:rFonts w:ascii="Calibri" w:hAnsi="Calibri" w:cs="Calibri"/>
        </w:rPr>
      </w:pPr>
      <w:r w:rsidRPr="001E09D7">
        <w:rPr>
          <w:rFonts w:ascii="Calibri" w:hAnsi="Calibri" w:cs="Calibri"/>
        </w:rPr>
        <w:t>(AC 2.2)</w:t>
      </w:r>
    </w:p>
    <w:p w14:paraId="31508DF6" w14:textId="77777777" w:rsidR="00AF4687" w:rsidRPr="001E09D7" w:rsidRDefault="00AF4687" w:rsidP="00AF4687">
      <w:pPr>
        <w:jc w:val="both"/>
        <w:rPr>
          <w:rFonts w:ascii="Calibri" w:hAnsi="Calibri" w:cs="Calibri"/>
        </w:rPr>
      </w:pPr>
      <w:r w:rsidRPr="001E09D7">
        <w:rPr>
          <w:rFonts w:ascii="Calibri" w:hAnsi="Calibri" w:cs="Calibri"/>
        </w:rPr>
        <w:t>Thank you for raising this proposal. Before approving the upgrade of the two male HCAs from A to B grade, it is essential to consider the legal requirements around equal pay, as well as the implications of altering contractual terms for only selected individuals.</w:t>
      </w:r>
    </w:p>
    <w:p w14:paraId="7A62E9AF" w14:textId="206F1AF0" w:rsidR="00AF4687" w:rsidRPr="001E09D7" w:rsidRDefault="00AF4687" w:rsidP="00AF4687">
      <w:pPr>
        <w:jc w:val="both"/>
        <w:rPr>
          <w:rFonts w:ascii="Calibri" w:hAnsi="Calibri" w:cs="Calibri"/>
        </w:rPr>
      </w:pPr>
      <w:r w:rsidRPr="001E09D7">
        <w:rPr>
          <w:rFonts w:ascii="Calibri" w:hAnsi="Calibri" w:cs="Calibri"/>
        </w:rPr>
        <w:t>Under the Equality Act 2010, men and women are entitled to equal pay for equal work</w:t>
      </w:r>
      <w:r w:rsidR="008802CC">
        <w:rPr>
          <w:rFonts w:ascii="Calibri" w:hAnsi="Calibri" w:cs="Calibri"/>
        </w:rPr>
        <w:t xml:space="preserve">. This included work of equal value, like for like work and work that can be classed as equivalent. </w:t>
      </w:r>
      <w:r w:rsidRPr="001E09D7">
        <w:rPr>
          <w:rFonts w:ascii="Calibri" w:hAnsi="Calibri" w:cs="Calibri"/>
        </w:rPr>
        <w:t>CIPD stresses that pay systems must be transparent, objective and free from sex</w:t>
      </w:r>
      <w:r w:rsidRPr="001E09D7">
        <w:rPr>
          <w:rFonts w:ascii="Calibri" w:hAnsi="Calibri" w:cs="Calibri"/>
        </w:rPr>
        <w:noBreakHyphen/>
        <w:t xml:space="preserve">based bias, particularly in roles where one gender predominates (CIPD, 2023 G). Within our trust, we are aware that 80% of </w:t>
      </w:r>
      <w:proofErr w:type="gramStart"/>
      <w:r w:rsidRPr="001E09D7">
        <w:rPr>
          <w:rFonts w:ascii="Calibri" w:hAnsi="Calibri" w:cs="Calibri"/>
        </w:rPr>
        <w:t>HCAs  are</w:t>
      </w:r>
      <w:proofErr w:type="gramEnd"/>
      <w:r w:rsidRPr="001E09D7">
        <w:rPr>
          <w:rFonts w:ascii="Calibri" w:hAnsi="Calibri" w:cs="Calibri"/>
        </w:rPr>
        <w:t xml:space="preserve"> women, upgrading only two men creates a clear risk of unequal treatment.</w:t>
      </w:r>
    </w:p>
    <w:p w14:paraId="3FABDE2D" w14:textId="77777777" w:rsidR="00AF4687" w:rsidRPr="001E09D7" w:rsidRDefault="00AF4687" w:rsidP="00AF4687">
      <w:pPr>
        <w:jc w:val="both"/>
        <w:rPr>
          <w:rFonts w:ascii="Calibri" w:hAnsi="Calibri" w:cs="Calibri"/>
        </w:rPr>
      </w:pPr>
      <w:r w:rsidRPr="001E09D7">
        <w:rPr>
          <w:rFonts w:ascii="Calibri" w:hAnsi="Calibri" w:cs="Calibri"/>
        </w:rPr>
        <w:t xml:space="preserve">Equal pay claims arise when a </w:t>
      </w:r>
      <w:proofErr w:type="gramStart"/>
      <w:r w:rsidRPr="001E09D7">
        <w:rPr>
          <w:rFonts w:ascii="Calibri" w:hAnsi="Calibri" w:cs="Calibri"/>
        </w:rPr>
        <w:t>workers of the opposite sex</w:t>
      </w:r>
      <w:proofErr w:type="gramEnd"/>
      <w:r w:rsidRPr="001E09D7">
        <w:rPr>
          <w:rFonts w:ascii="Calibri" w:hAnsi="Calibri" w:cs="Calibri"/>
        </w:rPr>
        <w:t xml:space="preserve"> who perform equal duties receive less favourable contractual terms that that of a comparator of the opposite sex for performing equal work. (Lewis, Sargeant &amp; Schwab, 2022). If the upgraded HCAs continue performing the same duties as female HCAs on A grade, women could argue they are being paid less for equal work. We must then show a ‘material factor’ defence unrelated to sex. ACAS guidance confirms that this defence must be based on genuine business need such as skills, qualifications or job content, not managerial discretion or availability of surplus funds (ACAS, 2024).</w:t>
      </w:r>
    </w:p>
    <w:p w14:paraId="3F774B13" w14:textId="77777777" w:rsidR="00AF4687" w:rsidRPr="001E09D7" w:rsidRDefault="00AF4687" w:rsidP="00AF4687">
      <w:pPr>
        <w:jc w:val="both"/>
        <w:rPr>
          <w:rFonts w:ascii="Calibri" w:hAnsi="Calibri" w:cs="Calibri"/>
        </w:rPr>
      </w:pPr>
      <w:r w:rsidRPr="001E09D7">
        <w:rPr>
          <w:rFonts w:ascii="Calibri" w:hAnsi="Calibri" w:cs="Calibri"/>
        </w:rPr>
        <w:t>The proposal also involves varying employment contracts, as a change in grade alters pay, duties and status. Selectively upgrading only two individuals without a role</w:t>
      </w:r>
      <w:r w:rsidRPr="001E09D7">
        <w:rPr>
          <w:rFonts w:ascii="Calibri" w:hAnsi="Calibri" w:cs="Calibri"/>
        </w:rPr>
        <w:noBreakHyphen/>
        <w:t>based justification risks appearing unfair.</w:t>
      </w:r>
    </w:p>
    <w:p w14:paraId="5E87F2DD" w14:textId="4A8345E9" w:rsidR="00AF4687" w:rsidRPr="001E09D7" w:rsidRDefault="00AF4687" w:rsidP="00AF4687">
      <w:pPr>
        <w:jc w:val="both"/>
        <w:rPr>
          <w:rFonts w:ascii="Calibri" w:hAnsi="Calibri" w:cs="Calibri"/>
        </w:rPr>
      </w:pPr>
      <w:r w:rsidRPr="001E09D7">
        <w:rPr>
          <w:rFonts w:ascii="Calibri" w:hAnsi="Calibri" w:cs="Calibri"/>
        </w:rPr>
        <w:t>If you believe these HCAs are performing B</w:t>
      </w:r>
      <w:r w:rsidR="004E67BD">
        <w:rPr>
          <w:rFonts w:ascii="Calibri" w:hAnsi="Calibri" w:cs="Calibri"/>
        </w:rPr>
        <w:t xml:space="preserve"> </w:t>
      </w:r>
      <w:r w:rsidRPr="001E09D7">
        <w:rPr>
          <w:rFonts w:ascii="Calibri" w:hAnsi="Calibri" w:cs="Calibri"/>
        </w:rPr>
        <w:t>grade duties, the correct approach is to evaluate the role, not the individuals. CIPD and ACAS both emphasise that job evaluation must be systematic, evidence</w:t>
      </w:r>
      <w:r w:rsidRPr="001E09D7">
        <w:rPr>
          <w:rFonts w:ascii="Calibri" w:hAnsi="Calibri" w:cs="Calibri"/>
        </w:rPr>
        <w:noBreakHyphen/>
        <w:t>based and gender</w:t>
      </w:r>
      <w:r w:rsidRPr="001E09D7">
        <w:rPr>
          <w:rFonts w:ascii="Calibri" w:hAnsi="Calibri" w:cs="Calibri"/>
        </w:rPr>
        <w:noBreakHyphen/>
        <w:t>neutral to avoid discriminatory outcomes. If the evaluation confirms B</w:t>
      </w:r>
      <w:r w:rsidRPr="001E09D7">
        <w:rPr>
          <w:rFonts w:ascii="Calibri" w:hAnsi="Calibri" w:cs="Calibri"/>
        </w:rPr>
        <w:noBreakHyphen/>
        <w:t>grade responsibilities, then all HCAs performing that level of work, regardless of sex, must be considered for regrading.</w:t>
      </w:r>
    </w:p>
    <w:p w14:paraId="207CF5C2" w14:textId="77777777" w:rsidR="00AF4687" w:rsidRPr="001E09D7" w:rsidRDefault="00AF4687" w:rsidP="00AF4687">
      <w:pPr>
        <w:jc w:val="both"/>
        <w:rPr>
          <w:rFonts w:ascii="Calibri" w:hAnsi="Calibri" w:cs="Calibri"/>
        </w:rPr>
      </w:pPr>
      <w:r w:rsidRPr="001E09D7">
        <w:rPr>
          <w:rFonts w:ascii="Calibri" w:hAnsi="Calibri" w:cs="Calibri"/>
        </w:rPr>
        <w:t>In summary, upgrading only two male HCAs presents significant equal pay, discrimination and contractual fairness risks. Any grade change must be justified by job content and applied consistently. On this basis, I cannot recommend approving the upgrade as currently proposed</w:t>
      </w:r>
    </w:p>
    <w:p w14:paraId="74ECD569" w14:textId="77777777" w:rsidR="00AF4687" w:rsidRPr="001E09D7" w:rsidRDefault="00AF4687" w:rsidP="00AF4687">
      <w:pPr>
        <w:jc w:val="both"/>
        <w:rPr>
          <w:rFonts w:ascii="Calibri" w:hAnsi="Calibri" w:cs="Calibri"/>
        </w:rPr>
      </w:pPr>
    </w:p>
    <w:p w14:paraId="3CC4175A" w14:textId="77777777" w:rsidR="00AF4687" w:rsidRPr="001E09D7" w:rsidRDefault="00AF4687" w:rsidP="00AF4687">
      <w:pPr>
        <w:jc w:val="both"/>
        <w:rPr>
          <w:rFonts w:ascii="Calibri" w:hAnsi="Calibri" w:cs="Calibri"/>
        </w:rPr>
      </w:pPr>
      <w:r w:rsidRPr="001E09D7">
        <w:rPr>
          <w:rFonts w:ascii="Calibri" w:hAnsi="Calibri" w:cs="Calibri"/>
        </w:rPr>
        <w:t>(AC 3.1)</w:t>
      </w:r>
    </w:p>
    <w:p w14:paraId="49C0BB6D" w14:textId="77777777" w:rsidR="00AF4687" w:rsidRPr="001E09D7" w:rsidRDefault="00AF4687" w:rsidP="00AF4687">
      <w:pPr>
        <w:jc w:val="both"/>
        <w:rPr>
          <w:rFonts w:ascii="Calibri" w:hAnsi="Calibri" w:cs="Calibri"/>
        </w:rPr>
      </w:pPr>
      <w:r w:rsidRPr="001E09D7">
        <w:rPr>
          <w:rFonts w:ascii="Calibri" w:hAnsi="Calibri" w:cs="Calibri"/>
        </w:rPr>
        <w:t xml:space="preserve">Thanks for raising this concern. An employee can bring about a constructive dismissal claim if the employee feels that the employer has breached terms of their contract that then leads to the </w:t>
      </w:r>
      <w:proofErr w:type="gramStart"/>
      <w:r w:rsidRPr="001E09D7">
        <w:rPr>
          <w:rFonts w:ascii="Calibri" w:hAnsi="Calibri" w:cs="Calibri"/>
        </w:rPr>
        <w:t>employees</w:t>
      </w:r>
      <w:proofErr w:type="gramEnd"/>
      <w:r w:rsidRPr="001E09D7">
        <w:rPr>
          <w:rFonts w:ascii="Calibri" w:hAnsi="Calibri" w:cs="Calibri"/>
        </w:rPr>
        <w:t xml:space="preserve"> resignation. A change in working hours can be the basis of such a claim if it is implemented without agreement or consultation and is serious enough to undermine the employment relationship. CIPD notes that a breach can be driven from a change to mutual trust and confidence along with key terms of the contract including hours, location or renumeration. CIPD, 2023 G).</w:t>
      </w:r>
    </w:p>
    <w:p w14:paraId="01E31560" w14:textId="77777777" w:rsidR="00AF4687" w:rsidRPr="001E09D7" w:rsidRDefault="00AF4687" w:rsidP="00AF4687">
      <w:pPr>
        <w:jc w:val="both"/>
        <w:rPr>
          <w:rFonts w:ascii="Calibri" w:hAnsi="Calibri" w:cs="Calibri"/>
        </w:rPr>
      </w:pPr>
      <w:r w:rsidRPr="001E09D7">
        <w:rPr>
          <w:rFonts w:ascii="Calibri" w:hAnsi="Calibri" w:cs="Calibri"/>
        </w:rPr>
        <w:t xml:space="preserve">Varying a contract requires either the employee’s consent, a contractual flexibility clause, or a legitimate business reason supported by consultation (Lewis, Sargeant &amp; Schwab, 2022). If none of these apply, imposing new hours may be unlawful. A radiographer whose hours were changed without agreement could argue that the Trust acted unreasonably, leaving them no choice but to resign. A constructive dismissal claim can succeed </w:t>
      </w:r>
      <w:proofErr w:type="gramStart"/>
      <w:r w:rsidRPr="001E09D7">
        <w:rPr>
          <w:rFonts w:ascii="Calibri" w:hAnsi="Calibri" w:cs="Calibri"/>
        </w:rPr>
        <w:t>if  the</w:t>
      </w:r>
      <w:proofErr w:type="gramEnd"/>
      <w:r w:rsidRPr="001E09D7">
        <w:rPr>
          <w:rFonts w:ascii="Calibri" w:hAnsi="Calibri" w:cs="Calibri"/>
        </w:rPr>
        <w:t xml:space="preserve"> employee is able to </w:t>
      </w:r>
      <w:proofErr w:type="gramStart"/>
      <w:r w:rsidRPr="001E09D7">
        <w:rPr>
          <w:rFonts w:ascii="Calibri" w:hAnsi="Calibri" w:cs="Calibri"/>
        </w:rPr>
        <w:t>demonstrated</w:t>
      </w:r>
      <w:proofErr w:type="gramEnd"/>
      <w:r w:rsidRPr="001E09D7">
        <w:rPr>
          <w:rFonts w:ascii="Calibri" w:hAnsi="Calibri" w:cs="Calibri"/>
        </w:rPr>
        <w:t xml:space="preserve"> that there was a substantial breach of contract, this in turn caused them to resign without a recognisable or unreasonable delay.</w:t>
      </w:r>
    </w:p>
    <w:p w14:paraId="7FB7B001" w14:textId="77777777" w:rsidR="00AF4687" w:rsidRPr="001E09D7" w:rsidRDefault="00AF4687" w:rsidP="00AF4687">
      <w:pPr>
        <w:jc w:val="both"/>
        <w:rPr>
          <w:rFonts w:ascii="Calibri" w:hAnsi="Calibri" w:cs="Calibri"/>
        </w:rPr>
      </w:pPr>
      <w:r w:rsidRPr="001E09D7">
        <w:rPr>
          <w:rFonts w:ascii="Calibri" w:hAnsi="Calibri" w:cs="Calibri"/>
        </w:rPr>
        <w:t>A breach may be either a single serious act or a series of smaller acts that collectively destroy trust and confidence (Lewis et al., 2022). If the radiographer repeatedly raised concerns about the new hours and felt ignored, this could strengthen their argument.</w:t>
      </w:r>
    </w:p>
    <w:p w14:paraId="44E8160B" w14:textId="77777777" w:rsidR="00AF4687" w:rsidRPr="001E09D7" w:rsidRDefault="00AF4687" w:rsidP="00AF4687">
      <w:pPr>
        <w:jc w:val="both"/>
        <w:rPr>
          <w:rFonts w:ascii="Calibri" w:hAnsi="Calibri" w:cs="Calibri"/>
        </w:rPr>
      </w:pPr>
      <w:r w:rsidRPr="001E09D7">
        <w:rPr>
          <w:rFonts w:ascii="Calibri" w:hAnsi="Calibri" w:cs="Calibri"/>
        </w:rPr>
        <w:t>On time limits, the Employment Tribunal normally requires claims to be submitted within three months minus one day from the date of resignation. CIPD emphasises that this deadline is strict, and late claims are accepted only in exceptional circumstances (CIPD, 2023 H). The employee must also contact ACAS for early conciliation before submitting a claim, this causes a pause on the time limit but does not remove it entirely.</w:t>
      </w:r>
    </w:p>
    <w:p w14:paraId="16A28255" w14:textId="77777777" w:rsidR="00AF4687" w:rsidRPr="001E09D7" w:rsidRDefault="00AF4687" w:rsidP="00AF4687">
      <w:pPr>
        <w:jc w:val="both"/>
        <w:rPr>
          <w:rFonts w:ascii="Calibri" w:hAnsi="Calibri" w:cs="Calibri"/>
        </w:rPr>
      </w:pPr>
      <w:r w:rsidRPr="001E09D7">
        <w:rPr>
          <w:rFonts w:ascii="Calibri" w:hAnsi="Calibri" w:cs="Calibri"/>
        </w:rPr>
        <w:t>In practice, the key question is if the change to working hours was consulted on, contractually justified and reasonable. If we, the trust imposed the change without agreement or adequate consultation, the risk of a constructive dismissal claim increases. If, however, the change was permitted by contract or agreed through consultation, the claim is less likely to succeed.</w:t>
      </w:r>
    </w:p>
    <w:p w14:paraId="736EC4A7" w14:textId="77777777" w:rsidR="00AF4687" w:rsidRPr="001E09D7" w:rsidRDefault="00AF4687" w:rsidP="00AF4687">
      <w:pPr>
        <w:jc w:val="both"/>
        <w:rPr>
          <w:rFonts w:ascii="Calibri" w:hAnsi="Calibri" w:cs="Calibri"/>
        </w:rPr>
      </w:pPr>
      <w:r w:rsidRPr="001E09D7">
        <w:rPr>
          <w:rFonts w:ascii="Calibri" w:hAnsi="Calibri" w:cs="Calibri"/>
        </w:rPr>
        <w:t>A change to working hours can amount to constructive dismissal if it represents a breach of contract. Claims must be made within three months minus one day of resignation. You should review whether the change was justified, consulted upon, and contractually permitted.</w:t>
      </w:r>
    </w:p>
    <w:p w14:paraId="7B7B2955" w14:textId="77777777" w:rsidR="00AF4687" w:rsidRPr="001E09D7" w:rsidRDefault="00AF4687" w:rsidP="00AF4687">
      <w:pPr>
        <w:jc w:val="both"/>
        <w:rPr>
          <w:rFonts w:ascii="Calibri" w:hAnsi="Calibri" w:cs="Calibri"/>
        </w:rPr>
      </w:pPr>
      <w:r w:rsidRPr="001E09D7">
        <w:rPr>
          <w:rFonts w:ascii="Calibri" w:hAnsi="Calibri" w:cs="Calibri"/>
        </w:rPr>
        <w:t>(AC 3.2)</w:t>
      </w:r>
    </w:p>
    <w:p w14:paraId="3EEDAD05" w14:textId="77777777" w:rsidR="00AF4687" w:rsidRPr="001E09D7" w:rsidRDefault="00AF4687" w:rsidP="00AF4687">
      <w:pPr>
        <w:jc w:val="both"/>
        <w:rPr>
          <w:rFonts w:ascii="Calibri" w:hAnsi="Calibri" w:cs="Calibri"/>
        </w:rPr>
      </w:pPr>
      <w:r w:rsidRPr="001E09D7">
        <w:rPr>
          <w:rFonts w:ascii="Calibri" w:hAnsi="Calibri" w:cs="Calibri"/>
        </w:rPr>
        <w:t>Thanks for consulting me on this matter. I appreciate your desire to move quickly however, the approach you are proposing would place the trust at a legal risk. Redundancy is a statutory process, and employers must follow strict legal requirements to ensure fairness and avoid unfair dismissal claims.</w:t>
      </w:r>
    </w:p>
    <w:p w14:paraId="3F137E7F" w14:textId="77777777" w:rsidR="00AF4687" w:rsidRPr="001E09D7" w:rsidRDefault="00AF4687" w:rsidP="00AF4687">
      <w:pPr>
        <w:jc w:val="both"/>
        <w:rPr>
          <w:rFonts w:ascii="Calibri" w:hAnsi="Calibri" w:cs="Calibri"/>
        </w:rPr>
      </w:pPr>
      <w:r w:rsidRPr="001E09D7">
        <w:rPr>
          <w:rFonts w:ascii="Calibri" w:hAnsi="Calibri" w:cs="Calibri"/>
        </w:rPr>
        <w:lastRenderedPageBreak/>
        <w:t>Redundancy arises when there is a reduced need for employees to carry out work of a proposed kind, dismissals must be based on the reduced requirement of work not on performance concerns (Lewis, Sargeant &amp; Schwab, 2022). Using redundancy to remove ‘poor performers’ is unlawful. Performance issues must be managed through capability procedures, for example performance reviews and supported plans not redundancy selection.</w:t>
      </w:r>
    </w:p>
    <w:p w14:paraId="69E89444" w14:textId="77777777" w:rsidR="00AF4687" w:rsidRPr="001E09D7" w:rsidRDefault="00AF4687" w:rsidP="00AF4687">
      <w:pPr>
        <w:jc w:val="both"/>
        <w:rPr>
          <w:rFonts w:ascii="Calibri" w:hAnsi="Calibri" w:cs="Calibri"/>
        </w:rPr>
      </w:pPr>
      <w:r w:rsidRPr="001E09D7">
        <w:rPr>
          <w:rFonts w:ascii="Calibri" w:hAnsi="Calibri" w:cs="Calibri"/>
        </w:rPr>
        <w:t>Where 20 or more redundancies are proposed within 90 days, the law requires collective consultation with recognised trade unions or elected representatives. Within the NHS, our employees are represented by various unions such as UNISON, RCN, and the BMA for medical staff. CIPD emphasises that consultation must be meaningful, timely, and genuine, allowing staff and unions to influence decisions before they are finalised (CIPD, 2023 I). Avoiding consultation is not an option.</w:t>
      </w:r>
    </w:p>
    <w:p w14:paraId="1A8CF582" w14:textId="00E8722B" w:rsidR="00AF4687" w:rsidRPr="001E09D7" w:rsidRDefault="00AF4687" w:rsidP="00AF4687">
      <w:pPr>
        <w:jc w:val="both"/>
        <w:rPr>
          <w:rFonts w:ascii="Calibri" w:hAnsi="Calibri" w:cs="Calibri"/>
        </w:rPr>
      </w:pPr>
      <w:r w:rsidRPr="001E09D7">
        <w:rPr>
          <w:rFonts w:ascii="Calibri" w:hAnsi="Calibri" w:cs="Calibri"/>
        </w:rPr>
        <w:t xml:space="preserve">We must also provide specific information when going through the redundancy process including reasons for the redundancy, the </w:t>
      </w:r>
      <w:r w:rsidR="004E67BD">
        <w:rPr>
          <w:rFonts w:ascii="Calibri" w:hAnsi="Calibri" w:cs="Calibri"/>
        </w:rPr>
        <w:t xml:space="preserve">number </w:t>
      </w:r>
      <w:r w:rsidRPr="001E09D7">
        <w:rPr>
          <w:rFonts w:ascii="Calibri" w:hAnsi="Calibri" w:cs="Calibri"/>
        </w:rPr>
        <w:t xml:space="preserve">of staff affected, selection methods and timelines. Failure to consult and provide this information can lead to a protective award of up to 90 </w:t>
      </w:r>
      <w:proofErr w:type="spellStart"/>
      <w:r w:rsidRPr="001E09D7">
        <w:rPr>
          <w:rFonts w:ascii="Calibri" w:hAnsi="Calibri" w:cs="Calibri"/>
        </w:rPr>
        <w:t>days</w:t>
      </w:r>
      <w:proofErr w:type="spellEnd"/>
      <w:r w:rsidRPr="001E09D7">
        <w:rPr>
          <w:rFonts w:ascii="Calibri" w:hAnsi="Calibri" w:cs="Calibri"/>
        </w:rPr>
        <w:t xml:space="preserve"> pay, per affected employee, a potentially expensive and reputationally damaging outcome for the organisation.</w:t>
      </w:r>
    </w:p>
    <w:p w14:paraId="2CB338EC" w14:textId="77777777" w:rsidR="00AF4687" w:rsidRPr="001E09D7" w:rsidRDefault="00AF4687" w:rsidP="00AF4687">
      <w:pPr>
        <w:jc w:val="both"/>
        <w:rPr>
          <w:rFonts w:ascii="Calibri" w:hAnsi="Calibri" w:cs="Calibri"/>
        </w:rPr>
      </w:pPr>
      <w:r w:rsidRPr="001E09D7">
        <w:rPr>
          <w:rFonts w:ascii="Calibri" w:hAnsi="Calibri" w:cs="Calibri"/>
        </w:rPr>
        <w:t>Selection for redundancy must be based on several factors namely, fairness, objectiveness, and non</w:t>
      </w:r>
      <w:r w:rsidRPr="001E09D7">
        <w:rPr>
          <w:rFonts w:ascii="Calibri" w:hAnsi="Calibri" w:cs="Calibri"/>
        </w:rPr>
        <w:noBreakHyphen/>
        <w:t>discriminatory criteria, where the criteria must be transparent and consistently applied (Lewis et al. 2022). Simply dismissing the ‘poorest performers’ without a fair process would almost certainly be judged unfair by an Employment Tribunal.</w:t>
      </w:r>
    </w:p>
    <w:p w14:paraId="729B6E27" w14:textId="77777777" w:rsidR="00AF4687" w:rsidRPr="001E09D7" w:rsidRDefault="00AF4687" w:rsidP="00AF4687">
      <w:pPr>
        <w:jc w:val="both"/>
        <w:rPr>
          <w:rFonts w:ascii="Calibri" w:hAnsi="Calibri" w:cs="Calibri"/>
        </w:rPr>
      </w:pPr>
      <w:r w:rsidRPr="001E09D7">
        <w:rPr>
          <w:rFonts w:ascii="Calibri" w:hAnsi="Calibri" w:cs="Calibri"/>
        </w:rPr>
        <w:t>Additionally, we have established partnerships with trade unions, bypassing them would breach national expectations for staff involvement. The BMA and other unions would rightly challenge any attempt to rush the process.</w:t>
      </w:r>
    </w:p>
    <w:p w14:paraId="4FDDC5C1" w14:textId="77777777" w:rsidR="00AF4687" w:rsidRPr="001E09D7" w:rsidRDefault="00AF4687" w:rsidP="00AF4687">
      <w:pPr>
        <w:jc w:val="both"/>
        <w:rPr>
          <w:rFonts w:ascii="Calibri" w:hAnsi="Calibri" w:cs="Calibri"/>
        </w:rPr>
      </w:pPr>
      <w:r w:rsidRPr="001E09D7">
        <w:rPr>
          <w:rFonts w:ascii="Calibri" w:hAnsi="Calibri" w:cs="Calibri"/>
        </w:rPr>
        <w:t>In short, redundancy must be based on a genuine reduction in roles, not performance. Collective consultation is legally required for over 20 redundancies, and selection must be fair and objective. Your proposed approach would expose the Trust to significant legal, financial, and industrial relations risks. A compliant, consultative process is essential.</w:t>
      </w:r>
    </w:p>
    <w:p w14:paraId="09F8530F" w14:textId="77777777" w:rsidR="00AF4687" w:rsidRPr="001E09D7" w:rsidRDefault="00AF4687" w:rsidP="00AF4687">
      <w:pPr>
        <w:jc w:val="both"/>
        <w:rPr>
          <w:rFonts w:ascii="Calibri" w:hAnsi="Calibri" w:cs="Calibri"/>
        </w:rPr>
      </w:pPr>
      <w:r w:rsidRPr="001E09D7">
        <w:rPr>
          <w:rFonts w:ascii="Calibri" w:hAnsi="Calibri" w:cs="Calibri"/>
        </w:rPr>
        <w:t>(AC 3.3)</w:t>
      </w:r>
    </w:p>
    <w:p w14:paraId="1697270A" w14:textId="77777777" w:rsidR="00AF4687" w:rsidRPr="001E09D7" w:rsidRDefault="00AF4687" w:rsidP="00AF4687">
      <w:pPr>
        <w:jc w:val="both"/>
        <w:rPr>
          <w:rFonts w:ascii="Calibri" w:hAnsi="Calibri" w:cs="Calibri"/>
        </w:rPr>
      </w:pPr>
      <w:r w:rsidRPr="001E09D7">
        <w:rPr>
          <w:rFonts w:ascii="Calibri" w:hAnsi="Calibri" w:cs="Calibri"/>
        </w:rPr>
        <w:t>Thank you for updating me on the early discussions regarding a potential merger of our pharmacy services with the neighbouring Trust. As requested, I am outlining the major employee rights that would apply under the Transfer of Undertakings (Protection of Employment) Regulations 2006 (TUPE) should the merger proceed.</w:t>
      </w:r>
    </w:p>
    <w:p w14:paraId="3FC17423" w14:textId="77777777" w:rsidR="00AF4687" w:rsidRPr="001E09D7" w:rsidRDefault="00AF4687" w:rsidP="00AF4687">
      <w:pPr>
        <w:jc w:val="both"/>
        <w:rPr>
          <w:rFonts w:ascii="Calibri" w:hAnsi="Calibri" w:cs="Calibri"/>
        </w:rPr>
      </w:pPr>
      <w:r w:rsidRPr="001E09D7">
        <w:rPr>
          <w:rFonts w:ascii="Calibri" w:hAnsi="Calibri" w:cs="Calibri"/>
        </w:rPr>
        <w:t xml:space="preserve">TUPE protects employees when the business or service they work for transfers to a new employer. In a merger such as the one being explored, TUPE would almost certainly apply because the pharmacy function would continue in a recognisable form, even though it becomes a centralised service based here. TUPE is designed to ensure continuity of </w:t>
      </w:r>
      <w:r w:rsidRPr="001E09D7">
        <w:rPr>
          <w:rFonts w:ascii="Calibri" w:hAnsi="Calibri" w:cs="Calibri"/>
        </w:rPr>
        <w:lastRenderedPageBreak/>
        <w:t>employment and prevent staff from being disadvantaged simply because of any organisational structures change (CIPD, 2023 J).</w:t>
      </w:r>
    </w:p>
    <w:p w14:paraId="7B9143D2" w14:textId="77777777" w:rsidR="00AF4687" w:rsidRPr="001E09D7" w:rsidRDefault="00AF4687" w:rsidP="00AF4687">
      <w:pPr>
        <w:jc w:val="both"/>
        <w:rPr>
          <w:rFonts w:ascii="Calibri" w:hAnsi="Calibri" w:cs="Calibri"/>
        </w:rPr>
      </w:pPr>
      <w:r w:rsidRPr="001E09D7">
        <w:rPr>
          <w:rFonts w:ascii="Calibri" w:hAnsi="Calibri" w:cs="Calibri"/>
        </w:rPr>
        <w:t>Under TUPE, employees assigned to the transferring pharmacy service would have the right to automatically transfer to our trust on their existing terms and conditions. This includes working hours, annual leave entitlement, renumeration and the continuity of service along with most contractual benefits (Lewis, Sargeant &amp; Schwab, 2022). We would effectively step into the shoes of the previous employer.</w:t>
      </w:r>
    </w:p>
    <w:p w14:paraId="0EE3B8B7" w14:textId="6D87A17F" w:rsidR="00AF4687" w:rsidRPr="001E09D7" w:rsidRDefault="00AF4687" w:rsidP="00AF4687">
      <w:pPr>
        <w:jc w:val="both"/>
        <w:rPr>
          <w:rFonts w:ascii="Calibri" w:hAnsi="Calibri" w:cs="Calibri"/>
        </w:rPr>
      </w:pPr>
      <w:r w:rsidRPr="001E09D7">
        <w:rPr>
          <w:rFonts w:ascii="Calibri" w:hAnsi="Calibri" w:cs="Calibri"/>
        </w:rPr>
        <w:t xml:space="preserve">TUPE also restricts changes to terms and conditions, any </w:t>
      </w:r>
      <w:r w:rsidR="008802CC">
        <w:rPr>
          <w:rFonts w:ascii="Calibri" w:hAnsi="Calibri" w:cs="Calibri"/>
        </w:rPr>
        <w:t>changes</w:t>
      </w:r>
      <w:r w:rsidRPr="001E09D7">
        <w:rPr>
          <w:rFonts w:ascii="Calibri" w:hAnsi="Calibri" w:cs="Calibri"/>
        </w:rPr>
        <w:t xml:space="preserve"> connected to the transfer is void unless there is a defined reason that would be classed and an economic, technical or organisational (ETO) reason involving workforce changes. Even </w:t>
      </w:r>
      <w:r w:rsidR="008802CC">
        <w:rPr>
          <w:rFonts w:ascii="Calibri" w:hAnsi="Calibri" w:cs="Calibri"/>
        </w:rPr>
        <w:t>under these circumstances</w:t>
      </w:r>
      <w:r w:rsidRPr="001E09D7">
        <w:rPr>
          <w:rFonts w:ascii="Calibri" w:hAnsi="Calibri" w:cs="Calibri"/>
        </w:rPr>
        <w:t xml:space="preserve">, </w:t>
      </w:r>
      <w:r w:rsidR="008802CC">
        <w:rPr>
          <w:rFonts w:ascii="Calibri" w:hAnsi="Calibri" w:cs="Calibri"/>
        </w:rPr>
        <w:t xml:space="preserve">any </w:t>
      </w:r>
      <w:r w:rsidRPr="001E09D7">
        <w:rPr>
          <w:rFonts w:ascii="Calibri" w:hAnsi="Calibri" w:cs="Calibri"/>
        </w:rPr>
        <w:t xml:space="preserve">changes must be agreed with </w:t>
      </w:r>
      <w:r w:rsidR="008802CC">
        <w:rPr>
          <w:rFonts w:ascii="Calibri" w:hAnsi="Calibri" w:cs="Calibri"/>
        </w:rPr>
        <w:t xml:space="preserve">employee </w:t>
      </w:r>
      <w:r w:rsidRPr="001E09D7">
        <w:rPr>
          <w:rFonts w:ascii="Calibri" w:hAnsi="Calibri" w:cs="Calibri"/>
        </w:rPr>
        <w:t>representatives</w:t>
      </w:r>
      <w:r w:rsidR="008802CC">
        <w:rPr>
          <w:rFonts w:ascii="Calibri" w:hAnsi="Calibri" w:cs="Calibri"/>
        </w:rPr>
        <w:t xml:space="preserve"> and the employee themselves</w:t>
      </w:r>
      <w:r w:rsidRPr="001E09D7">
        <w:rPr>
          <w:rFonts w:ascii="Calibri" w:hAnsi="Calibri" w:cs="Calibri"/>
        </w:rPr>
        <w:t>. Within the NHS this is particularly prevalent where national terms (Agenda for Change) and strong union involvement such as from UNISON, Unite, and the BMA for medical staff are represented, meaning consultation must be thorough and meaningful.</w:t>
      </w:r>
    </w:p>
    <w:p w14:paraId="51320DD6" w14:textId="77777777" w:rsidR="00AF4687" w:rsidRPr="001E09D7" w:rsidRDefault="00AF4687" w:rsidP="00AF4687">
      <w:pPr>
        <w:jc w:val="both"/>
        <w:rPr>
          <w:rFonts w:ascii="Calibri" w:hAnsi="Calibri" w:cs="Calibri"/>
        </w:rPr>
      </w:pPr>
      <w:r w:rsidRPr="001E09D7">
        <w:rPr>
          <w:rFonts w:ascii="Calibri" w:hAnsi="Calibri" w:cs="Calibri"/>
        </w:rPr>
        <w:t xml:space="preserve">Employees also have the right to be informed and consulted through recognised trade unions, as noted above within the NHS or elected representatives. CIPD emphasises that consultation must occur long before decisions are finalised and must allow staff to influence outcomes (CIPD, 2023 K). Failure to consult can lead to protective awards of up to 13 </w:t>
      </w:r>
      <w:proofErr w:type="spellStart"/>
      <w:r w:rsidRPr="001E09D7">
        <w:rPr>
          <w:rFonts w:ascii="Calibri" w:hAnsi="Calibri" w:cs="Calibri"/>
        </w:rPr>
        <w:t>weeks</w:t>
      </w:r>
      <w:proofErr w:type="spellEnd"/>
      <w:r w:rsidRPr="001E09D7">
        <w:rPr>
          <w:rFonts w:ascii="Calibri" w:hAnsi="Calibri" w:cs="Calibri"/>
        </w:rPr>
        <w:t xml:space="preserve"> pay per employee.</w:t>
      </w:r>
    </w:p>
    <w:p w14:paraId="08499DEB" w14:textId="77777777" w:rsidR="00AF4687" w:rsidRPr="001E09D7" w:rsidRDefault="00AF4687" w:rsidP="00AF4687">
      <w:pPr>
        <w:jc w:val="both"/>
        <w:rPr>
          <w:rFonts w:ascii="Calibri" w:hAnsi="Calibri" w:cs="Calibri"/>
        </w:rPr>
      </w:pPr>
      <w:r w:rsidRPr="001E09D7">
        <w:rPr>
          <w:rFonts w:ascii="Calibri" w:hAnsi="Calibri" w:cs="Calibri"/>
        </w:rPr>
        <w:t>Finally, any dismissals related to the transfer are automatically classed unfair unless justified by an ETO reason as previously mentioned. This means any restructuring must be carefully planned. If the merger proceeds, pharmacy staff would transfer to our trust with full protection of their existing terms. We must consult meaningfully with unions and avoid any transfer</w:t>
      </w:r>
      <w:r w:rsidRPr="001E09D7">
        <w:rPr>
          <w:rFonts w:ascii="Calibri" w:hAnsi="Calibri" w:cs="Calibri"/>
        </w:rPr>
        <w:noBreakHyphen/>
        <w:t>related contractual changes or dismissals unless legally justified.</w:t>
      </w:r>
    </w:p>
    <w:p w14:paraId="0B3BE550" w14:textId="77777777" w:rsidR="00AF4687" w:rsidRPr="001E09D7" w:rsidRDefault="00AF4687" w:rsidP="00AF4687">
      <w:pPr>
        <w:jc w:val="both"/>
        <w:rPr>
          <w:rFonts w:ascii="Calibri" w:hAnsi="Calibri" w:cs="Calibri"/>
        </w:rPr>
      </w:pPr>
      <w:r w:rsidRPr="001E09D7">
        <w:rPr>
          <w:rFonts w:ascii="Calibri" w:hAnsi="Calibri" w:cs="Calibri"/>
        </w:rPr>
        <w:t>(AC 4.1)</w:t>
      </w:r>
    </w:p>
    <w:p w14:paraId="13D8F699" w14:textId="77777777" w:rsidR="00AF4687" w:rsidRPr="001E09D7" w:rsidRDefault="00AF4687" w:rsidP="00AF4687">
      <w:pPr>
        <w:jc w:val="both"/>
        <w:rPr>
          <w:rFonts w:ascii="Calibri" w:hAnsi="Calibri" w:cs="Calibri"/>
        </w:rPr>
      </w:pPr>
      <w:r w:rsidRPr="001E09D7">
        <w:rPr>
          <w:rFonts w:ascii="Calibri" w:hAnsi="Calibri" w:cs="Calibri"/>
        </w:rPr>
        <w:t>Thanks for getting in touch about ensuring holiday pay for our nurse bank staff is calculated fairly and lawfully. Given that these colleagues work on a casual but also a regular basis, it’s important we apply the statutory rules correctly in all circumstances.</w:t>
      </w:r>
    </w:p>
    <w:p w14:paraId="0578F878" w14:textId="77777777" w:rsidR="00AF4687" w:rsidRPr="001E09D7" w:rsidRDefault="00AF4687" w:rsidP="00AF4687">
      <w:pPr>
        <w:jc w:val="both"/>
        <w:rPr>
          <w:rFonts w:ascii="Calibri" w:hAnsi="Calibri" w:cs="Calibri"/>
        </w:rPr>
      </w:pPr>
      <w:r w:rsidRPr="001E09D7">
        <w:rPr>
          <w:rFonts w:ascii="Calibri" w:hAnsi="Calibri" w:cs="Calibri"/>
        </w:rPr>
        <w:t>All workers, including bank and casual staff have a right to paid for annual leave under the working time regulations. This entitlement is 5.6 weeks per leave year, pro</w:t>
      </w:r>
      <w:r w:rsidRPr="001E09D7">
        <w:rPr>
          <w:rFonts w:ascii="Calibri" w:hAnsi="Calibri" w:cs="Calibri"/>
        </w:rPr>
        <w:noBreakHyphen/>
        <w:t>rata for those who work irregular hours. ACAS makes clear that employers must not exclude casual or bank workers from holiday pay simply because their hours vary (ACAS, 2024).</w:t>
      </w:r>
    </w:p>
    <w:p w14:paraId="0CE0BF81" w14:textId="6A4E29D6" w:rsidR="00AF4687" w:rsidRPr="001E09D7" w:rsidRDefault="00AF4687" w:rsidP="00AF4687">
      <w:pPr>
        <w:jc w:val="both"/>
        <w:rPr>
          <w:rFonts w:ascii="Calibri" w:hAnsi="Calibri" w:cs="Calibri"/>
        </w:rPr>
      </w:pPr>
      <w:r w:rsidRPr="001E09D7">
        <w:rPr>
          <w:rFonts w:ascii="Calibri" w:hAnsi="Calibri" w:cs="Calibri"/>
        </w:rPr>
        <w:t>For staff with no fixed working pattern, holiday pay must reflect their average weekly pay, including enhancements</w:t>
      </w:r>
      <w:r w:rsidR="008802CC">
        <w:rPr>
          <w:rFonts w:ascii="Calibri" w:hAnsi="Calibri" w:cs="Calibri"/>
        </w:rPr>
        <w:t xml:space="preserve"> including </w:t>
      </w:r>
      <w:r w:rsidRPr="001E09D7">
        <w:rPr>
          <w:rFonts w:ascii="Calibri" w:hAnsi="Calibri" w:cs="Calibri"/>
        </w:rPr>
        <w:t xml:space="preserve">overtime, </w:t>
      </w:r>
      <w:r w:rsidR="008802CC">
        <w:rPr>
          <w:rFonts w:ascii="Calibri" w:hAnsi="Calibri" w:cs="Calibri"/>
        </w:rPr>
        <w:t xml:space="preserve">any </w:t>
      </w:r>
      <w:r w:rsidRPr="001E09D7">
        <w:rPr>
          <w:rFonts w:ascii="Calibri" w:hAnsi="Calibri" w:cs="Calibri"/>
        </w:rPr>
        <w:t xml:space="preserve">shift premiums </w:t>
      </w:r>
      <w:r w:rsidR="008802CC">
        <w:rPr>
          <w:rFonts w:ascii="Calibri" w:hAnsi="Calibri" w:cs="Calibri"/>
        </w:rPr>
        <w:t>or</w:t>
      </w:r>
      <w:r w:rsidRPr="001E09D7">
        <w:rPr>
          <w:rFonts w:ascii="Calibri" w:hAnsi="Calibri" w:cs="Calibri"/>
        </w:rPr>
        <w:t xml:space="preserve"> allowances</w:t>
      </w:r>
      <w:r w:rsidR="008802CC">
        <w:rPr>
          <w:rFonts w:ascii="Calibri" w:hAnsi="Calibri" w:cs="Calibri"/>
        </w:rPr>
        <w:t>,</w:t>
      </w:r>
      <w:r w:rsidRPr="001E09D7">
        <w:rPr>
          <w:rFonts w:ascii="Calibri" w:hAnsi="Calibri" w:cs="Calibri"/>
        </w:rPr>
        <w:t xml:space="preserve"> where these form part of normal remuneration. CIPD emphasises that holiday pay must be based on a reflection of actual earnings ensuring they are not financially disadvantaged when taking leave (CIPD, 2023 L).</w:t>
      </w:r>
    </w:p>
    <w:p w14:paraId="251F7C46" w14:textId="77777777" w:rsidR="00AF4687" w:rsidRPr="001E09D7" w:rsidRDefault="00AF4687" w:rsidP="00AF4687">
      <w:pPr>
        <w:jc w:val="both"/>
        <w:rPr>
          <w:rFonts w:ascii="Calibri" w:hAnsi="Calibri" w:cs="Calibri"/>
        </w:rPr>
      </w:pPr>
      <w:r w:rsidRPr="001E09D7">
        <w:rPr>
          <w:rFonts w:ascii="Calibri" w:hAnsi="Calibri" w:cs="Calibri"/>
        </w:rPr>
        <w:lastRenderedPageBreak/>
        <w:t>Since April 2020, the statutory reference period for irregular</w:t>
      </w:r>
      <w:r w:rsidRPr="001E09D7">
        <w:rPr>
          <w:rFonts w:ascii="Calibri" w:hAnsi="Calibri" w:cs="Calibri"/>
        </w:rPr>
        <w:noBreakHyphen/>
        <w:t>hours workers has been 52 paid weeks. This means we reference the previous 52 weeks in which the worker received pay and calculate an average. If the worker has fewer than 52 paid weeks, we use the number of weeks worked available. ACAS highlights that this method is essential for ensuring fairness for bank staff whose hours fluctuate (ACAS, 2024).</w:t>
      </w:r>
    </w:p>
    <w:p w14:paraId="43EF5D0D" w14:textId="77777777" w:rsidR="00AF4687" w:rsidRPr="001E09D7" w:rsidRDefault="00AF4687" w:rsidP="00AF4687">
      <w:pPr>
        <w:jc w:val="both"/>
        <w:rPr>
          <w:rFonts w:ascii="Calibri" w:hAnsi="Calibri" w:cs="Calibri"/>
        </w:rPr>
      </w:pPr>
      <w:r w:rsidRPr="001E09D7">
        <w:rPr>
          <w:rFonts w:ascii="Calibri" w:hAnsi="Calibri" w:cs="Calibri"/>
        </w:rPr>
        <w:t>It’s also important to distinguish between accrual and payment. Bank workers accrue leave based on the hours they work. Many NHS departments use an accrual rate of around 12.07% of hours worked, which reflects the statutory entitlement, though the Trust must ensure this aligns with national guidance and local policy.</w:t>
      </w:r>
    </w:p>
    <w:p w14:paraId="50D18A79" w14:textId="77777777" w:rsidR="00AF4687" w:rsidRPr="001E09D7" w:rsidRDefault="00AF4687" w:rsidP="00AF4687">
      <w:pPr>
        <w:jc w:val="both"/>
        <w:rPr>
          <w:rFonts w:ascii="Calibri" w:hAnsi="Calibri" w:cs="Calibri"/>
        </w:rPr>
      </w:pPr>
      <w:r w:rsidRPr="001E09D7">
        <w:rPr>
          <w:rFonts w:ascii="Calibri" w:hAnsi="Calibri" w:cs="Calibri"/>
        </w:rPr>
        <w:t>CIPD also notes that employers must communicate clearly how holiday pay is calculated and ensure systems are transparent and consistent (CIPD, 2023 M). This is particularly important in the NHS, where bank staff often work alongside substantive colleagues and expect equality in how their rights are applied.</w:t>
      </w:r>
    </w:p>
    <w:p w14:paraId="11BA1A21" w14:textId="77777777" w:rsidR="00AF4687" w:rsidRPr="001E09D7" w:rsidRDefault="00AF4687" w:rsidP="00AF4687">
      <w:pPr>
        <w:jc w:val="both"/>
        <w:rPr>
          <w:rFonts w:ascii="Calibri" w:hAnsi="Calibri" w:cs="Calibri"/>
        </w:rPr>
      </w:pPr>
      <w:r w:rsidRPr="001E09D7">
        <w:rPr>
          <w:rFonts w:ascii="Calibri" w:hAnsi="Calibri" w:cs="Calibri"/>
        </w:rPr>
        <w:t>Bank staff have the same rights to paid annual leave as other workers. Their holiday pay must be based on a 52</w:t>
      </w:r>
      <w:r w:rsidRPr="001E09D7">
        <w:rPr>
          <w:rFonts w:ascii="Calibri" w:hAnsi="Calibri" w:cs="Calibri"/>
        </w:rPr>
        <w:noBreakHyphen/>
        <w:t>week average of actual earnings, including regular enhancements. Using a clear, consistent accrual method ensures compliance and fairness.</w:t>
      </w:r>
    </w:p>
    <w:p w14:paraId="2B89131F" w14:textId="77777777" w:rsidR="00AF4687" w:rsidRPr="001E09D7" w:rsidRDefault="00AF4687" w:rsidP="00AF4687">
      <w:pPr>
        <w:jc w:val="both"/>
        <w:rPr>
          <w:rFonts w:ascii="Calibri" w:hAnsi="Calibri" w:cs="Calibri"/>
        </w:rPr>
      </w:pPr>
      <w:r w:rsidRPr="001E09D7">
        <w:rPr>
          <w:rFonts w:ascii="Calibri" w:hAnsi="Calibri" w:cs="Calibri"/>
        </w:rPr>
        <w:t>(AC 4.2)</w:t>
      </w:r>
    </w:p>
    <w:p w14:paraId="44AF4967" w14:textId="77777777" w:rsidR="00AF4687" w:rsidRPr="001E09D7" w:rsidRDefault="00AF4687" w:rsidP="00AF4687">
      <w:pPr>
        <w:jc w:val="both"/>
        <w:rPr>
          <w:rFonts w:ascii="Calibri" w:hAnsi="Calibri" w:cs="Calibri"/>
        </w:rPr>
      </w:pPr>
      <w:r w:rsidRPr="001E09D7">
        <w:rPr>
          <w:rFonts w:ascii="Calibri" w:hAnsi="Calibri" w:cs="Calibri"/>
        </w:rPr>
        <w:t>Thanks for getting in touch. I’m happy to outline the main differences between maternity leave and shared parental leave (SPL) so that you and your partner can make an informed decision.</w:t>
      </w:r>
    </w:p>
    <w:p w14:paraId="139FD6A7" w14:textId="77777777" w:rsidR="00AF4687" w:rsidRPr="001E09D7" w:rsidRDefault="00AF4687" w:rsidP="00AF4687">
      <w:pPr>
        <w:jc w:val="both"/>
        <w:rPr>
          <w:rFonts w:ascii="Calibri" w:hAnsi="Calibri" w:cs="Calibri"/>
        </w:rPr>
      </w:pPr>
      <w:r w:rsidRPr="001E09D7">
        <w:rPr>
          <w:rFonts w:ascii="Calibri" w:hAnsi="Calibri" w:cs="Calibri"/>
        </w:rPr>
        <w:t>Under UK employment law, pregnant employees have a statutory right to 52 weeks maternity leave, made up of 26 weeks ordinary maternity leave and 26 weeks additional Maternity Leave. Maternity leave cannot be reduced by and employer and is a right designed to protect the health and wellbeing of the mother and baby. (Lewis, Sargeant and Schwab, 2022). ACAS also highlights that the first two weeks after birth (four weeks for factory workers) are compulsory maternity leave for safety reasons (ACAS, 2024).</w:t>
      </w:r>
    </w:p>
    <w:p w14:paraId="75FA7D29" w14:textId="7A876949" w:rsidR="00AF4687" w:rsidRPr="001E09D7" w:rsidRDefault="00AF4687" w:rsidP="00AF4687">
      <w:pPr>
        <w:jc w:val="both"/>
        <w:rPr>
          <w:rFonts w:ascii="Calibri" w:hAnsi="Calibri" w:cs="Calibri"/>
        </w:rPr>
      </w:pPr>
      <w:r w:rsidRPr="001E09D7">
        <w:rPr>
          <w:rFonts w:ascii="Calibri" w:hAnsi="Calibri" w:cs="Calibri"/>
        </w:rPr>
        <w:t xml:space="preserve">Under maternity leave employment </w:t>
      </w:r>
      <w:r w:rsidR="004E67BD" w:rsidRPr="001E09D7">
        <w:rPr>
          <w:rFonts w:ascii="Calibri" w:hAnsi="Calibri" w:cs="Calibri"/>
        </w:rPr>
        <w:t>protections,</w:t>
      </w:r>
      <w:r w:rsidRPr="001E09D7">
        <w:rPr>
          <w:rFonts w:ascii="Calibri" w:hAnsi="Calibri" w:cs="Calibri"/>
        </w:rPr>
        <w:t xml:space="preserve"> you are entitled to return to the same job after ordinary maternity leave and to the same or a suitable different role after taking any additional maternity leave. CIPD notes that maternity rights are some of the most robust in employment law, reflecting the need for stability and protection during pregnancy and after birth (CIPD, 2023 N).</w:t>
      </w:r>
    </w:p>
    <w:p w14:paraId="25A08C73" w14:textId="0A5D9C15" w:rsidR="00AF4687" w:rsidRPr="001E09D7" w:rsidRDefault="00AF4687" w:rsidP="00AF4687">
      <w:pPr>
        <w:jc w:val="both"/>
        <w:rPr>
          <w:rFonts w:ascii="Calibri" w:hAnsi="Calibri" w:cs="Calibri"/>
        </w:rPr>
      </w:pPr>
      <w:r w:rsidRPr="001E09D7">
        <w:rPr>
          <w:rFonts w:ascii="Calibri" w:hAnsi="Calibri" w:cs="Calibri"/>
        </w:rPr>
        <w:t>Shared Parental Leave (SPL) works</w:t>
      </w:r>
      <w:r w:rsidR="008802CC">
        <w:rPr>
          <w:rFonts w:ascii="Calibri" w:hAnsi="Calibri" w:cs="Calibri"/>
        </w:rPr>
        <w:t xml:space="preserve"> a little</w:t>
      </w:r>
      <w:r w:rsidRPr="001E09D7">
        <w:rPr>
          <w:rFonts w:ascii="Calibri" w:hAnsi="Calibri" w:cs="Calibri"/>
        </w:rPr>
        <w:t xml:space="preserve"> differently. SPL allows you and your partner to share up to 50 weeks of leave and up to 37 weeks of pay, provided you end, or commit to ending, maternity leave early, using a notice of curtailment. ACAS explains that SPL is designed to give families flexibility, parents can take leave at the same time, </w:t>
      </w:r>
      <w:r w:rsidR="008802CC">
        <w:rPr>
          <w:rFonts w:ascii="Calibri" w:hAnsi="Calibri" w:cs="Calibri"/>
        </w:rPr>
        <w:t xml:space="preserve">in </w:t>
      </w:r>
      <w:r w:rsidRPr="001E09D7">
        <w:rPr>
          <w:rFonts w:ascii="Calibri" w:hAnsi="Calibri" w:cs="Calibri"/>
        </w:rPr>
        <w:t>alternate blocks of leave, or take it separately (ACAS, 2024). Unlike maternity leave, SPL is optional and must be requested through a formal process, within the NHS this would be via Medical Workforce.</w:t>
      </w:r>
    </w:p>
    <w:p w14:paraId="1B38E9AD" w14:textId="77777777" w:rsidR="00AF4687" w:rsidRPr="001E09D7" w:rsidRDefault="00AF4687" w:rsidP="00AF4687">
      <w:pPr>
        <w:jc w:val="both"/>
        <w:rPr>
          <w:rFonts w:ascii="Calibri" w:hAnsi="Calibri" w:cs="Calibri"/>
        </w:rPr>
      </w:pPr>
      <w:r w:rsidRPr="001E09D7">
        <w:rPr>
          <w:rFonts w:ascii="Calibri" w:hAnsi="Calibri" w:cs="Calibri"/>
        </w:rPr>
        <w:lastRenderedPageBreak/>
        <w:t xml:space="preserve">Maternity leave provides a full year of protected leave specifically for the birth parent. SPL offers flexibility by allowing both parents to share leave, but only if maternity leave is curtailed, as mentioned above. The best option would depend on what circumstances would benefit you both best in terms of balancing leave and income. </w:t>
      </w:r>
    </w:p>
    <w:p w14:paraId="716959C7" w14:textId="77777777" w:rsidR="00AF4687" w:rsidRPr="001E09D7" w:rsidRDefault="00AF4687" w:rsidP="00AF4687">
      <w:pPr>
        <w:jc w:val="both"/>
        <w:rPr>
          <w:rFonts w:ascii="Calibri" w:hAnsi="Calibri" w:cs="Calibri"/>
        </w:rPr>
      </w:pPr>
      <w:r w:rsidRPr="001E09D7">
        <w:rPr>
          <w:rFonts w:ascii="Calibri" w:hAnsi="Calibri" w:cs="Calibri"/>
        </w:rPr>
        <w:t>(AC 4.3)</w:t>
      </w:r>
    </w:p>
    <w:p w14:paraId="71A60F84" w14:textId="77777777" w:rsidR="00AF4687" w:rsidRPr="001E09D7" w:rsidRDefault="00AF4687" w:rsidP="00AF4687">
      <w:pPr>
        <w:jc w:val="both"/>
        <w:rPr>
          <w:rFonts w:ascii="Calibri" w:hAnsi="Calibri" w:cs="Calibri"/>
        </w:rPr>
      </w:pPr>
      <w:r w:rsidRPr="001E09D7">
        <w:rPr>
          <w:rFonts w:ascii="Calibri" w:hAnsi="Calibri" w:cs="Calibri"/>
        </w:rPr>
        <w:t>Thanks for sharing the flexible working request from the newly appointed administrative officer. I understand your concern about setting a precedent, but it’s important we handle this in line with statutory requirements and good practice.</w:t>
      </w:r>
    </w:p>
    <w:p w14:paraId="0AAE2E45" w14:textId="77777777" w:rsidR="00AF4687" w:rsidRPr="001E09D7" w:rsidRDefault="00AF4687" w:rsidP="00AF4687">
      <w:pPr>
        <w:jc w:val="both"/>
        <w:rPr>
          <w:rFonts w:ascii="Calibri" w:hAnsi="Calibri" w:cs="Calibri"/>
        </w:rPr>
      </w:pPr>
      <w:r w:rsidRPr="001E09D7">
        <w:rPr>
          <w:rFonts w:ascii="Calibri" w:hAnsi="Calibri" w:cs="Calibri"/>
        </w:rPr>
        <w:t>Under UK law, all employees have the statutory right to request flexible working from day one of employment. ACAS explains that employers must consider requests reasonably, following a fair process and giving a decision within the required timeframe (ACAS, 2024). We cannot reject a request simply because others may ask in future; decisions must be based on the specific role, service needs and legitimate business grounds.</w:t>
      </w:r>
    </w:p>
    <w:p w14:paraId="5731D585" w14:textId="77777777" w:rsidR="00AF4687" w:rsidRPr="001E09D7" w:rsidRDefault="00AF4687" w:rsidP="00AF4687">
      <w:pPr>
        <w:jc w:val="both"/>
        <w:rPr>
          <w:rFonts w:ascii="Calibri" w:hAnsi="Calibri" w:cs="Calibri"/>
        </w:rPr>
      </w:pPr>
      <w:r w:rsidRPr="001E09D7">
        <w:rPr>
          <w:rFonts w:ascii="Calibri" w:hAnsi="Calibri" w:cs="Calibri"/>
        </w:rPr>
        <w:t>Flexible working rights sit within the broader framework of family</w:t>
      </w:r>
      <w:r w:rsidRPr="001E09D7">
        <w:rPr>
          <w:rFonts w:ascii="Cambria Math" w:hAnsi="Cambria Math" w:cs="Cambria Math"/>
        </w:rPr>
        <w:t>‑</w:t>
      </w:r>
      <w:r w:rsidRPr="001E09D7">
        <w:rPr>
          <w:rFonts w:ascii="Calibri" w:hAnsi="Calibri" w:cs="Calibri"/>
        </w:rPr>
        <w:t>friendly employment protections, which also include maternity, paternity and adoption rights (Lewis, Sargeant &amp; Schwab, 2022). These rights reflect the principle that employees should be able to balance work and family life without suffering detriment. CIPD reinforces that employers should approach flexible working requests with fairness and consistency, ensuring decisions are evidence</w:t>
      </w:r>
      <w:r w:rsidRPr="001E09D7">
        <w:rPr>
          <w:rFonts w:ascii="Cambria Math" w:hAnsi="Cambria Math" w:cs="Cambria Math"/>
        </w:rPr>
        <w:t>‑</w:t>
      </w:r>
      <w:r w:rsidRPr="001E09D7">
        <w:rPr>
          <w:rFonts w:ascii="Calibri" w:hAnsi="Calibri" w:cs="Calibri"/>
        </w:rPr>
        <w:t>based rather than assumption</w:t>
      </w:r>
      <w:r w:rsidRPr="001E09D7">
        <w:rPr>
          <w:rFonts w:ascii="Cambria Math" w:hAnsi="Cambria Math" w:cs="Cambria Math"/>
        </w:rPr>
        <w:t>‑</w:t>
      </w:r>
      <w:r w:rsidRPr="001E09D7">
        <w:rPr>
          <w:rFonts w:ascii="Calibri" w:hAnsi="Calibri" w:cs="Calibri"/>
        </w:rPr>
        <w:t>driven (CIPD, 2023 O).</w:t>
      </w:r>
    </w:p>
    <w:p w14:paraId="2DD941F5" w14:textId="77777777" w:rsidR="00AF4687" w:rsidRPr="001E09D7" w:rsidRDefault="00AF4687" w:rsidP="00AF4687">
      <w:pPr>
        <w:jc w:val="both"/>
        <w:rPr>
          <w:rFonts w:ascii="Calibri" w:hAnsi="Calibri" w:cs="Calibri"/>
        </w:rPr>
      </w:pPr>
      <w:r w:rsidRPr="001E09D7">
        <w:rPr>
          <w:rFonts w:ascii="Calibri" w:hAnsi="Calibri" w:cs="Calibri"/>
        </w:rPr>
        <w:t>In practice, we must assess if working from home three days a week is compatible with the operational needs of the administrative team. ACAS sets out eight lawful business reasons for refusing a request, such as impact on service quality, performance, or ability to meet customer demand. If these apply, we can lawfully decline but we must demonstrate clear, role</w:t>
      </w:r>
      <w:r w:rsidRPr="001E09D7">
        <w:rPr>
          <w:rFonts w:ascii="Cambria Math" w:hAnsi="Cambria Math" w:cs="Cambria Math"/>
        </w:rPr>
        <w:t>‑</w:t>
      </w:r>
      <w:r w:rsidRPr="001E09D7">
        <w:rPr>
          <w:rFonts w:ascii="Calibri" w:hAnsi="Calibri" w:cs="Calibri"/>
        </w:rPr>
        <w:t>specific justification for doing so.</w:t>
      </w:r>
    </w:p>
    <w:p w14:paraId="02C42A66" w14:textId="77777777" w:rsidR="00AF4687" w:rsidRPr="001E09D7" w:rsidRDefault="00AF4687" w:rsidP="00AF4687">
      <w:pPr>
        <w:jc w:val="both"/>
        <w:rPr>
          <w:rFonts w:ascii="Calibri" w:hAnsi="Calibri" w:cs="Calibri"/>
        </w:rPr>
      </w:pPr>
      <w:r w:rsidRPr="001E09D7">
        <w:rPr>
          <w:rFonts w:ascii="Calibri" w:hAnsi="Calibri" w:cs="Calibri"/>
        </w:rPr>
        <w:t>It is also important to consider that rejecting a request without due consideration could expose the trust to a claim, particularly if the employee can later argue that the refusal indirectly discriminates against them.</w:t>
      </w:r>
    </w:p>
    <w:p w14:paraId="3A9B4F17" w14:textId="77777777" w:rsidR="00AF4687" w:rsidRPr="001E09D7" w:rsidRDefault="00AF4687" w:rsidP="00AF4687">
      <w:pPr>
        <w:jc w:val="both"/>
        <w:rPr>
          <w:rFonts w:ascii="Calibri" w:hAnsi="Calibri" w:cs="Calibri"/>
        </w:rPr>
      </w:pPr>
      <w:r w:rsidRPr="001E09D7">
        <w:rPr>
          <w:rFonts w:ascii="Calibri" w:hAnsi="Calibri" w:cs="Calibri"/>
        </w:rPr>
        <w:t>I recommend meeting with the employee to explore whether a compromise can be reached and suggesting either a trial period ensuring to meet with them thereafter to discuss the period and agree on next steps. This could meet both their needs and the department’s operational requirements.</w:t>
      </w:r>
    </w:p>
    <w:p w14:paraId="7335FC7F" w14:textId="77777777" w:rsidR="00AF4687" w:rsidRPr="001E09D7" w:rsidRDefault="00AF4687" w:rsidP="00AF4687">
      <w:pPr>
        <w:jc w:val="both"/>
        <w:rPr>
          <w:rFonts w:ascii="Calibri" w:hAnsi="Calibri" w:cs="Calibri"/>
        </w:rPr>
      </w:pPr>
      <w:r w:rsidRPr="001E09D7">
        <w:rPr>
          <w:rFonts w:ascii="Calibri" w:hAnsi="Calibri" w:cs="Calibri"/>
        </w:rPr>
        <w:t>To sum up, the employee has a legal right to request flexible working, and we must follow a fair and reasonable process when responding. We cannot refuse simply to avoid setting a precedent, refusals must be based on one of the statutory business grounds and supported by clear evidence. Flexible working rights form part of a broader set of family</w:t>
      </w:r>
      <w:r w:rsidRPr="001E09D7">
        <w:rPr>
          <w:rFonts w:ascii="Calibri" w:hAnsi="Calibri" w:cs="Calibri"/>
        </w:rPr>
        <w:noBreakHyphen/>
        <w:t xml:space="preserve">friendly protections, including maternity, paternity and adoption rights, which aim to support work life balance. A refusal that is not objectively justified could expose the Trust to claims, including </w:t>
      </w:r>
      <w:r w:rsidRPr="001E09D7">
        <w:rPr>
          <w:rFonts w:ascii="Calibri" w:hAnsi="Calibri" w:cs="Calibri"/>
        </w:rPr>
        <w:lastRenderedPageBreak/>
        <w:t>indirect discrimination. The safest and most constructive approach is to assess the request on its merits, consult with the employee, and document the rationale for any decision.</w:t>
      </w:r>
    </w:p>
    <w:p w14:paraId="791791F9" w14:textId="77777777" w:rsidR="00AF4687" w:rsidRDefault="00AF4687"/>
    <w:p w14:paraId="6D4F86CD" w14:textId="77777777" w:rsidR="00EB6F61" w:rsidRDefault="00EB6F61"/>
    <w:p w14:paraId="7869872E" w14:textId="77777777" w:rsidR="00EB6F61" w:rsidRDefault="00EB6F61"/>
    <w:p w14:paraId="0E2CFF59" w14:textId="77777777" w:rsidR="00EB6F61" w:rsidRDefault="00EB6F61"/>
    <w:p w14:paraId="6A99FDDD" w14:textId="77777777" w:rsidR="00EB6F61" w:rsidRDefault="00EB6F61"/>
    <w:p w14:paraId="73F79247" w14:textId="77777777" w:rsidR="00EB6F61" w:rsidRDefault="00EB6F61"/>
    <w:p w14:paraId="334A0DDF" w14:textId="77777777" w:rsidR="00EB6F61" w:rsidRDefault="00EB6F61"/>
    <w:p w14:paraId="7D895D96" w14:textId="77777777" w:rsidR="00EB6F61" w:rsidRDefault="00EB6F61"/>
    <w:p w14:paraId="19508DEA" w14:textId="77777777" w:rsidR="00EB6F61" w:rsidRDefault="00EB6F61"/>
    <w:p w14:paraId="1D9033BB" w14:textId="77777777" w:rsidR="00EB6F61" w:rsidRDefault="00EB6F61"/>
    <w:p w14:paraId="3F1158BD" w14:textId="77777777" w:rsidR="00EB6F61" w:rsidRDefault="00EB6F61"/>
    <w:p w14:paraId="0D3396B5" w14:textId="77777777" w:rsidR="00EB6F61" w:rsidRDefault="00EB6F61"/>
    <w:p w14:paraId="3D384BF6" w14:textId="77777777" w:rsidR="00EB6F61" w:rsidRDefault="00EB6F61"/>
    <w:p w14:paraId="73B1F77B" w14:textId="77777777" w:rsidR="00EB6F61" w:rsidRDefault="00EB6F61"/>
    <w:p w14:paraId="23DB5197" w14:textId="77777777" w:rsidR="00EB6F61" w:rsidRDefault="00EB6F61"/>
    <w:p w14:paraId="3818B806" w14:textId="77777777" w:rsidR="00EB6F61" w:rsidRDefault="00EB6F61"/>
    <w:p w14:paraId="0B76B8E2" w14:textId="77777777" w:rsidR="00EB6F61" w:rsidRDefault="00EB6F61"/>
    <w:p w14:paraId="5151D391" w14:textId="77777777" w:rsidR="00EB6F61" w:rsidRDefault="00EB6F61"/>
    <w:p w14:paraId="4AE143C4" w14:textId="77777777" w:rsidR="00EB6F61" w:rsidRDefault="00EB6F61"/>
    <w:p w14:paraId="5654CEF7" w14:textId="77777777" w:rsidR="00EB6F61" w:rsidRDefault="00EB6F61"/>
    <w:p w14:paraId="7C6E7A8A" w14:textId="77777777" w:rsidR="00EB6F61" w:rsidRDefault="00EB6F61"/>
    <w:p w14:paraId="3F8C4E78" w14:textId="77777777" w:rsidR="00EB6F61" w:rsidRDefault="00EB6F61"/>
    <w:p w14:paraId="34F33B67" w14:textId="77777777" w:rsidR="00EB6F61" w:rsidRDefault="00EB6F61"/>
    <w:p w14:paraId="51906F96" w14:textId="77777777" w:rsidR="00EB6F61" w:rsidRDefault="00EB6F61"/>
    <w:p w14:paraId="363691B8" w14:textId="77777777" w:rsidR="00EB6F61" w:rsidRDefault="00EB6F61"/>
    <w:p w14:paraId="013366B7" w14:textId="77777777" w:rsidR="00EB6F61" w:rsidRDefault="00EB6F61"/>
    <w:p w14:paraId="5C43B6ED" w14:textId="77777777" w:rsidR="00EB6F61" w:rsidRPr="0046750E" w:rsidRDefault="00EB6F61" w:rsidP="00EB6F61">
      <w:pPr>
        <w:rPr>
          <w:rFonts w:ascii="Calibri" w:hAnsi="Calibri" w:cs="Calibri"/>
        </w:rPr>
      </w:pPr>
      <w:r w:rsidRPr="0046750E">
        <w:rPr>
          <w:rFonts w:ascii="Calibri" w:hAnsi="Calibri" w:cs="Calibri"/>
          <w:sz w:val="28"/>
          <w:szCs w:val="28"/>
          <w:u w:val="single"/>
        </w:rPr>
        <w:lastRenderedPageBreak/>
        <w:t>Reference list</w:t>
      </w:r>
    </w:p>
    <w:p w14:paraId="2CCD88C0" w14:textId="77777777" w:rsidR="00EB6F61" w:rsidRPr="0046750E" w:rsidRDefault="00EB6F61" w:rsidP="00EB6F61">
      <w:pPr>
        <w:pStyle w:val="NormalWeb"/>
        <w:numPr>
          <w:ilvl w:val="0"/>
          <w:numId w:val="1"/>
        </w:numPr>
        <w:spacing w:before="0" w:beforeAutospacing="0" w:after="0" w:afterAutospacing="0" w:line="360" w:lineRule="atLeast"/>
        <w:rPr>
          <w:rFonts w:ascii="Calibri" w:hAnsi="Calibri" w:cs="Calibri"/>
          <w:color w:val="000000"/>
        </w:rPr>
      </w:pPr>
      <w:r w:rsidRPr="0046750E">
        <w:rPr>
          <w:rFonts w:ascii="Calibri" w:hAnsi="Calibri" w:cs="Calibri"/>
          <w:color w:val="000000"/>
        </w:rPr>
        <w:t xml:space="preserve">ACAS (2024). Equal Pay and The Law. ACAS. Available at: </w:t>
      </w:r>
      <w:hyperlink r:id="rId5" w:history="1">
        <w:r w:rsidRPr="0046750E">
          <w:rPr>
            <w:rStyle w:val="Hyperlink"/>
            <w:rFonts w:ascii="Calibri" w:hAnsi="Calibri" w:cs="Calibri"/>
          </w:rPr>
          <w:t>https://www.acas.org.uk/equal-pay/equal-pay-law</w:t>
        </w:r>
      </w:hyperlink>
      <w:r w:rsidRPr="0046750E">
        <w:rPr>
          <w:rFonts w:ascii="Calibri" w:hAnsi="Calibri" w:cs="Calibri"/>
          <w:color w:val="000000"/>
        </w:rPr>
        <w:t xml:space="preserve">. </w:t>
      </w:r>
      <w:r w:rsidRPr="0046750E">
        <w:rPr>
          <w:rFonts w:ascii="Calibri" w:hAnsi="Calibri" w:cs="Calibri"/>
        </w:rPr>
        <w:t xml:space="preserve"> (Accessed 02/04/2026).</w:t>
      </w:r>
    </w:p>
    <w:p w14:paraId="640401BE" w14:textId="77777777" w:rsidR="00EB6F61" w:rsidRPr="0046750E" w:rsidRDefault="00EB6F61" w:rsidP="00EB6F61">
      <w:pPr>
        <w:pStyle w:val="ListParagraph"/>
        <w:rPr>
          <w:rFonts w:ascii="Calibri" w:hAnsi="Calibri" w:cs="Calibri"/>
        </w:rPr>
      </w:pPr>
    </w:p>
    <w:p w14:paraId="08C3C79E" w14:textId="77777777" w:rsidR="00EB6F61" w:rsidRPr="0046750E" w:rsidRDefault="00EB6F61" w:rsidP="00EB6F61">
      <w:pPr>
        <w:pStyle w:val="NormalWeb"/>
        <w:numPr>
          <w:ilvl w:val="0"/>
          <w:numId w:val="1"/>
        </w:numPr>
        <w:spacing w:before="0" w:beforeAutospacing="0" w:after="0" w:afterAutospacing="0" w:line="360" w:lineRule="atLeast"/>
        <w:rPr>
          <w:rFonts w:ascii="Calibri" w:hAnsi="Calibri" w:cs="Calibri"/>
          <w:color w:val="000000"/>
        </w:rPr>
      </w:pPr>
      <w:r w:rsidRPr="0046750E">
        <w:rPr>
          <w:rFonts w:ascii="Calibri" w:hAnsi="Calibri" w:cs="Calibri"/>
          <w:color w:val="000000"/>
        </w:rPr>
        <w:t>ACAS (2024). Flexible working.</w:t>
      </w:r>
      <w:r>
        <w:rPr>
          <w:rFonts w:ascii="Calibri" w:hAnsi="Calibri" w:cs="Calibri"/>
          <w:color w:val="000000"/>
        </w:rPr>
        <w:t xml:space="preserve"> ACAS.</w:t>
      </w:r>
      <w:r w:rsidRPr="0046750E">
        <w:rPr>
          <w:rFonts w:ascii="Calibri" w:hAnsi="Calibri" w:cs="Calibri"/>
          <w:color w:val="000000"/>
        </w:rPr>
        <w:t xml:space="preserve"> Available at: </w:t>
      </w:r>
      <w:hyperlink r:id="rId6" w:history="1">
        <w:r w:rsidRPr="0046750E">
          <w:rPr>
            <w:rStyle w:val="Hyperlink"/>
            <w:rFonts w:ascii="Calibri" w:hAnsi="Calibri" w:cs="Calibri"/>
          </w:rPr>
          <w:t>https://www.acas.o</w:t>
        </w:r>
        <w:r w:rsidRPr="0046750E">
          <w:rPr>
            <w:rStyle w:val="Hyperlink"/>
            <w:rFonts w:ascii="Calibri" w:hAnsi="Calibri" w:cs="Calibri"/>
          </w:rPr>
          <w:t>rg.uk/flexible-working</w:t>
        </w:r>
      </w:hyperlink>
      <w:r w:rsidRPr="0046750E">
        <w:rPr>
          <w:rFonts w:ascii="Calibri" w:hAnsi="Calibri" w:cs="Calibri"/>
          <w:color w:val="000000"/>
        </w:rPr>
        <w:t xml:space="preserve">. </w:t>
      </w:r>
      <w:r w:rsidRPr="0046750E">
        <w:rPr>
          <w:rFonts w:ascii="Calibri" w:hAnsi="Calibri" w:cs="Calibri"/>
        </w:rPr>
        <w:t>(Accessed: 30/05/2026)</w:t>
      </w:r>
    </w:p>
    <w:p w14:paraId="59CDB9F6" w14:textId="77777777" w:rsidR="00EB6F61" w:rsidRPr="0046750E" w:rsidRDefault="00EB6F61" w:rsidP="00EB6F61">
      <w:pPr>
        <w:pStyle w:val="ListParagraph"/>
        <w:rPr>
          <w:rFonts w:ascii="Calibri" w:hAnsi="Calibri" w:cs="Calibri"/>
        </w:rPr>
      </w:pPr>
    </w:p>
    <w:p w14:paraId="4463E9BC" w14:textId="77777777" w:rsidR="00EB6F61" w:rsidRPr="0046750E" w:rsidRDefault="00EB6F61" w:rsidP="00EB6F61">
      <w:pPr>
        <w:pStyle w:val="NormalWeb"/>
        <w:numPr>
          <w:ilvl w:val="0"/>
          <w:numId w:val="1"/>
        </w:numPr>
        <w:spacing w:before="0" w:beforeAutospacing="0" w:after="0" w:afterAutospacing="0" w:line="360" w:lineRule="atLeast"/>
        <w:rPr>
          <w:rFonts w:ascii="Calibri" w:hAnsi="Calibri" w:cs="Calibri"/>
        </w:rPr>
      </w:pPr>
      <w:r w:rsidRPr="0046750E">
        <w:rPr>
          <w:rFonts w:ascii="Calibri" w:hAnsi="Calibri" w:cs="Calibri"/>
          <w:color w:val="000000"/>
        </w:rPr>
        <w:t>ACAS (2023). Calculating holiday pay.</w:t>
      </w:r>
      <w:r>
        <w:rPr>
          <w:rFonts w:ascii="Calibri" w:hAnsi="Calibri" w:cs="Calibri"/>
          <w:color w:val="000000"/>
        </w:rPr>
        <w:t xml:space="preserve"> ACAS.</w:t>
      </w:r>
      <w:r w:rsidRPr="0046750E">
        <w:rPr>
          <w:rFonts w:ascii="Calibri" w:hAnsi="Calibri" w:cs="Calibri"/>
          <w:color w:val="000000"/>
        </w:rPr>
        <w:t xml:space="preserve"> Available at: </w:t>
      </w:r>
      <w:hyperlink r:id="rId7" w:history="1">
        <w:r w:rsidRPr="0046750E">
          <w:rPr>
            <w:rStyle w:val="Hyperlink"/>
            <w:rFonts w:ascii="Calibri" w:hAnsi="Calibri" w:cs="Calibri"/>
          </w:rPr>
          <w:t>https://www.acas.org.uk/checking-holid</w:t>
        </w:r>
        <w:r w:rsidRPr="0046750E">
          <w:rPr>
            <w:rStyle w:val="Hyperlink"/>
            <w:rFonts w:ascii="Calibri" w:hAnsi="Calibri" w:cs="Calibri"/>
          </w:rPr>
          <w:t>ay-entitlement/calculating-holiday-pay</w:t>
        </w:r>
      </w:hyperlink>
      <w:r w:rsidRPr="0046750E">
        <w:rPr>
          <w:rFonts w:ascii="Calibri" w:hAnsi="Calibri" w:cs="Calibri"/>
          <w:color w:val="000000"/>
        </w:rPr>
        <w:t xml:space="preserve">. </w:t>
      </w:r>
      <w:r w:rsidRPr="0046750E">
        <w:rPr>
          <w:rFonts w:ascii="Calibri" w:hAnsi="Calibri" w:cs="Calibri"/>
        </w:rPr>
        <w:t>(Accessed 30/05/2026).</w:t>
      </w:r>
    </w:p>
    <w:p w14:paraId="480AA331" w14:textId="77777777" w:rsidR="00EB6F61" w:rsidRPr="0046750E" w:rsidRDefault="00EB6F61" w:rsidP="00EB6F61">
      <w:pPr>
        <w:pStyle w:val="ListParagraph"/>
        <w:rPr>
          <w:rFonts w:ascii="Calibri" w:hAnsi="Calibri" w:cs="Calibri"/>
        </w:rPr>
      </w:pPr>
    </w:p>
    <w:p w14:paraId="5B237D18"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ACAS (2025). Rolled-up holiday pay - Irregular hours and part-year workers. </w:t>
      </w:r>
      <w:r>
        <w:rPr>
          <w:rFonts w:ascii="Calibri" w:hAnsi="Calibri" w:cs="Calibri"/>
        </w:rPr>
        <w:t>ACAS</w:t>
      </w:r>
      <w:r w:rsidRPr="0046750E">
        <w:rPr>
          <w:rFonts w:ascii="Calibri" w:hAnsi="Calibri" w:cs="Calibri"/>
        </w:rPr>
        <w:t xml:space="preserve">. Available at: </w:t>
      </w:r>
      <w:hyperlink r:id="rId8" w:history="1">
        <w:r w:rsidRPr="0046750E">
          <w:rPr>
            <w:rStyle w:val="Hyperlink"/>
            <w:rFonts w:ascii="Calibri" w:hAnsi="Calibri" w:cs="Calibri"/>
          </w:rPr>
          <w:t>https://www.acas.org.uk/irregular-hours-and-part-year-workers/rolled-up-holiday-pay</w:t>
        </w:r>
      </w:hyperlink>
      <w:r w:rsidRPr="0046750E">
        <w:rPr>
          <w:rFonts w:ascii="Calibri" w:hAnsi="Calibri" w:cs="Calibri"/>
        </w:rPr>
        <w:t>.  (Accessed 27/05/2026).</w:t>
      </w:r>
    </w:p>
    <w:p w14:paraId="7B82E9F1" w14:textId="77777777" w:rsidR="00EB6F61" w:rsidRPr="0046750E" w:rsidRDefault="00EB6F61" w:rsidP="00EB6F61">
      <w:pPr>
        <w:pStyle w:val="ListParagraph"/>
        <w:rPr>
          <w:rFonts w:ascii="Calibri" w:hAnsi="Calibri" w:cs="Calibri"/>
        </w:rPr>
      </w:pPr>
    </w:p>
    <w:p w14:paraId="6855B5CA"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(2020). CIPD | Employment law. CIPD. Available at: </w:t>
      </w:r>
      <w:hyperlink r:id="rId9" w:history="1">
        <w:r w:rsidRPr="0046750E">
          <w:rPr>
            <w:rStyle w:val="Hyperlink"/>
            <w:rFonts w:ascii="Calibri" w:hAnsi="Calibri" w:cs="Calibri"/>
          </w:rPr>
          <w:t>https://www.cipd.org/uk/topics/employment-law/</w:t>
        </w:r>
      </w:hyperlink>
      <w:r w:rsidRPr="0046750E">
        <w:rPr>
          <w:rFonts w:ascii="Calibri" w:hAnsi="Calibri" w:cs="Calibri"/>
        </w:rPr>
        <w:t>. (Accessed 17/05/2026</w:t>
      </w:r>
    </w:p>
    <w:p w14:paraId="3B2BEE4F" w14:textId="77777777" w:rsidR="00EB6F61" w:rsidRPr="0046750E" w:rsidRDefault="00EB6F61" w:rsidP="00EB6F61">
      <w:pPr>
        <w:pStyle w:val="ListParagraph"/>
        <w:rPr>
          <w:rFonts w:ascii="Calibri" w:hAnsi="Calibri" w:cs="Calibri"/>
        </w:rPr>
      </w:pPr>
    </w:p>
    <w:p w14:paraId="1F622411"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(2024). Maternity, Paternity and Adoption Rights. CIPD. Available at: </w:t>
      </w:r>
      <w:hyperlink r:id="rId10" w:history="1">
        <w:r w:rsidRPr="0046750E">
          <w:rPr>
            <w:rStyle w:val="Hyperlink"/>
            <w:rFonts w:ascii="Calibri" w:hAnsi="Calibri" w:cs="Calibri"/>
          </w:rPr>
          <w:t>https://www.cipd.org/uk/knowledge/factsheets/maternity-paternity-rights-factsheet/</w:t>
        </w:r>
      </w:hyperlink>
      <w:r w:rsidRPr="0046750E">
        <w:rPr>
          <w:rFonts w:ascii="Calibri" w:hAnsi="Calibri" w:cs="Calibri"/>
        </w:rPr>
        <w:t>. (Accessed 02/05/2026)‌</w:t>
      </w:r>
    </w:p>
    <w:p w14:paraId="130E7213" w14:textId="77777777" w:rsidR="00EB6F61" w:rsidRPr="0046750E" w:rsidRDefault="00EB6F61" w:rsidP="00EB6F61">
      <w:pPr>
        <w:pStyle w:val="ListParagraph"/>
        <w:rPr>
          <w:rFonts w:ascii="Calibri" w:hAnsi="Calibri" w:cs="Calibri"/>
        </w:rPr>
      </w:pPr>
    </w:p>
    <w:p w14:paraId="2C3B0AD6"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(2024). Flexible working: Guidance for People Professionals on Planning and Managing. CIPD. Available at: </w:t>
      </w:r>
      <w:hyperlink r:id="rId11" w:history="1">
        <w:r w:rsidRPr="0046750E">
          <w:rPr>
            <w:rStyle w:val="Hyperlink"/>
            <w:rFonts w:ascii="Calibri" w:hAnsi="Calibri" w:cs="Calibri"/>
          </w:rPr>
          <w:t>https://www.cipd.org/uk/knowledge/guides/flexible-working/</w:t>
        </w:r>
      </w:hyperlink>
      <w:r w:rsidRPr="0046750E">
        <w:rPr>
          <w:rFonts w:ascii="Calibri" w:hAnsi="Calibri" w:cs="Calibri"/>
        </w:rPr>
        <w:t>. (Accessed 09/05/2026)</w:t>
      </w:r>
    </w:p>
    <w:p w14:paraId="701B759A" w14:textId="77777777" w:rsidR="00EB6F61" w:rsidRPr="0046750E" w:rsidRDefault="00EB6F61" w:rsidP="00EB6F61">
      <w:pPr>
        <w:pStyle w:val="ListParagraph"/>
        <w:rPr>
          <w:rFonts w:ascii="Calibri" w:hAnsi="Calibri" w:cs="Calibri"/>
        </w:rPr>
      </w:pPr>
    </w:p>
    <w:p w14:paraId="687B882F"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(2024). A Guide to Inclusive Recruitment for Employers. CIPD. Available at: </w:t>
      </w:r>
      <w:hyperlink r:id="rId12" w:history="1">
        <w:r w:rsidRPr="0046750E">
          <w:rPr>
            <w:rStyle w:val="Hyperlink"/>
            <w:rFonts w:ascii="Calibri" w:hAnsi="Calibri" w:cs="Calibri"/>
          </w:rPr>
          <w:t>https://www.cipd.org/uk/knowledge/guides/inclusive-employers/</w:t>
        </w:r>
      </w:hyperlink>
      <w:r w:rsidRPr="0046750E">
        <w:rPr>
          <w:rFonts w:ascii="Calibri" w:hAnsi="Calibri" w:cs="Calibri"/>
        </w:rPr>
        <w:t>. (Accessed 16/05/2026)</w:t>
      </w:r>
    </w:p>
    <w:p w14:paraId="66245AFF" w14:textId="77777777" w:rsidR="00EB6F61" w:rsidRPr="0046750E" w:rsidRDefault="00EB6F61" w:rsidP="00EB6F61">
      <w:pPr>
        <w:pStyle w:val="ListParagraph"/>
        <w:rPr>
          <w:rFonts w:ascii="Calibri" w:hAnsi="Calibri" w:cs="Calibri"/>
        </w:rPr>
      </w:pPr>
    </w:p>
    <w:p w14:paraId="1BC3E65E"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(2023). CIPD TUPE (Transfer of Undertakings) Factsheets. CIPD. Available at: </w:t>
      </w:r>
      <w:hyperlink r:id="rId13" w:history="1">
        <w:r w:rsidRPr="0046750E">
          <w:rPr>
            <w:rStyle w:val="Hyperlink"/>
            <w:rFonts w:ascii="Calibri" w:hAnsi="Calibri" w:cs="Calibri"/>
          </w:rPr>
          <w:t>https://www.cipd.org/uk/knowledge/factsh</w:t>
        </w:r>
        <w:r w:rsidRPr="0046750E">
          <w:rPr>
            <w:rStyle w:val="Hyperlink"/>
            <w:rFonts w:ascii="Calibri" w:hAnsi="Calibri" w:cs="Calibri"/>
          </w:rPr>
          <w:t>eets/tupe-factsheet/</w:t>
        </w:r>
      </w:hyperlink>
      <w:r w:rsidRPr="0046750E">
        <w:rPr>
          <w:rFonts w:ascii="Calibri" w:hAnsi="Calibri" w:cs="Calibri"/>
        </w:rPr>
        <w:t>. (Accessed 30/05/2026)</w:t>
      </w:r>
    </w:p>
    <w:p w14:paraId="4569760C" w14:textId="77777777" w:rsidR="00EB6F61" w:rsidRPr="0046750E" w:rsidRDefault="00EB6F61" w:rsidP="00EB6F61">
      <w:pPr>
        <w:pStyle w:val="ListParagraph"/>
        <w:rPr>
          <w:rFonts w:ascii="Calibri" w:hAnsi="Calibri" w:cs="Calibri"/>
        </w:rPr>
      </w:pPr>
    </w:p>
    <w:p w14:paraId="79E2724A"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(2025). CIPD Redundancy Factsheets. CIPD. Available at: </w:t>
      </w:r>
      <w:hyperlink r:id="rId14" w:history="1">
        <w:r w:rsidRPr="0046750E">
          <w:rPr>
            <w:rStyle w:val="Hyperlink"/>
            <w:rFonts w:ascii="Calibri" w:hAnsi="Calibri" w:cs="Calibri"/>
          </w:rPr>
          <w:t>https://www.cipd.org/uk/knowledge/factsheets/redundancy-factsheet/</w:t>
        </w:r>
      </w:hyperlink>
      <w:r w:rsidRPr="0046750E">
        <w:rPr>
          <w:rFonts w:ascii="Calibri" w:hAnsi="Calibri" w:cs="Calibri"/>
        </w:rPr>
        <w:t>. (Accessed 26/05/2026)</w:t>
      </w:r>
    </w:p>
    <w:p w14:paraId="7F47691B"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lastRenderedPageBreak/>
        <w:t xml:space="preserve">CIPD (2024). CIPD The UK’s relationship with EU employment law post-Brexit.  CIPD. Available at: </w:t>
      </w:r>
      <w:hyperlink r:id="rId15" w:history="1">
        <w:r w:rsidRPr="0046750E">
          <w:rPr>
            <w:rStyle w:val="Hyperlink"/>
            <w:rFonts w:ascii="Calibri" w:hAnsi="Calibri" w:cs="Calibri"/>
          </w:rPr>
          <w:t>https://www.cipd.org/uk/knowledge/emplo</w:t>
        </w:r>
        <w:r w:rsidRPr="0046750E">
          <w:rPr>
            <w:rStyle w:val="Hyperlink"/>
            <w:rFonts w:ascii="Calibri" w:hAnsi="Calibri" w:cs="Calibri"/>
          </w:rPr>
          <w:t>yment-law/uk-employment-law-eu/</w:t>
        </w:r>
      </w:hyperlink>
      <w:r w:rsidRPr="0046750E">
        <w:rPr>
          <w:rFonts w:ascii="Calibri" w:hAnsi="Calibri" w:cs="Calibri"/>
        </w:rPr>
        <w:t>. (Accessed 30/05/2026)</w:t>
      </w:r>
    </w:p>
    <w:p w14:paraId="7198241F" w14:textId="77777777" w:rsidR="00EB6F61" w:rsidRPr="0046750E" w:rsidRDefault="00EB6F61" w:rsidP="00EB6F61">
      <w:pPr>
        <w:pStyle w:val="ListParagraph"/>
        <w:rPr>
          <w:rFonts w:ascii="Calibri" w:hAnsi="Calibri" w:cs="Calibri"/>
        </w:rPr>
      </w:pPr>
    </w:p>
    <w:p w14:paraId="74AEA814"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CIPD (2024). Employee Relations: An Introduction. CIPD. Available at: </w:t>
      </w:r>
      <w:hyperlink r:id="rId16" w:history="1">
        <w:r w:rsidRPr="0046750E">
          <w:rPr>
            <w:rStyle w:val="Hyperlink"/>
            <w:rFonts w:ascii="Calibri" w:hAnsi="Calibri" w:cs="Calibri"/>
          </w:rPr>
          <w:t>https://www.cipd.org/uk/knowledge/factsheets/relations-employees-factsheet/</w:t>
        </w:r>
      </w:hyperlink>
      <w:r w:rsidRPr="0046750E">
        <w:rPr>
          <w:rFonts w:ascii="Calibri" w:hAnsi="Calibri" w:cs="Calibri"/>
        </w:rPr>
        <w:t>. (Accessed 25/04/2026)</w:t>
      </w:r>
    </w:p>
    <w:p w14:paraId="6B72F9FB" w14:textId="77777777" w:rsidR="00EB6F61" w:rsidRPr="0046750E" w:rsidRDefault="00EB6F61" w:rsidP="00EB6F61">
      <w:pPr>
        <w:pStyle w:val="ListParagraph"/>
        <w:rPr>
          <w:rFonts w:ascii="Calibri" w:hAnsi="Calibri" w:cs="Calibri"/>
        </w:rPr>
      </w:pPr>
    </w:p>
    <w:p w14:paraId="34ECEF9F"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Local Government Association (2026) Improving employment relations: CIPD and new employment relations self-assessment. London: Local Government Association. Available at </w:t>
      </w:r>
      <w:r w:rsidRPr="0046750E">
        <w:rPr>
          <w:rFonts w:ascii="Calibri" w:hAnsi="Calibri" w:cs="Calibri"/>
        </w:rPr>
        <w:fldChar w:fldCharType="begin"/>
      </w:r>
      <w:r w:rsidRPr="0046750E">
        <w:rPr>
          <w:rFonts w:ascii="Calibri" w:hAnsi="Calibri" w:cs="Calibri"/>
        </w:rPr>
        <w:instrText>HYPERLINK "https://www.local.gov.uk/sites/default/files/documents/Improving%20Employment%20Relations%20-%2027%20January.pdf"</w:instrText>
      </w:r>
      <w:r w:rsidRPr="0046750E">
        <w:rPr>
          <w:rFonts w:ascii="Calibri" w:hAnsi="Calibri" w:cs="Calibri"/>
        </w:rPr>
      </w:r>
      <w:r w:rsidRPr="0046750E">
        <w:rPr>
          <w:rFonts w:ascii="Calibri" w:hAnsi="Calibri" w:cs="Calibri"/>
        </w:rPr>
        <w:fldChar w:fldCharType="separate"/>
      </w:r>
      <w:r w:rsidRPr="0046750E">
        <w:rPr>
          <w:rStyle w:val="Hyperlink"/>
          <w:rFonts w:ascii="Calibri" w:hAnsi="Calibri" w:cs="Calibri"/>
        </w:rPr>
        <w:t>Improving employment relations: CIPD and new employment relations self-assessment model</w:t>
      </w:r>
      <w:r w:rsidRPr="0046750E">
        <w:rPr>
          <w:rFonts w:ascii="Calibri" w:hAnsi="Calibri" w:cs="Calibri"/>
        </w:rPr>
        <w:fldChar w:fldCharType="end"/>
      </w:r>
      <w:r w:rsidRPr="0046750E">
        <w:rPr>
          <w:rFonts w:ascii="Calibri" w:hAnsi="Calibri" w:cs="Calibri"/>
        </w:rPr>
        <w:t xml:space="preserve"> </w:t>
      </w:r>
      <w:r w:rsidRPr="0046750E">
        <w:rPr>
          <w:rFonts w:ascii="Calibri" w:hAnsi="Calibri" w:cs="Calibri"/>
        </w:rPr>
        <w:t>(Accessed 03/05/2026)</w:t>
      </w:r>
    </w:p>
    <w:p w14:paraId="00B16DB9" w14:textId="77777777" w:rsidR="00EB6F61" w:rsidRPr="0046750E" w:rsidRDefault="00EB6F61" w:rsidP="00EB6F61">
      <w:pPr>
        <w:pStyle w:val="ListParagraph"/>
        <w:rPr>
          <w:rFonts w:ascii="Calibri" w:hAnsi="Calibri" w:cs="Calibri"/>
        </w:rPr>
      </w:pPr>
    </w:p>
    <w:p w14:paraId="31CB0635"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EHRC (2024) Employment statutory code of practice. London: Equality and Human Rights </w:t>
      </w:r>
      <w:proofErr w:type="gramStart"/>
      <w:r w:rsidRPr="0046750E">
        <w:rPr>
          <w:rFonts w:ascii="Calibri" w:hAnsi="Calibri" w:cs="Calibri"/>
        </w:rPr>
        <w:t>Commission.(</w:t>
      </w:r>
      <w:proofErr w:type="gramEnd"/>
      <w:r w:rsidRPr="0046750E">
        <w:rPr>
          <w:rFonts w:ascii="Calibri" w:hAnsi="Calibri" w:cs="Calibri"/>
        </w:rPr>
        <w:t>Accessed 02/05/2026)</w:t>
      </w:r>
    </w:p>
    <w:p w14:paraId="54B9FB57" w14:textId="77777777" w:rsidR="00EB6F61" w:rsidRPr="0046750E" w:rsidRDefault="00EB6F61" w:rsidP="00EB6F61">
      <w:pPr>
        <w:pStyle w:val="ListParagraph"/>
        <w:rPr>
          <w:rFonts w:ascii="Calibri" w:hAnsi="Calibri" w:cs="Calibri"/>
        </w:rPr>
      </w:pPr>
    </w:p>
    <w:p w14:paraId="7DEC2702"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Department for Business and Trade (2022). Retained EU law dashboard.GOV.UK. Available at: </w:t>
      </w:r>
      <w:hyperlink r:id="rId17" w:history="1">
        <w:r w:rsidRPr="0046750E">
          <w:rPr>
            <w:rStyle w:val="Hyperlink"/>
            <w:rFonts w:ascii="Calibri" w:hAnsi="Calibri" w:cs="Calibri"/>
          </w:rPr>
          <w:t>https://www.gov.uk/government/pu</w:t>
        </w:r>
        <w:r w:rsidRPr="0046750E">
          <w:rPr>
            <w:rStyle w:val="Hyperlink"/>
            <w:rFonts w:ascii="Calibri" w:hAnsi="Calibri" w:cs="Calibri"/>
          </w:rPr>
          <w:t>blications/retained-eu-law-dashboard</w:t>
        </w:r>
      </w:hyperlink>
      <w:r w:rsidRPr="0046750E">
        <w:rPr>
          <w:rFonts w:ascii="Calibri" w:hAnsi="Calibri" w:cs="Calibri"/>
        </w:rPr>
        <w:t>. (Accessed on 16/05/</w:t>
      </w:r>
      <w:proofErr w:type="gramStart"/>
      <w:r w:rsidRPr="0046750E">
        <w:rPr>
          <w:rFonts w:ascii="Calibri" w:hAnsi="Calibri" w:cs="Calibri"/>
        </w:rPr>
        <w:t>2026 )</w:t>
      </w:r>
      <w:proofErr w:type="gramEnd"/>
      <w:r w:rsidRPr="0046750E">
        <w:rPr>
          <w:rFonts w:ascii="Calibri" w:hAnsi="Calibri" w:cs="Calibri"/>
        </w:rPr>
        <w:t>.</w:t>
      </w:r>
    </w:p>
    <w:p w14:paraId="67A17D8C" w14:textId="77777777" w:rsidR="00EB6F61" w:rsidRPr="0046750E" w:rsidRDefault="00EB6F61" w:rsidP="00EB6F61">
      <w:pPr>
        <w:pStyle w:val="ListParagraph"/>
        <w:rPr>
          <w:rFonts w:ascii="Calibri" w:hAnsi="Calibri" w:cs="Calibri"/>
        </w:rPr>
      </w:pPr>
    </w:p>
    <w:p w14:paraId="395A4D95"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GOV.UK (2010). Discrimination: Your Rights. GOV.UK. Available at: </w:t>
      </w:r>
      <w:hyperlink r:id="rId18" w:history="1">
        <w:r w:rsidRPr="0046750E">
          <w:rPr>
            <w:rStyle w:val="Hyperlink"/>
            <w:rFonts w:ascii="Calibri" w:hAnsi="Calibri" w:cs="Calibri"/>
          </w:rPr>
          <w:t>https://www.gov.uk/discrimination-your-rights</w:t>
        </w:r>
      </w:hyperlink>
      <w:r w:rsidRPr="0046750E">
        <w:rPr>
          <w:rFonts w:ascii="Calibri" w:hAnsi="Calibri" w:cs="Calibri"/>
        </w:rPr>
        <w:t>.( Accessed on 02/05/2026)</w:t>
      </w:r>
    </w:p>
    <w:p w14:paraId="585F3248" w14:textId="77777777" w:rsidR="00EB6F61" w:rsidRPr="0046750E" w:rsidRDefault="00EB6F61" w:rsidP="00EB6F61">
      <w:pPr>
        <w:pStyle w:val="ListParagraph"/>
        <w:rPr>
          <w:rFonts w:ascii="Calibri" w:hAnsi="Calibri" w:cs="Calibri"/>
        </w:rPr>
      </w:pPr>
    </w:p>
    <w:p w14:paraId="5718D63C"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GOV.UK (2024). Employment Rights Bill: factsheets.GOV.UK. Available at: </w:t>
      </w:r>
      <w:hyperlink r:id="rId19" w:history="1">
        <w:r w:rsidRPr="0046750E">
          <w:rPr>
            <w:rStyle w:val="Hyperlink"/>
            <w:rFonts w:ascii="Calibri" w:hAnsi="Calibri" w:cs="Calibri"/>
          </w:rPr>
          <w:t>https://www.gov.uk/government/publications/employment-rights-bill-factsheets</w:t>
        </w:r>
      </w:hyperlink>
      <w:r w:rsidRPr="0046750E">
        <w:rPr>
          <w:rFonts w:ascii="Calibri" w:hAnsi="Calibri" w:cs="Calibri"/>
        </w:rPr>
        <w:t>.  (Accessed 17/05/2026).</w:t>
      </w:r>
    </w:p>
    <w:p w14:paraId="6EDFB315" w14:textId="77777777" w:rsidR="00EB6F61" w:rsidRPr="0046750E" w:rsidRDefault="00EB6F61" w:rsidP="00EB6F61">
      <w:pPr>
        <w:pStyle w:val="ListParagraph"/>
        <w:rPr>
          <w:rFonts w:ascii="Calibri" w:hAnsi="Calibri" w:cs="Calibri"/>
        </w:rPr>
      </w:pPr>
    </w:p>
    <w:p w14:paraId="16E60D11"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GOV.UK (2022). Employment status and employment rights: guidance for HR professionals, legal professionals and other groups. GOV.UK. Available at: </w:t>
      </w:r>
      <w:hyperlink r:id="rId20" w:history="1">
        <w:r w:rsidRPr="0046750E">
          <w:rPr>
            <w:rStyle w:val="Hyperlink"/>
            <w:rFonts w:ascii="Calibri" w:hAnsi="Calibri" w:cs="Calibri"/>
          </w:rPr>
          <w:t>https://www.gov.uk/government/publications/employment-status-and-employment-rights/employment-status-and-employment-rights-guidance-for-hr-professionals-legal-professionals-and-other-groups</w:t>
        </w:r>
      </w:hyperlink>
      <w:r w:rsidRPr="0046750E">
        <w:rPr>
          <w:rFonts w:ascii="Calibri" w:hAnsi="Calibri" w:cs="Calibri"/>
        </w:rPr>
        <w:t>. (Accessed 17/05/2026)</w:t>
      </w:r>
    </w:p>
    <w:p w14:paraId="128FEFF7" w14:textId="77777777" w:rsidR="00EB6F61" w:rsidRPr="0046750E" w:rsidRDefault="00EB6F61" w:rsidP="00EB6F61">
      <w:pPr>
        <w:pStyle w:val="ListParagraph"/>
        <w:rPr>
          <w:rFonts w:ascii="Calibri" w:hAnsi="Calibri" w:cs="Calibri"/>
        </w:rPr>
      </w:pPr>
    </w:p>
    <w:p w14:paraId="36F57F58"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Lewis, D., Sargeant, M. and Schwab, B. (2022) Introduction to employment law. 6th edition. London: Kogan Page.</w:t>
      </w:r>
    </w:p>
    <w:p w14:paraId="032317AF" w14:textId="77777777" w:rsidR="00EB6F61" w:rsidRPr="0046750E" w:rsidRDefault="00EB6F61" w:rsidP="00EB6F61">
      <w:pPr>
        <w:pStyle w:val="ListParagraph"/>
        <w:rPr>
          <w:rFonts w:ascii="Calibri" w:hAnsi="Calibri" w:cs="Calibri"/>
        </w:rPr>
      </w:pPr>
    </w:p>
    <w:p w14:paraId="74503757" w14:textId="77777777" w:rsidR="00EB6F61" w:rsidRPr="0046750E" w:rsidRDefault="00EB6F61" w:rsidP="00EB6F61">
      <w:pPr>
        <w:pStyle w:val="ListParagraph"/>
        <w:numPr>
          <w:ilvl w:val="0"/>
          <w:numId w:val="1"/>
        </w:numPr>
        <w:rPr>
          <w:rFonts w:ascii="Calibri" w:hAnsi="Calibri" w:cs="Calibri"/>
        </w:rPr>
      </w:pPr>
      <w:r w:rsidRPr="0046750E">
        <w:rPr>
          <w:rFonts w:ascii="Calibri" w:hAnsi="Calibri" w:cs="Calibri"/>
        </w:rPr>
        <w:t xml:space="preserve">GOV.UK (2014). TUPE: guide to 2006 regulations. GOV.UK. Available at: </w:t>
      </w:r>
      <w:hyperlink r:id="rId21" w:history="1">
        <w:r w:rsidRPr="0046750E">
          <w:rPr>
            <w:rStyle w:val="Hyperlink"/>
            <w:rFonts w:ascii="Calibri" w:hAnsi="Calibri" w:cs="Calibri"/>
          </w:rPr>
          <w:t>https://www.gov.uk/government/publications/tupe-a-guide-to-the-2006-regulations</w:t>
        </w:r>
      </w:hyperlink>
      <w:r w:rsidRPr="0046750E">
        <w:rPr>
          <w:rFonts w:ascii="Calibri" w:hAnsi="Calibri" w:cs="Calibri"/>
        </w:rPr>
        <w:t>. (Accessed 24/05/2026.)</w:t>
      </w:r>
    </w:p>
    <w:p w14:paraId="2E931970" w14:textId="77777777" w:rsidR="00EB6F61" w:rsidRDefault="00EB6F61"/>
    <w:sectPr w:rsidR="00EB6F61" w:rsidSect="00AF46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D42DA"/>
    <w:multiLevelType w:val="hybridMultilevel"/>
    <w:tmpl w:val="C14E4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848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687"/>
    <w:rsid w:val="000101B3"/>
    <w:rsid w:val="004E67BD"/>
    <w:rsid w:val="005F3CFB"/>
    <w:rsid w:val="008802CC"/>
    <w:rsid w:val="00AF4687"/>
    <w:rsid w:val="00EB6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2FF89"/>
  <w15:chartTrackingRefBased/>
  <w15:docId w15:val="{CF611B9B-6930-49FB-BAE3-A7037FB91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687"/>
  </w:style>
  <w:style w:type="paragraph" w:styleId="Heading1">
    <w:name w:val="heading 1"/>
    <w:basedOn w:val="Normal"/>
    <w:next w:val="Normal"/>
    <w:link w:val="Heading1Char"/>
    <w:uiPriority w:val="9"/>
    <w:qFormat/>
    <w:rsid w:val="00AF46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6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6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6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6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6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6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6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6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6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6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6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6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6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6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6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6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687"/>
    <w:rPr>
      <w:rFonts w:eastAsiaTheme="majorEastAsia" w:cstheme="majorBidi"/>
      <w:color w:val="272727" w:themeColor="text1" w:themeTint="D8"/>
    </w:rPr>
  </w:style>
  <w:style w:type="paragraph" w:styleId="Title">
    <w:name w:val="Title"/>
    <w:basedOn w:val="Normal"/>
    <w:next w:val="Normal"/>
    <w:link w:val="TitleChar"/>
    <w:uiPriority w:val="10"/>
    <w:qFormat/>
    <w:rsid w:val="00AF46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6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6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6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687"/>
    <w:pPr>
      <w:spacing w:before="160"/>
      <w:jc w:val="center"/>
    </w:pPr>
    <w:rPr>
      <w:i/>
      <w:iCs/>
      <w:color w:val="404040" w:themeColor="text1" w:themeTint="BF"/>
    </w:rPr>
  </w:style>
  <w:style w:type="character" w:customStyle="1" w:styleId="QuoteChar">
    <w:name w:val="Quote Char"/>
    <w:basedOn w:val="DefaultParagraphFont"/>
    <w:link w:val="Quote"/>
    <w:uiPriority w:val="29"/>
    <w:rsid w:val="00AF4687"/>
    <w:rPr>
      <w:i/>
      <w:iCs/>
      <w:color w:val="404040" w:themeColor="text1" w:themeTint="BF"/>
    </w:rPr>
  </w:style>
  <w:style w:type="paragraph" w:styleId="ListParagraph">
    <w:name w:val="List Paragraph"/>
    <w:basedOn w:val="Normal"/>
    <w:uiPriority w:val="34"/>
    <w:qFormat/>
    <w:rsid w:val="00AF4687"/>
    <w:pPr>
      <w:ind w:left="720"/>
      <w:contextualSpacing/>
    </w:pPr>
  </w:style>
  <w:style w:type="character" w:styleId="IntenseEmphasis">
    <w:name w:val="Intense Emphasis"/>
    <w:basedOn w:val="DefaultParagraphFont"/>
    <w:uiPriority w:val="21"/>
    <w:qFormat/>
    <w:rsid w:val="00AF4687"/>
    <w:rPr>
      <w:i/>
      <w:iCs/>
      <w:color w:val="0F4761" w:themeColor="accent1" w:themeShade="BF"/>
    </w:rPr>
  </w:style>
  <w:style w:type="paragraph" w:styleId="IntenseQuote">
    <w:name w:val="Intense Quote"/>
    <w:basedOn w:val="Normal"/>
    <w:next w:val="Normal"/>
    <w:link w:val="IntenseQuoteChar"/>
    <w:uiPriority w:val="30"/>
    <w:qFormat/>
    <w:rsid w:val="00AF46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687"/>
    <w:rPr>
      <w:i/>
      <w:iCs/>
      <w:color w:val="0F4761" w:themeColor="accent1" w:themeShade="BF"/>
    </w:rPr>
  </w:style>
  <w:style w:type="character" w:styleId="IntenseReference">
    <w:name w:val="Intense Reference"/>
    <w:basedOn w:val="DefaultParagraphFont"/>
    <w:uiPriority w:val="32"/>
    <w:qFormat/>
    <w:rsid w:val="00AF4687"/>
    <w:rPr>
      <w:b/>
      <w:bCs/>
      <w:smallCaps/>
      <w:color w:val="0F4761" w:themeColor="accent1" w:themeShade="BF"/>
      <w:spacing w:val="5"/>
    </w:rPr>
  </w:style>
  <w:style w:type="character" w:styleId="Hyperlink">
    <w:name w:val="Hyperlink"/>
    <w:basedOn w:val="DefaultParagraphFont"/>
    <w:uiPriority w:val="99"/>
    <w:unhideWhenUsed/>
    <w:rsid w:val="004E67BD"/>
    <w:rPr>
      <w:color w:val="467886" w:themeColor="hyperlink"/>
      <w:u w:val="single"/>
    </w:rPr>
  </w:style>
  <w:style w:type="paragraph" w:styleId="NormalWeb">
    <w:name w:val="Normal (Web)"/>
    <w:basedOn w:val="Normal"/>
    <w:uiPriority w:val="99"/>
    <w:unhideWhenUsed/>
    <w:rsid w:val="004E67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E67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rregular-hours-and-part-year-workers/rolled-up-holiday-pay" TargetMode="External"/><Relationship Id="rId13" Type="http://schemas.openxmlformats.org/officeDocument/2006/relationships/hyperlink" Target="https://www.cipd.org/uk/knowledge/factsheets/tupe-factsheet/" TargetMode="External"/><Relationship Id="rId18" Type="http://schemas.openxmlformats.org/officeDocument/2006/relationships/hyperlink" Target="https://www.gov.uk/discrimination-your-rights" TargetMode="External"/><Relationship Id="rId3" Type="http://schemas.openxmlformats.org/officeDocument/2006/relationships/settings" Target="settings.xml"/><Relationship Id="rId21" Type="http://schemas.openxmlformats.org/officeDocument/2006/relationships/hyperlink" Target="https://www.gov.uk/government/publications/tupe-a-guide-to-the-2006-regulations" TargetMode="External"/><Relationship Id="rId7" Type="http://schemas.openxmlformats.org/officeDocument/2006/relationships/hyperlink" Target="https://www.acas.org.uk/checking-holiday-entitlement/calculating-holiday-pay" TargetMode="External"/><Relationship Id="rId12" Type="http://schemas.openxmlformats.org/officeDocument/2006/relationships/hyperlink" Target="https://www.cipd.org/uk/knowledge/guides/inclusive-employers/" TargetMode="External"/><Relationship Id="rId17" Type="http://schemas.openxmlformats.org/officeDocument/2006/relationships/hyperlink" Target="https://www.gov.uk/government/publications/retained-eu-law-dashboard" TargetMode="External"/><Relationship Id="rId2" Type="http://schemas.openxmlformats.org/officeDocument/2006/relationships/styles" Target="styles.xml"/><Relationship Id="rId16" Type="http://schemas.openxmlformats.org/officeDocument/2006/relationships/hyperlink" Target="https://www.cipd.org/uk/knowledge/factsheets/relations-employees-factsheet/" TargetMode="External"/><Relationship Id="rId20" Type="http://schemas.openxmlformats.org/officeDocument/2006/relationships/hyperlink" Target="https://www.gov.uk/government/publications/employment-status-and-employment-rights/employment-status-and-employment-rights-guidance-for-hr-professionals-legal-professionals-and-other-groups" TargetMode="External"/><Relationship Id="rId1" Type="http://schemas.openxmlformats.org/officeDocument/2006/relationships/numbering" Target="numbering.xml"/><Relationship Id="rId6" Type="http://schemas.openxmlformats.org/officeDocument/2006/relationships/hyperlink" Target="https://www.acas.org.uk/flexible-working" TargetMode="External"/><Relationship Id="rId11" Type="http://schemas.openxmlformats.org/officeDocument/2006/relationships/hyperlink" Target="https://www.cipd.org/uk/knowledge/guides/flexible-working/" TargetMode="External"/><Relationship Id="rId5" Type="http://schemas.openxmlformats.org/officeDocument/2006/relationships/hyperlink" Target="https://www.acas.org.uk/equal-pay/equal-pay-law" TargetMode="External"/><Relationship Id="rId15" Type="http://schemas.openxmlformats.org/officeDocument/2006/relationships/hyperlink" Target="https://www.cipd.org/uk/knowledge/employment-law/uk-employment-law-eu/" TargetMode="External"/><Relationship Id="rId23" Type="http://schemas.openxmlformats.org/officeDocument/2006/relationships/theme" Target="theme/theme1.xml"/><Relationship Id="rId10" Type="http://schemas.openxmlformats.org/officeDocument/2006/relationships/hyperlink" Target="https://www.cipd.org/uk/knowledge/factsheets/maternity-paternity-rights-factsheet/" TargetMode="External"/><Relationship Id="rId19" Type="http://schemas.openxmlformats.org/officeDocument/2006/relationships/hyperlink" Target="https://www.gov.uk/government/publications/employment-rights-bill-factsheets" TargetMode="External"/><Relationship Id="rId4" Type="http://schemas.openxmlformats.org/officeDocument/2006/relationships/webSettings" Target="webSettings.xml"/><Relationship Id="rId9" Type="http://schemas.openxmlformats.org/officeDocument/2006/relationships/hyperlink" Target="https://www.cipd.org/uk/topics/employment-law/" TargetMode="External"/><Relationship Id="rId14" Type="http://schemas.openxmlformats.org/officeDocument/2006/relationships/hyperlink" Target="https://www.cipd.org/uk/knowledge/factsheets/redundancy-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299</TotalTime>
  <Pages>12</Pages>
  <Words>4757</Words>
  <Characters>27120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Morgan (Hywel Dda UHB - Medical Workforce Assistant)</dc:creator>
  <cp:keywords/>
  <dc:description/>
  <cp:lastModifiedBy>Rhian Morgan (Hywel Dda UHB - Medical Workforce Assistant)</cp:lastModifiedBy>
  <cp:revision>4</cp:revision>
  <dcterms:created xsi:type="dcterms:W3CDTF">2026-05-31T13:43:00Z</dcterms:created>
  <dcterms:modified xsi:type="dcterms:W3CDTF">2026-05-31T18:43:00Z</dcterms:modified>
</cp:coreProperties>
</file>