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BFAA2" w14:textId="56F9E154" w:rsidR="00D07524" w:rsidRDefault="00E16104">
      <w:pPr>
        <w:rPr>
          <w:rFonts w:ascii="Times New Roman" w:hAnsi="Times New Roman"/>
          <w:sz w:val="28"/>
          <w:szCs w:val="28"/>
        </w:rPr>
      </w:pPr>
      <w:r w:rsidRPr="00E16104">
        <w:rPr>
          <w:rFonts w:ascii="Times New Roman" w:hAnsi="Times New Roman"/>
          <w:sz w:val="28"/>
          <w:szCs w:val="28"/>
        </w:rPr>
        <w:t>Janine Dixon</w:t>
      </w:r>
      <w:r>
        <w:rPr>
          <w:rFonts w:ascii="Times New Roman" w:hAnsi="Times New Roman"/>
          <w:sz w:val="28"/>
          <w:szCs w:val="28"/>
        </w:rPr>
        <w:t>_1600982</w:t>
      </w:r>
    </w:p>
    <w:p w14:paraId="4B463380" w14:textId="1E1FCA83" w:rsidR="00E16104" w:rsidRDefault="00E16104" w:rsidP="00E16104">
      <w:pPr>
        <w:jc w:val="center"/>
        <w:rPr>
          <w:rFonts w:ascii="Times New Roman" w:hAnsi="Times New Roman"/>
          <w:sz w:val="28"/>
          <w:szCs w:val="28"/>
        </w:rPr>
      </w:pPr>
      <w:r>
        <w:rPr>
          <w:rFonts w:ascii="Times New Roman" w:hAnsi="Times New Roman"/>
          <w:sz w:val="28"/>
          <w:szCs w:val="28"/>
        </w:rPr>
        <w:t>Portfolio exercises</w:t>
      </w:r>
    </w:p>
    <w:p w14:paraId="44A8B86A" w14:textId="17B79686" w:rsidR="00E16104" w:rsidRDefault="00E16104" w:rsidP="00E16104">
      <w:pPr>
        <w:jc w:val="center"/>
        <w:rPr>
          <w:rFonts w:ascii="Times New Roman" w:hAnsi="Times New Roman"/>
          <w:sz w:val="28"/>
          <w:szCs w:val="28"/>
        </w:rPr>
      </w:pPr>
    </w:p>
    <w:p w14:paraId="429E60A1"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Secondary Source commentary on J. Huizinga, </w:t>
      </w:r>
      <w:r w:rsidRPr="00E16104">
        <w:rPr>
          <w:rFonts w:ascii="Times New Roman" w:hAnsi="Times New Roman"/>
          <w:i/>
          <w:sz w:val="28"/>
          <w:szCs w:val="28"/>
        </w:rPr>
        <w:t xml:space="preserve">The Waning of the Middle Ages: a study of the forms of life, thought and art in France and Netherlands in the fourteenth and fifteenth centuries </w:t>
      </w:r>
      <w:r w:rsidRPr="00E16104">
        <w:rPr>
          <w:rFonts w:ascii="Times New Roman" w:hAnsi="Times New Roman"/>
          <w:sz w:val="28"/>
          <w:szCs w:val="28"/>
        </w:rPr>
        <w:t>(London: Edward Arnold, 1924), Chapter 11 – ‘The Vision of Death.’</w:t>
      </w:r>
    </w:p>
    <w:p w14:paraId="50EDD335" w14:textId="77777777" w:rsidR="00E16104" w:rsidRPr="00E16104" w:rsidRDefault="00E16104" w:rsidP="00E16104">
      <w:pPr>
        <w:jc w:val="left"/>
        <w:rPr>
          <w:rFonts w:ascii="Times New Roman" w:hAnsi="Times New Roman"/>
          <w:sz w:val="28"/>
          <w:szCs w:val="28"/>
        </w:rPr>
      </w:pPr>
    </w:p>
    <w:p w14:paraId="4ECC8679"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Johan Huizinga was a Dutch historian who was born in 1872. Educated at the Universities of Groningen and Leipzig, he became a professor of history. Huizinga established a reputation as  one of the founders of modern cultural history. He released his most famous work, </w:t>
      </w:r>
      <w:r w:rsidRPr="00E16104">
        <w:rPr>
          <w:rFonts w:ascii="Times New Roman" w:hAnsi="Times New Roman"/>
          <w:i/>
          <w:sz w:val="28"/>
          <w:szCs w:val="28"/>
        </w:rPr>
        <w:t>The Waning of the Middle Ages</w:t>
      </w:r>
      <w:r w:rsidRPr="00E16104">
        <w:rPr>
          <w:rFonts w:ascii="Times New Roman" w:hAnsi="Times New Roman"/>
          <w:sz w:val="28"/>
          <w:szCs w:val="28"/>
        </w:rPr>
        <w:t>, in 1924. This book examines life and thought in France and Holland in the 14</w:t>
      </w:r>
      <w:r w:rsidRPr="00E16104">
        <w:rPr>
          <w:rFonts w:ascii="Times New Roman" w:hAnsi="Times New Roman"/>
          <w:sz w:val="28"/>
          <w:szCs w:val="28"/>
          <w:vertAlign w:val="superscript"/>
        </w:rPr>
        <w:t>th</w:t>
      </w:r>
      <w:r w:rsidRPr="00E16104">
        <w:rPr>
          <w:rFonts w:ascii="Times New Roman" w:hAnsi="Times New Roman"/>
          <w:sz w:val="28"/>
          <w:szCs w:val="28"/>
        </w:rPr>
        <w:t xml:space="preserve"> and 15</w:t>
      </w:r>
      <w:r w:rsidRPr="00E16104">
        <w:rPr>
          <w:rFonts w:ascii="Times New Roman" w:hAnsi="Times New Roman"/>
          <w:sz w:val="28"/>
          <w:szCs w:val="28"/>
          <w:vertAlign w:val="superscript"/>
        </w:rPr>
        <w:t>th</w:t>
      </w:r>
      <w:r w:rsidRPr="00E16104">
        <w:rPr>
          <w:rFonts w:ascii="Times New Roman" w:hAnsi="Times New Roman"/>
          <w:sz w:val="28"/>
          <w:szCs w:val="28"/>
        </w:rPr>
        <w:t xml:space="preserve"> centuries. Art and the spectacle played an important role of Huizinga’s approach to history: challenging the scientific approach. Furthermore, he challenged the idea of history as a story of progression. This commentary focuses on chapter 11 of that book entitled ‘The Vision of Death’.</w:t>
      </w:r>
    </w:p>
    <w:p w14:paraId="174FB137"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One of Huizinga’s main arguments was that the sentiment around death was one of fear. He describes the death imagery in art and literature after 1400 as macabre and states: ‘the macabre vision arose from deep psychological strata of fear; religious thought at once reducing it to a means of moral exhortation.’</w:t>
      </w:r>
      <w:r w:rsidRPr="00E16104">
        <w:rPr>
          <w:rFonts w:ascii="Times New Roman" w:hAnsi="Times New Roman"/>
          <w:sz w:val="28"/>
          <w:szCs w:val="28"/>
          <w:vertAlign w:val="superscript"/>
        </w:rPr>
        <w:footnoteReference w:id="1"/>
      </w:r>
      <w:r w:rsidRPr="00E16104">
        <w:rPr>
          <w:rFonts w:ascii="Times New Roman" w:hAnsi="Times New Roman"/>
          <w:sz w:val="28"/>
          <w:szCs w:val="28"/>
        </w:rPr>
        <w:t xml:space="preserve"> Huizinga’s idea surrounding fear imagery is reductive. Images such as popular medieval motif of the Three Living and the Three dead, support his idea of fear and moral exhortation to a point because it provides a cautionary tale to the viewer that their behaviour whilst alive will impact their souls in the afterlife and it is important to live a good, pious life. However, the tale is also hopeful because it implies that it is not too late to make changes in one’s life. Similarly, </w:t>
      </w:r>
      <w:r w:rsidRPr="00E16104">
        <w:rPr>
          <w:rFonts w:ascii="Times New Roman" w:hAnsi="Times New Roman"/>
          <w:sz w:val="28"/>
          <w:szCs w:val="28"/>
        </w:rPr>
        <w:lastRenderedPageBreak/>
        <w:t>imagery of the crucifixion can be considered hopeful rather than fearful because Jesus dying for the sins of the world means that from then on, people were only responsible for their own sins.</w:t>
      </w:r>
    </w:p>
    <w:p w14:paraId="674E5BFA"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Huizinga writes at length about memento mori imagery, particularly, the </w:t>
      </w:r>
      <w:r w:rsidRPr="00E16104">
        <w:rPr>
          <w:rFonts w:ascii="Times New Roman" w:hAnsi="Times New Roman"/>
          <w:i/>
          <w:sz w:val="28"/>
          <w:szCs w:val="28"/>
        </w:rPr>
        <w:t xml:space="preserve">Three Living and the Three Dead </w:t>
      </w:r>
      <w:r w:rsidRPr="00E16104">
        <w:rPr>
          <w:rFonts w:ascii="Times New Roman" w:hAnsi="Times New Roman"/>
          <w:sz w:val="28"/>
          <w:szCs w:val="28"/>
        </w:rPr>
        <w:t xml:space="preserve">and the </w:t>
      </w:r>
      <w:r w:rsidRPr="00E16104">
        <w:rPr>
          <w:rFonts w:ascii="Times New Roman" w:hAnsi="Times New Roman"/>
          <w:i/>
          <w:sz w:val="28"/>
          <w:szCs w:val="28"/>
        </w:rPr>
        <w:t>Danse macabre</w:t>
      </w:r>
      <w:r w:rsidRPr="00E16104">
        <w:rPr>
          <w:rFonts w:ascii="Times New Roman" w:hAnsi="Times New Roman"/>
          <w:sz w:val="28"/>
          <w:szCs w:val="28"/>
        </w:rPr>
        <w:t>. In his opinion, ‘the theme of the three dead and three living men connects the horrible motif of putrefaction with that of the death-dance.’</w:t>
      </w:r>
      <w:r w:rsidRPr="00E16104">
        <w:rPr>
          <w:rFonts w:ascii="Times New Roman" w:hAnsi="Times New Roman"/>
          <w:sz w:val="28"/>
          <w:szCs w:val="28"/>
          <w:vertAlign w:val="superscript"/>
        </w:rPr>
        <w:footnoteReference w:id="2"/>
      </w:r>
      <w:r w:rsidRPr="00E16104">
        <w:rPr>
          <w:rFonts w:ascii="Times New Roman" w:hAnsi="Times New Roman"/>
          <w:sz w:val="28"/>
          <w:szCs w:val="28"/>
        </w:rPr>
        <w:t xml:space="preserve">  The danse macabre depicts dancing corpses, leading away the living to the afterlife and, rather than being a dance of death, it is a dance of the dead. Huizinga states, ‘while it reminded the spectators of the frailty and the vanity of earthly things, the death-dance at the same time preached social equality as the Middle ages understood it, death levelling the various ranks and professions.’</w:t>
      </w:r>
      <w:r w:rsidRPr="00E16104">
        <w:rPr>
          <w:rFonts w:ascii="Times New Roman" w:hAnsi="Times New Roman"/>
          <w:sz w:val="28"/>
          <w:szCs w:val="28"/>
          <w:vertAlign w:val="superscript"/>
        </w:rPr>
        <w:footnoteReference w:id="3"/>
      </w:r>
      <w:r w:rsidRPr="00E16104">
        <w:rPr>
          <w:rFonts w:ascii="Times New Roman" w:hAnsi="Times New Roman"/>
          <w:sz w:val="28"/>
          <w:szCs w:val="28"/>
        </w:rPr>
        <w:t xml:space="preserve"> This suggests that Huizinga considered that this could not be a spiritual moral because the medieval people were too nostalgic and lived in a material culture which made it difficult to retreat from the world. Memento mori links closely with the idea of contemptus mundi (contempt of the world) which is the medieval belief that life is fleeting. Huizinga states,</w:t>
      </w:r>
    </w:p>
    <w:p w14:paraId="442B6D39"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The dominant thought, as expressed in the literature, both ecclesiastical and lay, of that period, hardly knew anything </w:t>
      </w:r>
      <w:proofErr w:type="gramStart"/>
      <w:r w:rsidRPr="00E16104">
        <w:rPr>
          <w:rFonts w:ascii="Times New Roman" w:hAnsi="Times New Roman"/>
          <w:sz w:val="28"/>
          <w:szCs w:val="28"/>
        </w:rPr>
        <w:t>in regard to</w:t>
      </w:r>
      <w:proofErr w:type="gramEnd"/>
      <w:r w:rsidRPr="00E16104">
        <w:rPr>
          <w:rFonts w:ascii="Times New Roman" w:hAnsi="Times New Roman"/>
          <w:sz w:val="28"/>
          <w:szCs w:val="28"/>
        </w:rPr>
        <w:t xml:space="preserve"> death but these two extremes: lamentation about the briefness of all earthly glory , and jubilation over the salvation of the soul.</w:t>
      </w:r>
      <w:r w:rsidRPr="00E16104">
        <w:rPr>
          <w:rFonts w:ascii="Times New Roman" w:hAnsi="Times New Roman"/>
          <w:sz w:val="28"/>
          <w:szCs w:val="28"/>
          <w:vertAlign w:val="superscript"/>
        </w:rPr>
        <w:footnoteReference w:id="4"/>
      </w:r>
    </w:p>
    <w:p w14:paraId="5109F0A8"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This suggests that Huizinga believed that the people of the Middle Ages had a limited, even primitive idea of death which is a reductive opinion. Although Huizinga obviously has some degree of understanding of the medieval mind, it sometimes feels as though he is judging the people of the Middle Ages by modern standards and beliefs. </w:t>
      </w:r>
    </w:p>
    <w:p w14:paraId="76472B03" w14:textId="0EA92FED" w:rsidR="00E16104" w:rsidRPr="00E16104" w:rsidRDefault="00E16104" w:rsidP="00E16104">
      <w:pPr>
        <w:jc w:val="left"/>
        <w:rPr>
          <w:rFonts w:ascii="Times New Roman" w:hAnsi="Times New Roman"/>
          <w:sz w:val="28"/>
          <w:szCs w:val="28"/>
        </w:rPr>
      </w:pPr>
      <w:r>
        <w:rPr>
          <w:rFonts w:ascii="Times New Roman" w:hAnsi="Times New Roman"/>
          <w:sz w:val="28"/>
          <w:szCs w:val="28"/>
        </w:rPr>
        <w:lastRenderedPageBreak/>
        <w:t xml:space="preserve">                                </w:t>
      </w:r>
      <w:r w:rsidRPr="00E16104">
        <w:rPr>
          <w:rFonts w:ascii="Times New Roman" w:hAnsi="Times New Roman"/>
          <w:sz w:val="28"/>
          <w:szCs w:val="28"/>
        </w:rPr>
        <w:t>Key themes: worms’ commentary.</w:t>
      </w:r>
    </w:p>
    <w:p w14:paraId="2349FA51"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The inclusion of worms in various forms of Medieval art and literature enhances the idea of putrefaction: that being the process of decay or rotting in a body. As worms feed on rotten flesh, their inclusion reminds the spectator of the fragility of life and of their mortality. This commentary explores the use of worms in art and literature and its significance.</w:t>
      </w:r>
    </w:p>
    <w:p w14:paraId="6814C260" w14:textId="2822F368" w:rsidR="00E16104" w:rsidRPr="00E16104" w:rsidRDefault="00E16104" w:rsidP="00E16104">
      <w:pPr>
        <w:jc w:val="left"/>
        <w:rPr>
          <w:rFonts w:ascii="Times New Roman" w:hAnsi="Times New Roman"/>
          <w:sz w:val="28"/>
          <w:szCs w:val="28"/>
        </w:rPr>
      </w:pPr>
      <w:bookmarkStart w:id="3" w:name="_Hlk549099"/>
      <w:r w:rsidRPr="00E16104">
        <w:rPr>
          <w:rFonts w:ascii="Times New Roman" w:hAnsi="Times New Roman"/>
          <w:i/>
          <w:sz w:val="28"/>
          <w:szCs w:val="28"/>
        </w:rPr>
        <w:t>A Disputacion Betwyx the Body and Wormes</w:t>
      </w:r>
      <w:r w:rsidRPr="00E16104">
        <w:rPr>
          <w:rFonts w:ascii="Times New Roman" w:hAnsi="Times New Roman"/>
          <w:sz w:val="28"/>
          <w:szCs w:val="28"/>
        </w:rPr>
        <w:t xml:space="preserve"> </w:t>
      </w:r>
      <w:bookmarkEnd w:id="3"/>
      <w:r w:rsidRPr="00E16104">
        <w:rPr>
          <w:rFonts w:ascii="Times New Roman" w:hAnsi="Times New Roman"/>
          <w:sz w:val="28"/>
          <w:szCs w:val="28"/>
        </w:rPr>
        <w:t>was written as a teaching source to resolve conflict. There is only one surviving copy written in the 15</w:t>
      </w:r>
      <w:r w:rsidRPr="00E16104">
        <w:rPr>
          <w:rFonts w:ascii="Times New Roman" w:hAnsi="Times New Roman"/>
          <w:sz w:val="28"/>
          <w:szCs w:val="28"/>
          <w:vertAlign w:val="superscript"/>
        </w:rPr>
        <w:t>th</w:t>
      </w:r>
      <w:r w:rsidRPr="00E16104">
        <w:rPr>
          <w:rFonts w:ascii="Times New Roman" w:hAnsi="Times New Roman"/>
          <w:sz w:val="28"/>
          <w:szCs w:val="28"/>
        </w:rPr>
        <w:t xml:space="preserve"> century. It is the tale of a pilgrim who is fleeing a plague, when he is granted a vision. In his vision he sees the body of a beautiful, vain woman who is disgusted that the worms have come for her and left her body in a state: ‘there’s no rest, for always you suck and bite./ You </w:t>
      </w:r>
      <w:r w:rsidR="00DF25A0" w:rsidRPr="00E16104">
        <w:rPr>
          <w:rFonts w:ascii="Times New Roman" w:hAnsi="Times New Roman"/>
          <w:sz w:val="28"/>
          <w:szCs w:val="28"/>
        </w:rPr>
        <w:t>won’t</w:t>
      </w:r>
      <w:r w:rsidRPr="00E16104">
        <w:rPr>
          <w:rFonts w:ascii="Times New Roman" w:hAnsi="Times New Roman"/>
          <w:sz w:val="28"/>
          <w:szCs w:val="28"/>
        </w:rPr>
        <w:t xml:space="preserve"> </w:t>
      </w:r>
      <w:bookmarkStart w:id="4" w:name="_GoBack"/>
      <w:bookmarkEnd w:id="4"/>
      <w:r w:rsidRPr="00E16104">
        <w:rPr>
          <w:rFonts w:ascii="Times New Roman" w:hAnsi="Times New Roman"/>
          <w:sz w:val="28"/>
          <w:szCs w:val="28"/>
        </w:rPr>
        <w:t>abstain for a single hour/ But are always ready to cruelly devour!’</w:t>
      </w:r>
      <w:r w:rsidRPr="00E16104">
        <w:rPr>
          <w:rFonts w:ascii="Times New Roman" w:hAnsi="Times New Roman"/>
          <w:sz w:val="28"/>
          <w:szCs w:val="28"/>
          <w:vertAlign w:val="superscript"/>
        </w:rPr>
        <w:footnoteReference w:id="5"/>
      </w:r>
      <w:r w:rsidRPr="00E16104">
        <w:rPr>
          <w:rFonts w:ascii="Times New Roman" w:hAnsi="Times New Roman"/>
          <w:sz w:val="28"/>
          <w:szCs w:val="28"/>
        </w:rPr>
        <w:t xml:space="preserve"> The body of the woman calls on links to the living world and requests the assistance of her knights, squires and, presumably, her husband to save her from this fate. This emphasises the role of the individual and is a reminder that death isolates a person and has the final word. In the tale, the worms play the role of heralds, reminding the body and the reader of the inevitability of death. They state their role as being, ‘to make you ready and give you warning.’</w:t>
      </w:r>
      <w:r w:rsidRPr="00E16104">
        <w:rPr>
          <w:rFonts w:ascii="Times New Roman" w:hAnsi="Times New Roman"/>
          <w:sz w:val="28"/>
          <w:szCs w:val="28"/>
          <w:vertAlign w:val="superscript"/>
        </w:rPr>
        <w:footnoteReference w:id="6"/>
      </w:r>
      <w:r w:rsidRPr="00E16104">
        <w:rPr>
          <w:rFonts w:ascii="Times New Roman" w:hAnsi="Times New Roman"/>
          <w:sz w:val="28"/>
          <w:szCs w:val="28"/>
        </w:rPr>
        <w:t xml:space="preserve"> The worms in this tale can be considered to represent the worm of conscience. The body eventually understands the worms’ purpose, but ‘too late’. Purgatory is an option, but she is stuck in that middle point implying that her soul has not made it to the afterlife. However, as the tale nears its conclusion, the body becomes confident in the resurrection on judgement day so is no longer concerned that her flesh has been eaten. The tale ends with a reminder ‘to live upright/ Before God and all their lusts to leave/ For worldly things which their spirits grieve.’</w:t>
      </w:r>
      <w:r w:rsidRPr="00E16104">
        <w:rPr>
          <w:rFonts w:ascii="Times New Roman" w:hAnsi="Times New Roman"/>
          <w:sz w:val="28"/>
          <w:szCs w:val="28"/>
          <w:vertAlign w:val="superscript"/>
        </w:rPr>
        <w:footnoteReference w:id="7"/>
      </w:r>
      <w:r w:rsidRPr="00E16104">
        <w:rPr>
          <w:rFonts w:ascii="Times New Roman" w:hAnsi="Times New Roman"/>
          <w:sz w:val="28"/>
          <w:szCs w:val="28"/>
        </w:rPr>
        <w:t xml:space="preserve"> The tale acts as a reminder of mortality and </w:t>
      </w:r>
      <w:r w:rsidRPr="00E16104">
        <w:rPr>
          <w:rFonts w:ascii="Times New Roman" w:hAnsi="Times New Roman"/>
          <w:sz w:val="28"/>
          <w:szCs w:val="28"/>
        </w:rPr>
        <w:lastRenderedPageBreak/>
        <w:t>the importance of staying humble and not giving in to sin. The worms remind the reader that in death, everyone is equal.</w:t>
      </w:r>
    </w:p>
    <w:p w14:paraId="7F71CB9E"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 Cadaver or transi tombs were particularly characteristic of the later Middle Ages and featured an effigy of the dead person in the form of a decomposing corpse. Some examples included the addition of vermin including worms. An example being the tomb of Francois I de la Sarra (fig.1)</w:t>
      </w:r>
    </w:p>
    <w:p w14:paraId="4B9D5812"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 </w:t>
      </w:r>
    </w:p>
    <w:p w14:paraId="6E488520"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 </w:t>
      </w:r>
      <w:r w:rsidRPr="00E16104">
        <w:rPr>
          <w:rFonts w:ascii="Times New Roman" w:hAnsi="Times New Roman"/>
          <w:sz w:val="28"/>
          <w:szCs w:val="28"/>
        </w:rPr>
        <w:drawing>
          <wp:inline distT="0" distB="0" distL="0" distR="0" wp14:anchorId="14EBA5B6" wp14:editId="2F40E14E">
            <wp:extent cx="5731510" cy="4000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ansi tomb.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000500"/>
                    </a:xfrm>
                    <a:prstGeom prst="rect">
                      <a:avLst/>
                    </a:prstGeom>
                  </pic:spPr>
                </pic:pic>
              </a:graphicData>
            </a:graphic>
          </wp:inline>
        </w:drawing>
      </w:r>
    </w:p>
    <w:p w14:paraId="6F280D9D"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Fig.1 Transi tomb of Francois I de la Sarra, in the chapel at La Sarraz, Switzerland (d.1363)</w:t>
      </w:r>
    </w:p>
    <w:p w14:paraId="6E9F3CF0" w14:textId="77777777" w:rsidR="00E16104" w:rsidRPr="00E16104" w:rsidRDefault="00E16104" w:rsidP="00E16104">
      <w:pPr>
        <w:jc w:val="left"/>
        <w:rPr>
          <w:rFonts w:ascii="Times New Roman" w:hAnsi="Times New Roman"/>
          <w:sz w:val="28"/>
          <w:szCs w:val="28"/>
        </w:rPr>
      </w:pPr>
    </w:p>
    <w:p w14:paraId="6DF1BB98" w14:textId="77777777" w:rsidR="00E16104" w:rsidRPr="00E16104" w:rsidRDefault="00E16104" w:rsidP="00E16104">
      <w:pPr>
        <w:jc w:val="left"/>
        <w:rPr>
          <w:rFonts w:ascii="Times New Roman" w:hAnsi="Times New Roman"/>
          <w:sz w:val="28"/>
          <w:szCs w:val="28"/>
        </w:rPr>
      </w:pPr>
      <w:r w:rsidRPr="00E16104">
        <w:rPr>
          <w:rFonts w:ascii="Times New Roman" w:hAnsi="Times New Roman"/>
          <w:sz w:val="28"/>
          <w:szCs w:val="28"/>
        </w:rPr>
        <w:t xml:space="preserve">The tomb of Francois I features toads and worms which enhance the idea of putrefaction. This serves as a reminder that in death, a person’s physical form is of little importance and we are all the same in death, regardless  of our social </w:t>
      </w:r>
      <w:r w:rsidRPr="00E16104">
        <w:rPr>
          <w:rFonts w:ascii="Times New Roman" w:hAnsi="Times New Roman"/>
          <w:sz w:val="28"/>
          <w:szCs w:val="28"/>
        </w:rPr>
        <w:lastRenderedPageBreak/>
        <w:t>standing in life. Francois I was a baron in life, yet the same fate awaited him in death as everyone else.</w:t>
      </w:r>
    </w:p>
    <w:p w14:paraId="6DB6B286" w14:textId="0BA04615" w:rsidR="00E16104" w:rsidRDefault="00E16104" w:rsidP="00E16104">
      <w:pPr>
        <w:jc w:val="left"/>
        <w:rPr>
          <w:rFonts w:ascii="Times New Roman" w:hAnsi="Times New Roman"/>
          <w:sz w:val="28"/>
          <w:szCs w:val="28"/>
        </w:rPr>
      </w:pPr>
      <w:r w:rsidRPr="00E16104">
        <w:rPr>
          <w:rFonts w:ascii="Times New Roman" w:hAnsi="Times New Roman"/>
          <w:sz w:val="28"/>
          <w:szCs w:val="28"/>
        </w:rPr>
        <w:t>The use of worms within medieval art and literature is effective as a reminder of mortality and the transience of life. Also, there is no social bias after death which the worm reminds the spectator of: everyone is equal in death.</w:t>
      </w:r>
    </w:p>
    <w:p w14:paraId="1EAD42D6" w14:textId="77E9CFD9" w:rsidR="00E16104" w:rsidRDefault="00E16104" w:rsidP="00E16104">
      <w:pPr>
        <w:jc w:val="left"/>
        <w:rPr>
          <w:rFonts w:ascii="Times New Roman" w:hAnsi="Times New Roman"/>
          <w:sz w:val="28"/>
          <w:szCs w:val="28"/>
        </w:rPr>
      </w:pPr>
    </w:p>
    <w:p w14:paraId="18616DDD" w14:textId="77777777" w:rsidR="00E16104" w:rsidRDefault="00E16104" w:rsidP="00E16104">
      <w:pPr>
        <w:jc w:val="center"/>
        <w:rPr>
          <w:rFonts w:ascii="Times New Roman" w:hAnsi="Times New Roman"/>
          <w:i/>
          <w:sz w:val="28"/>
          <w:szCs w:val="28"/>
        </w:rPr>
      </w:pPr>
      <w:r>
        <w:rPr>
          <w:rFonts w:ascii="Times New Roman" w:hAnsi="Times New Roman"/>
          <w:sz w:val="28"/>
          <w:szCs w:val="28"/>
        </w:rPr>
        <w:t xml:space="preserve">Commentary on </w:t>
      </w:r>
      <w:r w:rsidRPr="00A00D5B">
        <w:rPr>
          <w:rFonts w:ascii="Times New Roman" w:hAnsi="Times New Roman"/>
          <w:i/>
          <w:sz w:val="28"/>
          <w:szCs w:val="28"/>
        </w:rPr>
        <w:t>the Three Living and the Three Dead</w:t>
      </w:r>
      <w:r>
        <w:rPr>
          <w:rFonts w:ascii="Times New Roman" w:hAnsi="Times New Roman"/>
          <w:sz w:val="28"/>
          <w:szCs w:val="28"/>
        </w:rPr>
        <w:t xml:space="preserve"> image found in </w:t>
      </w:r>
      <w:r w:rsidRPr="00A63626">
        <w:rPr>
          <w:rFonts w:ascii="Times New Roman" w:hAnsi="Times New Roman"/>
          <w:i/>
          <w:sz w:val="28"/>
          <w:szCs w:val="28"/>
        </w:rPr>
        <w:t>The Taymouth Hours.</w:t>
      </w:r>
    </w:p>
    <w:p w14:paraId="6CC0654A" w14:textId="77777777" w:rsidR="00E16104" w:rsidRDefault="00E16104" w:rsidP="00E16104">
      <w:pPr>
        <w:jc w:val="left"/>
        <w:rPr>
          <w:rFonts w:ascii="Times New Roman" w:hAnsi="Times New Roman"/>
          <w:sz w:val="28"/>
          <w:szCs w:val="28"/>
        </w:rPr>
      </w:pPr>
    </w:p>
    <w:p w14:paraId="2BFAB5F4" w14:textId="77777777" w:rsidR="00E16104" w:rsidRDefault="00E16104" w:rsidP="00E16104">
      <w:pPr>
        <w:jc w:val="left"/>
        <w:rPr>
          <w:rFonts w:ascii="Times New Roman" w:hAnsi="Times New Roman"/>
          <w:sz w:val="28"/>
          <w:szCs w:val="28"/>
        </w:rPr>
      </w:pPr>
      <w:r w:rsidRPr="00A00D5B">
        <w:rPr>
          <w:rFonts w:ascii="Times New Roman" w:hAnsi="Times New Roman"/>
          <w:i/>
          <w:sz w:val="28"/>
          <w:szCs w:val="28"/>
        </w:rPr>
        <w:t>The Three Living and the Three Dead</w:t>
      </w:r>
      <w:r>
        <w:rPr>
          <w:rFonts w:ascii="Times New Roman" w:hAnsi="Times New Roman"/>
          <w:sz w:val="28"/>
          <w:szCs w:val="28"/>
        </w:rPr>
        <w:t xml:space="preserve"> tells the tale of an encounter between three young men out hunting and three animated corpses, often in varying states of decay. The three dead are often believed to be representations of the three living’s forefathers who warn the men of the transience of live and encourage them to learn from their mistakes and live a good life. Representations of this mortality theme appeared in church art and books from the 13</w:t>
      </w:r>
      <w:r w:rsidRPr="005E3E82">
        <w:rPr>
          <w:rFonts w:ascii="Times New Roman" w:hAnsi="Times New Roman"/>
          <w:sz w:val="28"/>
          <w:szCs w:val="28"/>
          <w:vertAlign w:val="superscript"/>
        </w:rPr>
        <w:t>th</w:t>
      </w:r>
      <w:r>
        <w:rPr>
          <w:rFonts w:ascii="Times New Roman" w:hAnsi="Times New Roman"/>
          <w:sz w:val="28"/>
          <w:szCs w:val="28"/>
        </w:rPr>
        <w:t xml:space="preserve"> century. However, this commentary focuses on the representation found in </w:t>
      </w:r>
      <w:r w:rsidRPr="00E77CBD">
        <w:rPr>
          <w:rFonts w:ascii="Times New Roman" w:hAnsi="Times New Roman"/>
          <w:i/>
          <w:sz w:val="28"/>
          <w:szCs w:val="28"/>
        </w:rPr>
        <w:t xml:space="preserve">The Taymouth Hours </w:t>
      </w:r>
      <w:r>
        <w:rPr>
          <w:rFonts w:ascii="Times New Roman" w:hAnsi="Times New Roman"/>
          <w:sz w:val="28"/>
          <w:szCs w:val="28"/>
        </w:rPr>
        <w:t>(fig.1)</w:t>
      </w:r>
    </w:p>
    <w:p w14:paraId="4C232509" w14:textId="77777777" w:rsidR="00E16104" w:rsidRDefault="00E16104" w:rsidP="00E16104">
      <w:pPr>
        <w:jc w:val="left"/>
        <w:rPr>
          <w:rFonts w:ascii="Times New Roman" w:hAnsi="Times New Roman"/>
          <w:sz w:val="28"/>
          <w:szCs w:val="28"/>
        </w:rPr>
      </w:pPr>
      <w:r w:rsidRPr="00696116">
        <w:rPr>
          <w:rFonts w:ascii="Times New Roman" w:hAnsi="Times New Roman"/>
          <w:i/>
          <w:sz w:val="28"/>
          <w:szCs w:val="28"/>
        </w:rPr>
        <w:t>The Taymouth Hours</w:t>
      </w:r>
      <w:r>
        <w:rPr>
          <w:rFonts w:ascii="Times New Roman" w:hAnsi="Times New Roman"/>
          <w:i/>
          <w:sz w:val="28"/>
          <w:szCs w:val="28"/>
        </w:rPr>
        <w:t xml:space="preserve"> </w:t>
      </w:r>
      <w:r>
        <w:rPr>
          <w:rFonts w:ascii="Times New Roman" w:hAnsi="Times New Roman"/>
          <w:sz w:val="28"/>
          <w:szCs w:val="28"/>
        </w:rPr>
        <w:t>was created in the second quarter of the 14</w:t>
      </w:r>
      <w:r w:rsidRPr="00696116">
        <w:rPr>
          <w:rFonts w:ascii="Times New Roman" w:hAnsi="Times New Roman"/>
          <w:sz w:val="28"/>
          <w:szCs w:val="28"/>
          <w:vertAlign w:val="superscript"/>
        </w:rPr>
        <w:t>th</w:t>
      </w:r>
      <w:r>
        <w:rPr>
          <w:rFonts w:ascii="Times New Roman" w:hAnsi="Times New Roman"/>
          <w:sz w:val="28"/>
          <w:szCs w:val="28"/>
        </w:rPr>
        <w:t xml:space="preserve"> century and includes an extensive programme of illumination including an illustrated calendar and nearly four hundred miniatures and bas-de-page paintings. The bas-de-page scenes are found towards the end of the Office of the Dead: a set of prayers for the dead and the dying. The three living image is found in the bas-de-page of f.179v and the three dead image is on the following folio (f.180r). The identity of the intended recipient of the book of hours is unknown. However, it may have been produced for a queen because of the prevalence of crowned women. Kathryn A. Smith states,</w:t>
      </w:r>
    </w:p>
    <w:p w14:paraId="7B50AA79" w14:textId="77777777" w:rsidR="00E16104" w:rsidRDefault="00E16104" w:rsidP="00E16104">
      <w:pPr>
        <w:spacing w:line="240" w:lineRule="auto"/>
        <w:ind w:left="204"/>
        <w:jc w:val="left"/>
        <w:rPr>
          <w:rFonts w:ascii="Times New Roman" w:hAnsi="Times New Roman"/>
          <w:sz w:val="28"/>
          <w:szCs w:val="28"/>
        </w:rPr>
      </w:pPr>
      <w:r>
        <w:rPr>
          <w:rFonts w:ascii="Times New Roman" w:hAnsi="Times New Roman"/>
          <w:sz w:val="28"/>
          <w:szCs w:val="28"/>
        </w:rPr>
        <w:t xml:space="preserve">The Taymouth Hours derives its name not from any aspect of its shadowy medieval history, but rather from Taymouth castle near Kenmore in </w:t>
      </w:r>
      <w:r>
        <w:rPr>
          <w:rFonts w:ascii="Times New Roman" w:hAnsi="Times New Roman"/>
          <w:sz w:val="28"/>
          <w:szCs w:val="28"/>
        </w:rPr>
        <w:lastRenderedPageBreak/>
        <w:t>Perthshire, Scotland… once the seat of the Campbell earls of Breadalbane, the volumes earliest post-medieval owners.</w:t>
      </w:r>
      <w:r>
        <w:rPr>
          <w:rStyle w:val="FootnoteReference"/>
          <w:rFonts w:ascii="Times New Roman" w:hAnsi="Times New Roman"/>
          <w:sz w:val="28"/>
          <w:szCs w:val="28"/>
        </w:rPr>
        <w:footnoteReference w:id="8"/>
      </w:r>
    </w:p>
    <w:p w14:paraId="60A8ECD9" w14:textId="77777777" w:rsidR="00E16104" w:rsidRDefault="00E16104" w:rsidP="00E16104">
      <w:pPr>
        <w:spacing w:line="240" w:lineRule="auto"/>
        <w:ind w:left="204"/>
        <w:jc w:val="left"/>
        <w:rPr>
          <w:rFonts w:ascii="Times New Roman" w:hAnsi="Times New Roman"/>
          <w:sz w:val="28"/>
          <w:szCs w:val="28"/>
        </w:rPr>
      </w:pPr>
    </w:p>
    <w:p w14:paraId="4B933BA4" w14:textId="77777777" w:rsidR="00E16104" w:rsidRPr="009144D5" w:rsidRDefault="00E16104" w:rsidP="00E16104">
      <w:pPr>
        <w:ind w:left="204"/>
        <w:jc w:val="left"/>
        <w:rPr>
          <w:rFonts w:ascii="Times New Roman" w:hAnsi="Times New Roman"/>
          <w:sz w:val="28"/>
          <w:szCs w:val="28"/>
        </w:rPr>
      </w:pPr>
      <w:r w:rsidRPr="00A00D5B">
        <w:rPr>
          <w:rFonts w:ascii="Times New Roman" w:hAnsi="Times New Roman"/>
          <w:i/>
          <w:sz w:val="28"/>
          <w:szCs w:val="28"/>
        </w:rPr>
        <w:t>The Taymouth Hours</w:t>
      </w:r>
      <w:r>
        <w:rPr>
          <w:rFonts w:ascii="Times New Roman" w:hAnsi="Times New Roman"/>
          <w:sz w:val="28"/>
          <w:szCs w:val="28"/>
        </w:rPr>
        <w:t xml:space="preserve"> was produced for personal devotion and conceptualises the idea of the self.</w:t>
      </w:r>
    </w:p>
    <w:p w14:paraId="6A63D140" w14:textId="77777777" w:rsidR="00E16104" w:rsidRPr="009144D5" w:rsidRDefault="00E16104" w:rsidP="00E16104">
      <w:pPr>
        <w:jc w:val="left"/>
        <w:rPr>
          <w:rFonts w:ascii="Times New Roman" w:hAnsi="Times New Roman"/>
          <w:sz w:val="28"/>
          <w:szCs w:val="28"/>
        </w:rPr>
      </w:pPr>
    </w:p>
    <w:p w14:paraId="125F79D1" w14:textId="77777777" w:rsidR="00E16104" w:rsidRDefault="00E16104" w:rsidP="00E16104">
      <w:pPr>
        <w:jc w:val="left"/>
        <w:rPr>
          <w:rFonts w:ascii="Times New Roman" w:hAnsi="Times New Roman"/>
          <w:sz w:val="28"/>
          <w:szCs w:val="28"/>
        </w:rPr>
      </w:pPr>
    </w:p>
    <w:p w14:paraId="73D0FA2D" w14:textId="77777777" w:rsidR="00E16104" w:rsidRDefault="00E16104" w:rsidP="00E16104">
      <w:pPr>
        <w:jc w:val="left"/>
        <w:rPr>
          <w:rFonts w:ascii="Times New Roman" w:hAnsi="Times New Roman"/>
          <w:sz w:val="28"/>
          <w:szCs w:val="28"/>
        </w:rPr>
      </w:pPr>
    </w:p>
    <w:p w14:paraId="331A737B" w14:textId="77777777" w:rsidR="00E16104" w:rsidRDefault="00E16104" w:rsidP="00E16104">
      <w:pPr>
        <w:jc w:val="left"/>
        <w:rPr>
          <w:rFonts w:ascii="Times New Roman" w:hAnsi="Times New Roman"/>
          <w:sz w:val="28"/>
          <w:szCs w:val="28"/>
        </w:rPr>
      </w:pPr>
    </w:p>
    <w:p w14:paraId="18CCF527" w14:textId="77777777" w:rsidR="00E16104" w:rsidRDefault="00E16104" w:rsidP="00E16104">
      <w:pPr>
        <w:tabs>
          <w:tab w:val="left" w:pos="1770"/>
        </w:tabs>
        <w:jc w:val="center"/>
      </w:pPr>
      <w:r w:rsidRPr="00E77CBD">
        <w:rPr>
          <w:i/>
          <w:noProof/>
        </w:rPr>
        <w:lastRenderedPageBreak/>
        <w:drawing>
          <wp:anchor distT="0" distB="0" distL="114300" distR="114300" simplePos="0" relativeHeight="251660288" behindDoc="1" locked="0" layoutInCell="1" allowOverlap="1" wp14:anchorId="2BF77EBC" wp14:editId="50C5BBA7">
            <wp:simplePos x="0" y="0"/>
            <wp:positionH relativeFrom="column">
              <wp:posOffset>6350</wp:posOffset>
            </wp:positionH>
            <wp:positionV relativeFrom="paragraph">
              <wp:posOffset>3280410</wp:posOffset>
            </wp:positionV>
            <wp:extent cx="5731510" cy="3083560"/>
            <wp:effectExtent l="0" t="0" r="2540" b="2540"/>
            <wp:wrapTight wrapText="bothSides">
              <wp:wrapPolygon edited="0">
                <wp:start x="0" y="0"/>
                <wp:lineTo x="0" y="21484"/>
                <wp:lineTo x="21538" y="21484"/>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83560"/>
                    </a:xfrm>
                    <a:prstGeom prst="rect">
                      <a:avLst/>
                    </a:prstGeom>
                    <a:noFill/>
                  </pic:spPr>
                </pic:pic>
              </a:graphicData>
            </a:graphic>
            <wp14:sizeRelH relativeFrom="page">
              <wp14:pctWidth>0</wp14:pctWidth>
            </wp14:sizeRelH>
            <wp14:sizeRelV relativeFrom="page">
              <wp14:pctHeight>0</wp14:pctHeight>
            </wp14:sizeRelV>
          </wp:anchor>
        </w:drawing>
      </w:r>
      <w:r w:rsidRPr="00E77CBD">
        <w:rPr>
          <w:i/>
          <w:noProof/>
        </w:rPr>
        <w:drawing>
          <wp:anchor distT="0" distB="0" distL="114300" distR="114300" simplePos="0" relativeHeight="251659264" behindDoc="1" locked="0" layoutInCell="1" allowOverlap="1" wp14:anchorId="4CBCC8D7" wp14:editId="0171AB6A">
            <wp:simplePos x="0" y="0"/>
            <wp:positionH relativeFrom="column">
              <wp:posOffset>0</wp:posOffset>
            </wp:positionH>
            <wp:positionV relativeFrom="paragraph">
              <wp:posOffset>0</wp:posOffset>
            </wp:positionV>
            <wp:extent cx="5731510" cy="3278505"/>
            <wp:effectExtent l="0" t="0" r="2540" b="0"/>
            <wp:wrapTight wrapText="bothSides">
              <wp:wrapPolygon edited="0">
                <wp:start x="0" y="0"/>
                <wp:lineTo x="0" y="21462"/>
                <wp:lineTo x="21538" y="21462"/>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78505"/>
                    </a:xfrm>
                    <a:prstGeom prst="rect">
                      <a:avLst/>
                    </a:prstGeom>
                    <a:noFill/>
                  </pic:spPr>
                </pic:pic>
              </a:graphicData>
            </a:graphic>
            <wp14:sizeRelH relativeFrom="page">
              <wp14:pctWidth>0</wp14:pctWidth>
            </wp14:sizeRelH>
            <wp14:sizeRelV relativeFrom="page">
              <wp14:pctHeight>0</wp14:pctHeight>
            </wp14:sizeRelV>
          </wp:anchor>
        </w:drawing>
      </w:r>
      <w:r w:rsidRPr="00E77CBD">
        <w:rPr>
          <w:i/>
          <w:iCs/>
          <w:lang w:val="en-US"/>
        </w:rPr>
        <w:t>Fig.1</w:t>
      </w:r>
      <w:r>
        <w:rPr>
          <w:i/>
          <w:iCs/>
          <w:lang w:val="en-US"/>
        </w:rPr>
        <w:t xml:space="preserve"> </w:t>
      </w:r>
      <w:bookmarkStart w:id="7" w:name="_Hlk524452"/>
      <w:r>
        <w:rPr>
          <w:i/>
          <w:iCs/>
          <w:lang w:val="en-US"/>
        </w:rPr>
        <w:t>The Three Living and the Three Dead</w:t>
      </w:r>
    </w:p>
    <w:p w14:paraId="09E586E1" w14:textId="77777777" w:rsidR="00E16104" w:rsidRDefault="00E16104" w:rsidP="00E16104">
      <w:pPr>
        <w:jc w:val="center"/>
      </w:pPr>
      <w:r>
        <w:rPr>
          <w:lang w:val="en-US"/>
        </w:rPr>
        <w:t>The Taymouth Hours,</w:t>
      </w:r>
    </w:p>
    <w:p w14:paraId="45741192" w14:textId="77777777" w:rsidR="00E16104" w:rsidRDefault="00E16104" w:rsidP="00E16104">
      <w:pPr>
        <w:ind w:left="0" w:firstLine="0"/>
        <w:jc w:val="left"/>
        <w:rPr>
          <w:rFonts w:ascii="Times New Roman" w:hAnsi="Times New Roman"/>
          <w:sz w:val="28"/>
          <w:szCs w:val="28"/>
        </w:rPr>
      </w:pPr>
      <w:r>
        <w:rPr>
          <w:lang w:val="en-US"/>
        </w:rPr>
        <w:t xml:space="preserve">                     London, The British Library, Yates Thompson MS 13, fols 179v-180r</w:t>
      </w:r>
    </w:p>
    <w:bookmarkEnd w:id="7"/>
    <w:p w14:paraId="10D2F1D9" w14:textId="77777777" w:rsidR="00E16104" w:rsidRDefault="00E16104" w:rsidP="00E16104">
      <w:pPr>
        <w:jc w:val="left"/>
        <w:rPr>
          <w:rFonts w:ascii="Times New Roman" w:hAnsi="Times New Roman"/>
          <w:sz w:val="28"/>
          <w:szCs w:val="28"/>
        </w:rPr>
      </w:pPr>
    </w:p>
    <w:p w14:paraId="0794C337" w14:textId="77777777" w:rsidR="00E16104" w:rsidRDefault="00E16104" w:rsidP="00E16104">
      <w:pPr>
        <w:jc w:val="left"/>
        <w:rPr>
          <w:rFonts w:ascii="Times New Roman" w:hAnsi="Times New Roman"/>
          <w:sz w:val="28"/>
          <w:szCs w:val="28"/>
        </w:rPr>
      </w:pPr>
      <w:r>
        <w:rPr>
          <w:rFonts w:ascii="Times New Roman" w:hAnsi="Times New Roman"/>
          <w:sz w:val="28"/>
          <w:szCs w:val="28"/>
        </w:rPr>
        <w:t xml:space="preserve">The depiction of the </w:t>
      </w:r>
      <w:r w:rsidRPr="00A00D5B">
        <w:rPr>
          <w:rFonts w:ascii="Times New Roman" w:hAnsi="Times New Roman"/>
          <w:i/>
          <w:sz w:val="28"/>
          <w:szCs w:val="28"/>
        </w:rPr>
        <w:t xml:space="preserve">Three Living and the Three Dead </w:t>
      </w:r>
      <w:r>
        <w:rPr>
          <w:rFonts w:ascii="Times New Roman" w:hAnsi="Times New Roman"/>
          <w:sz w:val="28"/>
          <w:szCs w:val="28"/>
        </w:rPr>
        <w:t xml:space="preserve">in the </w:t>
      </w:r>
      <w:r w:rsidRPr="00A00D5B">
        <w:rPr>
          <w:rFonts w:ascii="Times New Roman" w:hAnsi="Times New Roman"/>
          <w:i/>
          <w:sz w:val="28"/>
          <w:szCs w:val="28"/>
        </w:rPr>
        <w:t>Taymouth Hours</w:t>
      </w:r>
      <w:r>
        <w:rPr>
          <w:rFonts w:ascii="Times New Roman" w:hAnsi="Times New Roman"/>
          <w:sz w:val="28"/>
          <w:szCs w:val="28"/>
        </w:rPr>
        <w:t xml:space="preserve"> is arranged in a diptych- like configuration with the image of the living and the image of the dead, on opposite folios. The three living are noblemen, which can be seen by their dress, who are out hunting: signified by the inclusion of the </w:t>
      </w:r>
      <w:r>
        <w:rPr>
          <w:rFonts w:ascii="Times New Roman" w:hAnsi="Times New Roman"/>
          <w:sz w:val="28"/>
          <w:szCs w:val="28"/>
        </w:rPr>
        <w:lastRenderedPageBreak/>
        <w:t xml:space="preserve">hawk. The three dead are depicted in various stages of decay and are positioned in a non-threatening manner, with two of them appearing to be waving. This non-threatening depiction of the three dead was common and is emphasised by the smiling faces of the figures. There are captions beneath the images which summarises the conversation between the Living and the Dead. Written in Middle English, it translates to: ‘I am aghast. / I think I see/ that yoder stands devils three. I was once fair./ Thus shall you be./ For God’s love be warned by me.’ The inclusion of the text, clarifies and emphasises the message that the image is depicting that we are all equal in dead and that it is important to live a good, pious life. As well as being a conversation between the Living and Dead, it also serves as a warning to the viewer/reader. The image has often been described as a mirror. Smith states, </w:t>
      </w:r>
    </w:p>
    <w:p w14:paraId="7111BCFD" w14:textId="77777777" w:rsidR="00E16104" w:rsidRDefault="00E16104" w:rsidP="00E16104">
      <w:pPr>
        <w:spacing w:line="240" w:lineRule="auto"/>
        <w:ind w:left="204"/>
        <w:jc w:val="left"/>
        <w:rPr>
          <w:rFonts w:ascii="Times New Roman" w:hAnsi="Times New Roman"/>
          <w:sz w:val="28"/>
          <w:szCs w:val="28"/>
        </w:rPr>
      </w:pPr>
      <w:r>
        <w:rPr>
          <w:rFonts w:ascii="Times New Roman" w:hAnsi="Times New Roman"/>
          <w:sz w:val="28"/>
          <w:szCs w:val="28"/>
        </w:rPr>
        <w:t>The bilateral composition enhances the mirror aspect of the image, because as Paul Binski, Susanna Greer Fein and others have noted, the three noblemen see their corrupting selves as if in a reflection, and the design transforms the dialogue- ostensibly a conversation between the self and Other- into a dialogue between two aspects of the self.</w:t>
      </w:r>
      <w:r>
        <w:rPr>
          <w:rStyle w:val="FootnoteReference"/>
          <w:rFonts w:ascii="Times New Roman" w:hAnsi="Times New Roman"/>
          <w:sz w:val="28"/>
          <w:szCs w:val="28"/>
        </w:rPr>
        <w:footnoteReference w:id="9"/>
      </w:r>
      <w:r>
        <w:rPr>
          <w:rFonts w:ascii="Times New Roman" w:hAnsi="Times New Roman"/>
          <w:sz w:val="28"/>
          <w:szCs w:val="28"/>
        </w:rPr>
        <w:t xml:space="preserve">  </w:t>
      </w:r>
    </w:p>
    <w:p w14:paraId="508C35F6" w14:textId="77777777" w:rsidR="00E16104" w:rsidRDefault="00E16104" w:rsidP="00E16104">
      <w:pPr>
        <w:spacing w:line="240" w:lineRule="auto"/>
        <w:ind w:left="204"/>
        <w:jc w:val="left"/>
        <w:rPr>
          <w:rFonts w:ascii="Times New Roman" w:hAnsi="Times New Roman"/>
          <w:sz w:val="28"/>
          <w:szCs w:val="28"/>
        </w:rPr>
      </w:pPr>
    </w:p>
    <w:p w14:paraId="2DFF088B" w14:textId="77777777" w:rsidR="00E16104" w:rsidRDefault="00E16104" w:rsidP="00E16104">
      <w:pPr>
        <w:ind w:left="0"/>
        <w:jc w:val="left"/>
        <w:rPr>
          <w:rFonts w:ascii="Times New Roman" w:hAnsi="Times New Roman"/>
          <w:sz w:val="28"/>
          <w:szCs w:val="28"/>
        </w:rPr>
      </w:pPr>
      <w:r>
        <w:rPr>
          <w:rFonts w:ascii="Times New Roman" w:hAnsi="Times New Roman"/>
          <w:sz w:val="28"/>
          <w:szCs w:val="28"/>
        </w:rPr>
        <w:t xml:space="preserve">This metaphor of the book as a mirror was popular in medieval imagery and this arrangement of the </w:t>
      </w:r>
      <w:r w:rsidRPr="00A00D5B">
        <w:rPr>
          <w:rFonts w:ascii="Times New Roman" w:hAnsi="Times New Roman"/>
          <w:i/>
          <w:sz w:val="28"/>
          <w:szCs w:val="28"/>
        </w:rPr>
        <w:t>Three Living and the Three Dead</w:t>
      </w:r>
      <w:r>
        <w:rPr>
          <w:rFonts w:ascii="Times New Roman" w:hAnsi="Times New Roman"/>
          <w:sz w:val="28"/>
          <w:szCs w:val="28"/>
        </w:rPr>
        <w:t xml:space="preserve"> on facing folios enhances this metaphor. Not only does it serve as a mirror for the Three Living, reflecting their potential fate, it also serves as a mirror for the viewer warning them of their own mortality. </w:t>
      </w:r>
    </w:p>
    <w:p w14:paraId="79164840" w14:textId="7236AF10" w:rsidR="00E16104" w:rsidRDefault="00E16104" w:rsidP="00E16104">
      <w:pPr>
        <w:jc w:val="left"/>
        <w:rPr>
          <w:rFonts w:ascii="Times New Roman" w:hAnsi="Times New Roman"/>
          <w:sz w:val="28"/>
          <w:szCs w:val="28"/>
        </w:rPr>
      </w:pPr>
    </w:p>
    <w:p w14:paraId="21533E57" w14:textId="77777777" w:rsidR="00E16104" w:rsidRDefault="00E16104" w:rsidP="00E16104">
      <w:pPr>
        <w:jc w:val="center"/>
        <w:rPr>
          <w:rFonts w:ascii="Times New Roman" w:hAnsi="Times New Roman"/>
          <w:sz w:val="28"/>
          <w:szCs w:val="28"/>
        </w:rPr>
      </w:pPr>
      <w:r>
        <w:rPr>
          <w:rFonts w:ascii="Times New Roman" w:hAnsi="Times New Roman"/>
          <w:sz w:val="28"/>
          <w:szCs w:val="28"/>
        </w:rPr>
        <w:t xml:space="preserve">Commentary on </w:t>
      </w:r>
      <w:bookmarkStart w:id="9" w:name="_Hlk555983"/>
      <w:r w:rsidRPr="00A235BE">
        <w:rPr>
          <w:rFonts w:ascii="Times New Roman" w:hAnsi="Times New Roman"/>
          <w:sz w:val="28"/>
          <w:szCs w:val="28"/>
        </w:rPr>
        <w:t xml:space="preserve">Chapter V of </w:t>
      </w:r>
      <w:r w:rsidRPr="00A235BE">
        <w:rPr>
          <w:rFonts w:ascii="Times New Roman" w:hAnsi="Times New Roman"/>
          <w:i/>
          <w:iCs/>
          <w:sz w:val="28"/>
          <w:szCs w:val="28"/>
        </w:rPr>
        <w:t>The Art and Craft to Know Well to Die</w:t>
      </w:r>
      <w:r w:rsidRPr="00A235BE">
        <w:rPr>
          <w:rFonts w:ascii="Times New Roman" w:hAnsi="Times New Roman"/>
          <w:sz w:val="28"/>
          <w:szCs w:val="28"/>
        </w:rPr>
        <w:t xml:space="preserve"> by William Caxton</w:t>
      </w:r>
      <w:r>
        <w:rPr>
          <w:rFonts w:ascii="Times New Roman" w:hAnsi="Times New Roman"/>
          <w:sz w:val="28"/>
          <w:szCs w:val="28"/>
        </w:rPr>
        <w:t>.</w:t>
      </w:r>
      <w:bookmarkEnd w:id="9"/>
    </w:p>
    <w:p w14:paraId="118B4F26" w14:textId="77777777" w:rsidR="00E16104" w:rsidRDefault="00E16104" w:rsidP="00E16104">
      <w:pPr>
        <w:jc w:val="left"/>
        <w:rPr>
          <w:rFonts w:ascii="Times New Roman" w:hAnsi="Times New Roman"/>
          <w:iCs/>
          <w:sz w:val="28"/>
          <w:szCs w:val="28"/>
        </w:rPr>
      </w:pPr>
      <w:r w:rsidRPr="00A235BE">
        <w:rPr>
          <w:rFonts w:ascii="Times New Roman" w:hAnsi="Times New Roman"/>
          <w:i/>
          <w:sz w:val="28"/>
          <w:szCs w:val="28"/>
        </w:rPr>
        <w:t>Ars Moriendi</w:t>
      </w:r>
      <w:r>
        <w:rPr>
          <w:rFonts w:ascii="Times New Roman" w:hAnsi="Times New Roman"/>
          <w:i/>
          <w:sz w:val="28"/>
          <w:szCs w:val="28"/>
        </w:rPr>
        <w:t xml:space="preserve"> </w:t>
      </w:r>
      <w:r>
        <w:rPr>
          <w:rFonts w:ascii="Times New Roman" w:hAnsi="Times New Roman"/>
          <w:sz w:val="28"/>
          <w:szCs w:val="28"/>
        </w:rPr>
        <w:t xml:space="preserve">(or </w:t>
      </w:r>
      <w:r w:rsidRPr="00A235BE">
        <w:rPr>
          <w:rFonts w:ascii="Times New Roman" w:hAnsi="Times New Roman"/>
          <w:i/>
          <w:sz w:val="28"/>
          <w:szCs w:val="28"/>
        </w:rPr>
        <w:t>the Art of Dying</w:t>
      </w:r>
      <w:r>
        <w:rPr>
          <w:rFonts w:ascii="Times New Roman" w:hAnsi="Times New Roman"/>
          <w:sz w:val="28"/>
          <w:szCs w:val="28"/>
        </w:rPr>
        <w:t>) was a popular 15</w:t>
      </w:r>
      <w:r w:rsidRPr="00A235BE">
        <w:rPr>
          <w:rFonts w:ascii="Times New Roman" w:hAnsi="Times New Roman"/>
          <w:sz w:val="28"/>
          <w:szCs w:val="28"/>
          <w:vertAlign w:val="superscript"/>
        </w:rPr>
        <w:t>th</w:t>
      </w:r>
      <w:r>
        <w:rPr>
          <w:rFonts w:ascii="Times New Roman" w:hAnsi="Times New Roman"/>
          <w:sz w:val="28"/>
          <w:szCs w:val="28"/>
        </w:rPr>
        <w:t xml:space="preserve"> century work which was produced to provide comfort and instruction to the dying person and their family. There are two versions of the Latin texts. The first is a long version </w:t>
      </w:r>
      <w:r>
        <w:rPr>
          <w:rFonts w:ascii="Times New Roman" w:hAnsi="Times New Roman"/>
          <w:sz w:val="28"/>
          <w:szCs w:val="28"/>
        </w:rPr>
        <w:lastRenderedPageBreak/>
        <w:t xml:space="preserve">dating from 1415 written by an anonymous Dominican friar in which death is shown as a public ceremony with two of the six chapters containing instructions and prayers for the family undertake. The second, shorter version dates from around 1450 and dramatizes moral conflict paying close attention to five temptations to avoid when dying. </w:t>
      </w:r>
      <w:r w:rsidRPr="008D0869">
        <w:rPr>
          <w:rFonts w:ascii="Times New Roman" w:hAnsi="Times New Roman"/>
          <w:sz w:val="28"/>
          <w:szCs w:val="28"/>
        </w:rPr>
        <w:t>England’s first printer, William Caxton</w:t>
      </w:r>
      <w:r>
        <w:rPr>
          <w:rFonts w:ascii="Times New Roman" w:hAnsi="Times New Roman"/>
          <w:sz w:val="28"/>
          <w:szCs w:val="28"/>
        </w:rPr>
        <w:t>, translated a</w:t>
      </w:r>
      <w:r w:rsidRPr="008D0869">
        <w:rPr>
          <w:rFonts w:ascii="Times New Roman" w:hAnsi="Times New Roman"/>
          <w:sz w:val="28"/>
          <w:szCs w:val="28"/>
        </w:rPr>
        <w:t xml:space="preserve"> French </w:t>
      </w:r>
      <w:r>
        <w:rPr>
          <w:rFonts w:ascii="Times New Roman" w:hAnsi="Times New Roman"/>
          <w:sz w:val="28"/>
          <w:szCs w:val="28"/>
        </w:rPr>
        <w:t>version</w:t>
      </w:r>
      <w:r w:rsidRPr="008D0869">
        <w:rPr>
          <w:rFonts w:ascii="Times New Roman" w:hAnsi="Times New Roman"/>
          <w:sz w:val="28"/>
          <w:szCs w:val="28"/>
        </w:rPr>
        <w:t xml:space="preserve"> of the </w:t>
      </w:r>
      <w:r w:rsidRPr="008D0869">
        <w:rPr>
          <w:rFonts w:ascii="Times New Roman" w:hAnsi="Times New Roman"/>
          <w:i/>
          <w:iCs/>
          <w:sz w:val="28"/>
          <w:szCs w:val="28"/>
        </w:rPr>
        <w:t>Ars moriendi</w:t>
      </w:r>
      <w:r w:rsidRPr="008D0869">
        <w:rPr>
          <w:rFonts w:ascii="Times New Roman" w:hAnsi="Times New Roman"/>
          <w:sz w:val="28"/>
          <w:szCs w:val="28"/>
        </w:rPr>
        <w:t xml:space="preserve">, which he completed on 15 June 1490 under the title </w:t>
      </w:r>
      <w:r w:rsidRPr="008D0869">
        <w:rPr>
          <w:rFonts w:ascii="Times New Roman" w:hAnsi="Times New Roman"/>
          <w:i/>
          <w:iCs/>
          <w:sz w:val="28"/>
          <w:szCs w:val="28"/>
        </w:rPr>
        <w:t>The Art and craft to know well to die</w:t>
      </w:r>
      <w:r>
        <w:rPr>
          <w:rFonts w:ascii="Times New Roman" w:hAnsi="Times New Roman"/>
          <w:i/>
          <w:iCs/>
          <w:sz w:val="28"/>
          <w:szCs w:val="28"/>
        </w:rPr>
        <w:t xml:space="preserve">. </w:t>
      </w:r>
      <w:r>
        <w:rPr>
          <w:rFonts w:ascii="Times New Roman" w:hAnsi="Times New Roman"/>
          <w:iCs/>
          <w:sz w:val="28"/>
          <w:szCs w:val="28"/>
        </w:rPr>
        <w:t>This commentary focuses on Chapter V of Caxton’s text which gives instructions to those attending the dying man on his deathbed.</w:t>
      </w:r>
    </w:p>
    <w:p w14:paraId="2868197B" w14:textId="77777777" w:rsidR="00E16104" w:rsidRDefault="00E16104" w:rsidP="00E16104">
      <w:pPr>
        <w:jc w:val="left"/>
        <w:rPr>
          <w:rFonts w:ascii="Times New Roman" w:hAnsi="Times New Roman"/>
          <w:iCs/>
          <w:sz w:val="28"/>
          <w:szCs w:val="28"/>
        </w:rPr>
      </w:pPr>
      <w:r>
        <w:rPr>
          <w:rFonts w:ascii="Times New Roman" w:hAnsi="Times New Roman"/>
          <w:iCs/>
          <w:sz w:val="28"/>
          <w:szCs w:val="28"/>
        </w:rPr>
        <w:t>Caxton begins the chapter by reminding the reader of the importance of confession and explains how those present at the end of the person’s life can assist in ensuring that this is undertaken. Caxton states, ‘</w:t>
      </w:r>
      <w:r w:rsidRPr="00F113B5">
        <w:rPr>
          <w:rFonts w:ascii="Times New Roman" w:hAnsi="Times New Roman"/>
          <w:iCs/>
          <w:sz w:val="28"/>
          <w:szCs w:val="28"/>
        </w:rPr>
        <w:t>men ought to remember him of God’s commandments, to the end that he think the more profoundly if he could find anything in himself that he hath against the said commandments commised and trespassed</w:t>
      </w:r>
      <w:r>
        <w:rPr>
          <w:rFonts w:ascii="Times New Roman" w:hAnsi="Times New Roman"/>
          <w:iCs/>
          <w:sz w:val="28"/>
          <w:szCs w:val="28"/>
        </w:rPr>
        <w:t>.’</w:t>
      </w:r>
      <w:r>
        <w:rPr>
          <w:rStyle w:val="FootnoteReference"/>
          <w:rFonts w:ascii="Times New Roman" w:hAnsi="Times New Roman"/>
          <w:iCs/>
          <w:sz w:val="28"/>
          <w:szCs w:val="28"/>
        </w:rPr>
        <w:footnoteReference w:id="10"/>
      </w:r>
      <w:r>
        <w:rPr>
          <w:rFonts w:ascii="Times New Roman" w:hAnsi="Times New Roman"/>
          <w:iCs/>
          <w:sz w:val="28"/>
          <w:szCs w:val="28"/>
        </w:rPr>
        <w:t xml:space="preserve"> It was important for confession to include all the details of any actions or thoughts that were deemed sinful, to give the dying person the best chance of avoiding or spending less time in purgatory. Therefore, the family remining the dying person of God’s commandments allows for an improved chance that no sins are forgotten and go unconfessed. </w:t>
      </w:r>
    </w:p>
    <w:p w14:paraId="3CA651C2" w14:textId="77777777" w:rsidR="00E16104" w:rsidRDefault="00E16104" w:rsidP="00E16104">
      <w:pPr>
        <w:jc w:val="left"/>
        <w:rPr>
          <w:rFonts w:ascii="Times New Roman" w:hAnsi="Times New Roman"/>
          <w:iCs/>
          <w:sz w:val="28"/>
          <w:szCs w:val="28"/>
        </w:rPr>
      </w:pPr>
      <w:r>
        <w:rPr>
          <w:rFonts w:ascii="Times New Roman" w:hAnsi="Times New Roman"/>
          <w:iCs/>
          <w:sz w:val="28"/>
          <w:szCs w:val="28"/>
        </w:rPr>
        <w:t>The first three paragraphs emphasise the widely held belief of the dangers of dying unprepared and provides instructions on how the dying man can still prepare even if they lose the power of speech. Caxton writes,</w:t>
      </w:r>
    </w:p>
    <w:p w14:paraId="539B63A8" w14:textId="77777777" w:rsidR="00E16104" w:rsidRDefault="00E16104" w:rsidP="00E16104">
      <w:pPr>
        <w:spacing w:line="240" w:lineRule="auto"/>
        <w:ind w:left="720"/>
        <w:jc w:val="left"/>
        <w:rPr>
          <w:rFonts w:ascii="Times New Roman" w:hAnsi="Times New Roman"/>
          <w:iCs/>
          <w:sz w:val="28"/>
          <w:szCs w:val="28"/>
        </w:rPr>
      </w:pPr>
      <w:r w:rsidRPr="000A0E56">
        <w:rPr>
          <w:rFonts w:ascii="Times New Roman" w:hAnsi="Times New Roman"/>
          <w:iCs/>
          <w:sz w:val="28"/>
          <w:szCs w:val="28"/>
        </w:rPr>
        <w:t xml:space="preserve">Always ought [it] to be taken heed that the interrogations be made before or that the sick man lose the usage of speech; and if the answers of the sick person appear not sound nor </w:t>
      </w:r>
      <w:proofErr w:type="gramStart"/>
      <w:r w:rsidRPr="000A0E56">
        <w:rPr>
          <w:rFonts w:ascii="Times New Roman" w:hAnsi="Times New Roman"/>
          <w:iCs/>
          <w:sz w:val="28"/>
          <w:szCs w:val="28"/>
        </w:rPr>
        <w:t>sufficient</w:t>
      </w:r>
      <w:proofErr w:type="gramEnd"/>
      <w:r w:rsidRPr="000A0E56">
        <w:rPr>
          <w:rFonts w:ascii="Times New Roman" w:hAnsi="Times New Roman"/>
          <w:iCs/>
          <w:sz w:val="28"/>
          <w:szCs w:val="28"/>
        </w:rPr>
        <w:t xml:space="preserve"> to his salvation, let there be put thereto remedy—by necessary information—by the best manner that may be.</w:t>
      </w:r>
      <w:r>
        <w:rPr>
          <w:rStyle w:val="FootnoteReference"/>
          <w:rFonts w:ascii="Times New Roman" w:hAnsi="Times New Roman"/>
          <w:iCs/>
          <w:sz w:val="28"/>
          <w:szCs w:val="28"/>
        </w:rPr>
        <w:footnoteReference w:id="11"/>
      </w:r>
    </w:p>
    <w:p w14:paraId="0B4AF841" w14:textId="5829A201" w:rsidR="00E16104" w:rsidRDefault="00E16104" w:rsidP="00E16104">
      <w:pPr>
        <w:ind w:left="0"/>
        <w:jc w:val="left"/>
        <w:rPr>
          <w:rFonts w:ascii="Times New Roman" w:hAnsi="Times New Roman"/>
          <w:iCs/>
          <w:sz w:val="28"/>
          <w:szCs w:val="28"/>
        </w:rPr>
      </w:pPr>
      <w:r>
        <w:rPr>
          <w:rFonts w:ascii="Times New Roman" w:hAnsi="Times New Roman"/>
          <w:iCs/>
          <w:sz w:val="28"/>
          <w:szCs w:val="28"/>
        </w:rPr>
        <w:lastRenderedPageBreak/>
        <w:t xml:space="preserve">This highlights the fear that dying unprepared instilled in the people of the Middle Ages and the importance of doing all that was possible to ensure the dying </w:t>
      </w:r>
      <w:r w:rsidR="00DF25A0">
        <w:rPr>
          <w:rFonts w:ascii="Times New Roman" w:hAnsi="Times New Roman"/>
          <w:iCs/>
          <w:sz w:val="28"/>
          <w:szCs w:val="28"/>
        </w:rPr>
        <w:t>man’s</w:t>
      </w:r>
      <w:r>
        <w:rPr>
          <w:rFonts w:ascii="Times New Roman" w:hAnsi="Times New Roman"/>
          <w:iCs/>
          <w:sz w:val="28"/>
          <w:szCs w:val="28"/>
        </w:rPr>
        <w:t xml:space="preserve"> salvation. </w:t>
      </w:r>
    </w:p>
    <w:p w14:paraId="56228F62" w14:textId="77777777" w:rsidR="00E16104" w:rsidRDefault="00E16104" w:rsidP="00E16104">
      <w:pPr>
        <w:ind w:left="0"/>
        <w:jc w:val="left"/>
        <w:rPr>
          <w:rFonts w:ascii="Times New Roman" w:hAnsi="Times New Roman"/>
          <w:iCs/>
          <w:sz w:val="28"/>
          <w:szCs w:val="28"/>
        </w:rPr>
      </w:pPr>
      <w:r>
        <w:rPr>
          <w:rFonts w:ascii="Times New Roman" w:hAnsi="Times New Roman"/>
          <w:iCs/>
          <w:sz w:val="28"/>
          <w:szCs w:val="28"/>
        </w:rPr>
        <w:t>Caxton writes,</w:t>
      </w:r>
    </w:p>
    <w:p w14:paraId="06E37E2B" w14:textId="77777777" w:rsidR="00E16104" w:rsidRDefault="00E16104" w:rsidP="00E16104">
      <w:pPr>
        <w:spacing w:line="240" w:lineRule="auto"/>
        <w:ind w:left="720"/>
        <w:jc w:val="left"/>
        <w:rPr>
          <w:rFonts w:ascii="Times New Roman" w:hAnsi="Times New Roman"/>
          <w:iCs/>
          <w:sz w:val="28"/>
          <w:szCs w:val="28"/>
        </w:rPr>
      </w:pPr>
      <w:r w:rsidRPr="005A632A">
        <w:rPr>
          <w:rFonts w:ascii="Times New Roman" w:hAnsi="Times New Roman"/>
          <w:iCs/>
          <w:sz w:val="28"/>
          <w:szCs w:val="28"/>
        </w:rPr>
        <w:t xml:space="preserve">Item [there] ought to be presented to the sick person the image of the crucifix, which always should be among the sick people, </w:t>
      </w:r>
      <w:proofErr w:type="gramStart"/>
      <w:r w:rsidRPr="005A632A">
        <w:rPr>
          <w:rFonts w:ascii="Times New Roman" w:hAnsi="Times New Roman"/>
          <w:iCs/>
          <w:sz w:val="28"/>
          <w:szCs w:val="28"/>
        </w:rPr>
        <w:t>and also</w:t>
      </w:r>
      <w:proofErr w:type="gramEnd"/>
      <w:r w:rsidRPr="005A632A">
        <w:rPr>
          <w:rFonts w:ascii="Times New Roman" w:hAnsi="Times New Roman"/>
          <w:iCs/>
          <w:sz w:val="28"/>
          <w:szCs w:val="28"/>
        </w:rPr>
        <w:t xml:space="preserve"> the image of our Blessed Lady, and of other saints which the sick man hath most loved and honoured in his life. Also (there) ought to be about them holy water, and oft cast upon them and about them to the end that the devils be put a-back from them.</w:t>
      </w:r>
      <w:r>
        <w:rPr>
          <w:rStyle w:val="FootnoteReference"/>
          <w:rFonts w:ascii="Times New Roman" w:hAnsi="Times New Roman"/>
          <w:iCs/>
          <w:sz w:val="28"/>
          <w:szCs w:val="28"/>
        </w:rPr>
        <w:footnoteReference w:id="12"/>
      </w:r>
    </w:p>
    <w:p w14:paraId="606BE9BF" w14:textId="77777777" w:rsidR="00E16104" w:rsidRDefault="00E16104" w:rsidP="00E16104">
      <w:pPr>
        <w:ind w:left="0"/>
        <w:jc w:val="left"/>
        <w:rPr>
          <w:rFonts w:ascii="Times New Roman" w:hAnsi="Times New Roman"/>
          <w:iCs/>
          <w:sz w:val="28"/>
          <w:szCs w:val="28"/>
        </w:rPr>
      </w:pPr>
      <w:r>
        <w:rPr>
          <w:rFonts w:ascii="Times New Roman" w:hAnsi="Times New Roman"/>
          <w:iCs/>
          <w:sz w:val="28"/>
          <w:szCs w:val="28"/>
        </w:rPr>
        <w:t>These steps were needed to help the dying man avoid the five temptations: impatience, Complacence, Avarice, Heresy and desperation. It was considered a role of the family to talk the dying person through the five temptations that may be faced on one’s deathbed, as well as the five inspirations used to help combat these. The use of the crucifix, images of saints and the virgin Mary, as well as holy water provides extra strength and resolve for the dying man to fight these temptations.</w:t>
      </w:r>
    </w:p>
    <w:p w14:paraId="36E6F532" w14:textId="2DE8CAE8" w:rsidR="00E16104" w:rsidRDefault="00E16104" w:rsidP="00E16104">
      <w:pPr>
        <w:jc w:val="left"/>
        <w:rPr>
          <w:rFonts w:ascii="Times New Roman" w:hAnsi="Times New Roman"/>
          <w:sz w:val="28"/>
          <w:szCs w:val="28"/>
        </w:rPr>
      </w:pPr>
    </w:p>
    <w:p w14:paraId="56BD04EA" w14:textId="2D6DE8FC" w:rsidR="00E16104" w:rsidRDefault="00E16104" w:rsidP="00E16104">
      <w:pPr>
        <w:jc w:val="center"/>
        <w:rPr>
          <w:rFonts w:ascii="Times New Roman" w:hAnsi="Times New Roman"/>
          <w:sz w:val="28"/>
          <w:szCs w:val="28"/>
        </w:rPr>
      </w:pPr>
      <w:r>
        <w:rPr>
          <w:rFonts w:ascii="Times New Roman" w:hAnsi="Times New Roman"/>
          <w:sz w:val="28"/>
          <w:szCs w:val="28"/>
        </w:rPr>
        <w:t>Bibliography</w:t>
      </w:r>
    </w:p>
    <w:p w14:paraId="17A5837B" w14:textId="5192FC24" w:rsidR="00DF25A0" w:rsidRDefault="00DF25A0" w:rsidP="00DF25A0">
      <w:pPr>
        <w:jc w:val="left"/>
        <w:rPr>
          <w:rFonts w:ascii="Times New Roman" w:hAnsi="Times New Roman"/>
          <w:i/>
          <w:sz w:val="28"/>
          <w:szCs w:val="28"/>
        </w:rPr>
      </w:pPr>
      <w:r>
        <w:rPr>
          <w:rFonts w:ascii="Times New Roman" w:hAnsi="Times New Roman"/>
          <w:sz w:val="28"/>
          <w:szCs w:val="28"/>
        </w:rPr>
        <w:t>Primary sources</w:t>
      </w:r>
    </w:p>
    <w:p w14:paraId="2D203F5F" w14:textId="33E50097" w:rsidR="00DF25A0" w:rsidRDefault="00DF25A0" w:rsidP="00DF25A0">
      <w:pPr>
        <w:jc w:val="left"/>
        <w:rPr>
          <w:rFonts w:ascii="Times New Roman" w:hAnsi="Times New Roman"/>
          <w:sz w:val="28"/>
          <w:szCs w:val="28"/>
        </w:rPr>
      </w:pPr>
      <w:r w:rsidRPr="00557753">
        <w:rPr>
          <w:rFonts w:ascii="Times New Roman" w:hAnsi="Times New Roman"/>
          <w:i/>
          <w:sz w:val="28"/>
          <w:szCs w:val="28"/>
        </w:rPr>
        <w:t xml:space="preserve">A Disputacion Betwyx the Body and Wormes </w:t>
      </w:r>
      <w:r w:rsidRPr="00557753">
        <w:rPr>
          <w:rFonts w:ascii="Times New Roman" w:hAnsi="Times New Roman"/>
          <w:sz w:val="28"/>
          <w:szCs w:val="28"/>
        </w:rPr>
        <w:t>found in module reader.</w:t>
      </w:r>
    </w:p>
    <w:p w14:paraId="083C2FA3" w14:textId="0EDFCAFF" w:rsidR="00DF25A0" w:rsidRDefault="00DF25A0" w:rsidP="00DF25A0">
      <w:pPr>
        <w:ind w:left="0" w:firstLine="0"/>
        <w:jc w:val="left"/>
        <w:rPr>
          <w:rFonts w:ascii="Times New Roman" w:hAnsi="Times New Roman"/>
          <w:iCs/>
          <w:sz w:val="28"/>
          <w:szCs w:val="28"/>
        </w:rPr>
      </w:pPr>
      <w:r w:rsidRPr="00182EF0">
        <w:rPr>
          <w:rFonts w:ascii="Times New Roman" w:hAnsi="Times New Roman"/>
          <w:iCs/>
          <w:sz w:val="28"/>
          <w:szCs w:val="28"/>
        </w:rPr>
        <w:t xml:space="preserve">Chapter V of </w:t>
      </w:r>
      <w:r w:rsidRPr="00182EF0">
        <w:rPr>
          <w:rFonts w:ascii="Times New Roman" w:hAnsi="Times New Roman"/>
          <w:i/>
          <w:iCs/>
          <w:sz w:val="28"/>
          <w:szCs w:val="28"/>
        </w:rPr>
        <w:t>The Art and Craft to Know Well to Die</w:t>
      </w:r>
      <w:r w:rsidRPr="00182EF0">
        <w:rPr>
          <w:rFonts w:ascii="Times New Roman" w:hAnsi="Times New Roman"/>
          <w:iCs/>
          <w:sz w:val="28"/>
          <w:szCs w:val="28"/>
        </w:rPr>
        <w:t xml:space="preserve"> by William Caxton found in module reader</w:t>
      </w:r>
      <w:r>
        <w:rPr>
          <w:rFonts w:ascii="Times New Roman" w:hAnsi="Times New Roman"/>
          <w:iCs/>
          <w:sz w:val="28"/>
          <w:szCs w:val="28"/>
        </w:rPr>
        <w:t>.</w:t>
      </w:r>
    </w:p>
    <w:p w14:paraId="3A7B4AEA" w14:textId="6126FFD4" w:rsidR="00DF25A0" w:rsidRDefault="00DF25A0" w:rsidP="00DF25A0">
      <w:pPr>
        <w:ind w:left="0"/>
        <w:jc w:val="left"/>
        <w:rPr>
          <w:rFonts w:ascii="Times New Roman" w:hAnsi="Times New Roman"/>
          <w:iCs/>
          <w:sz w:val="28"/>
          <w:szCs w:val="28"/>
        </w:rPr>
      </w:pPr>
      <w:r>
        <w:rPr>
          <w:rFonts w:ascii="Times New Roman" w:hAnsi="Times New Roman"/>
          <w:iCs/>
          <w:sz w:val="28"/>
          <w:szCs w:val="28"/>
        </w:rPr>
        <w:t>Secondary sources</w:t>
      </w:r>
    </w:p>
    <w:p w14:paraId="6F0F337F" w14:textId="30314740" w:rsidR="00DF25A0" w:rsidRPr="00DF25A0" w:rsidRDefault="00DF25A0" w:rsidP="00DF25A0">
      <w:pPr>
        <w:ind w:left="0"/>
        <w:jc w:val="left"/>
        <w:rPr>
          <w:rFonts w:ascii="Times New Roman" w:hAnsi="Times New Roman"/>
          <w:iCs/>
          <w:sz w:val="28"/>
          <w:szCs w:val="28"/>
        </w:rPr>
      </w:pPr>
      <w:r>
        <w:rPr>
          <w:rFonts w:ascii="Times New Roman" w:hAnsi="Times New Roman"/>
          <w:iCs/>
          <w:sz w:val="28"/>
          <w:szCs w:val="28"/>
        </w:rPr>
        <w:t xml:space="preserve"> </w:t>
      </w:r>
      <w:r w:rsidRPr="009841B1">
        <w:rPr>
          <w:rFonts w:ascii="Times New Roman" w:hAnsi="Times New Roman"/>
          <w:sz w:val="28"/>
          <w:szCs w:val="28"/>
        </w:rPr>
        <w:t>Huizinga,</w:t>
      </w:r>
      <w:r>
        <w:rPr>
          <w:rFonts w:ascii="Times New Roman" w:hAnsi="Times New Roman"/>
          <w:sz w:val="28"/>
          <w:szCs w:val="28"/>
        </w:rPr>
        <w:t xml:space="preserve"> J.</w:t>
      </w:r>
      <w:r w:rsidRPr="009841B1">
        <w:rPr>
          <w:rFonts w:ascii="Times New Roman" w:hAnsi="Times New Roman"/>
          <w:sz w:val="28"/>
          <w:szCs w:val="28"/>
        </w:rPr>
        <w:t xml:space="preserve"> </w:t>
      </w:r>
      <w:r w:rsidRPr="009841B1">
        <w:rPr>
          <w:rFonts w:ascii="Times New Roman" w:hAnsi="Times New Roman"/>
          <w:i/>
          <w:sz w:val="28"/>
          <w:szCs w:val="28"/>
        </w:rPr>
        <w:t>The Waning of the Middle Ages</w:t>
      </w:r>
      <w:r w:rsidRPr="009841B1">
        <w:rPr>
          <w:rFonts w:ascii="Times New Roman" w:hAnsi="Times New Roman"/>
          <w:sz w:val="28"/>
          <w:szCs w:val="28"/>
        </w:rPr>
        <w:t>, found in module reader</w:t>
      </w:r>
      <w:r>
        <w:rPr>
          <w:rFonts w:ascii="Times New Roman" w:hAnsi="Times New Roman"/>
          <w:sz w:val="28"/>
          <w:szCs w:val="28"/>
        </w:rPr>
        <w:t>.</w:t>
      </w:r>
    </w:p>
    <w:p w14:paraId="7BD291E7" w14:textId="77777777" w:rsidR="00DF25A0" w:rsidRDefault="00DF25A0" w:rsidP="00DF25A0">
      <w:pPr>
        <w:ind w:left="0" w:firstLine="0"/>
        <w:jc w:val="left"/>
        <w:rPr>
          <w:rFonts w:ascii="Times New Roman" w:hAnsi="Times New Roman"/>
          <w:sz w:val="28"/>
          <w:szCs w:val="28"/>
          <w:lang w:val="en-US"/>
        </w:rPr>
      </w:pPr>
      <w:r>
        <w:rPr>
          <w:rFonts w:ascii="Times New Roman" w:hAnsi="Times New Roman"/>
          <w:sz w:val="28"/>
          <w:szCs w:val="28"/>
        </w:rPr>
        <w:t xml:space="preserve">Smith, </w:t>
      </w:r>
      <w:r w:rsidRPr="003F3FA7">
        <w:rPr>
          <w:rFonts w:ascii="Times New Roman" w:hAnsi="Times New Roman"/>
          <w:sz w:val="28"/>
          <w:szCs w:val="28"/>
        </w:rPr>
        <w:t xml:space="preserve">Kathryn A. </w:t>
      </w:r>
      <w:r w:rsidRPr="00A00D5B">
        <w:rPr>
          <w:rFonts w:ascii="Times New Roman" w:hAnsi="Times New Roman"/>
          <w:i/>
          <w:sz w:val="28"/>
          <w:szCs w:val="28"/>
        </w:rPr>
        <w:t xml:space="preserve">The Taymouth Hours </w:t>
      </w:r>
      <w:r w:rsidRPr="003F3FA7">
        <w:rPr>
          <w:rFonts w:ascii="Times New Roman" w:hAnsi="Times New Roman"/>
          <w:sz w:val="28"/>
          <w:szCs w:val="28"/>
        </w:rPr>
        <w:t>(London: The British Library, 2012)</w:t>
      </w:r>
    </w:p>
    <w:p w14:paraId="327D97BF" w14:textId="6BF0A5A6" w:rsidR="00DF25A0" w:rsidRDefault="00DF25A0" w:rsidP="00DF25A0">
      <w:pPr>
        <w:ind w:left="0" w:firstLine="0"/>
        <w:jc w:val="left"/>
        <w:rPr>
          <w:rFonts w:ascii="Times New Roman" w:hAnsi="Times New Roman"/>
          <w:sz w:val="28"/>
          <w:szCs w:val="28"/>
        </w:rPr>
      </w:pPr>
      <w:r>
        <w:rPr>
          <w:rFonts w:ascii="Times New Roman" w:hAnsi="Times New Roman"/>
          <w:sz w:val="28"/>
          <w:szCs w:val="28"/>
        </w:rPr>
        <w:t>Image</w:t>
      </w:r>
      <w:r>
        <w:rPr>
          <w:rFonts w:ascii="Times New Roman" w:hAnsi="Times New Roman"/>
          <w:sz w:val="28"/>
          <w:szCs w:val="28"/>
        </w:rPr>
        <w:t>s</w:t>
      </w:r>
    </w:p>
    <w:p w14:paraId="173340D2" w14:textId="68CF05DD" w:rsidR="00DF25A0" w:rsidRDefault="00DF25A0" w:rsidP="00DF25A0">
      <w:pPr>
        <w:jc w:val="left"/>
        <w:rPr>
          <w:rStyle w:val="Hyperlink"/>
          <w:rFonts w:ascii="Times New Roman" w:hAnsi="Times New Roman"/>
          <w:sz w:val="28"/>
          <w:szCs w:val="28"/>
        </w:rPr>
      </w:pPr>
      <w:hyperlink r:id="rId9" w:history="1">
        <w:r w:rsidRPr="00671AAD">
          <w:rPr>
            <w:rStyle w:val="Hyperlink"/>
            <w:rFonts w:ascii="Times New Roman" w:hAnsi="Times New Roman"/>
            <w:sz w:val="28"/>
            <w:szCs w:val="28"/>
          </w:rPr>
          <w:t>https://www.pinterest.co.uk/pin/7810999330097900/?lp=true</w:t>
        </w:r>
      </w:hyperlink>
    </w:p>
    <w:p w14:paraId="6920D81C" w14:textId="77777777" w:rsidR="00DF25A0" w:rsidRDefault="00DF25A0" w:rsidP="00DF25A0">
      <w:pPr>
        <w:jc w:val="left"/>
        <w:rPr>
          <w:rFonts w:ascii="Times New Roman" w:hAnsi="Times New Roman"/>
          <w:sz w:val="28"/>
          <w:szCs w:val="28"/>
        </w:rPr>
      </w:pPr>
    </w:p>
    <w:p w14:paraId="2C0F886F" w14:textId="77777777" w:rsidR="00DF25A0" w:rsidRPr="003F3FA7" w:rsidRDefault="00DF25A0" w:rsidP="00DF25A0">
      <w:pPr>
        <w:ind w:left="0"/>
        <w:jc w:val="left"/>
        <w:rPr>
          <w:rFonts w:ascii="Times New Roman" w:hAnsi="Times New Roman"/>
          <w:sz w:val="28"/>
          <w:szCs w:val="28"/>
        </w:rPr>
      </w:pPr>
      <w:r w:rsidRPr="003F3FA7">
        <w:rPr>
          <w:rFonts w:ascii="Times New Roman" w:hAnsi="Times New Roman"/>
          <w:i/>
          <w:iCs/>
          <w:sz w:val="28"/>
          <w:szCs w:val="28"/>
          <w:lang w:val="en-US"/>
        </w:rPr>
        <w:lastRenderedPageBreak/>
        <w:t>The Three Living and the Three Dead</w:t>
      </w:r>
      <w:r>
        <w:rPr>
          <w:rFonts w:ascii="Times New Roman" w:hAnsi="Times New Roman"/>
          <w:sz w:val="28"/>
          <w:szCs w:val="28"/>
        </w:rPr>
        <w:t xml:space="preserve">, </w:t>
      </w:r>
      <w:r w:rsidRPr="003F3FA7">
        <w:rPr>
          <w:rFonts w:ascii="Times New Roman" w:hAnsi="Times New Roman"/>
          <w:sz w:val="28"/>
          <w:szCs w:val="28"/>
          <w:lang w:val="en-US"/>
        </w:rPr>
        <w:t>The Taymouth Hours,</w:t>
      </w:r>
    </w:p>
    <w:p w14:paraId="6AF1D121" w14:textId="77777777" w:rsidR="00DF25A0" w:rsidRDefault="00DF25A0" w:rsidP="00DF25A0">
      <w:pPr>
        <w:ind w:left="0"/>
        <w:jc w:val="left"/>
        <w:rPr>
          <w:rFonts w:ascii="Times New Roman" w:hAnsi="Times New Roman"/>
          <w:sz w:val="28"/>
          <w:szCs w:val="28"/>
          <w:lang w:val="en-US"/>
        </w:rPr>
      </w:pPr>
      <w:r w:rsidRPr="003F3FA7">
        <w:rPr>
          <w:rFonts w:ascii="Times New Roman" w:hAnsi="Times New Roman"/>
          <w:sz w:val="28"/>
          <w:szCs w:val="28"/>
          <w:lang w:val="en-US"/>
        </w:rPr>
        <w:t>London, The British Library, Yates Thompson MS 13, fols 179v-180r</w:t>
      </w:r>
    </w:p>
    <w:p w14:paraId="59F0D1C7" w14:textId="77777777" w:rsidR="00DF25A0" w:rsidRDefault="00DF25A0" w:rsidP="00DF25A0">
      <w:pPr>
        <w:ind w:left="0"/>
        <w:jc w:val="left"/>
        <w:rPr>
          <w:rFonts w:ascii="Times New Roman" w:hAnsi="Times New Roman"/>
          <w:sz w:val="28"/>
          <w:szCs w:val="28"/>
          <w:lang w:val="en-US"/>
        </w:rPr>
      </w:pPr>
    </w:p>
    <w:p w14:paraId="06ACA3A0" w14:textId="6D8736EB" w:rsidR="00DF25A0" w:rsidRDefault="00DF25A0" w:rsidP="00DF25A0">
      <w:pPr>
        <w:ind w:left="0"/>
        <w:jc w:val="left"/>
        <w:rPr>
          <w:rFonts w:ascii="Times New Roman" w:hAnsi="Times New Roman"/>
          <w:sz w:val="28"/>
          <w:szCs w:val="28"/>
          <w:lang w:val="en-US"/>
        </w:rPr>
      </w:pPr>
    </w:p>
    <w:p w14:paraId="28A96E5F" w14:textId="77777777" w:rsidR="00E16104" w:rsidRPr="00E16104" w:rsidRDefault="00E16104" w:rsidP="00E16104">
      <w:pPr>
        <w:rPr>
          <w:rFonts w:ascii="Times New Roman" w:hAnsi="Times New Roman"/>
          <w:sz w:val="28"/>
          <w:szCs w:val="28"/>
        </w:rPr>
      </w:pPr>
    </w:p>
    <w:sectPr w:rsidR="00E16104" w:rsidRPr="00E1610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03AED" w14:textId="77777777" w:rsidR="0039019A" w:rsidRDefault="0039019A" w:rsidP="00E16104">
      <w:pPr>
        <w:spacing w:line="240" w:lineRule="auto"/>
      </w:pPr>
      <w:r>
        <w:separator/>
      </w:r>
    </w:p>
  </w:endnote>
  <w:endnote w:type="continuationSeparator" w:id="0">
    <w:p w14:paraId="111FC097" w14:textId="77777777" w:rsidR="0039019A" w:rsidRDefault="0039019A" w:rsidP="00E161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3860D" w14:textId="77777777" w:rsidR="0039019A" w:rsidRDefault="0039019A" w:rsidP="00E16104">
      <w:pPr>
        <w:spacing w:line="240" w:lineRule="auto"/>
      </w:pPr>
      <w:r>
        <w:separator/>
      </w:r>
    </w:p>
  </w:footnote>
  <w:footnote w:type="continuationSeparator" w:id="0">
    <w:p w14:paraId="5095F008" w14:textId="77777777" w:rsidR="0039019A" w:rsidRDefault="0039019A" w:rsidP="00E16104">
      <w:pPr>
        <w:spacing w:line="240" w:lineRule="auto"/>
      </w:pPr>
      <w:r>
        <w:continuationSeparator/>
      </w:r>
    </w:p>
  </w:footnote>
  <w:footnote w:id="1">
    <w:p w14:paraId="05624BC7" w14:textId="77777777" w:rsidR="00E16104" w:rsidRPr="00C810A7" w:rsidRDefault="00E16104" w:rsidP="00E16104">
      <w:pPr>
        <w:pStyle w:val="FootnoteText"/>
        <w:rPr>
          <w:rFonts w:ascii="Times New Roman" w:hAnsi="Times New Roman"/>
        </w:rPr>
      </w:pPr>
      <w:r>
        <w:rPr>
          <w:rStyle w:val="FootnoteReference"/>
        </w:rPr>
        <w:footnoteRef/>
      </w:r>
      <w:r>
        <w:t xml:space="preserve"> </w:t>
      </w:r>
      <w:bookmarkStart w:id="0" w:name="_Hlk542915"/>
      <w:r>
        <w:rPr>
          <w:rFonts w:ascii="Times New Roman" w:hAnsi="Times New Roman"/>
        </w:rPr>
        <w:t xml:space="preserve">J. Huizinga, </w:t>
      </w:r>
      <w:r w:rsidRPr="00C810A7">
        <w:rPr>
          <w:rFonts w:ascii="Times New Roman" w:hAnsi="Times New Roman"/>
          <w:i/>
        </w:rPr>
        <w:t>The Waning of the Middle Ages</w:t>
      </w:r>
      <w:r>
        <w:rPr>
          <w:rFonts w:ascii="Times New Roman" w:hAnsi="Times New Roman"/>
        </w:rPr>
        <w:t>, found in module reader, p.</w:t>
      </w:r>
      <w:bookmarkEnd w:id="0"/>
      <w:r>
        <w:rPr>
          <w:rFonts w:ascii="Times New Roman" w:hAnsi="Times New Roman"/>
        </w:rPr>
        <w:t>129</w:t>
      </w:r>
    </w:p>
  </w:footnote>
  <w:footnote w:id="2">
    <w:p w14:paraId="2701D69A" w14:textId="77777777" w:rsidR="00E16104" w:rsidRDefault="00E16104" w:rsidP="00E16104">
      <w:pPr>
        <w:pStyle w:val="FootnoteText"/>
      </w:pPr>
      <w:r>
        <w:rPr>
          <w:rStyle w:val="FootnoteReference"/>
        </w:rPr>
        <w:footnoteRef/>
      </w:r>
      <w:r>
        <w:t xml:space="preserve"> </w:t>
      </w:r>
      <w:bookmarkStart w:id="1" w:name="_Hlk544353"/>
      <w:r>
        <w:rPr>
          <w:rFonts w:ascii="Times New Roman" w:hAnsi="Times New Roman"/>
        </w:rPr>
        <w:t xml:space="preserve">J. Huizinga, </w:t>
      </w:r>
      <w:r w:rsidRPr="00C810A7">
        <w:rPr>
          <w:rFonts w:ascii="Times New Roman" w:hAnsi="Times New Roman"/>
          <w:i/>
        </w:rPr>
        <w:t>The Waning of the Middle Ages</w:t>
      </w:r>
      <w:r>
        <w:rPr>
          <w:rFonts w:ascii="Times New Roman" w:hAnsi="Times New Roman"/>
        </w:rPr>
        <w:t>, found in module reader, p.130</w:t>
      </w:r>
      <w:bookmarkEnd w:id="1"/>
      <w:r>
        <w:rPr>
          <w:rFonts w:ascii="Times New Roman" w:hAnsi="Times New Roman"/>
        </w:rPr>
        <w:t>.</w:t>
      </w:r>
    </w:p>
  </w:footnote>
  <w:footnote w:id="3">
    <w:p w14:paraId="0C92AC76" w14:textId="77777777" w:rsidR="00E16104" w:rsidRDefault="00E16104" w:rsidP="00E16104">
      <w:pPr>
        <w:pStyle w:val="FootnoteText"/>
      </w:pPr>
      <w:r>
        <w:rPr>
          <w:rStyle w:val="FootnoteReference"/>
        </w:rPr>
        <w:footnoteRef/>
      </w:r>
      <w:r>
        <w:rPr>
          <w:rFonts w:ascii="Times New Roman" w:hAnsi="Times New Roman"/>
        </w:rPr>
        <w:t xml:space="preserve">J. Huizinga, </w:t>
      </w:r>
      <w:r w:rsidRPr="00C810A7">
        <w:rPr>
          <w:rFonts w:ascii="Times New Roman" w:hAnsi="Times New Roman"/>
          <w:i/>
        </w:rPr>
        <w:t>The Waning of the Middle Ages</w:t>
      </w:r>
      <w:r>
        <w:rPr>
          <w:rFonts w:ascii="Times New Roman" w:hAnsi="Times New Roman"/>
        </w:rPr>
        <w:t>, found in module reader, p.131.</w:t>
      </w:r>
      <w:r>
        <w:t xml:space="preserve"> </w:t>
      </w:r>
    </w:p>
  </w:footnote>
  <w:footnote w:id="4">
    <w:p w14:paraId="71EEEE86" w14:textId="77777777" w:rsidR="00E16104" w:rsidRPr="00C60BFB" w:rsidRDefault="00E16104" w:rsidP="00E16104">
      <w:pPr>
        <w:pStyle w:val="FootnoteText"/>
        <w:rPr>
          <w:rFonts w:ascii="Times New Roman" w:hAnsi="Times New Roman"/>
        </w:rPr>
      </w:pPr>
      <w:r>
        <w:rPr>
          <w:rStyle w:val="FootnoteReference"/>
        </w:rPr>
        <w:footnoteRef/>
      </w:r>
      <w:r>
        <w:t xml:space="preserve"> </w:t>
      </w:r>
      <w:bookmarkStart w:id="2" w:name="_Hlk544945"/>
      <w:r>
        <w:rPr>
          <w:rFonts w:ascii="Times New Roman" w:hAnsi="Times New Roman"/>
        </w:rPr>
        <w:t xml:space="preserve">J. Huizinga, </w:t>
      </w:r>
      <w:r w:rsidRPr="00C810A7">
        <w:rPr>
          <w:rFonts w:ascii="Times New Roman" w:hAnsi="Times New Roman"/>
          <w:i/>
        </w:rPr>
        <w:t>The Waning of the Middle Ages</w:t>
      </w:r>
      <w:r>
        <w:rPr>
          <w:rFonts w:ascii="Times New Roman" w:hAnsi="Times New Roman"/>
        </w:rPr>
        <w:t>, found in module reader</w:t>
      </w:r>
      <w:bookmarkEnd w:id="2"/>
      <w:r>
        <w:rPr>
          <w:rFonts w:ascii="Times New Roman" w:hAnsi="Times New Roman"/>
        </w:rPr>
        <w:t>, p.135.</w:t>
      </w:r>
    </w:p>
  </w:footnote>
  <w:footnote w:id="5">
    <w:p w14:paraId="67102AED" w14:textId="77777777" w:rsidR="00E16104" w:rsidRPr="00DA1620" w:rsidRDefault="00E16104" w:rsidP="00E16104">
      <w:pPr>
        <w:pStyle w:val="FootnoteText"/>
      </w:pPr>
      <w:r>
        <w:rPr>
          <w:rStyle w:val="FootnoteReference"/>
        </w:rPr>
        <w:footnoteRef/>
      </w:r>
      <w:r>
        <w:t xml:space="preserve"> </w:t>
      </w:r>
      <w:r w:rsidRPr="00DA1620">
        <w:rPr>
          <w:rFonts w:ascii="Times New Roman" w:hAnsi="Times New Roman"/>
          <w:i/>
        </w:rPr>
        <w:t>A Disputacion Betwyx the Body and Wormes</w:t>
      </w:r>
      <w:r>
        <w:rPr>
          <w:rFonts w:ascii="Times New Roman" w:hAnsi="Times New Roman"/>
          <w:i/>
        </w:rPr>
        <w:t xml:space="preserve"> </w:t>
      </w:r>
      <w:r>
        <w:rPr>
          <w:rFonts w:ascii="Times New Roman" w:hAnsi="Times New Roman"/>
        </w:rPr>
        <w:t>found in module reader.</w:t>
      </w:r>
    </w:p>
  </w:footnote>
  <w:footnote w:id="6">
    <w:p w14:paraId="724BABC6" w14:textId="77777777" w:rsidR="00E16104" w:rsidRPr="00DA1620" w:rsidRDefault="00E16104" w:rsidP="00E16104">
      <w:pPr>
        <w:pStyle w:val="FootnoteText"/>
        <w:rPr>
          <w:rFonts w:ascii="Times New Roman" w:hAnsi="Times New Roman"/>
        </w:rPr>
      </w:pPr>
      <w:r>
        <w:rPr>
          <w:rStyle w:val="FootnoteReference"/>
        </w:rPr>
        <w:footnoteRef/>
      </w:r>
      <w:r>
        <w:t xml:space="preserve"> </w:t>
      </w:r>
      <w:r>
        <w:rPr>
          <w:rFonts w:ascii="Times New Roman" w:hAnsi="Times New Roman"/>
        </w:rPr>
        <w:t>ibid</w:t>
      </w:r>
    </w:p>
  </w:footnote>
  <w:footnote w:id="7">
    <w:p w14:paraId="5C09B76D" w14:textId="77777777" w:rsidR="00E16104" w:rsidRPr="00DA1620" w:rsidRDefault="00E16104" w:rsidP="00E16104">
      <w:pPr>
        <w:pStyle w:val="FootnoteText"/>
        <w:rPr>
          <w:rFonts w:ascii="Times New Roman" w:hAnsi="Times New Roman"/>
        </w:rPr>
      </w:pPr>
      <w:r>
        <w:rPr>
          <w:rStyle w:val="FootnoteReference"/>
        </w:rPr>
        <w:footnoteRef/>
      </w:r>
      <w:r>
        <w:t xml:space="preserve"> </w:t>
      </w:r>
      <w:bookmarkStart w:id="5" w:name="_Hlk551926"/>
      <w:r w:rsidRPr="00DA1620">
        <w:rPr>
          <w:rFonts w:ascii="Times New Roman" w:hAnsi="Times New Roman"/>
          <w:i/>
        </w:rPr>
        <w:t xml:space="preserve">A Disputacion Betwyx the Body and Wormes </w:t>
      </w:r>
      <w:r w:rsidRPr="00DA1620">
        <w:rPr>
          <w:rFonts w:ascii="Times New Roman" w:hAnsi="Times New Roman"/>
        </w:rPr>
        <w:t>found in module reader</w:t>
      </w:r>
      <w:r>
        <w:rPr>
          <w:rFonts w:ascii="Times New Roman" w:hAnsi="Times New Roman"/>
        </w:rPr>
        <w:t>.</w:t>
      </w:r>
      <w:bookmarkEnd w:id="5"/>
    </w:p>
  </w:footnote>
  <w:footnote w:id="8">
    <w:p w14:paraId="00C9A3AE" w14:textId="77777777" w:rsidR="00E16104" w:rsidRPr="001F3057" w:rsidRDefault="00E16104" w:rsidP="00E16104">
      <w:pPr>
        <w:pStyle w:val="FootnoteText"/>
        <w:rPr>
          <w:rFonts w:ascii="Times New Roman" w:hAnsi="Times New Roman"/>
        </w:rPr>
      </w:pPr>
      <w:r>
        <w:rPr>
          <w:rStyle w:val="FootnoteReference"/>
        </w:rPr>
        <w:footnoteRef/>
      </w:r>
      <w:r>
        <w:t xml:space="preserve"> </w:t>
      </w:r>
      <w:bookmarkStart w:id="6" w:name="_Hlk523631"/>
      <w:r>
        <w:rPr>
          <w:rFonts w:ascii="Times New Roman" w:hAnsi="Times New Roman"/>
        </w:rPr>
        <w:t xml:space="preserve">Kathryn A. Smith, </w:t>
      </w:r>
      <w:r w:rsidRPr="00A00D5B">
        <w:rPr>
          <w:rFonts w:ascii="Times New Roman" w:hAnsi="Times New Roman"/>
          <w:i/>
        </w:rPr>
        <w:t>The Taymouth Hours</w:t>
      </w:r>
      <w:r>
        <w:rPr>
          <w:rFonts w:ascii="Times New Roman" w:hAnsi="Times New Roman"/>
        </w:rPr>
        <w:t xml:space="preserve"> (London: The British Library, 2012) </w:t>
      </w:r>
      <w:bookmarkEnd w:id="6"/>
      <w:r>
        <w:rPr>
          <w:rFonts w:ascii="Times New Roman" w:hAnsi="Times New Roman"/>
        </w:rPr>
        <w:t>p.1.</w:t>
      </w:r>
    </w:p>
  </w:footnote>
  <w:footnote w:id="9">
    <w:p w14:paraId="5298F718" w14:textId="77777777" w:rsidR="00E16104" w:rsidRDefault="00E16104" w:rsidP="00E16104">
      <w:pPr>
        <w:pStyle w:val="FootnoteText"/>
      </w:pPr>
      <w:r>
        <w:rPr>
          <w:rStyle w:val="FootnoteReference"/>
        </w:rPr>
        <w:footnoteRef/>
      </w:r>
      <w:bookmarkStart w:id="8" w:name="_Hlk524498"/>
      <w:r>
        <w:rPr>
          <w:rFonts w:ascii="Times New Roman" w:hAnsi="Times New Roman"/>
        </w:rPr>
        <w:t xml:space="preserve">Kathryn A. Smith, </w:t>
      </w:r>
      <w:r w:rsidRPr="00A00D5B">
        <w:rPr>
          <w:rFonts w:ascii="Times New Roman" w:hAnsi="Times New Roman"/>
          <w:i/>
        </w:rPr>
        <w:t>The Taymouth Hours</w:t>
      </w:r>
      <w:r>
        <w:rPr>
          <w:rFonts w:ascii="Times New Roman" w:hAnsi="Times New Roman"/>
        </w:rPr>
        <w:t xml:space="preserve"> (London: The British Library, 2012) </w:t>
      </w:r>
      <w:bookmarkEnd w:id="8"/>
      <w:r>
        <w:rPr>
          <w:rFonts w:ascii="Times New Roman" w:hAnsi="Times New Roman"/>
        </w:rPr>
        <w:t>p.256</w:t>
      </w:r>
      <w:r>
        <w:t xml:space="preserve"> </w:t>
      </w:r>
    </w:p>
  </w:footnote>
  <w:footnote w:id="10">
    <w:p w14:paraId="26F33215" w14:textId="77777777" w:rsidR="00E16104" w:rsidRDefault="00E16104" w:rsidP="00E16104">
      <w:pPr>
        <w:pStyle w:val="FootnoteText"/>
      </w:pPr>
      <w:r>
        <w:rPr>
          <w:rStyle w:val="FootnoteReference"/>
        </w:rPr>
        <w:footnoteRef/>
      </w:r>
      <w:r>
        <w:t xml:space="preserve"> </w:t>
      </w:r>
      <w:bookmarkStart w:id="10" w:name="_Hlk556030"/>
      <w:r w:rsidRPr="000A0E56">
        <w:rPr>
          <w:rFonts w:ascii="Times New Roman" w:hAnsi="Times New Roman"/>
        </w:rPr>
        <w:t xml:space="preserve">Chapter V of </w:t>
      </w:r>
      <w:r w:rsidRPr="000A0E56">
        <w:rPr>
          <w:rFonts w:ascii="Times New Roman" w:hAnsi="Times New Roman"/>
          <w:i/>
          <w:iCs/>
        </w:rPr>
        <w:t>The Art and Craft to Know Well to Die</w:t>
      </w:r>
      <w:r w:rsidRPr="000A0E56">
        <w:rPr>
          <w:rFonts w:ascii="Times New Roman" w:hAnsi="Times New Roman"/>
        </w:rPr>
        <w:t xml:space="preserve"> by William Caxton found in module reader</w:t>
      </w:r>
      <w:bookmarkEnd w:id="10"/>
      <w:r>
        <w:t>.</w:t>
      </w:r>
    </w:p>
  </w:footnote>
  <w:footnote w:id="11">
    <w:p w14:paraId="5AD52678" w14:textId="77777777" w:rsidR="00E16104" w:rsidRDefault="00E16104" w:rsidP="00E16104">
      <w:pPr>
        <w:pStyle w:val="FootnoteText"/>
      </w:pPr>
      <w:r>
        <w:rPr>
          <w:rStyle w:val="FootnoteReference"/>
        </w:rPr>
        <w:footnoteRef/>
      </w:r>
      <w:r>
        <w:t xml:space="preserve"> </w:t>
      </w:r>
      <w:bookmarkStart w:id="11" w:name="_Hlk557114"/>
      <w:r w:rsidRPr="000A0E56">
        <w:rPr>
          <w:rFonts w:ascii="Times New Roman" w:hAnsi="Times New Roman"/>
        </w:rPr>
        <w:t xml:space="preserve">Chapter V of </w:t>
      </w:r>
      <w:r w:rsidRPr="000A0E56">
        <w:rPr>
          <w:rFonts w:ascii="Times New Roman" w:hAnsi="Times New Roman"/>
          <w:i/>
          <w:iCs/>
        </w:rPr>
        <w:t>The Art and Craft to Know Well to Die</w:t>
      </w:r>
      <w:r w:rsidRPr="000A0E56">
        <w:rPr>
          <w:rFonts w:ascii="Times New Roman" w:hAnsi="Times New Roman"/>
        </w:rPr>
        <w:t xml:space="preserve"> by William Caxton found in module reader</w:t>
      </w:r>
      <w:bookmarkEnd w:id="11"/>
    </w:p>
  </w:footnote>
  <w:footnote w:id="12">
    <w:p w14:paraId="3E31B770" w14:textId="77777777" w:rsidR="00E16104" w:rsidRPr="005A632A" w:rsidRDefault="00E16104" w:rsidP="00E16104">
      <w:pPr>
        <w:pStyle w:val="FootnoteText"/>
        <w:rPr>
          <w:rFonts w:ascii="Times New Roman" w:hAnsi="Times New Roman"/>
        </w:rPr>
      </w:pPr>
      <w:r>
        <w:rPr>
          <w:rStyle w:val="FootnoteReference"/>
        </w:rPr>
        <w:footnoteRef/>
      </w:r>
      <w:r>
        <w:t xml:space="preserve"> </w:t>
      </w:r>
      <w:r>
        <w:rPr>
          <w:rFonts w:ascii="Times New Roman" w:hAnsi="Times New Roman"/>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4129811"/>
      <w:docPartObj>
        <w:docPartGallery w:val="Page Numbers (Top of Page)"/>
        <w:docPartUnique/>
      </w:docPartObj>
    </w:sdtPr>
    <w:sdtEndPr>
      <w:rPr>
        <w:noProof/>
      </w:rPr>
    </w:sdtEndPr>
    <w:sdtContent>
      <w:p w14:paraId="42E98D0A" w14:textId="3C2EC4AB" w:rsidR="00E16104" w:rsidRDefault="00E1610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4A711B" w14:textId="77777777" w:rsidR="00E16104" w:rsidRDefault="00E161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104"/>
    <w:rsid w:val="0039019A"/>
    <w:rsid w:val="00D07524"/>
    <w:rsid w:val="00DF25A0"/>
    <w:rsid w:val="00E16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89C1A"/>
  <w15:chartTrackingRefBased/>
  <w15:docId w15:val="{04774C9C-EC2D-49BE-AAF6-4781C1CE4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104"/>
    <w:pPr>
      <w:tabs>
        <w:tab w:val="center" w:pos="4513"/>
        <w:tab w:val="right" w:pos="9026"/>
      </w:tabs>
      <w:spacing w:line="240" w:lineRule="auto"/>
    </w:pPr>
  </w:style>
  <w:style w:type="character" w:customStyle="1" w:styleId="HeaderChar">
    <w:name w:val="Header Char"/>
    <w:basedOn w:val="DefaultParagraphFont"/>
    <w:link w:val="Header"/>
    <w:uiPriority w:val="99"/>
    <w:rsid w:val="00E16104"/>
  </w:style>
  <w:style w:type="paragraph" w:styleId="Footer">
    <w:name w:val="footer"/>
    <w:basedOn w:val="Normal"/>
    <w:link w:val="FooterChar"/>
    <w:uiPriority w:val="99"/>
    <w:unhideWhenUsed/>
    <w:rsid w:val="00E16104"/>
    <w:pPr>
      <w:tabs>
        <w:tab w:val="center" w:pos="4513"/>
        <w:tab w:val="right" w:pos="9026"/>
      </w:tabs>
      <w:spacing w:line="240" w:lineRule="auto"/>
    </w:pPr>
  </w:style>
  <w:style w:type="character" w:customStyle="1" w:styleId="FooterChar">
    <w:name w:val="Footer Char"/>
    <w:basedOn w:val="DefaultParagraphFont"/>
    <w:link w:val="Footer"/>
    <w:uiPriority w:val="99"/>
    <w:rsid w:val="00E16104"/>
  </w:style>
  <w:style w:type="paragraph" w:styleId="FootnoteText">
    <w:name w:val="footnote text"/>
    <w:basedOn w:val="Normal"/>
    <w:link w:val="FootnoteTextChar"/>
    <w:uiPriority w:val="99"/>
    <w:semiHidden/>
    <w:unhideWhenUsed/>
    <w:rsid w:val="00E16104"/>
    <w:pPr>
      <w:spacing w:line="240" w:lineRule="auto"/>
    </w:pPr>
    <w:rPr>
      <w:sz w:val="20"/>
      <w:szCs w:val="20"/>
    </w:rPr>
  </w:style>
  <w:style w:type="character" w:customStyle="1" w:styleId="FootnoteTextChar">
    <w:name w:val="Footnote Text Char"/>
    <w:basedOn w:val="DefaultParagraphFont"/>
    <w:link w:val="FootnoteText"/>
    <w:uiPriority w:val="99"/>
    <w:semiHidden/>
    <w:rsid w:val="00E16104"/>
    <w:rPr>
      <w:sz w:val="20"/>
      <w:szCs w:val="20"/>
    </w:rPr>
  </w:style>
  <w:style w:type="character" w:styleId="FootnoteReference">
    <w:name w:val="footnote reference"/>
    <w:basedOn w:val="DefaultParagraphFont"/>
    <w:uiPriority w:val="99"/>
    <w:semiHidden/>
    <w:unhideWhenUsed/>
    <w:rsid w:val="00E16104"/>
    <w:rPr>
      <w:vertAlign w:val="superscript"/>
    </w:rPr>
  </w:style>
  <w:style w:type="character" w:styleId="Hyperlink">
    <w:name w:val="Hyperlink"/>
    <w:basedOn w:val="DefaultParagraphFont"/>
    <w:uiPriority w:val="99"/>
    <w:unhideWhenUsed/>
    <w:rsid w:val="00DF25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interest.co.uk/pin/7810999330097900/?l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2136</Words>
  <Characters>12177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1</cp:revision>
  <dcterms:created xsi:type="dcterms:W3CDTF">2019-02-08T22:27:00Z</dcterms:created>
  <dcterms:modified xsi:type="dcterms:W3CDTF">2019-02-08T22:42:00Z</dcterms:modified>
</cp:coreProperties>
</file>