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CE5639" w14:textId="745E331D" w:rsidR="009C6B09" w:rsidRDefault="009C6B09">
      <w:pPr>
        <w:spacing w:after="0" w:line="360" w:lineRule="auto"/>
        <w:contextualSpacing/>
        <w:rPr>
          <w:rFonts w:ascii="Arial" w:hAnsi="Arial" w:cs="Arial"/>
          <w:sz w:val="24"/>
          <w:szCs w:val="24"/>
          <w:lang w:val="en-US"/>
        </w:rPr>
      </w:pPr>
    </w:p>
    <w:p w14:paraId="64E92AC1" w14:textId="77777777" w:rsidR="00984A92" w:rsidRDefault="00984A92">
      <w:pPr>
        <w:spacing w:after="0" w:line="360" w:lineRule="auto"/>
        <w:contextualSpacing/>
        <w:rPr>
          <w:rFonts w:ascii="Arial" w:hAnsi="Arial" w:cs="Arial"/>
          <w:sz w:val="24"/>
          <w:szCs w:val="24"/>
          <w:lang w:val="en-US"/>
        </w:rPr>
      </w:pPr>
    </w:p>
    <w:p w14:paraId="63175426" w14:textId="77777777" w:rsidR="00984A92" w:rsidRDefault="00984A92">
      <w:pPr>
        <w:spacing w:after="0" w:line="360" w:lineRule="auto"/>
        <w:contextualSpacing/>
        <w:rPr>
          <w:rFonts w:ascii="Arial" w:hAnsi="Arial" w:cs="Arial"/>
          <w:sz w:val="24"/>
          <w:szCs w:val="24"/>
          <w:lang w:val="en-US"/>
        </w:rPr>
      </w:pPr>
    </w:p>
    <w:p w14:paraId="65B62925" w14:textId="77777777" w:rsidR="00984A92" w:rsidRDefault="00984A92">
      <w:pPr>
        <w:spacing w:after="0" w:line="360" w:lineRule="auto"/>
        <w:contextualSpacing/>
        <w:rPr>
          <w:rFonts w:ascii="Arial" w:hAnsi="Arial" w:cs="Arial"/>
          <w:sz w:val="24"/>
          <w:szCs w:val="24"/>
          <w:lang w:val="en-US"/>
        </w:rPr>
      </w:pPr>
    </w:p>
    <w:p w14:paraId="1BF5737C" w14:textId="77777777" w:rsidR="00984A92" w:rsidRDefault="00984A92">
      <w:pPr>
        <w:spacing w:after="0" w:line="360" w:lineRule="auto"/>
        <w:contextualSpacing/>
        <w:rPr>
          <w:rFonts w:ascii="Arial" w:hAnsi="Arial" w:cs="Arial"/>
          <w:sz w:val="24"/>
          <w:szCs w:val="24"/>
          <w:lang w:val="en-US"/>
        </w:rPr>
      </w:pPr>
    </w:p>
    <w:p w14:paraId="1310FF3B" w14:textId="77777777" w:rsidR="00984A92" w:rsidRDefault="00984A92">
      <w:pPr>
        <w:spacing w:after="0" w:line="360" w:lineRule="auto"/>
        <w:contextualSpacing/>
        <w:rPr>
          <w:rFonts w:ascii="Arial" w:hAnsi="Arial" w:cs="Arial"/>
          <w:sz w:val="24"/>
          <w:szCs w:val="24"/>
          <w:lang w:val="en-US"/>
        </w:rPr>
      </w:pPr>
    </w:p>
    <w:p w14:paraId="45ACFACF" w14:textId="77777777" w:rsidR="00984A92" w:rsidRPr="00562BFE" w:rsidRDefault="00984A92" w:rsidP="00984A92">
      <w:pPr>
        <w:jc w:val="center"/>
        <w:rPr>
          <w:rFonts w:ascii="Arial" w:hAnsi="Arial" w:cs="Arial"/>
        </w:rPr>
      </w:pPr>
      <w:r w:rsidRPr="00562BFE">
        <w:rPr>
          <w:rFonts w:ascii="Arial" w:hAnsi="Arial" w:cs="Arial"/>
          <w:b/>
          <w:bCs/>
        </w:rPr>
        <w:t>University of Wales Trinity Saint David</w:t>
      </w:r>
      <w:r w:rsidRPr="00562BFE">
        <w:rPr>
          <w:rFonts w:ascii="Arial" w:hAnsi="Arial" w:cs="Arial"/>
        </w:rPr>
        <w:br/>
      </w:r>
      <w:r w:rsidRPr="00562BFE">
        <w:rPr>
          <w:rFonts w:ascii="Arial" w:hAnsi="Arial" w:cs="Arial"/>
          <w:b/>
          <w:bCs/>
        </w:rPr>
        <w:t>Master of Business Administration (MBA)</w:t>
      </w:r>
    </w:p>
    <w:p w14:paraId="12CEC58A" w14:textId="77777777" w:rsidR="009C6B09" w:rsidRDefault="009C6B09">
      <w:pPr>
        <w:spacing w:after="0" w:line="360" w:lineRule="auto"/>
        <w:contextualSpacing/>
        <w:rPr>
          <w:rFonts w:ascii="Arial" w:hAnsi="Arial" w:cs="Arial"/>
          <w:sz w:val="24"/>
          <w:szCs w:val="24"/>
          <w:lang w:val="en-US"/>
        </w:rPr>
      </w:pPr>
    </w:p>
    <w:p w14:paraId="0A35BE26" w14:textId="77777777" w:rsidR="00984A92" w:rsidRDefault="00984A92">
      <w:pPr>
        <w:spacing w:after="0" w:line="360" w:lineRule="auto"/>
        <w:contextualSpacing/>
        <w:rPr>
          <w:rFonts w:ascii="Arial" w:hAnsi="Arial" w:cs="Arial"/>
          <w:sz w:val="24"/>
          <w:szCs w:val="24"/>
          <w:lang w:val="en-US"/>
        </w:rPr>
      </w:pPr>
    </w:p>
    <w:p w14:paraId="217D0A23" w14:textId="03D0E5BE" w:rsidR="009C6B09" w:rsidRDefault="00984A92">
      <w:pPr>
        <w:spacing w:after="0" w:line="360" w:lineRule="auto"/>
        <w:contextualSpacing/>
        <w:rPr>
          <w:rFonts w:ascii="Arial" w:hAnsi="Arial" w:cs="Arial"/>
        </w:rPr>
      </w:pPr>
      <w:r>
        <w:rPr>
          <w:rFonts w:ascii="Arial" w:hAnsi="Arial" w:cs="Arial"/>
          <w:b/>
          <w:bCs/>
        </w:rPr>
        <w:t xml:space="preserve">                                     </w:t>
      </w:r>
      <w:r w:rsidRPr="00562BFE">
        <w:rPr>
          <w:rFonts w:ascii="Arial" w:hAnsi="Arial" w:cs="Arial"/>
          <w:b/>
          <w:bCs/>
        </w:rPr>
        <w:t>Module</w:t>
      </w:r>
      <w:r w:rsidRPr="00562BFE">
        <w:rPr>
          <w:rFonts w:ascii="Arial" w:hAnsi="Arial" w:cs="Arial"/>
        </w:rPr>
        <w:t>:</w:t>
      </w:r>
      <w:r w:rsidRPr="00984A92">
        <w:rPr>
          <w:rFonts w:ascii="Arial" w:hAnsi="Arial" w:cs="Arial"/>
          <w:b/>
        </w:rPr>
        <w:t xml:space="preserve"> </w:t>
      </w:r>
      <w:r w:rsidR="00EF0438">
        <w:rPr>
          <w:rFonts w:ascii="Arial" w:hAnsi="Arial" w:cs="Arial"/>
          <w:b/>
        </w:rPr>
        <w:t>International Marketing: Principles and Practices</w:t>
      </w:r>
    </w:p>
    <w:p w14:paraId="196B7D7A" w14:textId="0D006ADA" w:rsidR="00984A92" w:rsidRDefault="00984A92">
      <w:pPr>
        <w:spacing w:after="0" w:line="360" w:lineRule="auto"/>
        <w:contextualSpacing/>
        <w:rPr>
          <w:rFonts w:ascii="Arial" w:hAnsi="Arial" w:cs="Arial"/>
          <w:sz w:val="24"/>
          <w:szCs w:val="24"/>
          <w:lang w:val="en-US"/>
        </w:rPr>
      </w:pPr>
      <w:r>
        <w:rPr>
          <w:rFonts w:ascii="Arial" w:hAnsi="Arial" w:cs="Arial"/>
          <w:b/>
          <w:bCs/>
        </w:rPr>
        <w:t xml:space="preserve">                                                     </w:t>
      </w:r>
      <w:r w:rsidRPr="00562BFE">
        <w:rPr>
          <w:rFonts w:ascii="Arial" w:hAnsi="Arial" w:cs="Arial"/>
          <w:b/>
          <w:bCs/>
        </w:rPr>
        <w:t>Module Code</w:t>
      </w:r>
      <w:r>
        <w:rPr>
          <w:rFonts w:ascii="Arial" w:hAnsi="Arial" w:cs="Arial"/>
          <w:b/>
          <w:bCs/>
        </w:rPr>
        <w:t xml:space="preserve">: </w:t>
      </w:r>
      <w:r w:rsidR="00EF0438">
        <w:rPr>
          <w:rFonts w:ascii="Arial" w:hAnsi="Arial" w:cs="Arial"/>
          <w:b/>
        </w:rPr>
        <w:t>LCMB7026</w:t>
      </w:r>
    </w:p>
    <w:p w14:paraId="6D563850" w14:textId="4D0C04E9" w:rsidR="009C6B09" w:rsidRDefault="008460C0">
      <w:pPr>
        <w:spacing w:after="0" w:line="360" w:lineRule="auto"/>
        <w:contextualSpacing/>
        <w:rPr>
          <w:rFonts w:ascii="Arial" w:hAnsi="Arial" w:cs="Arial"/>
          <w:sz w:val="24"/>
          <w:szCs w:val="24"/>
          <w:lang w:val="en-US"/>
        </w:rPr>
      </w:pPr>
      <w:r>
        <w:rPr>
          <w:rFonts w:ascii="Arial" w:hAnsi="Arial" w:cs="Arial"/>
          <w:b/>
        </w:rPr>
        <w:t xml:space="preserve">                                      </w:t>
      </w:r>
      <w:r w:rsidR="00E86BC4">
        <w:rPr>
          <w:rFonts w:ascii="Arial" w:hAnsi="Arial" w:cs="Arial"/>
          <w:b/>
        </w:rPr>
        <w:t xml:space="preserve">             </w:t>
      </w:r>
      <w:r>
        <w:rPr>
          <w:rFonts w:ascii="Arial" w:hAnsi="Arial" w:cs="Arial"/>
          <w:b/>
        </w:rPr>
        <w:t xml:space="preserve"> </w:t>
      </w:r>
      <w:r w:rsidRPr="00A406E5">
        <w:rPr>
          <w:rFonts w:ascii="Arial" w:hAnsi="Arial" w:cs="Arial"/>
          <w:b/>
        </w:rPr>
        <w:t>Lecturer:</w:t>
      </w:r>
      <w:r w:rsidRPr="008460C0">
        <w:rPr>
          <w:rFonts w:ascii="Arial" w:hAnsi="Arial" w:cs="Arial"/>
          <w:b/>
        </w:rPr>
        <w:t xml:space="preserve"> </w:t>
      </w:r>
      <w:r>
        <w:rPr>
          <w:rFonts w:ascii="Arial" w:hAnsi="Arial" w:cs="Arial"/>
          <w:b/>
        </w:rPr>
        <w:t xml:space="preserve">Dian </w:t>
      </w:r>
      <w:proofErr w:type="spellStart"/>
      <w:r>
        <w:rPr>
          <w:rFonts w:ascii="Arial" w:hAnsi="Arial" w:cs="Arial"/>
          <w:b/>
        </w:rPr>
        <w:t>Mayasari</w:t>
      </w:r>
      <w:proofErr w:type="spellEnd"/>
    </w:p>
    <w:p w14:paraId="10FC899B" w14:textId="2273426B" w:rsidR="009C6B09" w:rsidRPr="00984A92" w:rsidRDefault="00984A92" w:rsidP="00984A92">
      <w:pPr>
        <w:spacing w:after="0" w:line="360" w:lineRule="auto"/>
        <w:contextualSpacing/>
        <w:rPr>
          <w:rFonts w:ascii="Arial" w:hAnsi="Arial" w:cs="Arial"/>
          <w:sz w:val="24"/>
          <w:szCs w:val="24"/>
          <w:lang w:val="en-US"/>
        </w:rPr>
      </w:pPr>
      <w:r>
        <w:rPr>
          <w:rFonts w:ascii="Arial" w:hAnsi="Arial" w:cs="Arial"/>
          <w:b/>
          <w:bCs/>
        </w:rPr>
        <w:t xml:space="preserve">                                    </w:t>
      </w:r>
      <w:r w:rsidRPr="00562BFE">
        <w:rPr>
          <w:rFonts w:ascii="Arial" w:hAnsi="Arial" w:cs="Arial"/>
          <w:b/>
          <w:bCs/>
        </w:rPr>
        <w:t xml:space="preserve">Assessment </w:t>
      </w:r>
      <w:r>
        <w:rPr>
          <w:rFonts w:ascii="Arial" w:hAnsi="Arial" w:cs="Arial"/>
          <w:b/>
          <w:bCs/>
        </w:rPr>
        <w:t>component</w:t>
      </w:r>
      <w:r w:rsidRPr="00562BFE">
        <w:rPr>
          <w:rFonts w:ascii="Arial" w:hAnsi="Arial" w:cs="Arial"/>
        </w:rPr>
        <w:t>:</w:t>
      </w:r>
      <w:r>
        <w:rPr>
          <w:rFonts w:ascii="Arial" w:hAnsi="Arial" w:cs="Arial"/>
          <w:sz w:val="24"/>
          <w:szCs w:val="24"/>
          <w:lang w:val="en-US"/>
        </w:rPr>
        <w:t xml:space="preserve"> </w:t>
      </w:r>
      <w:r w:rsidR="00994D0C" w:rsidRPr="00984A92">
        <w:rPr>
          <w:rFonts w:ascii="Arial" w:hAnsi="Arial" w:cs="Arial"/>
          <w:b/>
          <w:bCs/>
          <w:sz w:val="24"/>
          <w:szCs w:val="24"/>
        </w:rPr>
        <w:t>Individual report</w:t>
      </w:r>
    </w:p>
    <w:p w14:paraId="4337AA18" w14:textId="5FEA971D" w:rsidR="009C6B09" w:rsidRDefault="00984A92">
      <w:pPr>
        <w:spacing w:after="0" w:line="360" w:lineRule="auto"/>
        <w:contextualSpacing/>
        <w:jc w:val="center"/>
        <w:rPr>
          <w:rFonts w:ascii="Arial" w:hAnsi="Arial" w:cs="Arial"/>
          <w:b/>
          <w:bCs/>
          <w:sz w:val="24"/>
          <w:szCs w:val="24"/>
        </w:rPr>
      </w:pPr>
      <w:r>
        <w:rPr>
          <w:rFonts w:ascii="Arial" w:hAnsi="Arial" w:cs="Arial"/>
          <w:b/>
          <w:bCs/>
          <w:sz w:val="24"/>
          <w:szCs w:val="24"/>
        </w:rPr>
        <w:t xml:space="preserve"> </w:t>
      </w:r>
      <w:proofErr w:type="gramStart"/>
      <w:r>
        <w:rPr>
          <w:rFonts w:ascii="Arial" w:hAnsi="Arial" w:cs="Arial"/>
          <w:b/>
          <w:bCs/>
          <w:sz w:val="24"/>
          <w:szCs w:val="24"/>
        </w:rPr>
        <w:t>Student :</w:t>
      </w:r>
      <w:proofErr w:type="gramEnd"/>
      <w:r>
        <w:rPr>
          <w:rFonts w:ascii="Arial" w:hAnsi="Arial" w:cs="Arial"/>
          <w:b/>
          <w:bCs/>
          <w:sz w:val="24"/>
          <w:szCs w:val="24"/>
        </w:rPr>
        <w:t xml:space="preserve"> </w:t>
      </w:r>
      <w:r w:rsidR="00994D0C">
        <w:rPr>
          <w:rFonts w:ascii="Arial" w:hAnsi="Arial" w:cs="Arial"/>
          <w:b/>
          <w:bCs/>
          <w:sz w:val="24"/>
          <w:szCs w:val="24"/>
        </w:rPr>
        <w:t>Mariana Roman</w:t>
      </w:r>
    </w:p>
    <w:p w14:paraId="498529B1" w14:textId="77777777" w:rsidR="009C6B09" w:rsidRDefault="00994D0C">
      <w:pPr>
        <w:spacing w:after="0" w:line="360" w:lineRule="auto"/>
        <w:contextualSpacing/>
        <w:jc w:val="center"/>
        <w:rPr>
          <w:rFonts w:ascii="Arial" w:hAnsi="Arial" w:cs="Arial"/>
          <w:sz w:val="24"/>
          <w:szCs w:val="24"/>
        </w:rPr>
      </w:pPr>
      <w:r w:rsidRPr="00984A92">
        <w:rPr>
          <w:rFonts w:ascii="Arial" w:hAnsi="Arial" w:cs="Arial"/>
          <w:b/>
          <w:bCs/>
          <w:sz w:val="24"/>
          <w:szCs w:val="24"/>
        </w:rPr>
        <w:t>Student ID: 2118893</w:t>
      </w:r>
    </w:p>
    <w:p w14:paraId="149D5660" w14:textId="5313DB1F" w:rsidR="009C6B09" w:rsidRPr="00E86BC4" w:rsidRDefault="00994D0C" w:rsidP="00EF0438">
      <w:pPr>
        <w:spacing w:after="0" w:line="360" w:lineRule="auto"/>
        <w:contextualSpacing/>
        <w:jc w:val="center"/>
        <w:rPr>
          <w:rFonts w:ascii="Arial" w:hAnsi="Arial" w:cs="Arial"/>
          <w:b/>
          <w:bCs/>
          <w:sz w:val="24"/>
          <w:szCs w:val="24"/>
          <w:lang w:val="en-US"/>
        </w:rPr>
      </w:pPr>
      <w:r w:rsidRPr="00E86BC4">
        <w:rPr>
          <w:rFonts w:ascii="Arial" w:hAnsi="Arial" w:cs="Arial"/>
          <w:b/>
          <w:bCs/>
          <w:sz w:val="24"/>
          <w:szCs w:val="24"/>
          <w:lang w:val="en-US"/>
        </w:rPr>
        <w:t xml:space="preserve">July </w:t>
      </w:r>
      <w:r w:rsidR="00EF0438" w:rsidRPr="00E86BC4">
        <w:rPr>
          <w:rFonts w:ascii="Arial" w:hAnsi="Arial" w:cs="Arial"/>
          <w:b/>
          <w:bCs/>
          <w:sz w:val="24"/>
          <w:szCs w:val="24"/>
          <w:lang w:val="en-US"/>
        </w:rPr>
        <w:t>20/</w:t>
      </w:r>
      <w:r w:rsidRPr="00E86BC4">
        <w:rPr>
          <w:rFonts w:ascii="Arial" w:hAnsi="Arial" w:cs="Arial"/>
          <w:b/>
          <w:bCs/>
          <w:sz w:val="24"/>
          <w:szCs w:val="24"/>
          <w:lang w:val="en-US"/>
        </w:rPr>
        <w:t xml:space="preserve"> 2026</w:t>
      </w:r>
    </w:p>
    <w:p w14:paraId="73076A01" w14:textId="77777777" w:rsidR="009C6B09" w:rsidRDefault="009C6B09">
      <w:pPr>
        <w:spacing w:after="0" w:line="360" w:lineRule="auto"/>
        <w:contextualSpacing/>
        <w:rPr>
          <w:rFonts w:ascii="Arial" w:hAnsi="Arial" w:cs="Arial"/>
          <w:sz w:val="24"/>
          <w:szCs w:val="24"/>
        </w:rPr>
      </w:pPr>
    </w:p>
    <w:p w14:paraId="7E7A8CFD" w14:textId="77777777" w:rsidR="009C6B09" w:rsidRDefault="009C6B09">
      <w:pPr>
        <w:spacing w:after="0" w:line="360" w:lineRule="auto"/>
        <w:contextualSpacing/>
        <w:rPr>
          <w:rFonts w:ascii="Arial" w:hAnsi="Arial" w:cs="Arial"/>
          <w:sz w:val="24"/>
          <w:szCs w:val="24"/>
        </w:rPr>
      </w:pPr>
    </w:p>
    <w:p w14:paraId="3E7FC404" w14:textId="77777777" w:rsidR="009C6B09" w:rsidRDefault="009C6B09">
      <w:pPr>
        <w:spacing w:after="0" w:line="360" w:lineRule="auto"/>
        <w:contextualSpacing/>
        <w:rPr>
          <w:rFonts w:ascii="Arial" w:hAnsi="Arial" w:cs="Arial"/>
          <w:sz w:val="24"/>
          <w:szCs w:val="24"/>
        </w:rPr>
      </w:pPr>
    </w:p>
    <w:p w14:paraId="468F9BE7" w14:textId="77777777" w:rsidR="009C6B09" w:rsidRDefault="009C6B09">
      <w:pPr>
        <w:spacing w:after="0" w:line="360" w:lineRule="auto"/>
        <w:contextualSpacing/>
        <w:rPr>
          <w:rFonts w:ascii="Arial" w:hAnsi="Arial" w:cs="Arial"/>
          <w:sz w:val="24"/>
          <w:szCs w:val="24"/>
        </w:rPr>
      </w:pPr>
    </w:p>
    <w:p w14:paraId="0E5CCD94" w14:textId="77777777" w:rsidR="009C6B09" w:rsidRDefault="009C6B09">
      <w:pPr>
        <w:spacing w:after="0" w:line="360" w:lineRule="auto"/>
        <w:contextualSpacing/>
        <w:rPr>
          <w:rFonts w:ascii="Arial" w:hAnsi="Arial" w:cs="Arial"/>
          <w:sz w:val="24"/>
          <w:szCs w:val="24"/>
        </w:rPr>
      </w:pPr>
    </w:p>
    <w:p w14:paraId="19476662" w14:textId="77777777" w:rsidR="009C6B09" w:rsidRDefault="009C6B09">
      <w:pPr>
        <w:spacing w:after="0" w:line="360" w:lineRule="auto"/>
        <w:contextualSpacing/>
        <w:rPr>
          <w:rFonts w:ascii="Arial" w:hAnsi="Arial" w:cs="Arial"/>
          <w:sz w:val="24"/>
          <w:szCs w:val="24"/>
        </w:rPr>
      </w:pPr>
    </w:p>
    <w:p w14:paraId="632F793E" w14:textId="77777777" w:rsidR="009C6B09" w:rsidRDefault="009C6B09">
      <w:pPr>
        <w:spacing w:after="0" w:line="360" w:lineRule="auto"/>
        <w:contextualSpacing/>
        <w:rPr>
          <w:rFonts w:ascii="Arial" w:hAnsi="Arial" w:cs="Arial"/>
          <w:sz w:val="24"/>
          <w:szCs w:val="24"/>
        </w:rPr>
      </w:pPr>
    </w:p>
    <w:p w14:paraId="2F4B2FD8" w14:textId="77777777" w:rsidR="009C6B09" w:rsidRDefault="009C6B09">
      <w:pPr>
        <w:spacing w:after="0" w:line="360" w:lineRule="auto"/>
        <w:contextualSpacing/>
        <w:rPr>
          <w:rFonts w:ascii="Arial" w:hAnsi="Arial" w:cs="Arial"/>
          <w:sz w:val="24"/>
          <w:szCs w:val="24"/>
        </w:rPr>
      </w:pPr>
    </w:p>
    <w:p w14:paraId="72772FA8" w14:textId="77777777" w:rsidR="009C6B09" w:rsidRDefault="009C6B09">
      <w:pPr>
        <w:spacing w:after="0" w:line="360" w:lineRule="auto"/>
        <w:contextualSpacing/>
        <w:rPr>
          <w:rFonts w:ascii="Arial" w:hAnsi="Arial" w:cs="Arial"/>
          <w:sz w:val="24"/>
          <w:szCs w:val="24"/>
        </w:rPr>
      </w:pPr>
    </w:p>
    <w:p w14:paraId="616C3717" w14:textId="77777777" w:rsidR="009C6B09" w:rsidRDefault="009C6B09">
      <w:pPr>
        <w:spacing w:after="0" w:line="360" w:lineRule="auto"/>
        <w:contextualSpacing/>
        <w:rPr>
          <w:rFonts w:ascii="Arial" w:hAnsi="Arial" w:cs="Arial"/>
          <w:sz w:val="24"/>
          <w:szCs w:val="24"/>
        </w:rPr>
      </w:pPr>
    </w:p>
    <w:p w14:paraId="0F8A5F53" w14:textId="77777777" w:rsidR="009C6B09" w:rsidRDefault="009C6B09">
      <w:pPr>
        <w:spacing w:after="0" w:line="360" w:lineRule="auto"/>
        <w:contextualSpacing/>
        <w:rPr>
          <w:rFonts w:ascii="Arial" w:hAnsi="Arial" w:cs="Arial"/>
          <w:sz w:val="24"/>
          <w:szCs w:val="24"/>
        </w:rPr>
      </w:pPr>
    </w:p>
    <w:p w14:paraId="4A77B131" w14:textId="77777777" w:rsidR="009C6B09" w:rsidRDefault="009C6B09">
      <w:pPr>
        <w:spacing w:after="0" w:line="360" w:lineRule="auto"/>
        <w:contextualSpacing/>
        <w:rPr>
          <w:rFonts w:ascii="Arial" w:hAnsi="Arial" w:cs="Arial"/>
          <w:sz w:val="24"/>
          <w:szCs w:val="24"/>
        </w:rPr>
      </w:pPr>
    </w:p>
    <w:p w14:paraId="6CD58DEC" w14:textId="77777777" w:rsidR="009C6B09" w:rsidRDefault="009C6B09">
      <w:pPr>
        <w:spacing w:after="0" w:line="360" w:lineRule="auto"/>
        <w:contextualSpacing/>
        <w:rPr>
          <w:rFonts w:ascii="Arial" w:hAnsi="Arial" w:cs="Arial"/>
          <w:sz w:val="24"/>
          <w:szCs w:val="24"/>
        </w:rPr>
      </w:pPr>
    </w:p>
    <w:p w14:paraId="5B28B577" w14:textId="77777777" w:rsidR="00984A92" w:rsidRDefault="00984A92">
      <w:pPr>
        <w:spacing w:after="0" w:line="360" w:lineRule="auto"/>
        <w:contextualSpacing/>
        <w:rPr>
          <w:rFonts w:ascii="Arial" w:hAnsi="Arial" w:cs="Arial"/>
          <w:sz w:val="24"/>
          <w:szCs w:val="24"/>
        </w:rPr>
      </w:pPr>
    </w:p>
    <w:p w14:paraId="308F3FA6" w14:textId="77777777" w:rsidR="00984A92" w:rsidRDefault="00984A92">
      <w:pPr>
        <w:spacing w:after="0" w:line="360" w:lineRule="auto"/>
        <w:contextualSpacing/>
        <w:rPr>
          <w:rFonts w:ascii="Arial" w:hAnsi="Arial" w:cs="Arial"/>
          <w:sz w:val="24"/>
          <w:szCs w:val="24"/>
        </w:rPr>
      </w:pPr>
    </w:p>
    <w:p w14:paraId="73D74C30" w14:textId="77777777" w:rsidR="00984A92" w:rsidRDefault="00984A92">
      <w:pPr>
        <w:spacing w:after="0" w:line="360" w:lineRule="auto"/>
        <w:contextualSpacing/>
        <w:rPr>
          <w:rFonts w:ascii="Arial" w:hAnsi="Arial" w:cs="Arial"/>
          <w:sz w:val="24"/>
          <w:szCs w:val="24"/>
        </w:rPr>
      </w:pPr>
    </w:p>
    <w:p w14:paraId="0C1E92E0" w14:textId="77777777" w:rsidR="00984A92" w:rsidRDefault="00984A92">
      <w:pPr>
        <w:spacing w:after="0" w:line="360" w:lineRule="auto"/>
        <w:contextualSpacing/>
        <w:rPr>
          <w:rFonts w:ascii="Arial" w:hAnsi="Arial" w:cs="Arial"/>
          <w:sz w:val="24"/>
          <w:szCs w:val="24"/>
        </w:rPr>
      </w:pPr>
    </w:p>
    <w:p w14:paraId="5C40B9FB" w14:textId="77777777" w:rsidR="00984A92" w:rsidRDefault="00984A92">
      <w:pPr>
        <w:spacing w:after="0" w:line="360" w:lineRule="auto"/>
        <w:contextualSpacing/>
        <w:rPr>
          <w:rFonts w:ascii="Arial" w:hAnsi="Arial" w:cs="Arial"/>
          <w:sz w:val="24"/>
          <w:szCs w:val="24"/>
        </w:rPr>
      </w:pPr>
    </w:p>
    <w:p w14:paraId="37DADAB5" w14:textId="77777777" w:rsidR="00984A92" w:rsidRDefault="00984A92">
      <w:pPr>
        <w:spacing w:after="0" w:line="360" w:lineRule="auto"/>
        <w:contextualSpacing/>
        <w:rPr>
          <w:rFonts w:ascii="Arial" w:hAnsi="Arial" w:cs="Arial"/>
          <w:sz w:val="24"/>
          <w:szCs w:val="24"/>
        </w:rPr>
      </w:pPr>
    </w:p>
    <w:p w14:paraId="7991ACF8" w14:textId="77777777" w:rsidR="00984A92" w:rsidRDefault="00984A92">
      <w:pPr>
        <w:spacing w:after="0" w:line="360" w:lineRule="auto"/>
        <w:contextualSpacing/>
        <w:rPr>
          <w:rFonts w:ascii="Arial" w:hAnsi="Arial" w:cs="Arial"/>
          <w:sz w:val="24"/>
          <w:szCs w:val="24"/>
        </w:rPr>
      </w:pPr>
    </w:p>
    <w:p w14:paraId="3F06C4AB" w14:textId="77777777" w:rsidR="00984A92" w:rsidRDefault="00984A92">
      <w:pPr>
        <w:spacing w:after="0" w:line="360" w:lineRule="auto"/>
        <w:contextualSpacing/>
        <w:rPr>
          <w:rFonts w:ascii="Arial" w:hAnsi="Arial" w:cs="Arial"/>
          <w:sz w:val="24"/>
          <w:szCs w:val="24"/>
        </w:rPr>
      </w:pPr>
    </w:p>
    <w:sdt>
      <w:sdtPr>
        <w:rPr>
          <w:rFonts w:ascii="Arial" w:eastAsiaTheme="minorHAnsi" w:hAnsi="Arial" w:cs="Arial"/>
          <w:color w:val="auto"/>
          <w:sz w:val="24"/>
          <w:szCs w:val="24"/>
          <w:lang w:val="en-GB"/>
        </w:rPr>
        <w:id w:val="649724707"/>
        <w:docPartObj>
          <w:docPartGallery w:val="Table of Contents"/>
          <w:docPartUnique/>
        </w:docPartObj>
      </w:sdtPr>
      <w:sdtEndPr>
        <w:rPr>
          <w:b/>
          <w:bCs/>
        </w:rPr>
      </w:sdtEndPr>
      <w:sdtContent>
        <w:p w14:paraId="57B290DE" w14:textId="77777777" w:rsidR="009C6B09" w:rsidRDefault="00994D0C">
          <w:pPr>
            <w:pStyle w:val="TOCHeading1"/>
            <w:spacing w:before="0" w:line="360" w:lineRule="auto"/>
            <w:contextualSpacing/>
            <w:jc w:val="center"/>
            <w:rPr>
              <w:rFonts w:ascii="Arial" w:hAnsi="Arial" w:cs="Arial"/>
              <w:b/>
              <w:color w:val="auto"/>
              <w:sz w:val="24"/>
              <w:szCs w:val="24"/>
            </w:rPr>
          </w:pPr>
          <w:r>
            <w:rPr>
              <w:rFonts w:ascii="Arial" w:hAnsi="Arial" w:cs="Arial"/>
              <w:b/>
              <w:color w:val="auto"/>
              <w:sz w:val="24"/>
              <w:szCs w:val="24"/>
            </w:rPr>
            <w:t>Table of Contents</w:t>
          </w:r>
        </w:p>
        <w:p w14:paraId="786C7155" w14:textId="77777777" w:rsidR="009C6B09" w:rsidRDefault="00994D0C">
          <w:pPr>
            <w:pStyle w:val="TOC1"/>
            <w:tabs>
              <w:tab w:val="right" w:leader="dot" w:pos="9016"/>
            </w:tabs>
            <w:spacing w:after="0" w:line="360" w:lineRule="auto"/>
            <w:contextualSpacing/>
            <w:rPr>
              <w:rFonts w:ascii="Arial" w:hAnsi="Arial" w:cs="Arial"/>
              <w:sz w:val="24"/>
              <w:szCs w:val="24"/>
            </w:rPr>
          </w:pPr>
          <w:r>
            <w:rPr>
              <w:rFonts w:ascii="Arial" w:hAnsi="Arial" w:cs="Arial"/>
              <w:b/>
              <w:bCs/>
              <w:sz w:val="24"/>
              <w:szCs w:val="24"/>
            </w:rPr>
            <w:fldChar w:fldCharType="begin"/>
          </w:r>
          <w:r>
            <w:rPr>
              <w:rFonts w:ascii="Arial" w:hAnsi="Arial" w:cs="Arial"/>
              <w:b/>
              <w:bCs/>
              <w:sz w:val="24"/>
              <w:szCs w:val="24"/>
            </w:rPr>
            <w:instrText xml:space="preserve"> TOC \o "1-3" \h \z \u </w:instrText>
          </w:r>
          <w:r>
            <w:rPr>
              <w:rFonts w:ascii="Arial" w:hAnsi="Arial" w:cs="Arial"/>
              <w:b/>
              <w:bCs/>
              <w:sz w:val="24"/>
              <w:szCs w:val="24"/>
            </w:rPr>
            <w:fldChar w:fldCharType="separate"/>
          </w:r>
          <w:hyperlink w:anchor="_Toc234856521" w:history="1">
            <w:r>
              <w:rPr>
                <w:rStyle w:val="Hyperlink"/>
                <w:rFonts w:ascii="Arial" w:hAnsi="Arial" w:cs="Arial"/>
                <w:color w:val="auto"/>
                <w:sz w:val="24"/>
                <w:szCs w:val="24"/>
              </w:rPr>
              <w:t>SECTION 1</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_Toc234856521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hyperlink>
        </w:p>
        <w:p w14:paraId="7344BE2A" w14:textId="77777777" w:rsidR="009C6B09" w:rsidRDefault="00994D0C">
          <w:pPr>
            <w:pStyle w:val="TOC1"/>
            <w:tabs>
              <w:tab w:val="right" w:leader="dot" w:pos="9016"/>
            </w:tabs>
            <w:spacing w:after="0" w:line="360" w:lineRule="auto"/>
            <w:contextualSpacing/>
            <w:rPr>
              <w:rFonts w:ascii="Arial" w:hAnsi="Arial" w:cs="Arial"/>
              <w:sz w:val="24"/>
              <w:szCs w:val="24"/>
            </w:rPr>
          </w:pPr>
          <w:hyperlink w:anchor="_Toc234856522" w:history="1">
            <w:r>
              <w:rPr>
                <w:rStyle w:val="Hyperlink"/>
                <w:rFonts w:ascii="Arial" w:hAnsi="Arial" w:cs="Arial"/>
                <w:color w:val="auto"/>
                <w:sz w:val="24"/>
                <w:szCs w:val="24"/>
              </w:rPr>
              <w:t>1. Introduction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_Toc234856522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hyperlink>
        </w:p>
        <w:p w14:paraId="2F404DDD" w14:textId="77777777" w:rsidR="009C6B09" w:rsidRDefault="00994D0C">
          <w:pPr>
            <w:pStyle w:val="TOC1"/>
            <w:tabs>
              <w:tab w:val="right" w:leader="dot" w:pos="9016"/>
            </w:tabs>
            <w:spacing w:after="0" w:line="360" w:lineRule="auto"/>
            <w:contextualSpacing/>
            <w:rPr>
              <w:rFonts w:ascii="Arial" w:hAnsi="Arial" w:cs="Arial"/>
              <w:sz w:val="24"/>
              <w:szCs w:val="24"/>
            </w:rPr>
          </w:pPr>
          <w:hyperlink w:anchor="_Toc234856523" w:history="1">
            <w:r>
              <w:rPr>
                <w:rStyle w:val="Hyperlink"/>
                <w:rFonts w:ascii="Arial" w:hAnsi="Arial" w:cs="Arial"/>
                <w:color w:val="auto"/>
                <w:sz w:val="24"/>
                <w:szCs w:val="24"/>
              </w:rPr>
              <w:t>2. Company Overview</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_Toc234856523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hyperlink>
        </w:p>
        <w:p w14:paraId="50F7F3D2" w14:textId="77777777" w:rsidR="009C6B09" w:rsidRDefault="00994D0C">
          <w:pPr>
            <w:pStyle w:val="TOC1"/>
            <w:tabs>
              <w:tab w:val="right" w:leader="dot" w:pos="9016"/>
            </w:tabs>
            <w:spacing w:after="0" w:line="360" w:lineRule="auto"/>
            <w:contextualSpacing/>
            <w:rPr>
              <w:rFonts w:ascii="Arial" w:hAnsi="Arial" w:cs="Arial"/>
              <w:sz w:val="24"/>
              <w:szCs w:val="24"/>
            </w:rPr>
          </w:pPr>
          <w:hyperlink w:anchor="_Toc234856524" w:history="1">
            <w:r>
              <w:rPr>
                <w:rStyle w:val="Hyperlink"/>
                <w:rFonts w:ascii="Arial" w:hAnsi="Arial" w:cs="Arial"/>
                <w:color w:val="auto"/>
                <w:sz w:val="24"/>
                <w:szCs w:val="24"/>
              </w:rPr>
              <w:t>3. Comparative Market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_Toc234856524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hyperlink>
        </w:p>
        <w:p w14:paraId="5351A5A4"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25" w:history="1">
            <w:r>
              <w:rPr>
                <w:rStyle w:val="Hyperlink"/>
                <w:rFonts w:ascii="Arial" w:hAnsi="Arial" w:cs="Arial"/>
                <w:color w:val="auto"/>
                <w:sz w:val="24"/>
                <w:szCs w:val="24"/>
              </w:rPr>
              <w:t>3.1 Political Environment</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_Toc234856525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hyperlink>
        </w:p>
        <w:p w14:paraId="7E4C630F"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26" w:history="1">
            <w:r>
              <w:rPr>
                <w:rStyle w:val="Hyperlink"/>
                <w:rFonts w:ascii="Arial" w:hAnsi="Arial" w:cs="Arial"/>
                <w:color w:val="auto"/>
                <w:sz w:val="24"/>
                <w:szCs w:val="24"/>
              </w:rPr>
              <w:t>3.2 Economic Environment</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_Toc234856526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hyperlink>
        </w:p>
        <w:p w14:paraId="53813886"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27" w:history="1">
            <w:r>
              <w:rPr>
                <w:rStyle w:val="Hyperlink"/>
                <w:rFonts w:ascii="Arial" w:hAnsi="Arial" w:cs="Arial"/>
                <w:color w:val="auto"/>
                <w:sz w:val="24"/>
                <w:szCs w:val="24"/>
              </w:rPr>
              <w:t>3.3 Social Environment</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_Toc234856527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6</w:t>
            </w:r>
            <w:r>
              <w:rPr>
                <w:rFonts w:ascii="Arial" w:hAnsi="Arial" w:cs="Arial"/>
                <w:sz w:val="24"/>
                <w:szCs w:val="24"/>
              </w:rPr>
              <w:fldChar w:fldCharType="end"/>
            </w:r>
          </w:hyperlink>
        </w:p>
        <w:p w14:paraId="1F62531C"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28" w:history="1">
            <w:r>
              <w:rPr>
                <w:rStyle w:val="Hyperlink"/>
                <w:rFonts w:ascii="Arial" w:hAnsi="Arial" w:cs="Arial"/>
                <w:color w:val="auto"/>
                <w:sz w:val="24"/>
                <w:szCs w:val="24"/>
              </w:rPr>
              <w:t>3.4 Technological Environment</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_Toc234856528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6</w:t>
            </w:r>
            <w:r>
              <w:rPr>
                <w:rFonts w:ascii="Arial" w:hAnsi="Arial" w:cs="Arial"/>
                <w:sz w:val="24"/>
                <w:szCs w:val="24"/>
              </w:rPr>
              <w:fldChar w:fldCharType="end"/>
            </w:r>
          </w:hyperlink>
        </w:p>
        <w:p w14:paraId="1A1B1844"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29" w:history="1">
            <w:r>
              <w:rPr>
                <w:rStyle w:val="Hyperlink"/>
                <w:rFonts w:ascii="Arial" w:hAnsi="Arial" w:cs="Arial"/>
                <w:color w:val="auto"/>
                <w:sz w:val="24"/>
                <w:szCs w:val="24"/>
              </w:rPr>
              <w:t>3.5 Legal Environment</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_Toc234856529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hyperlink>
        </w:p>
        <w:p w14:paraId="1C7E99EF"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30" w:history="1">
            <w:r>
              <w:rPr>
                <w:rStyle w:val="Hyperlink"/>
                <w:rFonts w:ascii="Arial" w:hAnsi="Arial" w:cs="Arial"/>
                <w:color w:val="auto"/>
                <w:sz w:val="24"/>
                <w:szCs w:val="24"/>
              </w:rPr>
              <w:t>3.6 Environmental Factors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_Toc234856530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hyperlink>
        </w:p>
        <w:p w14:paraId="3FE42643"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31" w:history="1">
            <w:r>
              <w:rPr>
                <w:rStyle w:val="Hyperlink"/>
                <w:rFonts w:ascii="Arial" w:hAnsi="Arial" w:cs="Arial"/>
                <w:color w:val="auto"/>
                <w:sz w:val="24"/>
                <w:szCs w:val="24"/>
              </w:rPr>
              <w:t>3.7 Hofstede Cultural Comparison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_Toc234856531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8</w:t>
            </w:r>
            <w:r>
              <w:rPr>
                <w:rFonts w:ascii="Arial" w:hAnsi="Arial" w:cs="Arial"/>
                <w:sz w:val="24"/>
                <w:szCs w:val="24"/>
              </w:rPr>
              <w:fldChar w:fldCharType="end"/>
            </w:r>
          </w:hyperlink>
        </w:p>
        <w:p w14:paraId="2E9CBA46" w14:textId="77777777" w:rsidR="009C6B09" w:rsidRDefault="00994D0C">
          <w:pPr>
            <w:pStyle w:val="TOC1"/>
            <w:tabs>
              <w:tab w:val="right" w:leader="dot" w:pos="9016"/>
            </w:tabs>
            <w:spacing w:after="0" w:line="360" w:lineRule="auto"/>
            <w:contextualSpacing/>
            <w:rPr>
              <w:rFonts w:ascii="Arial" w:hAnsi="Arial" w:cs="Arial"/>
              <w:sz w:val="24"/>
              <w:szCs w:val="24"/>
            </w:rPr>
          </w:pPr>
          <w:hyperlink w:anchor="_Toc234856532" w:history="1">
            <w:r>
              <w:rPr>
                <w:rStyle w:val="Hyperlink"/>
                <w:rFonts w:ascii="Arial" w:hAnsi="Arial" w:cs="Arial"/>
                <w:color w:val="auto"/>
                <w:sz w:val="24"/>
                <w:szCs w:val="24"/>
              </w:rPr>
              <w:t>4. Comparative STP Strategy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_Toc234856532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8</w:t>
            </w:r>
            <w:r>
              <w:rPr>
                <w:rFonts w:ascii="Arial" w:hAnsi="Arial" w:cs="Arial"/>
                <w:sz w:val="24"/>
                <w:szCs w:val="24"/>
              </w:rPr>
              <w:fldChar w:fldCharType="end"/>
            </w:r>
          </w:hyperlink>
        </w:p>
        <w:p w14:paraId="4DA2D26A"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33" w:history="1">
            <w:r>
              <w:rPr>
                <w:rStyle w:val="Hyperlink"/>
                <w:rFonts w:ascii="Arial" w:hAnsi="Arial" w:cs="Arial"/>
                <w:color w:val="auto"/>
                <w:sz w:val="24"/>
                <w:szCs w:val="24"/>
              </w:rPr>
              <w:t>4.1 Segmentation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_Toc234856533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8</w:t>
            </w:r>
            <w:r>
              <w:rPr>
                <w:rFonts w:ascii="Arial" w:hAnsi="Arial" w:cs="Arial"/>
                <w:sz w:val="24"/>
                <w:szCs w:val="24"/>
              </w:rPr>
              <w:fldChar w:fldCharType="end"/>
            </w:r>
          </w:hyperlink>
        </w:p>
        <w:p w14:paraId="7A6F152E"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34" w:history="1">
            <w:r>
              <w:rPr>
                <w:rStyle w:val="Hyperlink"/>
                <w:rFonts w:ascii="Arial" w:hAnsi="Arial" w:cs="Arial"/>
                <w:color w:val="auto"/>
                <w:sz w:val="24"/>
                <w:szCs w:val="24"/>
              </w:rPr>
              <w:t>4.2 Targeting</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_Toc234856534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9</w:t>
            </w:r>
            <w:r>
              <w:rPr>
                <w:rFonts w:ascii="Arial" w:hAnsi="Arial" w:cs="Arial"/>
                <w:sz w:val="24"/>
                <w:szCs w:val="24"/>
              </w:rPr>
              <w:fldChar w:fldCharType="end"/>
            </w:r>
          </w:hyperlink>
        </w:p>
        <w:p w14:paraId="128C7C67"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35" w:history="1">
            <w:r>
              <w:rPr>
                <w:rStyle w:val="Hyperlink"/>
                <w:rFonts w:ascii="Arial" w:hAnsi="Arial" w:cs="Arial"/>
                <w:color w:val="auto"/>
                <w:sz w:val="24"/>
                <w:szCs w:val="24"/>
              </w:rPr>
              <w:t>4.3 Positioning</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_Toc234856535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10</w:t>
            </w:r>
            <w:r>
              <w:rPr>
                <w:rFonts w:ascii="Arial" w:hAnsi="Arial" w:cs="Arial"/>
                <w:sz w:val="24"/>
                <w:szCs w:val="24"/>
              </w:rPr>
              <w:fldChar w:fldCharType="end"/>
            </w:r>
          </w:hyperlink>
        </w:p>
        <w:p w14:paraId="328D241B" w14:textId="77777777" w:rsidR="009C6B09" w:rsidRDefault="00994D0C">
          <w:pPr>
            <w:pStyle w:val="TOC1"/>
            <w:tabs>
              <w:tab w:val="right" w:leader="dot" w:pos="9016"/>
            </w:tabs>
            <w:spacing w:after="0" w:line="360" w:lineRule="auto"/>
            <w:contextualSpacing/>
            <w:rPr>
              <w:rFonts w:ascii="Arial" w:hAnsi="Arial" w:cs="Arial"/>
              <w:sz w:val="24"/>
              <w:szCs w:val="24"/>
            </w:rPr>
          </w:pPr>
          <w:hyperlink w:anchor="_Toc234856536" w:history="1">
            <w:r>
              <w:rPr>
                <w:rStyle w:val="Hyperlink"/>
                <w:rFonts w:ascii="Arial" w:hAnsi="Arial" w:cs="Arial"/>
                <w:color w:val="auto"/>
                <w:sz w:val="24"/>
                <w:szCs w:val="24"/>
              </w:rPr>
              <w:t>5. Comparative International Marketing Mix (7Ps)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_Toc234856536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10</w:t>
            </w:r>
            <w:r>
              <w:rPr>
                <w:rFonts w:ascii="Arial" w:hAnsi="Arial" w:cs="Arial"/>
                <w:sz w:val="24"/>
                <w:szCs w:val="24"/>
              </w:rPr>
              <w:fldChar w:fldCharType="end"/>
            </w:r>
          </w:hyperlink>
        </w:p>
        <w:p w14:paraId="6BAEEB7C"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37" w:history="1">
            <w:r>
              <w:rPr>
                <w:rStyle w:val="Hyperlink"/>
                <w:rFonts w:ascii="Arial" w:hAnsi="Arial" w:cs="Arial"/>
                <w:color w:val="auto"/>
                <w:sz w:val="24"/>
                <w:szCs w:val="24"/>
              </w:rPr>
              <w:t>5.1 Product</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_Toc234856537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10</w:t>
            </w:r>
            <w:r>
              <w:rPr>
                <w:rFonts w:ascii="Arial" w:hAnsi="Arial" w:cs="Arial"/>
                <w:sz w:val="24"/>
                <w:szCs w:val="24"/>
              </w:rPr>
              <w:fldChar w:fldCharType="end"/>
            </w:r>
          </w:hyperlink>
        </w:p>
        <w:p w14:paraId="308CDF6C"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38" w:history="1">
            <w:r>
              <w:rPr>
                <w:rStyle w:val="Hyperlink"/>
                <w:rFonts w:ascii="Arial" w:hAnsi="Arial" w:cs="Arial"/>
                <w:color w:val="auto"/>
                <w:sz w:val="24"/>
                <w:szCs w:val="24"/>
              </w:rPr>
              <w:t>5.2 Price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_Toc234856538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11</w:t>
            </w:r>
            <w:r>
              <w:rPr>
                <w:rFonts w:ascii="Arial" w:hAnsi="Arial" w:cs="Arial"/>
                <w:sz w:val="24"/>
                <w:szCs w:val="24"/>
              </w:rPr>
              <w:fldChar w:fldCharType="end"/>
            </w:r>
          </w:hyperlink>
        </w:p>
        <w:p w14:paraId="2763F0F4"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39" w:history="1">
            <w:r>
              <w:rPr>
                <w:rStyle w:val="Hyperlink"/>
                <w:rFonts w:ascii="Arial" w:hAnsi="Arial" w:cs="Arial"/>
                <w:color w:val="auto"/>
                <w:sz w:val="24"/>
                <w:szCs w:val="24"/>
              </w:rPr>
              <w:t>5.3 Place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_Toc234856539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11</w:t>
            </w:r>
            <w:r>
              <w:rPr>
                <w:rFonts w:ascii="Arial" w:hAnsi="Arial" w:cs="Arial"/>
                <w:sz w:val="24"/>
                <w:szCs w:val="24"/>
              </w:rPr>
              <w:fldChar w:fldCharType="end"/>
            </w:r>
          </w:hyperlink>
        </w:p>
        <w:p w14:paraId="401F7564"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40" w:history="1">
            <w:r>
              <w:rPr>
                <w:rStyle w:val="Hyperlink"/>
                <w:rFonts w:ascii="Arial" w:hAnsi="Arial" w:cs="Arial"/>
                <w:color w:val="auto"/>
                <w:sz w:val="24"/>
                <w:szCs w:val="24"/>
              </w:rPr>
              <w:t>5.4 Promotion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_Toc234856540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11</w:t>
            </w:r>
            <w:r>
              <w:rPr>
                <w:rFonts w:ascii="Arial" w:hAnsi="Arial" w:cs="Arial"/>
                <w:sz w:val="24"/>
                <w:szCs w:val="24"/>
              </w:rPr>
              <w:fldChar w:fldCharType="end"/>
            </w:r>
          </w:hyperlink>
        </w:p>
        <w:p w14:paraId="11E75260"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41" w:history="1">
            <w:r>
              <w:rPr>
                <w:rStyle w:val="Hyperlink"/>
                <w:rFonts w:ascii="Arial" w:hAnsi="Arial" w:cs="Arial"/>
                <w:color w:val="auto"/>
                <w:sz w:val="24"/>
                <w:szCs w:val="24"/>
              </w:rPr>
              <w:t>5.5 People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_Toc234856541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12</w:t>
            </w:r>
            <w:r>
              <w:rPr>
                <w:rFonts w:ascii="Arial" w:hAnsi="Arial" w:cs="Arial"/>
                <w:sz w:val="24"/>
                <w:szCs w:val="24"/>
              </w:rPr>
              <w:fldChar w:fldCharType="end"/>
            </w:r>
          </w:hyperlink>
        </w:p>
        <w:p w14:paraId="724FE691"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42" w:history="1">
            <w:r>
              <w:rPr>
                <w:rStyle w:val="Hyperlink"/>
                <w:rFonts w:ascii="Arial" w:hAnsi="Arial" w:cs="Arial"/>
                <w:color w:val="auto"/>
                <w:sz w:val="24"/>
                <w:szCs w:val="24"/>
              </w:rPr>
              <w:t>5.6 Process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_Toc234856542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12</w:t>
            </w:r>
            <w:r>
              <w:rPr>
                <w:rFonts w:ascii="Arial" w:hAnsi="Arial" w:cs="Arial"/>
                <w:sz w:val="24"/>
                <w:szCs w:val="24"/>
              </w:rPr>
              <w:fldChar w:fldCharType="end"/>
            </w:r>
          </w:hyperlink>
        </w:p>
        <w:p w14:paraId="7E4D43A1"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43" w:history="1">
            <w:r>
              <w:rPr>
                <w:rStyle w:val="Hyperlink"/>
                <w:rFonts w:ascii="Arial" w:hAnsi="Arial" w:cs="Arial"/>
                <w:color w:val="auto"/>
                <w:sz w:val="24"/>
                <w:szCs w:val="24"/>
              </w:rPr>
              <w:t>5.7 Physical Evidence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_Toc234856543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12</w:t>
            </w:r>
            <w:r>
              <w:rPr>
                <w:rFonts w:ascii="Arial" w:hAnsi="Arial" w:cs="Arial"/>
                <w:sz w:val="24"/>
                <w:szCs w:val="24"/>
              </w:rPr>
              <w:fldChar w:fldCharType="end"/>
            </w:r>
          </w:hyperlink>
        </w:p>
        <w:p w14:paraId="75287A89" w14:textId="77777777" w:rsidR="009C6B09" w:rsidRDefault="00994D0C">
          <w:pPr>
            <w:pStyle w:val="TOC1"/>
            <w:tabs>
              <w:tab w:val="right" w:leader="dot" w:pos="9016"/>
            </w:tabs>
            <w:spacing w:after="0" w:line="360" w:lineRule="auto"/>
            <w:contextualSpacing/>
            <w:rPr>
              <w:rFonts w:ascii="Arial" w:hAnsi="Arial" w:cs="Arial"/>
              <w:sz w:val="24"/>
              <w:szCs w:val="24"/>
            </w:rPr>
          </w:pPr>
          <w:hyperlink w:anchor="_Toc234856544" w:history="1">
            <w:r>
              <w:rPr>
                <w:rStyle w:val="Hyperlink"/>
                <w:rFonts w:ascii="Arial" w:hAnsi="Arial" w:cs="Arial"/>
                <w:color w:val="auto"/>
                <w:sz w:val="24"/>
                <w:szCs w:val="24"/>
              </w:rPr>
              <w:t>6. Market Entry Strategy in India</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_Toc234856544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13</w:t>
            </w:r>
            <w:r>
              <w:rPr>
                <w:rFonts w:ascii="Arial" w:hAnsi="Arial" w:cs="Arial"/>
                <w:sz w:val="24"/>
                <w:szCs w:val="24"/>
              </w:rPr>
              <w:fldChar w:fldCharType="end"/>
            </w:r>
          </w:hyperlink>
        </w:p>
        <w:p w14:paraId="2CF1CE22"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45" w:history="1">
            <w:r>
              <w:rPr>
                <w:rStyle w:val="Hyperlink"/>
                <w:rFonts w:ascii="Arial" w:hAnsi="Arial" w:cs="Arial"/>
                <w:color w:val="auto"/>
                <w:sz w:val="24"/>
                <w:szCs w:val="24"/>
              </w:rPr>
              <w:t>6.1 Historical Entry and Expansion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_Toc234856545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13</w:t>
            </w:r>
            <w:r>
              <w:rPr>
                <w:rFonts w:ascii="Arial" w:hAnsi="Arial" w:cs="Arial"/>
                <w:sz w:val="24"/>
                <w:szCs w:val="24"/>
              </w:rPr>
              <w:fldChar w:fldCharType="end"/>
            </w:r>
          </w:hyperlink>
        </w:p>
        <w:p w14:paraId="537DCBA3"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46" w:history="1">
            <w:r>
              <w:rPr>
                <w:rStyle w:val="Hyperlink"/>
                <w:rFonts w:ascii="Arial" w:hAnsi="Arial" w:cs="Arial"/>
                <w:color w:val="auto"/>
                <w:sz w:val="24"/>
                <w:szCs w:val="24"/>
              </w:rPr>
              <w:t>6.2 Adaptation and Success Factors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_Toc234856546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13</w:t>
            </w:r>
            <w:r>
              <w:rPr>
                <w:rFonts w:ascii="Arial" w:hAnsi="Arial" w:cs="Arial"/>
                <w:sz w:val="24"/>
                <w:szCs w:val="24"/>
              </w:rPr>
              <w:fldChar w:fldCharType="end"/>
            </w:r>
          </w:hyperlink>
        </w:p>
        <w:p w14:paraId="1BFA0B87" w14:textId="77777777" w:rsidR="009C6B09" w:rsidRDefault="00994D0C">
          <w:pPr>
            <w:pStyle w:val="TOC1"/>
            <w:tabs>
              <w:tab w:val="right" w:leader="dot" w:pos="9016"/>
            </w:tabs>
            <w:spacing w:after="0" w:line="360" w:lineRule="auto"/>
            <w:contextualSpacing/>
            <w:rPr>
              <w:rFonts w:ascii="Arial" w:hAnsi="Arial" w:cs="Arial"/>
              <w:sz w:val="24"/>
              <w:szCs w:val="24"/>
            </w:rPr>
          </w:pPr>
          <w:hyperlink w:anchor="_Toc234856547" w:history="1">
            <w:r>
              <w:rPr>
                <w:rStyle w:val="Hyperlink"/>
                <w:rFonts w:ascii="Arial" w:hAnsi="Arial" w:cs="Arial"/>
                <w:color w:val="auto"/>
                <w:sz w:val="24"/>
                <w:szCs w:val="24"/>
              </w:rPr>
              <w:t>7. Ethical Issues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_Toc234856547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14</w:t>
            </w:r>
            <w:r>
              <w:rPr>
                <w:rFonts w:ascii="Arial" w:hAnsi="Arial" w:cs="Arial"/>
                <w:sz w:val="24"/>
                <w:szCs w:val="24"/>
              </w:rPr>
              <w:fldChar w:fldCharType="end"/>
            </w:r>
          </w:hyperlink>
        </w:p>
        <w:p w14:paraId="6298EF51"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48" w:history="1">
            <w:r>
              <w:rPr>
                <w:rStyle w:val="Hyperlink"/>
                <w:rFonts w:ascii="Arial" w:hAnsi="Arial" w:cs="Arial"/>
                <w:color w:val="auto"/>
                <w:sz w:val="24"/>
                <w:szCs w:val="24"/>
              </w:rPr>
              <w:t>7.1 Health, Advertising and Cultural Responsibility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_Toc234856548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14</w:t>
            </w:r>
            <w:r>
              <w:rPr>
                <w:rFonts w:ascii="Arial" w:hAnsi="Arial" w:cs="Arial"/>
                <w:sz w:val="24"/>
                <w:szCs w:val="24"/>
              </w:rPr>
              <w:fldChar w:fldCharType="end"/>
            </w:r>
          </w:hyperlink>
        </w:p>
        <w:p w14:paraId="2021D5E3"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49" w:history="1">
            <w:r>
              <w:rPr>
                <w:rStyle w:val="Hyperlink"/>
                <w:rFonts w:ascii="Arial" w:hAnsi="Arial" w:cs="Arial"/>
                <w:color w:val="auto"/>
                <w:sz w:val="24"/>
                <w:szCs w:val="24"/>
              </w:rPr>
              <w:t>7.2 Authenticity, CSR and Sustainability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_Toc234856549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14</w:t>
            </w:r>
            <w:r>
              <w:rPr>
                <w:rFonts w:ascii="Arial" w:hAnsi="Arial" w:cs="Arial"/>
                <w:sz w:val="24"/>
                <w:szCs w:val="24"/>
              </w:rPr>
              <w:fldChar w:fldCharType="end"/>
            </w:r>
          </w:hyperlink>
        </w:p>
        <w:p w14:paraId="4D1728AD" w14:textId="77777777" w:rsidR="009C6B09" w:rsidRDefault="00994D0C">
          <w:pPr>
            <w:pStyle w:val="TOC1"/>
            <w:tabs>
              <w:tab w:val="right" w:leader="dot" w:pos="9016"/>
            </w:tabs>
            <w:spacing w:after="0" w:line="360" w:lineRule="auto"/>
            <w:contextualSpacing/>
            <w:rPr>
              <w:rFonts w:ascii="Arial" w:hAnsi="Arial" w:cs="Arial"/>
              <w:sz w:val="24"/>
              <w:szCs w:val="24"/>
            </w:rPr>
          </w:pPr>
          <w:hyperlink w:anchor="_Toc234856550" w:history="1">
            <w:r>
              <w:rPr>
                <w:rStyle w:val="Hyperlink"/>
                <w:rFonts w:ascii="Arial" w:hAnsi="Arial" w:cs="Arial"/>
                <w:color w:val="auto"/>
                <w:sz w:val="24"/>
                <w:szCs w:val="24"/>
              </w:rPr>
              <w:t>8. Recommendations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_Toc234856550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15</w:t>
            </w:r>
            <w:r>
              <w:rPr>
                <w:rFonts w:ascii="Arial" w:hAnsi="Arial" w:cs="Arial"/>
                <w:sz w:val="24"/>
                <w:szCs w:val="24"/>
              </w:rPr>
              <w:fldChar w:fldCharType="end"/>
            </w:r>
          </w:hyperlink>
        </w:p>
        <w:p w14:paraId="0C804C11" w14:textId="77777777" w:rsidR="009C6B09" w:rsidRDefault="00994D0C">
          <w:pPr>
            <w:pStyle w:val="TOC1"/>
            <w:tabs>
              <w:tab w:val="right" w:leader="dot" w:pos="9016"/>
            </w:tabs>
            <w:spacing w:after="0" w:line="360" w:lineRule="auto"/>
            <w:contextualSpacing/>
            <w:rPr>
              <w:rFonts w:ascii="Arial" w:hAnsi="Arial" w:cs="Arial"/>
              <w:sz w:val="24"/>
              <w:szCs w:val="24"/>
            </w:rPr>
          </w:pPr>
          <w:hyperlink w:anchor="_Toc234856551" w:history="1">
            <w:r>
              <w:rPr>
                <w:rStyle w:val="Hyperlink"/>
                <w:rFonts w:ascii="Arial" w:hAnsi="Arial" w:cs="Arial"/>
                <w:color w:val="auto"/>
                <w:sz w:val="24"/>
                <w:szCs w:val="24"/>
              </w:rPr>
              <w:t>9. Conclusion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_Toc234856551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15</w:t>
            </w:r>
            <w:r>
              <w:rPr>
                <w:rFonts w:ascii="Arial" w:hAnsi="Arial" w:cs="Arial"/>
                <w:sz w:val="24"/>
                <w:szCs w:val="24"/>
              </w:rPr>
              <w:fldChar w:fldCharType="end"/>
            </w:r>
          </w:hyperlink>
        </w:p>
        <w:p w14:paraId="30F2EC23" w14:textId="77777777" w:rsidR="009C6B09" w:rsidRDefault="00994D0C">
          <w:pPr>
            <w:pStyle w:val="TOC1"/>
            <w:tabs>
              <w:tab w:val="right" w:leader="dot" w:pos="9016"/>
            </w:tabs>
            <w:spacing w:after="0" w:line="360" w:lineRule="auto"/>
            <w:contextualSpacing/>
            <w:rPr>
              <w:rFonts w:ascii="Arial" w:hAnsi="Arial" w:cs="Arial"/>
              <w:sz w:val="24"/>
              <w:szCs w:val="24"/>
            </w:rPr>
          </w:pPr>
          <w:hyperlink w:anchor="_Toc234856552" w:history="1">
            <w:r>
              <w:rPr>
                <w:rStyle w:val="Hyperlink"/>
                <w:rFonts w:ascii="Arial" w:hAnsi="Arial" w:cs="Arial"/>
                <w:color w:val="auto"/>
                <w:sz w:val="24"/>
                <w:szCs w:val="24"/>
              </w:rPr>
              <w:t>SECTION 2</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_Toc234856552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16</w:t>
            </w:r>
            <w:r>
              <w:rPr>
                <w:rFonts w:ascii="Arial" w:hAnsi="Arial" w:cs="Arial"/>
                <w:sz w:val="24"/>
                <w:szCs w:val="24"/>
              </w:rPr>
              <w:fldChar w:fldCharType="end"/>
            </w:r>
          </w:hyperlink>
        </w:p>
        <w:p w14:paraId="7259CAE3"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53" w:history="1">
            <w:r>
              <w:rPr>
                <w:rStyle w:val="Hyperlink"/>
                <w:rFonts w:ascii="Arial" w:hAnsi="Arial" w:cs="Arial"/>
                <w:color w:val="auto"/>
                <w:sz w:val="24"/>
                <w:szCs w:val="24"/>
              </w:rPr>
              <w:t>1. Description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_Toc234856553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16</w:t>
            </w:r>
            <w:r>
              <w:rPr>
                <w:rFonts w:ascii="Arial" w:hAnsi="Arial" w:cs="Arial"/>
                <w:sz w:val="24"/>
                <w:szCs w:val="24"/>
              </w:rPr>
              <w:fldChar w:fldCharType="end"/>
            </w:r>
          </w:hyperlink>
        </w:p>
        <w:p w14:paraId="79C94DF0"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54" w:history="1">
            <w:r>
              <w:rPr>
                <w:rStyle w:val="Hyperlink"/>
                <w:rFonts w:ascii="Arial" w:hAnsi="Arial" w:cs="Arial"/>
                <w:color w:val="auto"/>
                <w:sz w:val="24"/>
                <w:szCs w:val="24"/>
              </w:rPr>
              <w:t>2. Feelings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_Toc234856554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16</w:t>
            </w:r>
            <w:r>
              <w:rPr>
                <w:rFonts w:ascii="Arial" w:hAnsi="Arial" w:cs="Arial"/>
                <w:sz w:val="24"/>
                <w:szCs w:val="24"/>
              </w:rPr>
              <w:fldChar w:fldCharType="end"/>
            </w:r>
          </w:hyperlink>
        </w:p>
        <w:p w14:paraId="3ABFEA8C"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55" w:history="1">
            <w:r>
              <w:rPr>
                <w:rStyle w:val="Hyperlink"/>
                <w:rFonts w:ascii="Arial" w:hAnsi="Arial" w:cs="Arial"/>
                <w:color w:val="auto"/>
                <w:sz w:val="24"/>
                <w:szCs w:val="24"/>
              </w:rPr>
              <w:t>3. Evaluation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_Toc234856555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17</w:t>
            </w:r>
            <w:r>
              <w:rPr>
                <w:rFonts w:ascii="Arial" w:hAnsi="Arial" w:cs="Arial"/>
                <w:sz w:val="24"/>
                <w:szCs w:val="24"/>
              </w:rPr>
              <w:fldChar w:fldCharType="end"/>
            </w:r>
          </w:hyperlink>
        </w:p>
        <w:p w14:paraId="6F95C829"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56" w:history="1">
            <w:r>
              <w:rPr>
                <w:rStyle w:val="Hyperlink"/>
                <w:rFonts w:ascii="Arial" w:hAnsi="Arial" w:cs="Arial"/>
                <w:color w:val="auto"/>
                <w:sz w:val="24"/>
                <w:szCs w:val="24"/>
              </w:rPr>
              <w:t>4.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_Toc234856556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17</w:t>
            </w:r>
            <w:r>
              <w:rPr>
                <w:rFonts w:ascii="Arial" w:hAnsi="Arial" w:cs="Arial"/>
                <w:sz w:val="24"/>
                <w:szCs w:val="24"/>
              </w:rPr>
              <w:fldChar w:fldCharType="end"/>
            </w:r>
          </w:hyperlink>
        </w:p>
        <w:p w14:paraId="602CBBC9"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57" w:history="1">
            <w:r>
              <w:rPr>
                <w:rStyle w:val="Hyperlink"/>
                <w:rFonts w:ascii="Arial" w:hAnsi="Arial" w:cs="Arial"/>
                <w:color w:val="auto"/>
                <w:sz w:val="24"/>
                <w:szCs w:val="24"/>
              </w:rPr>
              <w:t>5. Conclusion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_Toc234856557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17</w:t>
            </w:r>
            <w:r>
              <w:rPr>
                <w:rFonts w:ascii="Arial" w:hAnsi="Arial" w:cs="Arial"/>
                <w:sz w:val="24"/>
                <w:szCs w:val="24"/>
              </w:rPr>
              <w:fldChar w:fldCharType="end"/>
            </w:r>
          </w:hyperlink>
        </w:p>
        <w:p w14:paraId="2F2D07A1" w14:textId="77777777" w:rsidR="009C6B09" w:rsidRDefault="00994D0C">
          <w:pPr>
            <w:pStyle w:val="TOC2"/>
            <w:tabs>
              <w:tab w:val="right" w:leader="dot" w:pos="9016"/>
            </w:tabs>
            <w:spacing w:after="0" w:line="360" w:lineRule="auto"/>
            <w:contextualSpacing/>
            <w:rPr>
              <w:rFonts w:ascii="Arial" w:hAnsi="Arial" w:cs="Arial"/>
              <w:sz w:val="24"/>
              <w:szCs w:val="24"/>
            </w:rPr>
          </w:pPr>
          <w:hyperlink w:anchor="_Toc234856558" w:history="1">
            <w:r>
              <w:rPr>
                <w:rStyle w:val="Hyperlink"/>
                <w:rFonts w:ascii="Arial" w:hAnsi="Arial" w:cs="Arial"/>
                <w:color w:val="auto"/>
                <w:sz w:val="24"/>
                <w:szCs w:val="24"/>
              </w:rPr>
              <w:t>6. Action Plan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_Toc234856558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18</w:t>
            </w:r>
            <w:r>
              <w:rPr>
                <w:rFonts w:ascii="Arial" w:hAnsi="Arial" w:cs="Arial"/>
                <w:sz w:val="24"/>
                <w:szCs w:val="24"/>
              </w:rPr>
              <w:fldChar w:fldCharType="end"/>
            </w:r>
          </w:hyperlink>
        </w:p>
        <w:p w14:paraId="6D8A7DC2" w14:textId="77777777" w:rsidR="009C6B09" w:rsidRDefault="00994D0C">
          <w:pPr>
            <w:pStyle w:val="TOC1"/>
            <w:tabs>
              <w:tab w:val="right" w:leader="dot" w:pos="9016"/>
            </w:tabs>
            <w:spacing w:after="0" w:line="360" w:lineRule="auto"/>
            <w:contextualSpacing/>
            <w:rPr>
              <w:rFonts w:ascii="Arial" w:hAnsi="Arial" w:cs="Arial"/>
              <w:sz w:val="24"/>
              <w:szCs w:val="24"/>
            </w:rPr>
          </w:pPr>
          <w:hyperlink w:anchor="_Toc234856559" w:history="1">
            <w:r>
              <w:rPr>
                <w:rStyle w:val="Hyperlink"/>
                <w:rFonts w:ascii="Arial" w:hAnsi="Arial" w:cs="Arial"/>
                <w:color w:val="auto"/>
                <w:sz w:val="24"/>
                <w:szCs w:val="24"/>
                <w:lang w:val="en-US"/>
              </w:rPr>
              <w:t>References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_Toc234856559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19</w:t>
            </w:r>
            <w:r>
              <w:rPr>
                <w:rFonts w:ascii="Arial" w:hAnsi="Arial" w:cs="Arial"/>
                <w:sz w:val="24"/>
                <w:szCs w:val="24"/>
              </w:rPr>
              <w:fldChar w:fldCharType="end"/>
            </w:r>
          </w:hyperlink>
        </w:p>
        <w:p w14:paraId="5B2D6EB9" w14:textId="45B42B7F" w:rsidR="009C6B09" w:rsidRDefault="00994D0C">
          <w:pPr>
            <w:spacing w:after="0" w:line="360" w:lineRule="auto"/>
            <w:contextualSpacing/>
            <w:rPr>
              <w:rFonts w:ascii="Arial" w:hAnsi="Arial" w:cs="Arial"/>
              <w:sz w:val="24"/>
              <w:szCs w:val="24"/>
            </w:rPr>
          </w:pPr>
          <w:r>
            <w:rPr>
              <w:rFonts w:ascii="Arial" w:hAnsi="Arial" w:cs="Arial"/>
              <w:b/>
              <w:bCs/>
              <w:sz w:val="24"/>
              <w:szCs w:val="24"/>
            </w:rPr>
            <w:fldChar w:fldCharType="end"/>
          </w:r>
        </w:p>
      </w:sdtContent>
    </w:sdt>
    <w:p w14:paraId="78FD9CF9" w14:textId="77777777" w:rsidR="009C6B09" w:rsidRDefault="009C6B09">
      <w:pPr>
        <w:spacing w:after="0" w:line="360" w:lineRule="auto"/>
        <w:contextualSpacing/>
        <w:rPr>
          <w:rFonts w:ascii="Arial" w:hAnsi="Arial" w:cs="Arial"/>
          <w:sz w:val="24"/>
          <w:szCs w:val="24"/>
        </w:rPr>
      </w:pPr>
    </w:p>
    <w:p w14:paraId="6BC3822C" w14:textId="77777777" w:rsidR="00984A92" w:rsidRDefault="00984A92">
      <w:pPr>
        <w:pStyle w:val="Heading1"/>
        <w:spacing w:before="0" w:line="360" w:lineRule="auto"/>
        <w:contextualSpacing/>
        <w:jc w:val="center"/>
        <w:rPr>
          <w:i w:val="0"/>
        </w:rPr>
      </w:pPr>
      <w:bookmarkStart w:id="0" w:name="_Toc234856521"/>
    </w:p>
    <w:p w14:paraId="4BC1873C" w14:textId="77777777" w:rsidR="00984A92" w:rsidRDefault="00984A92">
      <w:pPr>
        <w:pStyle w:val="Heading1"/>
        <w:spacing w:before="0" w:line="360" w:lineRule="auto"/>
        <w:contextualSpacing/>
        <w:jc w:val="center"/>
        <w:rPr>
          <w:i w:val="0"/>
        </w:rPr>
      </w:pPr>
    </w:p>
    <w:p w14:paraId="45ECA9C1" w14:textId="77777777" w:rsidR="00984A92" w:rsidRDefault="00984A92">
      <w:pPr>
        <w:pStyle w:val="Heading1"/>
        <w:spacing w:before="0" w:line="360" w:lineRule="auto"/>
        <w:contextualSpacing/>
        <w:jc w:val="center"/>
        <w:rPr>
          <w:i w:val="0"/>
        </w:rPr>
      </w:pPr>
    </w:p>
    <w:p w14:paraId="659BA881" w14:textId="77777777" w:rsidR="00984A92" w:rsidRDefault="00984A92">
      <w:pPr>
        <w:pStyle w:val="Heading1"/>
        <w:spacing w:before="0" w:line="360" w:lineRule="auto"/>
        <w:contextualSpacing/>
        <w:jc w:val="center"/>
        <w:rPr>
          <w:i w:val="0"/>
        </w:rPr>
      </w:pPr>
    </w:p>
    <w:p w14:paraId="4C0D0DF6" w14:textId="77777777" w:rsidR="00984A92" w:rsidRDefault="00984A92">
      <w:pPr>
        <w:pStyle w:val="Heading1"/>
        <w:spacing w:before="0" w:line="360" w:lineRule="auto"/>
        <w:contextualSpacing/>
        <w:jc w:val="center"/>
        <w:rPr>
          <w:i w:val="0"/>
        </w:rPr>
      </w:pPr>
    </w:p>
    <w:p w14:paraId="688E19C7" w14:textId="77777777" w:rsidR="00984A92" w:rsidRDefault="00984A92">
      <w:pPr>
        <w:pStyle w:val="Heading1"/>
        <w:spacing w:before="0" w:line="360" w:lineRule="auto"/>
        <w:contextualSpacing/>
        <w:jc w:val="center"/>
        <w:rPr>
          <w:i w:val="0"/>
        </w:rPr>
      </w:pPr>
    </w:p>
    <w:p w14:paraId="7A0C39E3" w14:textId="77777777" w:rsidR="00984A92" w:rsidRDefault="00984A92">
      <w:pPr>
        <w:pStyle w:val="Heading1"/>
        <w:spacing w:before="0" w:line="360" w:lineRule="auto"/>
        <w:contextualSpacing/>
        <w:jc w:val="center"/>
        <w:rPr>
          <w:i w:val="0"/>
        </w:rPr>
      </w:pPr>
    </w:p>
    <w:p w14:paraId="539DE82E" w14:textId="77777777" w:rsidR="00984A92" w:rsidRDefault="00984A92">
      <w:pPr>
        <w:pStyle w:val="Heading1"/>
        <w:spacing w:before="0" w:line="360" w:lineRule="auto"/>
        <w:contextualSpacing/>
        <w:jc w:val="center"/>
        <w:rPr>
          <w:i w:val="0"/>
        </w:rPr>
      </w:pPr>
    </w:p>
    <w:p w14:paraId="3288C39D" w14:textId="77777777" w:rsidR="00984A92" w:rsidRDefault="00984A92">
      <w:pPr>
        <w:pStyle w:val="Heading1"/>
        <w:spacing w:before="0" w:line="360" w:lineRule="auto"/>
        <w:contextualSpacing/>
        <w:jc w:val="center"/>
        <w:rPr>
          <w:i w:val="0"/>
        </w:rPr>
      </w:pPr>
    </w:p>
    <w:p w14:paraId="7BA7CFF7" w14:textId="77777777" w:rsidR="00984A92" w:rsidRDefault="00984A92">
      <w:pPr>
        <w:pStyle w:val="Heading1"/>
        <w:spacing w:before="0" w:line="360" w:lineRule="auto"/>
        <w:contextualSpacing/>
        <w:jc w:val="center"/>
        <w:rPr>
          <w:i w:val="0"/>
        </w:rPr>
      </w:pPr>
    </w:p>
    <w:p w14:paraId="513D64C8" w14:textId="77777777" w:rsidR="00984A92" w:rsidRDefault="00984A92">
      <w:pPr>
        <w:pStyle w:val="Heading1"/>
        <w:spacing w:before="0" w:line="360" w:lineRule="auto"/>
        <w:contextualSpacing/>
        <w:jc w:val="center"/>
        <w:rPr>
          <w:i w:val="0"/>
        </w:rPr>
      </w:pPr>
    </w:p>
    <w:p w14:paraId="0E519742" w14:textId="77777777" w:rsidR="00984A92" w:rsidRDefault="00984A92">
      <w:pPr>
        <w:pStyle w:val="Heading1"/>
        <w:spacing w:before="0" w:line="360" w:lineRule="auto"/>
        <w:contextualSpacing/>
        <w:jc w:val="center"/>
        <w:rPr>
          <w:i w:val="0"/>
        </w:rPr>
      </w:pPr>
    </w:p>
    <w:p w14:paraId="71A64E08" w14:textId="77777777" w:rsidR="00984A92" w:rsidRDefault="00984A92">
      <w:pPr>
        <w:pStyle w:val="Heading1"/>
        <w:spacing w:before="0" w:line="360" w:lineRule="auto"/>
        <w:contextualSpacing/>
        <w:jc w:val="center"/>
        <w:rPr>
          <w:i w:val="0"/>
        </w:rPr>
      </w:pPr>
    </w:p>
    <w:p w14:paraId="2E73B0CA" w14:textId="77777777" w:rsidR="00984A92" w:rsidRPr="00984A92" w:rsidRDefault="00984A92" w:rsidP="00984A92"/>
    <w:p w14:paraId="3F4850AE" w14:textId="77777777" w:rsidR="00984A92" w:rsidRDefault="00984A92">
      <w:pPr>
        <w:pStyle w:val="Heading1"/>
        <w:spacing w:before="0" w:line="360" w:lineRule="auto"/>
        <w:contextualSpacing/>
        <w:jc w:val="center"/>
        <w:rPr>
          <w:i w:val="0"/>
        </w:rPr>
      </w:pPr>
    </w:p>
    <w:p w14:paraId="4CC3119F" w14:textId="77777777" w:rsidR="00984A92" w:rsidRDefault="00984A92" w:rsidP="008460C0">
      <w:pPr>
        <w:pStyle w:val="Heading1"/>
        <w:spacing w:before="0" w:line="360" w:lineRule="auto"/>
        <w:contextualSpacing/>
        <w:rPr>
          <w:i w:val="0"/>
        </w:rPr>
      </w:pPr>
    </w:p>
    <w:p w14:paraId="0738DE61" w14:textId="77777777" w:rsidR="008460C0" w:rsidRPr="008460C0" w:rsidRDefault="008460C0" w:rsidP="008460C0"/>
    <w:p w14:paraId="601F4006" w14:textId="77777777" w:rsidR="00984A92" w:rsidRDefault="00984A92">
      <w:pPr>
        <w:pStyle w:val="Heading1"/>
        <w:spacing w:before="0" w:line="360" w:lineRule="auto"/>
        <w:contextualSpacing/>
        <w:jc w:val="center"/>
        <w:rPr>
          <w:i w:val="0"/>
        </w:rPr>
      </w:pPr>
    </w:p>
    <w:p w14:paraId="347C00A2" w14:textId="53EBBE9A" w:rsidR="009C6B09" w:rsidRDefault="00994D0C">
      <w:pPr>
        <w:pStyle w:val="Heading1"/>
        <w:spacing w:before="0" w:line="360" w:lineRule="auto"/>
        <w:contextualSpacing/>
        <w:jc w:val="center"/>
        <w:rPr>
          <w:i w:val="0"/>
        </w:rPr>
      </w:pPr>
      <w:r>
        <w:rPr>
          <w:i w:val="0"/>
        </w:rPr>
        <w:t>SECTION 1</w:t>
      </w:r>
      <w:bookmarkEnd w:id="0"/>
    </w:p>
    <w:p w14:paraId="14310A37" w14:textId="77777777" w:rsidR="009C6B09" w:rsidRDefault="00994D0C">
      <w:pPr>
        <w:pStyle w:val="Heading1"/>
        <w:spacing w:before="0" w:line="360" w:lineRule="auto"/>
        <w:contextualSpacing/>
      </w:pPr>
      <w:bookmarkStart w:id="1" w:name="_Toc234856522"/>
      <w:r>
        <w:t>1. Introduction</w:t>
      </w:r>
      <w:bookmarkEnd w:id="1"/>
    </w:p>
    <w:p w14:paraId="38619EC5"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Globalisation has also impacted international marketing by creating greater economic interdependence, techno scientific interconnectedness and consumer interactions between countries, which has enabled companies to adapt their products and services to meet global demand whilst also allowing them to market their products overseas and penetrate the domestic market (Contractor, 2022; Buckley, 2022). Multinational companies will have to learn from internationalisation to adjust their marketing strategies to political, economic, cultural, and consumer environments different from what they have already gone through in other countries, in addition to following the same marketing strategies universally (Hollensen, 2020).</w:t>
      </w:r>
    </w:p>
    <w:p w14:paraId="1414CDA7"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Cadbury is one of the world's largest confectionery companies with a wide range of chocolate and confectionery products across a variety of international markets. The United Kingdom and India have been chosen for comparison purposes as they play a significant role in Cadbury's domestic market and are </w:t>
      </w:r>
      <w:proofErr w:type="gramStart"/>
      <w:r>
        <w:rPr>
          <w:rFonts w:ascii="Arial" w:hAnsi="Arial" w:cs="Arial"/>
          <w:sz w:val="24"/>
          <w:szCs w:val="24"/>
        </w:rPr>
        <w:t>actually one</w:t>
      </w:r>
      <w:proofErr w:type="gramEnd"/>
      <w:r>
        <w:rPr>
          <w:rFonts w:ascii="Arial" w:hAnsi="Arial" w:cs="Arial"/>
          <w:sz w:val="24"/>
          <w:szCs w:val="24"/>
        </w:rPr>
        <w:t xml:space="preserve"> of Cadbury's international markets with significant cultural and market differences. This report concentrates on critically assessing Cadbury's marketing strategy in both countries, analysing Cadbury's market entry into India, the ethical issue in marketing and making some recommendations on how Cadbury can enhance its international marketing strategy (Green et al., 2020).</w:t>
      </w:r>
    </w:p>
    <w:p w14:paraId="7D222A39" w14:textId="77777777" w:rsidR="009C6B09" w:rsidRDefault="009C6B09">
      <w:pPr>
        <w:spacing w:after="0" w:line="360" w:lineRule="auto"/>
        <w:contextualSpacing/>
        <w:rPr>
          <w:rFonts w:ascii="Arial" w:hAnsi="Arial" w:cs="Arial"/>
          <w:sz w:val="24"/>
          <w:szCs w:val="24"/>
        </w:rPr>
      </w:pPr>
    </w:p>
    <w:p w14:paraId="22BAD381" w14:textId="77777777" w:rsidR="009C6B09" w:rsidRDefault="00994D0C">
      <w:pPr>
        <w:pStyle w:val="Heading1"/>
        <w:spacing w:before="0" w:line="360" w:lineRule="auto"/>
        <w:contextualSpacing/>
      </w:pPr>
      <w:bookmarkStart w:id="2" w:name="_Toc234856523"/>
      <w:r>
        <w:t>2. Company Overview</w:t>
      </w:r>
      <w:bookmarkEnd w:id="2"/>
    </w:p>
    <w:p w14:paraId="7450CD02"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Cadbury has a wide portfolio of chocolate, candy and seasonal products, and is one of the most famous brands in the world. The company was founded in the United Kingdom in 1824 and is now part of Mondelez International, following the company's acquisition phase and continues to have the same brand identity as before the acquisition (Aujla, 2022). Cadbury has sold products and brands like Dairy Milk, Bournville, Silk, Oreo, Cadbury and many others in various international markets, with some infusing the brand with local flavour where appropriate (Hollensen, 2020). Internationally, it has been successful, mainly because of the continuous positioning of this brand, the innovation of its products, and the marketing that is geared toward local markets to reinforce customer loyalty and the competitiveness of the brand (</w:t>
      </w:r>
      <w:proofErr w:type="spellStart"/>
      <w:r>
        <w:rPr>
          <w:rFonts w:ascii="Arial" w:hAnsi="Arial" w:cs="Arial"/>
          <w:sz w:val="24"/>
          <w:szCs w:val="24"/>
        </w:rPr>
        <w:t>Kotabe</w:t>
      </w:r>
      <w:proofErr w:type="spellEnd"/>
      <w:r>
        <w:rPr>
          <w:rFonts w:ascii="Arial" w:hAnsi="Arial" w:cs="Arial"/>
          <w:sz w:val="24"/>
          <w:szCs w:val="24"/>
        </w:rPr>
        <w:t xml:space="preserve"> et al., 2022).</w:t>
      </w:r>
    </w:p>
    <w:p w14:paraId="5AD5BB10" w14:textId="77777777" w:rsidR="009C6B09" w:rsidRDefault="00994D0C">
      <w:pPr>
        <w:spacing w:after="0" w:line="360" w:lineRule="auto"/>
        <w:ind w:firstLine="720"/>
        <w:contextualSpacing/>
        <w:rPr>
          <w:rFonts w:ascii="Arial" w:hAnsi="Arial" w:cs="Arial"/>
          <w:sz w:val="24"/>
          <w:szCs w:val="24"/>
        </w:rPr>
      </w:pPr>
      <w:r>
        <w:rPr>
          <w:rFonts w:ascii="Arial" w:hAnsi="Arial" w:cs="Arial"/>
          <w:sz w:val="24"/>
          <w:szCs w:val="24"/>
        </w:rPr>
        <w:lastRenderedPageBreak/>
        <w:t>Cadbury has been well-known for using its international marketing methods to ensure the brand is consistent across all markets whilst adapting it to local culture as well to ensure it is suitable for local consumption (Green et al., 2020).</w:t>
      </w:r>
    </w:p>
    <w:p w14:paraId="54763FE2" w14:textId="77777777" w:rsidR="009C6B09" w:rsidRDefault="009C6B09">
      <w:pPr>
        <w:spacing w:after="0" w:line="360" w:lineRule="auto"/>
        <w:contextualSpacing/>
        <w:rPr>
          <w:rFonts w:ascii="Arial" w:hAnsi="Arial" w:cs="Arial"/>
          <w:sz w:val="24"/>
          <w:szCs w:val="24"/>
        </w:rPr>
      </w:pPr>
    </w:p>
    <w:p w14:paraId="577DB098" w14:textId="77777777" w:rsidR="009C6B09" w:rsidRDefault="00994D0C">
      <w:pPr>
        <w:pStyle w:val="Heading1"/>
        <w:spacing w:before="0" w:line="360" w:lineRule="auto"/>
        <w:contextualSpacing/>
      </w:pPr>
      <w:bookmarkStart w:id="3" w:name="_Toc234856524"/>
      <w:r>
        <w:t>3. Comparative Market Analysis</w:t>
      </w:r>
      <w:bookmarkEnd w:id="3"/>
    </w:p>
    <w:p w14:paraId="0BEC9BDA" w14:textId="77777777" w:rsidR="009C6B09" w:rsidRPr="00984A92" w:rsidRDefault="00994D0C">
      <w:pPr>
        <w:pStyle w:val="Heading2"/>
        <w:spacing w:before="0" w:line="360" w:lineRule="auto"/>
        <w:contextualSpacing/>
        <w:rPr>
          <w:b/>
          <w:bCs/>
        </w:rPr>
      </w:pPr>
      <w:bookmarkStart w:id="4" w:name="_Toc234856525"/>
      <w:r w:rsidRPr="00984A92">
        <w:rPr>
          <w:b/>
          <w:bCs/>
        </w:rPr>
        <w:t>3.1 Political Environment</w:t>
      </w:r>
      <w:bookmarkEnd w:id="4"/>
    </w:p>
    <w:p w14:paraId="0F23AB80"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The political climate in the United Kingdom and India is relatively stable and conducive to conducting foreign trade, but the countries are quite distinct in policy priorities and regulatory settings. Political institutions and governance systems in the United Kingdom are well defined and transparent, with a sophisticated framework of business regulations mirroring the investors' confidence. The transition to Brexit has, however, changed trade relationships, with new customs processes, regulations and controls impacting commercial firms like Cadbury and prompting changes to supply chains and operations across the new UK-EU borders (OECD, 2024; Stratton, 2021). </w:t>
      </w:r>
    </w:p>
    <w:p w14:paraId="667714E8"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By comparison, India has been stuck in a process of economic liberalisation, easing up of business regulations and investment restrictions and infrastructure upgrades since the days of Nobel economist Jagdish Bhagwati. However, there is an administrative disadvantage in operating in different regions and states because of regulatory differences and complexities (OECD, 2025). In the strategic context, multinational companies are facing a growing double challenge from governance and geopolitical risk, as well as from stakeholders' demands on developing a strategy for their international activities (Buckley, 2022). As a result, despite the political environments in both markets, the UK has institutional stability, underpinned by India having better long-term growth prospects (Contractor, 2022).</w:t>
      </w:r>
    </w:p>
    <w:p w14:paraId="0169E618" w14:textId="77777777" w:rsidR="009C6B09" w:rsidRDefault="009C6B09">
      <w:pPr>
        <w:spacing w:after="0" w:line="360" w:lineRule="auto"/>
        <w:contextualSpacing/>
        <w:rPr>
          <w:rFonts w:ascii="Arial" w:hAnsi="Arial" w:cs="Arial"/>
          <w:sz w:val="24"/>
          <w:szCs w:val="24"/>
        </w:rPr>
      </w:pPr>
    </w:p>
    <w:p w14:paraId="56ACEA14" w14:textId="77777777" w:rsidR="009C6B09" w:rsidRPr="00984A92" w:rsidRDefault="00994D0C">
      <w:pPr>
        <w:pStyle w:val="Heading2"/>
        <w:spacing w:before="0" w:line="360" w:lineRule="auto"/>
        <w:contextualSpacing/>
        <w:rPr>
          <w:b/>
          <w:bCs/>
        </w:rPr>
      </w:pPr>
      <w:bookmarkStart w:id="5" w:name="_Toc234856526"/>
      <w:r w:rsidRPr="00984A92">
        <w:rPr>
          <w:b/>
          <w:bCs/>
        </w:rPr>
        <w:t>3.2 Economic Environment</w:t>
      </w:r>
      <w:bookmarkEnd w:id="5"/>
    </w:p>
    <w:p w14:paraId="429CE66C"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There are significant differences between economic conditions in the United Kingdom and India, which in turn have an impact on Cadbury's marketing strategies. The United Kingdom is a developed high-per-capita economy, where consumers have a relatively high level of disposable income, lower levels of consumer spending growth and a developed confectionery market with lower growth rates (OECD, 2024). Consumers usually have less power to buy and so are more willing to pay for top-tier products and innovation in terms of their chocolate products. On the other hand, India is one of the fastest-developing major economies globally, fuelled by growing per </w:t>
      </w:r>
      <w:r>
        <w:rPr>
          <w:rFonts w:ascii="Arial" w:hAnsi="Arial" w:cs="Arial"/>
          <w:sz w:val="24"/>
          <w:szCs w:val="24"/>
        </w:rPr>
        <w:lastRenderedPageBreak/>
        <w:t xml:space="preserve">capita incomes, a high rate of urbanisation and its booming middle-class (OECD, 2025). </w:t>
      </w:r>
    </w:p>
    <w:p w14:paraId="1840846B"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Overall income is still lower than in the UK, but the large population means there is a huge market potential for low-priced confectionery products in this country. However, the demand for chocolate is growing as the lifestyle of regular people has changed, and they are leaning towards choosing branded chocolate over regular chocolate due to the increase in their earnings (Pandey et al., 2021). Consequently, Cadbury takes a premium product approach in the UK and a combination of being affordable, accessible and localised to ensure maximum market penetration and growth opportunities in India in the long term.</w:t>
      </w:r>
    </w:p>
    <w:p w14:paraId="7E24C5C6" w14:textId="77777777" w:rsidR="009C6B09" w:rsidRDefault="009C6B09">
      <w:pPr>
        <w:spacing w:after="0" w:line="360" w:lineRule="auto"/>
        <w:contextualSpacing/>
        <w:rPr>
          <w:rFonts w:ascii="Arial" w:hAnsi="Arial" w:cs="Arial"/>
          <w:sz w:val="24"/>
          <w:szCs w:val="24"/>
        </w:rPr>
      </w:pPr>
    </w:p>
    <w:p w14:paraId="63C43304" w14:textId="77777777" w:rsidR="009C6B09" w:rsidRPr="00984A92" w:rsidRDefault="00994D0C">
      <w:pPr>
        <w:pStyle w:val="Heading2"/>
        <w:spacing w:before="0" w:line="360" w:lineRule="auto"/>
        <w:contextualSpacing/>
        <w:rPr>
          <w:b/>
          <w:bCs/>
        </w:rPr>
      </w:pPr>
      <w:bookmarkStart w:id="6" w:name="_Toc234856527"/>
      <w:r w:rsidRPr="00984A92">
        <w:rPr>
          <w:b/>
          <w:bCs/>
        </w:rPr>
        <w:t>3.3 Social Environment</w:t>
      </w:r>
      <w:bookmarkEnd w:id="6"/>
    </w:p>
    <w:p w14:paraId="78E6047B"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Significant differences exist in social and cultural preferences between the two markets that can have a significant impact on consumer behaviour. In general, UK consumers show a greater awareness of health, and are looking towards more health-aware foods, as well as ethical sourcing and sustainable products. As for the Indian context, affordability, a growing urban middle class and the deeply rooted family life values drive the rising consumption of confectionery products in the country (Pandey et al., 2021). However, the buying action of chocolates is often influenced by family members, social relationships and cultural tradition, and hence, at religious festivals or celebrations, the chocolates are considered good gifts for others (Dey, 2021).</w:t>
      </w:r>
    </w:p>
    <w:p w14:paraId="2B46CF55"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Cadbury has managed to blend local traditions into its marketing in some effective ways, such as making chocolate more acceptable as a festival alternative to traditional sweets. Additionally, consumer satisfaction and good emotional experiences are amongst the variables that increase brand loyalty in both countries. Nevertheless, consumer purchasing reasons vary depending on their cultural and social contexts (</w:t>
      </w:r>
      <w:proofErr w:type="spellStart"/>
      <w:r>
        <w:rPr>
          <w:rFonts w:ascii="Arial" w:hAnsi="Arial" w:cs="Arial"/>
          <w:sz w:val="24"/>
          <w:szCs w:val="24"/>
        </w:rPr>
        <w:t>Musafir</w:t>
      </w:r>
      <w:proofErr w:type="spellEnd"/>
      <w:r>
        <w:rPr>
          <w:rFonts w:ascii="Arial" w:hAnsi="Arial" w:cs="Arial"/>
          <w:sz w:val="24"/>
          <w:szCs w:val="24"/>
        </w:rPr>
        <w:t>, 2017). These differences necessitate Cadbury to come up with a proper communication strategy and marketing strategy whilst keeping its brand identity across all global sections.</w:t>
      </w:r>
    </w:p>
    <w:p w14:paraId="568CB1E4" w14:textId="77777777" w:rsidR="009C6B09" w:rsidRPr="00984A92" w:rsidRDefault="00994D0C">
      <w:pPr>
        <w:pStyle w:val="Heading2"/>
        <w:spacing w:before="0" w:line="360" w:lineRule="auto"/>
        <w:contextualSpacing/>
        <w:rPr>
          <w:b/>
          <w:bCs/>
        </w:rPr>
      </w:pPr>
      <w:bookmarkStart w:id="7" w:name="_Toc234856528"/>
      <w:r w:rsidRPr="00984A92">
        <w:rPr>
          <w:b/>
          <w:bCs/>
        </w:rPr>
        <w:t>3.4 Technological Environment</w:t>
      </w:r>
      <w:bookmarkEnd w:id="7"/>
    </w:p>
    <w:p w14:paraId="6E9152A4"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Cadbury's international marketing efforts have been greatly altered </w:t>
      </w:r>
      <w:proofErr w:type="gramStart"/>
      <w:r>
        <w:rPr>
          <w:rFonts w:ascii="Arial" w:hAnsi="Arial" w:cs="Arial"/>
          <w:sz w:val="24"/>
          <w:szCs w:val="24"/>
        </w:rPr>
        <w:t>as a result of</w:t>
      </w:r>
      <w:proofErr w:type="gramEnd"/>
      <w:r>
        <w:rPr>
          <w:rFonts w:ascii="Arial" w:hAnsi="Arial" w:cs="Arial"/>
          <w:sz w:val="24"/>
          <w:szCs w:val="24"/>
        </w:rPr>
        <w:t xml:space="preserve"> technological advances. The UK and India have seen the rise of digital marketing, e-commerce and social gaming, providing opportunities for businesses to communicate directly with consumers and sell products online, and personalise that </w:t>
      </w:r>
      <w:r>
        <w:rPr>
          <w:rFonts w:ascii="Arial" w:hAnsi="Arial" w:cs="Arial"/>
          <w:sz w:val="24"/>
          <w:szCs w:val="24"/>
        </w:rPr>
        <w:lastRenderedPageBreak/>
        <w:t>interaction with each other (</w:t>
      </w:r>
      <w:proofErr w:type="spellStart"/>
      <w:r>
        <w:rPr>
          <w:rFonts w:ascii="Arial" w:hAnsi="Arial" w:cs="Arial"/>
          <w:sz w:val="24"/>
          <w:szCs w:val="24"/>
        </w:rPr>
        <w:t>Kotabe</w:t>
      </w:r>
      <w:proofErr w:type="spellEnd"/>
      <w:r>
        <w:rPr>
          <w:rFonts w:ascii="Arial" w:hAnsi="Arial" w:cs="Arial"/>
          <w:sz w:val="24"/>
          <w:szCs w:val="24"/>
        </w:rPr>
        <w:t xml:space="preserve"> et al., 2022). The UK has a highly mature digital retail ecosystem, and India has a rapidly growing online retail market with rapid smartphone penetration, bringing new possibilities for digital advertising and the potential to increase online shopping. Cadbury uses retail innovation, data analytics and integrated omnichannel marketing to bolster customer engagement on the two fronts (Green et al., 2020). The introduction of these technological opportunities </w:t>
      </w:r>
      <w:proofErr w:type="gramStart"/>
      <w:r>
        <w:rPr>
          <w:rFonts w:ascii="Arial" w:hAnsi="Arial" w:cs="Arial"/>
          <w:sz w:val="24"/>
          <w:szCs w:val="24"/>
        </w:rPr>
        <w:t>opens up</w:t>
      </w:r>
      <w:proofErr w:type="gramEnd"/>
      <w:r>
        <w:rPr>
          <w:rFonts w:ascii="Arial" w:hAnsi="Arial" w:cs="Arial"/>
          <w:sz w:val="24"/>
          <w:szCs w:val="24"/>
        </w:rPr>
        <w:t xml:space="preserve"> possibilities for more effective promotions as well as better customer information and visibility of the brand, all of which become more necessary when the confectionery sector is becoming </w:t>
      </w:r>
      <w:proofErr w:type="gramStart"/>
      <w:r>
        <w:rPr>
          <w:rFonts w:ascii="Arial" w:hAnsi="Arial" w:cs="Arial"/>
          <w:sz w:val="24"/>
          <w:szCs w:val="24"/>
        </w:rPr>
        <w:t>more and more</w:t>
      </w:r>
      <w:proofErr w:type="gramEnd"/>
      <w:r>
        <w:rPr>
          <w:rFonts w:ascii="Arial" w:hAnsi="Arial" w:cs="Arial"/>
          <w:sz w:val="24"/>
          <w:szCs w:val="24"/>
        </w:rPr>
        <w:t xml:space="preserve"> competitive (Aujla, 2022).</w:t>
      </w:r>
    </w:p>
    <w:p w14:paraId="581C3D1C" w14:textId="77777777" w:rsidR="009C6B09" w:rsidRDefault="009C6B09">
      <w:pPr>
        <w:spacing w:after="0" w:line="360" w:lineRule="auto"/>
        <w:contextualSpacing/>
        <w:jc w:val="both"/>
        <w:rPr>
          <w:rFonts w:ascii="Arial" w:hAnsi="Arial" w:cs="Arial"/>
          <w:sz w:val="24"/>
          <w:szCs w:val="24"/>
        </w:rPr>
      </w:pPr>
    </w:p>
    <w:p w14:paraId="4E614BCA" w14:textId="77777777" w:rsidR="009C6B09" w:rsidRPr="00984A92" w:rsidRDefault="00994D0C">
      <w:pPr>
        <w:pStyle w:val="Heading2"/>
        <w:spacing w:before="0" w:line="360" w:lineRule="auto"/>
        <w:contextualSpacing/>
        <w:jc w:val="both"/>
        <w:rPr>
          <w:b/>
          <w:bCs/>
        </w:rPr>
      </w:pPr>
      <w:bookmarkStart w:id="8" w:name="_Toc234856529"/>
      <w:r w:rsidRPr="00984A92">
        <w:rPr>
          <w:b/>
          <w:bCs/>
        </w:rPr>
        <w:t>3.5 Legal Environment</w:t>
      </w:r>
      <w:bookmarkEnd w:id="8"/>
    </w:p>
    <w:p w14:paraId="05A55E73"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Cadbury's activities in both countries are significantly affected by the legal regulations. Product quality and fair market competition are guaranteed by food safety standards, advertising standards, consumer protection legislation, product labelling requirements and competition law (OECD, 2024; OECD, 2025). Both countries have extensive regulatory frameworks, but there are variations in compliance aspects between countries for the setting of food standards, how food is advertised and packaging regulations. Cadbury thus needs to make changes to its products and promotions </w:t>
      </w:r>
      <w:proofErr w:type="gramStart"/>
      <w:r>
        <w:rPr>
          <w:rFonts w:ascii="Arial" w:hAnsi="Arial" w:cs="Arial"/>
          <w:sz w:val="24"/>
          <w:szCs w:val="24"/>
        </w:rPr>
        <w:t>in order to</w:t>
      </w:r>
      <w:proofErr w:type="gramEnd"/>
      <w:r>
        <w:rPr>
          <w:rFonts w:ascii="Arial" w:hAnsi="Arial" w:cs="Arial"/>
          <w:sz w:val="24"/>
          <w:szCs w:val="24"/>
        </w:rPr>
        <w:t xml:space="preserve"> comply with local legislation whilst remaining consistent on a global level (</w:t>
      </w:r>
      <w:proofErr w:type="spellStart"/>
      <w:r>
        <w:rPr>
          <w:rFonts w:ascii="Arial" w:hAnsi="Arial" w:cs="Arial"/>
          <w:sz w:val="24"/>
          <w:szCs w:val="24"/>
        </w:rPr>
        <w:t>Kotabe</w:t>
      </w:r>
      <w:proofErr w:type="spellEnd"/>
      <w:r>
        <w:rPr>
          <w:rFonts w:ascii="Arial" w:hAnsi="Arial" w:cs="Arial"/>
          <w:sz w:val="24"/>
          <w:szCs w:val="24"/>
        </w:rPr>
        <w:t xml:space="preserve"> et al., 2022). Good legal compliance also means that consumers trust that the organisation is operational in a sustainable manner on the international markets (Green et al., 2020).</w:t>
      </w:r>
    </w:p>
    <w:p w14:paraId="342521FE" w14:textId="77777777" w:rsidR="009C6B09" w:rsidRDefault="009C6B09">
      <w:pPr>
        <w:spacing w:after="0" w:line="360" w:lineRule="auto"/>
        <w:contextualSpacing/>
        <w:jc w:val="both"/>
        <w:rPr>
          <w:rFonts w:ascii="Arial" w:hAnsi="Arial" w:cs="Arial"/>
          <w:sz w:val="24"/>
          <w:szCs w:val="24"/>
        </w:rPr>
      </w:pPr>
    </w:p>
    <w:p w14:paraId="0F95DA4E" w14:textId="77777777" w:rsidR="009C6B09" w:rsidRPr="00984A92" w:rsidRDefault="00994D0C">
      <w:pPr>
        <w:pStyle w:val="Heading2"/>
        <w:spacing w:before="0" w:line="360" w:lineRule="auto"/>
        <w:contextualSpacing/>
        <w:jc w:val="both"/>
        <w:rPr>
          <w:b/>
          <w:bCs/>
        </w:rPr>
      </w:pPr>
      <w:bookmarkStart w:id="9" w:name="_Toc234856530"/>
      <w:r w:rsidRPr="00984A92">
        <w:rPr>
          <w:b/>
          <w:bCs/>
        </w:rPr>
        <w:t>3.6 Environmental Factors</w:t>
      </w:r>
      <w:bookmarkEnd w:id="9"/>
    </w:p>
    <w:p w14:paraId="02E48B53"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Sustainability in the environment plays an important role in the confectionery industry as a competitive factor. As the global customer becomes more concerned about environmental issues, waste reduction, environmental performance and the implementation of corporate social responsibilities </w:t>
      </w:r>
      <w:proofErr w:type="gramStart"/>
      <w:r>
        <w:rPr>
          <w:rFonts w:ascii="Arial" w:hAnsi="Arial" w:cs="Arial"/>
          <w:sz w:val="24"/>
          <w:szCs w:val="24"/>
        </w:rPr>
        <w:t>as a result of</w:t>
      </w:r>
      <w:proofErr w:type="gramEnd"/>
      <w:r>
        <w:rPr>
          <w:rFonts w:ascii="Arial" w:hAnsi="Arial" w:cs="Arial"/>
          <w:sz w:val="24"/>
          <w:szCs w:val="24"/>
        </w:rPr>
        <w:t xml:space="preserve"> sustainable sourcing and responsible production. More consumers than ever, in both the UK and India, are environmentally conscious, and they have more ambitious requirements for sustainability within the UK market. Hence, Packaging with a conscience and Cadbury's Responsibility towards Corporate Social Responsibility are quite positive for the corporate image and the value of Cadbury Butterflies' brands in the future (Green et al., 2020).</w:t>
      </w:r>
    </w:p>
    <w:p w14:paraId="14C1B058" w14:textId="77777777" w:rsidR="009C6B09" w:rsidRPr="00984A92" w:rsidRDefault="009C6B09">
      <w:pPr>
        <w:spacing w:after="0" w:line="360" w:lineRule="auto"/>
        <w:contextualSpacing/>
        <w:rPr>
          <w:rFonts w:ascii="Arial" w:hAnsi="Arial" w:cs="Arial"/>
          <w:b/>
          <w:bCs/>
          <w:sz w:val="24"/>
          <w:szCs w:val="24"/>
        </w:rPr>
      </w:pPr>
    </w:p>
    <w:p w14:paraId="6596D47E" w14:textId="77777777" w:rsidR="009C6B09" w:rsidRPr="00984A92" w:rsidRDefault="00994D0C">
      <w:pPr>
        <w:pStyle w:val="Heading2"/>
        <w:spacing w:before="0" w:line="360" w:lineRule="auto"/>
        <w:contextualSpacing/>
        <w:jc w:val="both"/>
        <w:rPr>
          <w:rStyle w:val="Heading2Char"/>
          <w:b/>
          <w:bCs/>
        </w:rPr>
      </w:pPr>
      <w:bookmarkStart w:id="10" w:name="_Toc234856531"/>
      <w:r w:rsidRPr="00984A92">
        <w:rPr>
          <w:b/>
          <w:bCs/>
        </w:rPr>
        <w:t>3</w:t>
      </w:r>
      <w:r w:rsidRPr="00984A92">
        <w:rPr>
          <w:rStyle w:val="Heading2Char"/>
          <w:b/>
          <w:bCs/>
        </w:rPr>
        <w:t>.7 Hofstede Cultural Comparison</w:t>
      </w:r>
      <w:bookmarkEnd w:id="10"/>
    </w:p>
    <w:p w14:paraId="6662E347"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The cultural dimensions covered by Hofstede shed light on some differences between the United Kingdom and its target country, India, which will affect Cadbury's international marketing strategy. High individualism and relatively low power distance in the UK mean that individual choices are made when buying products, and marketing is targeted. The power distance and collectivism attitudes in India are higher, and social relationships and family influence are more prominent in the consumer behaviour (Gerlach et al., 2021). In addition, the UK is characterised by higher values on indulgence, whereas higher values on long-term orientation can be seen in the general attitude to indulgent consumption and higher product values in India (Taras et al., 2023).</w:t>
      </w:r>
    </w:p>
    <w:p w14:paraId="7AB5FE25"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These cultural differences mean Cadbury should strike a middle ground between the consistency of the brand worldwide and adapting it for the local market. In India, there are promotion-related activities that rely on a festival, advertising campaigns that target the family and product positioning that is driven by cultural relevance, which are more successful. In the UK, it is more successful using emotionally individualised branding (</w:t>
      </w:r>
      <w:proofErr w:type="spellStart"/>
      <w:r>
        <w:rPr>
          <w:rFonts w:ascii="Arial" w:hAnsi="Arial" w:cs="Arial"/>
          <w:sz w:val="24"/>
          <w:szCs w:val="24"/>
        </w:rPr>
        <w:t>Bastiaansen</w:t>
      </w:r>
      <w:proofErr w:type="spellEnd"/>
      <w:r>
        <w:rPr>
          <w:rFonts w:ascii="Arial" w:hAnsi="Arial" w:cs="Arial"/>
          <w:sz w:val="24"/>
          <w:szCs w:val="24"/>
        </w:rPr>
        <w:t xml:space="preserve"> et al., 2022). Although the framework is helpful in gaining insights into culture, cultural readings should be handled with a critical approach as national cultures are dynamic and changing </w:t>
      </w:r>
      <w:proofErr w:type="gramStart"/>
      <w:r>
        <w:rPr>
          <w:rFonts w:ascii="Arial" w:hAnsi="Arial" w:cs="Arial"/>
          <w:sz w:val="24"/>
          <w:szCs w:val="24"/>
        </w:rPr>
        <w:t>as a result of</w:t>
      </w:r>
      <w:proofErr w:type="gramEnd"/>
      <w:r>
        <w:rPr>
          <w:rFonts w:ascii="Arial" w:hAnsi="Arial" w:cs="Arial"/>
          <w:sz w:val="24"/>
          <w:szCs w:val="24"/>
        </w:rPr>
        <w:t xml:space="preserve"> globalisation, and as consumer behaviour also changes (Hollensen, 2020).</w:t>
      </w:r>
    </w:p>
    <w:p w14:paraId="32E3CC1A" w14:textId="77777777" w:rsidR="009C6B09" w:rsidRDefault="009C6B09">
      <w:pPr>
        <w:spacing w:after="0" w:line="360" w:lineRule="auto"/>
        <w:contextualSpacing/>
        <w:jc w:val="both"/>
        <w:rPr>
          <w:rFonts w:ascii="Arial" w:hAnsi="Arial" w:cs="Arial"/>
          <w:sz w:val="24"/>
          <w:szCs w:val="24"/>
        </w:rPr>
      </w:pPr>
    </w:p>
    <w:p w14:paraId="6819C242" w14:textId="77777777" w:rsidR="009C6B09" w:rsidRDefault="00994D0C">
      <w:pPr>
        <w:pStyle w:val="Heading1"/>
        <w:spacing w:before="0" w:line="360" w:lineRule="auto"/>
        <w:contextualSpacing/>
        <w:jc w:val="both"/>
      </w:pPr>
      <w:bookmarkStart w:id="11" w:name="_Toc234856532"/>
      <w:r>
        <w:t>4. Comparative STP Strategy</w:t>
      </w:r>
      <w:bookmarkEnd w:id="11"/>
    </w:p>
    <w:p w14:paraId="3F3E3C63" w14:textId="77777777" w:rsidR="009C6B09" w:rsidRPr="00984A92" w:rsidRDefault="00994D0C">
      <w:pPr>
        <w:pStyle w:val="Heading2"/>
        <w:spacing w:before="0" w:line="360" w:lineRule="auto"/>
        <w:contextualSpacing/>
        <w:jc w:val="both"/>
        <w:rPr>
          <w:b/>
          <w:bCs/>
        </w:rPr>
      </w:pPr>
      <w:bookmarkStart w:id="12" w:name="_Toc234856533"/>
      <w:r w:rsidRPr="00984A92">
        <w:rPr>
          <w:b/>
          <w:bCs/>
        </w:rPr>
        <w:t>4.1 Segmentation</w:t>
      </w:r>
      <w:bookmarkEnd w:id="12"/>
    </w:p>
    <w:p w14:paraId="519F76B5"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Cadbury utilises segmentation strategies to target the various market segments that have different needs, preferences and buying habits in the United Kingdom and India. The advantage in an international context is the option to segment and offer customisations whilst ensuring uniformity of products/offerings (Wedel et al., 2000). The UK market is a diverse group of consumers by demographic, with high demand from young adults, families and buyers of premium chocolate. Contrastingly, India's population is large and young, catering to the children, family and emerging middle class, which are an important part of the Indian market for confectionery products (Pandey et al., 2021).</w:t>
      </w:r>
    </w:p>
    <w:p w14:paraId="6D99E84D"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lastRenderedPageBreak/>
        <w:t>As per the psychographic analysis, the UK consumers are more focused on quality, ethical sourcing and premium experiences, whilst chocolate is a big item associated with celebration, gifting, and a sense of emotional connection (</w:t>
      </w:r>
      <w:proofErr w:type="spellStart"/>
      <w:r>
        <w:rPr>
          <w:rFonts w:ascii="Arial" w:hAnsi="Arial" w:cs="Arial"/>
          <w:sz w:val="24"/>
          <w:szCs w:val="24"/>
        </w:rPr>
        <w:t>psychographically</w:t>
      </w:r>
      <w:proofErr w:type="spellEnd"/>
      <w:r>
        <w:rPr>
          <w:rFonts w:ascii="Arial" w:hAnsi="Arial" w:cs="Arial"/>
          <w:sz w:val="24"/>
          <w:szCs w:val="24"/>
        </w:rPr>
        <w:t>) in the case of Indian consumers. The purchasing behaviour of the British is more of a daily indulgence in drinking a chocolate bar, whereas for Indian the purchasing behaviour is more focused towards festivities, family functions, and social traditions (Patnaik et al., 2012). Distributing and adjusting the product availability based on urban (historically) and regional (now, particularly in rural India) differences is a geographical adaptation. As a result, Cadbury's strategy of segmentation helps it to address various economic and cultural markets.</w:t>
      </w:r>
    </w:p>
    <w:p w14:paraId="4471B70D" w14:textId="77777777" w:rsidR="009C6B09" w:rsidRDefault="009C6B09">
      <w:pPr>
        <w:spacing w:after="0" w:line="360" w:lineRule="auto"/>
        <w:contextualSpacing/>
        <w:jc w:val="both"/>
        <w:rPr>
          <w:rFonts w:ascii="Arial" w:hAnsi="Arial" w:cs="Arial"/>
          <w:sz w:val="24"/>
          <w:szCs w:val="24"/>
        </w:rPr>
      </w:pPr>
    </w:p>
    <w:p w14:paraId="598848E9" w14:textId="77777777" w:rsidR="009C6B09" w:rsidRPr="00984A92" w:rsidRDefault="00994D0C">
      <w:pPr>
        <w:pStyle w:val="Heading2"/>
        <w:spacing w:before="0" w:line="360" w:lineRule="auto"/>
        <w:contextualSpacing/>
        <w:jc w:val="both"/>
        <w:rPr>
          <w:b/>
          <w:bCs/>
        </w:rPr>
      </w:pPr>
      <w:bookmarkStart w:id="13" w:name="_Toc234856534"/>
      <w:r w:rsidRPr="00984A92">
        <w:rPr>
          <w:b/>
          <w:bCs/>
        </w:rPr>
        <w:t>4.2 Targeting</w:t>
      </w:r>
      <w:bookmarkEnd w:id="13"/>
    </w:p>
    <w:p w14:paraId="5C61EEA8"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Cadbury's targeting segment is different for the UK and India, as the consumers' expectations are different in both countries, and the consumer markets are not as developed as each other. In the UK, Cadbury is a family brand with the premium buyer and young adult as their key target groups, as they seek emotional experience and trusted chocolate products. With an increased level of disposable income, a higher opportunity window for premium ranges and innovative products is expected to come into the limelight for the consumers (Pandey et al., 2021). Many </w:t>
      </w:r>
      <w:proofErr w:type="gramStart"/>
      <w:r>
        <w:rPr>
          <w:rFonts w:ascii="Arial" w:hAnsi="Arial" w:cs="Arial"/>
          <w:sz w:val="24"/>
          <w:szCs w:val="24"/>
        </w:rPr>
        <w:t>times</w:t>
      </w:r>
      <w:proofErr w:type="gramEnd"/>
      <w:r>
        <w:rPr>
          <w:rFonts w:ascii="Arial" w:hAnsi="Arial" w:cs="Arial"/>
          <w:sz w:val="24"/>
          <w:szCs w:val="24"/>
        </w:rPr>
        <w:t xml:space="preserve"> marketing communication is based on fun, memory and individual scenarios.</w:t>
      </w:r>
    </w:p>
    <w:p w14:paraId="340D7EF8"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Cadbury aims for broader audiences beyond children in India to be their audience of families, young adults and festival consumers. It has been able to promote the consumption of its sweets through the creation of alternatives to 'conventional sweets' in the context of cultural occasions. The company was able to achieve success in increasing levels of cocoa consumption because it could introduce products serving as substitutes to conventional sweets for cultural celebrations. The campaigns linked to festivals/relationships have enhanced emotional acceptance of chocolate in Indian society (Dey, 2021). Further, the affordable format permits Cadbury to cater to the price-conscious customers and help to boost brand recognition. Due to local marketing strategies, it has been possible for Cadbury to draw various segments within its fold within its respective country whilst offering the benefits of being well known internationally (Aujla, 2022).</w:t>
      </w:r>
    </w:p>
    <w:p w14:paraId="04CCC511" w14:textId="77777777" w:rsidR="009C6B09" w:rsidRPr="00984A92" w:rsidRDefault="00994D0C">
      <w:pPr>
        <w:pStyle w:val="Heading2"/>
        <w:spacing w:before="0" w:line="360" w:lineRule="auto"/>
        <w:contextualSpacing/>
        <w:jc w:val="both"/>
        <w:rPr>
          <w:b/>
          <w:bCs/>
        </w:rPr>
      </w:pPr>
      <w:bookmarkStart w:id="14" w:name="_Toc234856535"/>
      <w:r w:rsidRPr="00984A92">
        <w:rPr>
          <w:b/>
          <w:bCs/>
        </w:rPr>
        <w:lastRenderedPageBreak/>
        <w:t>4.3 Positioning</w:t>
      </w:r>
      <w:bookmarkEnd w:id="14"/>
    </w:p>
    <w:p w14:paraId="3EB0CFE7"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Cadbury's positioning strategy clearly shows the need to have a global name and be culturally sensitive, also. Cadbury is marketed as an old-fashioned chocolate brand in the UK, and is marketed as a quality, comfort and emotional brand. The development of the brand personality is based on consumer relationships, trust, happiness, and familiarity (Stratton, 2021). Cadbury's positioning in India has become more culturally appropriate as they relate the product to family relations and the celebration of events and traditional values. The brand has established authenticity through its Cadbury Dairy Milk campaign that uses the local cultural perception in its global brand, for instance, by using the many Cadbury Dairy Milk festivals during the year. (Dey, 2021). Emotional branding has played an integral part as Cadbury's success goes hand in hand with the memorable experience and sharing of social connections with the consumers (</w:t>
      </w:r>
      <w:proofErr w:type="spellStart"/>
      <w:r>
        <w:rPr>
          <w:rFonts w:ascii="Arial" w:hAnsi="Arial" w:cs="Arial"/>
          <w:sz w:val="24"/>
          <w:szCs w:val="24"/>
        </w:rPr>
        <w:t>Musafir</w:t>
      </w:r>
      <w:proofErr w:type="spellEnd"/>
      <w:r>
        <w:rPr>
          <w:rFonts w:ascii="Arial" w:hAnsi="Arial" w:cs="Arial"/>
          <w:sz w:val="24"/>
          <w:szCs w:val="24"/>
        </w:rPr>
        <w:t>, 2017).</w:t>
      </w:r>
    </w:p>
    <w:p w14:paraId="2024A9A3"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The basic positioning of Cadbury is the same across countries, but the positioning is also adjusted based on the expectations of people from different cultures. With this localisation method, the relevance in India will be boosted without compromising the global recognition. This explains the competitive advantage that Cadbury has gained from standardisation and adaptation in an STP (Standard &amp; Product differentiation using adaptation) strategy as a multi-national brand (Pandey et al., 2021). Such an approach allows Cadbury to steer a well-rounded product positioning – an amalgamation of international brand awareness and local knowledge of the market. The Strategy is aligned with the marketing best practice of these modern times, where organisations maximise their success by adopting the concept of segmentation, targeting and positioning to reflect the needs, cultural and economic factors and behavioural differences of the world.</w:t>
      </w:r>
    </w:p>
    <w:p w14:paraId="398C8817" w14:textId="77777777" w:rsidR="009C6B09" w:rsidRDefault="009C6B09">
      <w:pPr>
        <w:spacing w:after="0" w:line="360" w:lineRule="auto"/>
        <w:contextualSpacing/>
        <w:jc w:val="both"/>
        <w:rPr>
          <w:rFonts w:ascii="Arial" w:hAnsi="Arial" w:cs="Arial"/>
          <w:sz w:val="24"/>
          <w:szCs w:val="24"/>
        </w:rPr>
      </w:pPr>
    </w:p>
    <w:p w14:paraId="5F4DA4D5" w14:textId="77777777" w:rsidR="009C6B09" w:rsidRDefault="00994D0C">
      <w:pPr>
        <w:pStyle w:val="Heading1"/>
        <w:spacing w:before="0" w:line="360" w:lineRule="auto"/>
        <w:contextualSpacing/>
        <w:jc w:val="both"/>
      </w:pPr>
      <w:bookmarkStart w:id="15" w:name="_Toc234856536"/>
      <w:r>
        <w:t>5. Comparative International Marketing Mix (7Ps)</w:t>
      </w:r>
      <w:bookmarkEnd w:id="15"/>
    </w:p>
    <w:p w14:paraId="40B96E59" w14:textId="77777777" w:rsidR="009C6B09" w:rsidRPr="00984A92" w:rsidRDefault="00994D0C">
      <w:pPr>
        <w:pStyle w:val="Heading2"/>
        <w:spacing w:before="0" w:line="360" w:lineRule="auto"/>
        <w:contextualSpacing/>
        <w:jc w:val="both"/>
        <w:rPr>
          <w:b/>
          <w:bCs/>
        </w:rPr>
      </w:pPr>
      <w:bookmarkStart w:id="16" w:name="_Toc234856537"/>
      <w:r w:rsidRPr="00984A92">
        <w:rPr>
          <w:b/>
          <w:bCs/>
        </w:rPr>
        <w:t>5.1 Product</w:t>
      </w:r>
      <w:bookmarkEnd w:id="16"/>
    </w:p>
    <w:p w14:paraId="24CB268C"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Cadbury uses product adaptation strategies to come up to the challenges of the UK vs the Indian market. UK chocolate products focus on existing chocolate appetites, high quality and chocolate branding. Cadbury customises its flavours, pack sizes and formats to cater for the fiercely competitive Indian market based on consumer buying power. For increased accessibility, low-cost and small-sized packs of products like Dairy Milk have been developed, and variations of products have been created for </w:t>
      </w:r>
      <w:r>
        <w:rPr>
          <w:rFonts w:ascii="Arial" w:hAnsi="Arial" w:cs="Arial"/>
          <w:sz w:val="24"/>
          <w:szCs w:val="24"/>
        </w:rPr>
        <w:lastRenderedPageBreak/>
        <w:t>festivals (Pandey et al., 2021). Cadbury shows an example of how innovation in product is achieved whilst at the same time delivering on its desire for a global product but adjusting to local tastes (Dey, 2021). Packaging, Seasonal Products, enables adapting to the consumer's expectation in various contexts, which is relevant to the market (Aujla, 2022).</w:t>
      </w:r>
    </w:p>
    <w:p w14:paraId="20929703" w14:textId="77777777" w:rsidR="009C6B09" w:rsidRDefault="009C6B09">
      <w:pPr>
        <w:spacing w:after="0" w:line="360" w:lineRule="auto"/>
        <w:contextualSpacing/>
        <w:jc w:val="both"/>
        <w:rPr>
          <w:rFonts w:ascii="Arial" w:hAnsi="Arial" w:cs="Arial"/>
          <w:sz w:val="24"/>
          <w:szCs w:val="24"/>
        </w:rPr>
      </w:pPr>
    </w:p>
    <w:p w14:paraId="32B812E0" w14:textId="77777777" w:rsidR="009C6B09" w:rsidRPr="00984A92" w:rsidRDefault="00994D0C">
      <w:pPr>
        <w:pStyle w:val="Heading2"/>
        <w:spacing w:before="0" w:line="360" w:lineRule="auto"/>
        <w:contextualSpacing/>
        <w:jc w:val="both"/>
        <w:rPr>
          <w:b/>
          <w:bCs/>
        </w:rPr>
      </w:pPr>
      <w:bookmarkStart w:id="17" w:name="_Toc234856538"/>
      <w:r w:rsidRPr="00984A92">
        <w:rPr>
          <w:b/>
          <w:bCs/>
        </w:rPr>
        <w:t>5.2 Price</w:t>
      </w:r>
      <w:bookmarkEnd w:id="17"/>
    </w:p>
    <w:p w14:paraId="5AB8EB79"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There are differences in pricing strategies because it takes into consideration the economic differences between the UK and India. Due to consumers' relatively high disposable income and purchasing power in the UK, consumers may be given a premium pricing option (OECD 2024). India, however, needs to take a different approach, emphasising affordability to tap more consumers, especially the price-sensitive and the growing middle classes of households (Pandey et al., 2021). In India, Cadbury offers smaller pack sizes and lower cost, and high-quality offerings for a higher segment of consumers. The differentiation pricing strategy helps brands to strike a balance between profit and market penetration.</w:t>
      </w:r>
    </w:p>
    <w:p w14:paraId="032E6178" w14:textId="77777777" w:rsidR="009C6B09" w:rsidRDefault="009C6B09">
      <w:pPr>
        <w:spacing w:after="0" w:line="360" w:lineRule="auto"/>
        <w:contextualSpacing/>
        <w:jc w:val="both"/>
        <w:rPr>
          <w:rFonts w:ascii="Arial" w:hAnsi="Arial" w:cs="Arial"/>
          <w:sz w:val="24"/>
          <w:szCs w:val="24"/>
        </w:rPr>
      </w:pPr>
    </w:p>
    <w:p w14:paraId="255DEA46" w14:textId="77777777" w:rsidR="009C6B09" w:rsidRPr="00984A92" w:rsidRDefault="00994D0C">
      <w:pPr>
        <w:pStyle w:val="Heading2"/>
        <w:spacing w:before="0" w:line="360" w:lineRule="auto"/>
        <w:contextualSpacing/>
        <w:jc w:val="both"/>
        <w:rPr>
          <w:b/>
          <w:bCs/>
        </w:rPr>
      </w:pPr>
      <w:bookmarkStart w:id="18" w:name="_Toc234856539"/>
      <w:r w:rsidRPr="00984A92">
        <w:rPr>
          <w:b/>
          <w:bCs/>
        </w:rPr>
        <w:t>5.3 Place</w:t>
      </w:r>
      <w:bookmarkEnd w:id="18"/>
    </w:p>
    <w:p w14:paraId="1EF14352"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Cadbury's distribution patterns are a manifestation of the disparities in retail developments in the UK and India. They are readily accessible in the UK from grocery stores, pharmacists and online retail outlets. India's geographical diversity and retail structures, resulting in smaller retailer numbers and less network coverage, make this possible. Cadbury utilises several distribution systems to get its products into consumers' hands, including wide distribution channels, local distribution partnerships and a digital distribution strategy. Successful distribution in the international marketplace has been stressed in international marketing literature as an adaptation process to local infrastructure and purchasing process. The digital revolution is helping Cadbury to reach customers with the help of such a convenient purchasing process (Green et al., 2020).</w:t>
      </w:r>
    </w:p>
    <w:p w14:paraId="28B05AA3" w14:textId="77777777" w:rsidR="009C6B09" w:rsidRDefault="009C6B09">
      <w:pPr>
        <w:spacing w:after="0" w:line="360" w:lineRule="auto"/>
        <w:contextualSpacing/>
        <w:jc w:val="both"/>
        <w:rPr>
          <w:rFonts w:ascii="Arial" w:hAnsi="Arial" w:cs="Arial"/>
          <w:sz w:val="24"/>
          <w:szCs w:val="24"/>
        </w:rPr>
      </w:pPr>
    </w:p>
    <w:p w14:paraId="1091DB63" w14:textId="77777777" w:rsidR="009C6B09" w:rsidRPr="00984A92" w:rsidRDefault="00994D0C">
      <w:pPr>
        <w:pStyle w:val="Heading2"/>
        <w:spacing w:before="0" w:line="360" w:lineRule="auto"/>
        <w:contextualSpacing/>
        <w:jc w:val="both"/>
        <w:rPr>
          <w:b/>
          <w:bCs/>
        </w:rPr>
      </w:pPr>
      <w:bookmarkStart w:id="19" w:name="_Toc234856540"/>
      <w:r w:rsidRPr="00984A92">
        <w:rPr>
          <w:b/>
          <w:bCs/>
        </w:rPr>
        <w:t>5.4 Promotion</w:t>
      </w:r>
      <w:bookmarkEnd w:id="19"/>
    </w:p>
    <w:p w14:paraId="469A12F9"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Cadbury's marketing in the UK is vastly different to their marketing in India, as they have tried to achieve promotion. Photographs are frequently used to tie in with what feels more emotional, more nostalgic, more connected to the brand history – in </w:t>
      </w:r>
      <w:r>
        <w:rPr>
          <w:rFonts w:ascii="Arial" w:hAnsi="Arial" w:cs="Arial"/>
          <w:sz w:val="24"/>
          <w:szCs w:val="24"/>
        </w:rPr>
        <w:lastRenderedPageBreak/>
        <w:t>the UK, that is where advertising goes. Family relations, festivals and cultural practices are promoted in India. Cadbury's ads have thus created a new narrative around the product and made chocolate a symbol of celebration and love, not just a confectionery item (Dey, 2021).</w:t>
      </w:r>
    </w:p>
    <w:p w14:paraId="1FD6A22A"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By adding celebrities, branded campaigns, using social media and the power of stories, a brand can build better engagement amongst Indians. The appeal of emotional branding rests on trust and familiarity; campaigns need to be flexible to the strategies and attitudes in place in any country or region, as well as upholding the global identity of their brands (Stratton, 2021). Emotional experiences of the consumers have been proven through consumer research to have a profound impact on Cadbury's brand loyalty (Pandey et al., 2021).</w:t>
      </w:r>
    </w:p>
    <w:p w14:paraId="0817F895" w14:textId="77777777" w:rsidR="009C6B09" w:rsidRDefault="009C6B09">
      <w:pPr>
        <w:spacing w:after="0" w:line="360" w:lineRule="auto"/>
        <w:contextualSpacing/>
        <w:jc w:val="both"/>
        <w:rPr>
          <w:rFonts w:ascii="Arial" w:hAnsi="Arial" w:cs="Arial"/>
          <w:sz w:val="24"/>
          <w:szCs w:val="24"/>
        </w:rPr>
      </w:pPr>
    </w:p>
    <w:p w14:paraId="1AA81F02" w14:textId="77777777" w:rsidR="009C6B09" w:rsidRPr="00984A92" w:rsidRDefault="00994D0C">
      <w:pPr>
        <w:pStyle w:val="Heading2"/>
        <w:spacing w:before="0" w:line="360" w:lineRule="auto"/>
        <w:contextualSpacing/>
        <w:jc w:val="both"/>
        <w:rPr>
          <w:b/>
          <w:bCs/>
        </w:rPr>
      </w:pPr>
      <w:bookmarkStart w:id="20" w:name="_Toc234856541"/>
      <w:r w:rsidRPr="00984A92">
        <w:rPr>
          <w:b/>
          <w:bCs/>
        </w:rPr>
        <w:t>5.5 People</w:t>
      </w:r>
      <w:bookmarkEnd w:id="20"/>
    </w:p>
    <w:p w14:paraId="3EBA5004"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People play an essential part in consistently providing Cadbury's customers with the experiences they want. It is also employees, service staff and brand ambassadors who impact consumer perceptions through service quality and communication. The findings of this theory can be summarised in the importance of trained personnel in maintaining the values of the brands and enhancing customer relationships in the international markets (</w:t>
      </w:r>
      <w:proofErr w:type="spellStart"/>
      <w:r>
        <w:rPr>
          <w:rFonts w:ascii="Arial" w:hAnsi="Arial" w:cs="Arial"/>
          <w:sz w:val="24"/>
          <w:szCs w:val="24"/>
        </w:rPr>
        <w:t>Kotabe</w:t>
      </w:r>
      <w:proofErr w:type="spellEnd"/>
      <w:r>
        <w:rPr>
          <w:rFonts w:ascii="Arial" w:hAnsi="Arial" w:cs="Arial"/>
          <w:sz w:val="24"/>
          <w:szCs w:val="24"/>
        </w:rPr>
        <w:t xml:space="preserve"> et al., 2022). </w:t>
      </w:r>
      <w:proofErr w:type="gramStart"/>
      <w:r>
        <w:rPr>
          <w:rFonts w:ascii="Arial" w:hAnsi="Arial" w:cs="Arial"/>
          <w:sz w:val="24"/>
          <w:szCs w:val="24"/>
        </w:rPr>
        <w:t>In order to</w:t>
      </w:r>
      <w:proofErr w:type="gramEnd"/>
      <w:r>
        <w:rPr>
          <w:rFonts w:ascii="Arial" w:hAnsi="Arial" w:cs="Arial"/>
          <w:sz w:val="24"/>
          <w:szCs w:val="24"/>
        </w:rPr>
        <w:t xml:space="preserve"> produce a consistent presentation of the brand, Cadbury needs the cooperation of retailers and promotional representatives.</w:t>
      </w:r>
    </w:p>
    <w:p w14:paraId="0C9C7D74" w14:textId="77777777" w:rsidR="009C6B09" w:rsidRDefault="009C6B09">
      <w:pPr>
        <w:spacing w:after="0" w:line="360" w:lineRule="auto"/>
        <w:contextualSpacing/>
        <w:jc w:val="both"/>
        <w:rPr>
          <w:rFonts w:ascii="Arial" w:hAnsi="Arial" w:cs="Arial"/>
          <w:sz w:val="24"/>
          <w:szCs w:val="24"/>
        </w:rPr>
      </w:pPr>
    </w:p>
    <w:p w14:paraId="6A857001" w14:textId="77777777" w:rsidR="009C6B09" w:rsidRPr="00A75EB0" w:rsidRDefault="00994D0C">
      <w:pPr>
        <w:pStyle w:val="Heading2"/>
        <w:spacing w:before="0" w:line="360" w:lineRule="auto"/>
        <w:contextualSpacing/>
        <w:jc w:val="both"/>
        <w:rPr>
          <w:b/>
          <w:bCs/>
        </w:rPr>
      </w:pPr>
      <w:bookmarkStart w:id="21" w:name="_Toc234856542"/>
      <w:r w:rsidRPr="00A75EB0">
        <w:rPr>
          <w:b/>
          <w:bCs/>
        </w:rPr>
        <w:t>5.6 Process</w:t>
      </w:r>
      <w:bookmarkEnd w:id="21"/>
    </w:p>
    <w:p w14:paraId="1C26BE4B"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Cadbury's operations are all related to supply chain management, ordering systems, retail operations and digital engagement. The efficient processes will guarantee product availability, quality control and customer convenience. Digital platforms serve as a facilitating medium for consumer interaction, online purchase of goods/services and personalised marketing operations. The international processes that are working well enable multinational enterprises to merge their operations across the world, whilst meeting local needs (Buckley, 2022).</w:t>
      </w:r>
    </w:p>
    <w:p w14:paraId="155EF441" w14:textId="77777777" w:rsidR="009C6B09" w:rsidRDefault="009C6B09">
      <w:pPr>
        <w:spacing w:after="0" w:line="360" w:lineRule="auto"/>
        <w:contextualSpacing/>
        <w:jc w:val="both"/>
        <w:rPr>
          <w:rFonts w:ascii="Arial" w:hAnsi="Arial" w:cs="Arial"/>
          <w:sz w:val="24"/>
          <w:szCs w:val="24"/>
        </w:rPr>
      </w:pPr>
    </w:p>
    <w:p w14:paraId="76CD0D25" w14:textId="77777777" w:rsidR="009C6B09" w:rsidRPr="00A75EB0" w:rsidRDefault="00994D0C">
      <w:pPr>
        <w:pStyle w:val="Heading2"/>
        <w:spacing w:before="0" w:line="360" w:lineRule="auto"/>
        <w:contextualSpacing/>
        <w:jc w:val="both"/>
        <w:rPr>
          <w:b/>
          <w:bCs/>
        </w:rPr>
      </w:pPr>
      <w:bookmarkStart w:id="22" w:name="_Toc234856543"/>
      <w:r w:rsidRPr="00A75EB0">
        <w:rPr>
          <w:b/>
          <w:bCs/>
        </w:rPr>
        <w:t>5.7 Physical Evidence</w:t>
      </w:r>
      <w:bookmarkEnd w:id="22"/>
    </w:p>
    <w:p w14:paraId="337E32BD"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Cadbury's physical proof portal is the brand, their packaging, visuals, retail and product display. Streamlined going purple branding gives international recognition, </w:t>
      </w:r>
      <w:r>
        <w:rPr>
          <w:rFonts w:ascii="Arial" w:hAnsi="Arial" w:cs="Arial"/>
          <w:sz w:val="24"/>
          <w:szCs w:val="24"/>
        </w:rPr>
        <w:lastRenderedPageBreak/>
        <w:t>and a locally adapted packaging gives cultural relevance. The UK and India have different packaging characteristics, which reflect their different perceptions of heritage and quality perceptions it creates during the festive season in the UK, whilst festive packaging is essential for gifting customs in India (Aujla, 2022). In addition to locally adapting content to meet the needs of every target audience, there is a need for visual consistency; this increases the consumer's trust and helps to reinforce positioning.</w:t>
      </w:r>
    </w:p>
    <w:p w14:paraId="0B6D3E87" w14:textId="77777777" w:rsidR="009C6B09" w:rsidRDefault="009C6B09">
      <w:pPr>
        <w:spacing w:after="0" w:line="360" w:lineRule="auto"/>
        <w:contextualSpacing/>
        <w:jc w:val="both"/>
        <w:rPr>
          <w:rFonts w:ascii="Arial" w:hAnsi="Arial" w:cs="Arial"/>
          <w:sz w:val="24"/>
          <w:szCs w:val="24"/>
        </w:rPr>
      </w:pPr>
    </w:p>
    <w:p w14:paraId="7904678E" w14:textId="77777777" w:rsidR="009C6B09" w:rsidRDefault="00994D0C">
      <w:pPr>
        <w:pStyle w:val="Heading1"/>
        <w:spacing w:before="0" w:line="360" w:lineRule="auto"/>
        <w:contextualSpacing/>
        <w:jc w:val="both"/>
      </w:pPr>
      <w:bookmarkStart w:id="23" w:name="_Toc234856544"/>
      <w:r>
        <w:t>6. Market Entry Strategy in India</w:t>
      </w:r>
      <w:bookmarkEnd w:id="23"/>
    </w:p>
    <w:p w14:paraId="39059A5D" w14:textId="77777777" w:rsidR="009C6B09" w:rsidRPr="00A75EB0" w:rsidRDefault="00994D0C">
      <w:pPr>
        <w:pStyle w:val="Heading2"/>
        <w:spacing w:before="0" w:line="360" w:lineRule="auto"/>
        <w:contextualSpacing/>
        <w:jc w:val="both"/>
        <w:rPr>
          <w:b/>
          <w:bCs/>
        </w:rPr>
      </w:pPr>
      <w:bookmarkStart w:id="24" w:name="_Toc234856545"/>
      <w:r w:rsidRPr="00A75EB0">
        <w:rPr>
          <w:b/>
          <w:bCs/>
        </w:rPr>
        <w:t>6.1 Historical Entry and Expansion</w:t>
      </w:r>
      <w:bookmarkEnd w:id="24"/>
    </w:p>
    <w:p w14:paraId="26FFAB4B"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Cadbury's Rs 1,000 crore entry into India marks a long-term internationalisation programme where they had to tailor the global competencies for India. The company went straight to India and built manufacturing capacity here, providing it with more control over its production, quality and distribution. This gave Cadbury an advantage of meeting local consumer taste, wheat prices, and conditions by producing locally, thus reducing the dependence on foreign wheat. This strategy echoes the notion of global marketing, which works in the sense that firms exploring untouched markets tend to tie in the strength of their global brands and local adaptation to become a competitive player.</w:t>
      </w:r>
    </w:p>
    <w:p w14:paraId="395B16FE" w14:textId="77777777" w:rsidR="009C6B09" w:rsidRDefault="009C6B09">
      <w:pPr>
        <w:spacing w:after="0" w:line="360" w:lineRule="auto"/>
        <w:contextualSpacing/>
        <w:jc w:val="both"/>
        <w:rPr>
          <w:rFonts w:ascii="Arial" w:hAnsi="Arial" w:cs="Arial"/>
          <w:sz w:val="24"/>
          <w:szCs w:val="24"/>
        </w:rPr>
      </w:pPr>
    </w:p>
    <w:p w14:paraId="768DD155" w14:textId="77777777" w:rsidR="009C6B09" w:rsidRPr="00A75EB0" w:rsidRDefault="00994D0C">
      <w:pPr>
        <w:pStyle w:val="Heading2"/>
        <w:spacing w:before="0" w:line="360" w:lineRule="auto"/>
        <w:contextualSpacing/>
        <w:jc w:val="both"/>
        <w:rPr>
          <w:b/>
          <w:bCs/>
        </w:rPr>
      </w:pPr>
      <w:bookmarkStart w:id="25" w:name="_Toc234856546"/>
      <w:r w:rsidRPr="00A75EB0">
        <w:rPr>
          <w:b/>
          <w:bCs/>
        </w:rPr>
        <w:t>6.2 Adaptation and Success Factors</w:t>
      </w:r>
      <w:bookmarkEnd w:id="25"/>
    </w:p>
    <w:p w14:paraId="39A49986"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Cadbury's success in India has been quite linked to its flexibility to adapt its product, communication and marketing strategies to the local expectations. Stories on the making of Cadbury Dairy Milk products shifted the perception of chocolate from being a single chocolate bar to being a product that was linked with the family and celebration or feelings (Dey, 2021). On the other hand, their marketing activity for the festival theme was also beneficial for consumer engagement, as they tied their brand with the Indian traditions and social events (Pandey et al., 2021).</w:t>
      </w:r>
    </w:p>
    <w:p w14:paraId="7AA275E1"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Strong distribution networks, brand recognition and adequate investments in advertising also contributed to the company's growth. The need to adapt the message to Indian consumers, whilst at the same time retaining the global brand identity, is indicative of the importance of a considerate balance between standardisation and localisation in international markets (Buckley, 2022). In addition, strategies for the emerging markets must take into consideration consumers' behaviour, build local capacity and build sustainable competitive advantage, not by using the global ones </w:t>
      </w:r>
      <w:r>
        <w:rPr>
          <w:rFonts w:ascii="Arial" w:hAnsi="Arial" w:cs="Arial"/>
          <w:sz w:val="24"/>
          <w:szCs w:val="24"/>
        </w:rPr>
        <w:lastRenderedPageBreak/>
        <w:t>only (Contractor 2022). Thus, Cadbury has taken its foothold in India by acquiring Indian knowledge, investing in manufacturing and culturally positioning their marketing campaigns, thus facilitating its long-term growth in the Indian market.</w:t>
      </w:r>
    </w:p>
    <w:p w14:paraId="45912E87" w14:textId="77777777" w:rsidR="009C6B09" w:rsidRDefault="009C6B09">
      <w:pPr>
        <w:spacing w:after="0" w:line="360" w:lineRule="auto"/>
        <w:contextualSpacing/>
        <w:jc w:val="both"/>
        <w:rPr>
          <w:rFonts w:ascii="Arial" w:hAnsi="Arial" w:cs="Arial"/>
          <w:sz w:val="24"/>
          <w:szCs w:val="24"/>
        </w:rPr>
      </w:pPr>
    </w:p>
    <w:p w14:paraId="6DB2B932" w14:textId="77777777" w:rsidR="009C6B09" w:rsidRDefault="00994D0C">
      <w:pPr>
        <w:pStyle w:val="Heading1"/>
        <w:spacing w:before="0" w:line="360" w:lineRule="auto"/>
        <w:contextualSpacing/>
        <w:jc w:val="both"/>
      </w:pPr>
      <w:bookmarkStart w:id="26" w:name="_Toc234856547"/>
      <w:r>
        <w:t>7. Ethical Issues</w:t>
      </w:r>
      <w:bookmarkEnd w:id="26"/>
      <w:r>
        <w:t xml:space="preserve"> </w:t>
      </w:r>
    </w:p>
    <w:p w14:paraId="7C77B04A" w14:textId="77777777" w:rsidR="009C6B09" w:rsidRPr="00A75EB0" w:rsidRDefault="00994D0C">
      <w:pPr>
        <w:pStyle w:val="Heading2"/>
        <w:spacing w:before="0" w:line="360" w:lineRule="auto"/>
        <w:contextualSpacing/>
        <w:jc w:val="both"/>
        <w:rPr>
          <w:b/>
          <w:bCs/>
        </w:rPr>
      </w:pPr>
      <w:bookmarkStart w:id="27" w:name="_Toc234856548"/>
      <w:r w:rsidRPr="00A75EB0">
        <w:rPr>
          <w:b/>
          <w:bCs/>
        </w:rPr>
        <w:t>7.1 Health, Advertising and Cultural Responsibility</w:t>
      </w:r>
      <w:bookmarkEnd w:id="27"/>
    </w:p>
    <w:p w14:paraId="16B31420"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Some Ethical issues to be raised due to Cadbury's marketing activities in India are Sugar consumption, Health issues, and Marketing strategy towards children. Since confectionery products are high in sugar, consumers are becoming more aware of the health and nutrition side of the product, and there is pressure on the companies to promote the response (Green et al., 2020) and to create a healthier competing product. It is important to bear in mind that when advertising to young children, the emotional brand should be carefully considered as it can have a significant impact on children's preferences and purchasing habits.</w:t>
      </w:r>
    </w:p>
    <w:p w14:paraId="6F17D23C" w14:textId="77777777" w:rsidR="009C6B09" w:rsidRDefault="009C6B09">
      <w:pPr>
        <w:spacing w:after="0" w:line="360" w:lineRule="auto"/>
        <w:contextualSpacing/>
        <w:jc w:val="both"/>
        <w:rPr>
          <w:rFonts w:ascii="Arial" w:hAnsi="Arial" w:cs="Arial"/>
          <w:sz w:val="24"/>
          <w:szCs w:val="24"/>
        </w:rPr>
      </w:pPr>
    </w:p>
    <w:p w14:paraId="7FE933FD" w14:textId="77777777" w:rsidR="009C6B09" w:rsidRPr="00A75EB0" w:rsidRDefault="00994D0C">
      <w:pPr>
        <w:pStyle w:val="Heading2"/>
        <w:spacing w:before="0" w:line="360" w:lineRule="auto"/>
        <w:contextualSpacing/>
        <w:jc w:val="both"/>
        <w:rPr>
          <w:b/>
          <w:bCs/>
        </w:rPr>
      </w:pPr>
      <w:bookmarkStart w:id="28" w:name="_Toc234856549"/>
      <w:r w:rsidRPr="00A75EB0">
        <w:rPr>
          <w:b/>
          <w:bCs/>
        </w:rPr>
        <w:t>7.2 Authenticity, CSR and Sustainability</w:t>
      </w:r>
      <w:bookmarkEnd w:id="28"/>
    </w:p>
    <w:p w14:paraId="307C7C34"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Cadbury's cultural themes and emotional narrative in its advertising have generally benefited the company's consumer relationships; however, it is important that localisation strategies are aware of the need to ensure that the cultural representation is authentic in the company's ads and is not purely commercial. For instance, Cadbury used Indian traditions, which culminated in the invention of products like Cadbury Weds Mishti, suggesting how the brands could gain an Indian sensibility in their products and at the same time pose questions of the commercialisation of Indian cultural practices (Dey, 2021).</w:t>
      </w:r>
    </w:p>
    <w:p w14:paraId="32B5A425"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Packaging waste is also causing environmental issues, and a moral responsibility for the makers of sweets. </w:t>
      </w:r>
      <w:proofErr w:type="gramStart"/>
      <w:r>
        <w:rPr>
          <w:rFonts w:ascii="Arial" w:hAnsi="Arial" w:cs="Arial"/>
          <w:sz w:val="24"/>
          <w:szCs w:val="24"/>
        </w:rPr>
        <w:t>More and more</w:t>
      </w:r>
      <w:proofErr w:type="gramEnd"/>
      <w:r>
        <w:rPr>
          <w:rFonts w:ascii="Arial" w:hAnsi="Arial" w:cs="Arial"/>
          <w:sz w:val="24"/>
          <w:szCs w:val="24"/>
        </w:rPr>
        <w:t xml:space="preserve"> consumers demand that brands act sustainably with their packaging and have a corporate social responsibility (CSR) commitment. Hence, Cadbury should focus on profitability whilst keeping the moral responsibilities in mind, by ensuring transparency in the process, offering a good choice to a customer, ensuring responsible advertising and improving sustainability efforts. Good ethics can build up the trust level and benefit brand reputation in the long run (</w:t>
      </w:r>
      <w:proofErr w:type="spellStart"/>
      <w:r>
        <w:rPr>
          <w:rFonts w:ascii="Arial" w:hAnsi="Arial" w:cs="Arial"/>
          <w:sz w:val="24"/>
          <w:szCs w:val="24"/>
        </w:rPr>
        <w:t>Musafir</w:t>
      </w:r>
      <w:proofErr w:type="spellEnd"/>
      <w:r>
        <w:rPr>
          <w:rFonts w:ascii="Arial" w:hAnsi="Arial" w:cs="Arial"/>
          <w:sz w:val="24"/>
          <w:szCs w:val="24"/>
        </w:rPr>
        <w:t xml:space="preserve"> 2017).</w:t>
      </w:r>
    </w:p>
    <w:p w14:paraId="7D66DD54" w14:textId="77777777" w:rsidR="009C6B09" w:rsidRDefault="00994D0C">
      <w:pPr>
        <w:pStyle w:val="Heading1"/>
        <w:spacing w:before="0" w:line="360" w:lineRule="auto"/>
        <w:contextualSpacing/>
        <w:jc w:val="both"/>
      </w:pPr>
      <w:bookmarkStart w:id="29" w:name="_Toc234856550"/>
      <w:r>
        <w:lastRenderedPageBreak/>
        <w:t>8. Recommendations</w:t>
      </w:r>
      <w:bookmarkEnd w:id="29"/>
      <w:r>
        <w:t xml:space="preserve"> </w:t>
      </w:r>
    </w:p>
    <w:p w14:paraId="6E45E110"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Cadbury's international marketing strategy should be optimised in India with the introduction of a more channelled marketing approach, digital engagement, personalisation, etc. Digital platforms can supply important customer data that facilitates focusing marketing communication according to customers' preferences, which evolve (</w:t>
      </w:r>
      <w:proofErr w:type="spellStart"/>
      <w:r>
        <w:rPr>
          <w:rFonts w:ascii="Arial" w:hAnsi="Arial" w:cs="Arial"/>
          <w:sz w:val="24"/>
          <w:szCs w:val="24"/>
        </w:rPr>
        <w:t>Kotabe</w:t>
      </w:r>
      <w:proofErr w:type="spellEnd"/>
      <w:r>
        <w:rPr>
          <w:rFonts w:ascii="Arial" w:hAnsi="Arial" w:cs="Arial"/>
          <w:sz w:val="24"/>
          <w:szCs w:val="24"/>
        </w:rPr>
        <w:t xml:space="preserve"> et al., 2022). The company would also have to sustain its premiumisation policies and start promoting healthier products and variants, such as sugar-free drinks, to catch the consumer's concern with health.</w:t>
      </w:r>
    </w:p>
    <w:p w14:paraId="09D82544"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Festival marketing must be retained as a key marketing tool as it has been seen that cultural festivals play a significant role in influencing the purchasing behaviour in India (Pandey et al., 2021). Cadbury ought to also increase its sustainable packaging </w:t>
      </w:r>
      <w:proofErr w:type="gramStart"/>
      <w:r>
        <w:rPr>
          <w:rFonts w:ascii="Arial" w:hAnsi="Arial" w:cs="Arial"/>
          <w:sz w:val="24"/>
          <w:szCs w:val="24"/>
        </w:rPr>
        <w:t>plans, and</w:t>
      </w:r>
      <w:proofErr w:type="gramEnd"/>
      <w:r>
        <w:rPr>
          <w:rFonts w:ascii="Arial" w:hAnsi="Arial" w:cs="Arial"/>
          <w:sz w:val="24"/>
          <w:szCs w:val="24"/>
        </w:rPr>
        <w:t xml:space="preserve"> apply artificial intelligence (AI) to predict demand, understand customers and supply chain optimisation. Global brand perceived as competitive and local adaptation would help the company to remain competitive in India market (Buckley, 2022). The following can be seen to be the ways to strengthen the relationship between customers and ensure customer loyalty as well as sustainable long-term growth (Contractor, 2022; Aujla, 2022).</w:t>
      </w:r>
    </w:p>
    <w:p w14:paraId="441A5E52" w14:textId="77777777" w:rsidR="009C6B09" w:rsidRDefault="00994D0C">
      <w:pPr>
        <w:pStyle w:val="Heading1"/>
        <w:spacing w:before="0" w:line="360" w:lineRule="auto"/>
        <w:contextualSpacing/>
        <w:jc w:val="both"/>
      </w:pPr>
      <w:bookmarkStart w:id="30" w:name="_Toc234856551"/>
      <w:r>
        <w:t>9. Conclusion</w:t>
      </w:r>
      <w:bookmarkEnd w:id="30"/>
    </w:p>
    <w:p w14:paraId="42A1479B"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Six marketing strategies were used in this report: PESTEL, Hofstede's cultural dimension, STP and 7Ps marketing mix, which were applied to compare Cadbury's marketing strategy in both the UK and the Indian market. The analysis showed that although both countries are interested in Cadbury's global image, first things first, adaptation </w:t>
      </w:r>
      <w:proofErr w:type="gramStart"/>
      <w:r>
        <w:rPr>
          <w:rFonts w:ascii="Arial" w:hAnsi="Arial" w:cs="Arial"/>
          <w:sz w:val="24"/>
          <w:szCs w:val="24"/>
        </w:rPr>
        <w:t>has to</w:t>
      </w:r>
      <w:proofErr w:type="gramEnd"/>
      <w:r>
        <w:rPr>
          <w:rFonts w:ascii="Arial" w:hAnsi="Arial" w:cs="Arial"/>
          <w:sz w:val="24"/>
          <w:szCs w:val="24"/>
        </w:rPr>
        <w:t xml:space="preserve"> be done because of their different economic landscape, culture, consumer behaviour, and motivations in purchasing the products and such significant changes will be required. Successful localisation, emotional branding and distribution have enabled Cadbury to achieve success in India. </w:t>
      </w:r>
    </w:p>
    <w:p w14:paraId="4044DAA7"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Nonetheless, the ethical issues around the sugar, children's targeted advertising and sustainability of the sugar cane supply are ongoing issues that need to be tackled. Balancing global consistency and local responsiveness requires digital innovation, healthier products, sustainable practices and </w:t>
      </w:r>
      <w:proofErr w:type="gramStart"/>
      <w:r>
        <w:rPr>
          <w:rFonts w:ascii="Arial" w:hAnsi="Arial" w:cs="Arial"/>
          <w:sz w:val="24"/>
          <w:szCs w:val="24"/>
        </w:rPr>
        <w:t>culturally-aware</w:t>
      </w:r>
      <w:proofErr w:type="gramEnd"/>
      <w:r>
        <w:rPr>
          <w:rFonts w:ascii="Arial" w:hAnsi="Arial" w:cs="Arial"/>
          <w:sz w:val="24"/>
          <w:szCs w:val="24"/>
        </w:rPr>
        <w:t xml:space="preserve"> marketing strategies </w:t>
      </w:r>
      <w:proofErr w:type="gramStart"/>
      <w:r>
        <w:rPr>
          <w:rFonts w:ascii="Arial" w:hAnsi="Arial" w:cs="Arial"/>
          <w:sz w:val="24"/>
          <w:szCs w:val="24"/>
        </w:rPr>
        <w:t>in order to</w:t>
      </w:r>
      <w:proofErr w:type="gramEnd"/>
      <w:r>
        <w:rPr>
          <w:rFonts w:ascii="Arial" w:hAnsi="Arial" w:cs="Arial"/>
          <w:sz w:val="24"/>
          <w:szCs w:val="24"/>
        </w:rPr>
        <w:t xml:space="preserve"> be successful in the future. Cadbury should, therefore, persist in adapting their marketing to the domestic and international markets to consolidate its market in India.</w:t>
      </w:r>
    </w:p>
    <w:p w14:paraId="2C850E3D" w14:textId="77777777" w:rsidR="009C6B09" w:rsidRDefault="009C6B09">
      <w:pPr>
        <w:spacing w:after="0" w:line="360" w:lineRule="auto"/>
        <w:contextualSpacing/>
        <w:jc w:val="both"/>
        <w:rPr>
          <w:rFonts w:ascii="Arial" w:hAnsi="Arial" w:cs="Arial"/>
          <w:sz w:val="24"/>
          <w:szCs w:val="24"/>
        </w:rPr>
      </w:pPr>
    </w:p>
    <w:p w14:paraId="077FFE46" w14:textId="77777777" w:rsidR="009C6B09" w:rsidRDefault="00994D0C">
      <w:pPr>
        <w:pStyle w:val="Heading1"/>
        <w:spacing w:before="0" w:line="360" w:lineRule="auto"/>
        <w:contextualSpacing/>
        <w:jc w:val="both"/>
        <w:rPr>
          <w:i w:val="0"/>
        </w:rPr>
      </w:pPr>
      <w:bookmarkStart w:id="31" w:name="_Toc234856552"/>
      <w:r>
        <w:rPr>
          <w:i w:val="0"/>
        </w:rPr>
        <w:lastRenderedPageBreak/>
        <w:t>SECTION 2</w:t>
      </w:r>
      <w:bookmarkEnd w:id="31"/>
    </w:p>
    <w:p w14:paraId="544A7B2D" w14:textId="77777777" w:rsidR="009C6B09" w:rsidRPr="00A75EB0" w:rsidRDefault="00994D0C">
      <w:pPr>
        <w:pStyle w:val="Heading2"/>
        <w:spacing w:before="0" w:line="360" w:lineRule="auto"/>
        <w:contextualSpacing/>
        <w:jc w:val="both"/>
        <w:rPr>
          <w:b/>
          <w:bCs/>
        </w:rPr>
      </w:pPr>
      <w:bookmarkStart w:id="32" w:name="_Toc234856553"/>
      <w:r w:rsidRPr="00A75EB0">
        <w:rPr>
          <w:b/>
          <w:bCs/>
        </w:rPr>
        <w:t>1. Description</w:t>
      </w:r>
      <w:bookmarkEnd w:id="32"/>
    </w:p>
    <w:p w14:paraId="48644C95"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The analysis of the Cadbury strategy was a step-by-step process according to the following method: - Structured analysis of Cadbury's international marketing strategy in two countries: the UK &amp; India. Cadbury was chosen due to its worldwide reach, marketing awareness of their brand and its success in local markets around the world. The UK marketplace was the market of choice to give a sense of the established home market, whilst the Indian market was offered a different view from the emerging market, a market where localisation has provided a stronger consumer connection. A literature search was undertaken using Google Scholar, academic databases, and OECD reports to gather evidence relating to the economic status, consumption habits, culture and marketing strategies.</w:t>
      </w:r>
    </w:p>
    <w:p w14:paraId="4ADAC4CC"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The report conducted a comparison between both markets using the PESTEL framework, Hofstede's cultural dimensions framework, and the STP and 7Ps frameworks. Structured reflection is a learning method proven to be a powerful link between practical experiences and abstract theoretical knowledge and to enhance decision-making skills (</w:t>
      </w:r>
      <w:proofErr w:type="spellStart"/>
      <w:r>
        <w:rPr>
          <w:rFonts w:ascii="Arial" w:hAnsi="Arial" w:cs="Arial"/>
          <w:sz w:val="24"/>
          <w:szCs w:val="24"/>
        </w:rPr>
        <w:t>Artioli</w:t>
      </w:r>
      <w:proofErr w:type="spellEnd"/>
      <w:r>
        <w:rPr>
          <w:rFonts w:ascii="Arial" w:hAnsi="Arial" w:cs="Arial"/>
          <w:sz w:val="24"/>
          <w:szCs w:val="24"/>
        </w:rPr>
        <w:t xml:space="preserve"> et al., 2021).</w:t>
      </w:r>
    </w:p>
    <w:p w14:paraId="45BCA9B0" w14:textId="77777777" w:rsidR="009C6B09" w:rsidRDefault="009C6B09">
      <w:pPr>
        <w:spacing w:after="0" w:line="360" w:lineRule="auto"/>
        <w:contextualSpacing/>
        <w:jc w:val="both"/>
        <w:rPr>
          <w:rFonts w:ascii="Arial" w:hAnsi="Arial" w:cs="Arial"/>
          <w:sz w:val="24"/>
          <w:szCs w:val="24"/>
        </w:rPr>
      </w:pPr>
    </w:p>
    <w:p w14:paraId="71C6AE22" w14:textId="77777777" w:rsidR="009C6B09" w:rsidRPr="00A75EB0" w:rsidRDefault="00994D0C">
      <w:pPr>
        <w:pStyle w:val="Heading2"/>
        <w:spacing w:before="0" w:line="360" w:lineRule="auto"/>
        <w:contextualSpacing/>
        <w:jc w:val="both"/>
        <w:rPr>
          <w:b/>
          <w:bCs/>
        </w:rPr>
      </w:pPr>
      <w:bookmarkStart w:id="33" w:name="_Toc234856554"/>
      <w:r w:rsidRPr="00A75EB0">
        <w:rPr>
          <w:b/>
          <w:bCs/>
        </w:rPr>
        <w:t>2. Feelings</w:t>
      </w:r>
      <w:bookmarkEnd w:id="33"/>
    </w:p>
    <w:p w14:paraId="6E134F73"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I had problems during the research stage locating source texts that are current and reliable for academic sources. There was a lot of information readily available on Cadbury and international marketing, but there was a careful evaluation of the most relevant information. Another difficult aspect of understanding the cultural dimensions of Hofstede was the use and interpretation of numerical scores in national cultures, as they involve complex behaviours. It was initially difficult to apply theory to Cadbury's strategies as the theories suggested were localisation, standardisation and adaptation. But studying the UK market and the Indian market helped me to better understand the reaction of Multinational companies when consumers' expectations go up and down. Reflective learning implies that transaction with research difficulty would foster a deeper comprehension and promote professional growth (Crichton et al., 2021). The process helped me to be more effective in linking the theory with the decision-making in the real business.</w:t>
      </w:r>
    </w:p>
    <w:p w14:paraId="75DBEDC7" w14:textId="77777777" w:rsidR="009C6B09" w:rsidRDefault="009C6B09">
      <w:pPr>
        <w:spacing w:after="0" w:line="360" w:lineRule="auto"/>
        <w:contextualSpacing/>
        <w:jc w:val="both"/>
        <w:rPr>
          <w:rFonts w:ascii="Arial" w:hAnsi="Arial" w:cs="Arial"/>
          <w:sz w:val="24"/>
          <w:szCs w:val="24"/>
        </w:rPr>
      </w:pPr>
    </w:p>
    <w:p w14:paraId="113DE701" w14:textId="77777777" w:rsidR="009C6B09" w:rsidRPr="00A75EB0" w:rsidRDefault="00994D0C">
      <w:pPr>
        <w:pStyle w:val="Heading2"/>
        <w:spacing w:before="0" w:line="360" w:lineRule="auto"/>
        <w:contextualSpacing/>
        <w:jc w:val="both"/>
        <w:rPr>
          <w:b/>
          <w:bCs/>
        </w:rPr>
      </w:pPr>
      <w:bookmarkStart w:id="34" w:name="_Toc234856555"/>
      <w:r w:rsidRPr="00A75EB0">
        <w:rPr>
          <w:b/>
          <w:bCs/>
        </w:rPr>
        <w:lastRenderedPageBreak/>
        <w:t>3. Evaluation</w:t>
      </w:r>
      <w:bookmarkEnd w:id="34"/>
    </w:p>
    <w:p w14:paraId="0ED3C0A5"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There were several strengths highlighted in the research process, including the inclusion of articles which had been peer-reviewed, textbooks and official reports relating to the economy. The use of multiple sources enabled a broad perspective on Cadbury's marketing practices and reactions from the consumers in both countries. The frameworks used were PESTEL, Hofstede, STP, and 7Ps, which allowed a systematic comparison of the international strategies. But there were some constraints, such as obtaining in-depth knowledge of Cadbury's decision-making processes.</w:t>
      </w:r>
    </w:p>
    <w:p w14:paraId="6C924504"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Many sources emphasised consumers' perceptions instead of the decision-making of operations. Moreover, Hofstede's cultural scheme might be too broad to understand cultural differences, falling short in that it might describe cultural traits in a generalised way. Thus, it was important to critically evaluate the sources to determine their reliability and relevance. Reflective practice is important as it emphasises the need to examine actions and their outcomes, both as successes and failures, </w:t>
      </w:r>
      <w:proofErr w:type="gramStart"/>
      <w:r>
        <w:rPr>
          <w:rFonts w:ascii="Arial" w:hAnsi="Arial" w:cs="Arial"/>
          <w:sz w:val="24"/>
          <w:szCs w:val="24"/>
        </w:rPr>
        <w:t>in order to</w:t>
      </w:r>
      <w:proofErr w:type="gramEnd"/>
      <w:r>
        <w:rPr>
          <w:rFonts w:ascii="Arial" w:hAnsi="Arial" w:cs="Arial"/>
          <w:sz w:val="24"/>
          <w:szCs w:val="24"/>
        </w:rPr>
        <w:t xml:space="preserve"> enhance future performance (</w:t>
      </w:r>
      <w:proofErr w:type="spellStart"/>
      <w:r>
        <w:rPr>
          <w:rFonts w:ascii="Arial" w:hAnsi="Arial" w:cs="Arial"/>
          <w:sz w:val="24"/>
          <w:szCs w:val="24"/>
        </w:rPr>
        <w:t>Artioli</w:t>
      </w:r>
      <w:proofErr w:type="spellEnd"/>
      <w:r>
        <w:rPr>
          <w:rFonts w:ascii="Arial" w:hAnsi="Arial" w:cs="Arial"/>
          <w:sz w:val="24"/>
          <w:szCs w:val="24"/>
        </w:rPr>
        <w:t xml:space="preserve"> et al., 2021).</w:t>
      </w:r>
    </w:p>
    <w:p w14:paraId="426EAACE" w14:textId="77777777" w:rsidR="009C6B09" w:rsidRPr="00A75EB0" w:rsidRDefault="00994D0C">
      <w:pPr>
        <w:pStyle w:val="Heading2"/>
        <w:spacing w:before="0" w:line="360" w:lineRule="auto"/>
        <w:contextualSpacing/>
        <w:jc w:val="both"/>
        <w:rPr>
          <w:b/>
          <w:bCs/>
        </w:rPr>
      </w:pPr>
      <w:bookmarkStart w:id="35" w:name="_Toc234856556"/>
      <w:r w:rsidRPr="00A75EB0">
        <w:rPr>
          <w:b/>
          <w:bCs/>
        </w:rPr>
        <w:t>4. Analysis</w:t>
      </w:r>
      <w:bookmarkEnd w:id="35"/>
    </w:p>
    <w:p w14:paraId="2A9B8085"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The report reinforced my understanding of how to use theories pertaining to international marketing in business scenarios. </w:t>
      </w:r>
      <w:proofErr w:type="gramStart"/>
      <w:r>
        <w:rPr>
          <w:rFonts w:ascii="Arial" w:hAnsi="Arial" w:cs="Arial"/>
          <w:sz w:val="24"/>
          <w:szCs w:val="24"/>
        </w:rPr>
        <w:t>Both of these</w:t>
      </w:r>
      <w:proofErr w:type="gramEnd"/>
      <w:r>
        <w:rPr>
          <w:rFonts w:ascii="Arial" w:hAnsi="Arial" w:cs="Arial"/>
          <w:sz w:val="24"/>
          <w:szCs w:val="24"/>
        </w:rPr>
        <w:t xml:space="preserve"> were used to help assess the external environment, PESTEL analysis and Hofstede's to understand the cultural differences and consumer behaviour. STP analysis illustrated Cadbury's targeting strategy, and the 7Ps analysis explained the significance of product, pricing, distribution and promotion on various markets. Multinational strategies must also be planned so they are consistent but responsive to the contexts in different nations.</w:t>
      </w:r>
    </w:p>
    <w:p w14:paraId="2A9E466F"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Balancing local responsiveness with global consistency is essential in planning successful multinational strategies (Hollesen, 2020). It also got me thinking about how innovative approaches and localisation, along with strategic flexibility, aid international competitiveness (Buckley, 2022). The need for evidence-based decision-making is the key in Global Business Analysis (Contractor, 2022).</w:t>
      </w:r>
    </w:p>
    <w:p w14:paraId="1500DB2E" w14:textId="77777777" w:rsidR="009C6B09" w:rsidRDefault="009C6B09">
      <w:pPr>
        <w:spacing w:after="0" w:line="360" w:lineRule="auto"/>
        <w:contextualSpacing/>
        <w:jc w:val="both"/>
        <w:rPr>
          <w:rFonts w:ascii="Arial" w:hAnsi="Arial" w:cs="Arial"/>
          <w:sz w:val="24"/>
          <w:szCs w:val="24"/>
        </w:rPr>
      </w:pPr>
    </w:p>
    <w:p w14:paraId="48369B84" w14:textId="77777777" w:rsidR="008460C0" w:rsidRDefault="008460C0">
      <w:pPr>
        <w:spacing w:after="0" w:line="360" w:lineRule="auto"/>
        <w:contextualSpacing/>
        <w:jc w:val="both"/>
        <w:rPr>
          <w:rFonts w:ascii="Arial" w:hAnsi="Arial" w:cs="Arial"/>
          <w:sz w:val="24"/>
          <w:szCs w:val="24"/>
        </w:rPr>
      </w:pPr>
    </w:p>
    <w:p w14:paraId="74F87BE6" w14:textId="77777777" w:rsidR="008460C0" w:rsidRDefault="008460C0">
      <w:pPr>
        <w:spacing w:after="0" w:line="360" w:lineRule="auto"/>
        <w:contextualSpacing/>
        <w:jc w:val="both"/>
        <w:rPr>
          <w:rFonts w:ascii="Arial" w:hAnsi="Arial" w:cs="Arial"/>
          <w:sz w:val="24"/>
          <w:szCs w:val="24"/>
        </w:rPr>
      </w:pPr>
    </w:p>
    <w:p w14:paraId="5CE538CB" w14:textId="77777777" w:rsidR="009C6B09" w:rsidRPr="00A75EB0" w:rsidRDefault="00994D0C">
      <w:pPr>
        <w:pStyle w:val="Heading2"/>
        <w:spacing w:before="0" w:line="360" w:lineRule="auto"/>
        <w:contextualSpacing/>
        <w:jc w:val="both"/>
        <w:rPr>
          <w:b/>
          <w:bCs/>
        </w:rPr>
      </w:pPr>
      <w:bookmarkStart w:id="36" w:name="_Toc234856557"/>
      <w:r w:rsidRPr="00A75EB0">
        <w:rPr>
          <w:b/>
          <w:bCs/>
        </w:rPr>
        <w:lastRenderedPageBreak/>
        <w:t>5. Conclusion</w:t>
      </w:r>
      <w:bookmarkEnd w:id="36"/>
    </w:p>
    <w:p w14:paraId="60C0AFB7"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This report proved to be a very educational experience, in terms of international marketing, strategic analysis and research on Academic topics. The reflective process helped me to better appreciate the exciting challenge of relating theories to business </w:t>
      </w:r>
      <w:proofErr w:type="gramStart"/>
      <w:r>
        <w:rPr>
          <w:rFonts w:ascii="Arial" w:hAnsi="Arial" w:cs="Arial"/>
          <w:sz w:val="24"/>
          <w:szCs w:val="24"/>
        </w:rPr>
        <w:t>decisions, and</w:t>
      </w:r>
      <w:proofErr w:type="gramEnd"/>
      <w:r>
        <w:rPr>
          <w:rFonts w:ascii="Arial" w:hAnsi="Arial" w:cs="Arial"/>
          <w:sz w:val="24"/>
          <w:szCs w:val="24"/>
        </w:rPr>
        <w:t xml:space="preserve"> enhanced the depth of my knowledge of multinational corporations' operations in various markets.</w:t>
      </w:r>
    </w:p>
    <w:p w14:paraId="5B21F5DE"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 xml:space="preserve">The project was of great importance with respect to the MBA skill sets that were garnered, amongst them are critical thinking, research evaluation, strategic analysis, and problem-solving, to mention a few. It also emphasised the cultural, economic and competitive aspects that should be </w:t>
      </w:r>
      <w:proofErr w:type="gramStart"/>
      <w:r>
        <w:rPr>
          <w:rFonts w:ascii="Arial" w:hAnsi="Arial" w:cs="Arial"/>
          <w:sz w:val="24"/>
          <w:szCs w:val="24"/>
        </w:rPr>
        <w:t>taken into account</w:t>
      </w:r>
      <w:proofErr w:type="gramEnd"/>
      <w:r>
        <w:rPr>
          <w:rFonts w:ascii="Arial" w:hAnsi="Arial" w:cs="Arial"/>
          <w:sz w:val="24"/>
          <w:szCs w:val="24"/>
        </w:rPr>
        <w:t xml:space="preserve"> in the creation of international marketing strategies. The results of reflection helped to identify the issues that need attention for improvement in the future, especially in conducting in-depth research and developing theoretical integration. Iteration helps with professional growth as it will help them reflect and build up their skills based on experience and enhance their future performance (</w:t>
      </w:r>
      <w:proofErr w:type="spellStart"/>
      <w:r>
        <w:rPr>
          <w:rFonts w:ascii="Arial" w:hAnsi="Arial" w:cs="Arial"/>
          <w:sz w:val="24"/>
          <w:szCs w:val="24"/>
        </w:rPr>
        <w:t>Artioli</w:t>
      </w:r>
      <w:proofErr w:type="spellEnd"/>
      <w:r>
        <w:rPr>
          <w:rFonts w:ascii="Arial" w:hAnsi="Arial" w:cs="Arial"/>
          <w:sz w:val="24"/>
          <w:szCs w:val="24"/>
        </w:rPr>
        <w:t xml:space="preserve"> et al., 2021; Crichton et al., 2021).</w:t>
      </w:r>
    </w:p>
    <w:p w14:paraId="40E21F30" w14:textId="77777777" w:rsidR="009C6B09" w:rsidRDefault="009C6B09">
      <w:pPr>
        <w:spacing w:after="0" w:line="360" w:lineRule="auto"/>
        <w:contextualSpacing/>
        <w:jc w:val="both"/>
        <w:rPr>
          <w:rFonts w:ascii="Arial" w:hAnsi="Arial" w:cs="Arial"/>
          <w:sz w:val="24"/>
          <w:szCs w:val="24"/>
        </w:rPr>
      </w:pPr>
    </w:p>
    <w:p w14:paraId="3DD3509A" w14:textId="77777777" w:rsidR="009C6B09" w:rsidRPr="00A75EB0" w:rsidRDefault="00994D0C">
      <w:pPr>
        <w:pStyle w:val="Heading2"/>
        <w:spacing w:before="0" w:line="360" w:lineRule="auto"/>
        <w:contextualSpacing/>
        <w:jc w:val="both"/>
        <w:rPr>
          <w:b/>
          <w:bCs/>
        </w:rPr>
      </w:pPr>
      <w:bookmarkStart w:id="37" w:name="_Toc234856558"/>
      <w:r w:rsidRPr="00A75EB0">
        <w:rPr>
          <w:b/>
          <w:bCs/>
        </w:rPr>
        <w:t>6. Action Plan</w:t>
      </w:r>
      <w:bookmarkEnd w:id="37"/>
    </w:p>
    <w:p w14:paraId="6EC7E774" w14:textId="77777777" w:rsidR="009C6B09" w:rsidRDefault="00994D0C">
      <w:pPr>
        <w:spacing w:after="0" w:line="360" w:lineRule="auto"/>
        <w:ind w:firstLine="720"/>
        <w:contextualSpacing/>
        <w:jc w:val="both"/>
        <w:rPr>
          <w:rFonts w:ascii="Arial" w:hAnsi="Arial" w:cs="Arial"/>
          <w:sz w:val="24"/>
          <w:szCs w:val="24"/>
        </w:rPr>
      </w:pPr>
      <w:r>
        <w:rPr>
          <w:rFonts w:ascii="Arial" w:hAnsi="Arial" w:cs="Arial"/>
          <w:sz w:val="24"/>
          <w:szCs w:val="24"/>
        </w:rPr>
        <w:t>At the secondary level, I wish to develop research skills to search for relevant academic sources and use more effective ways to search the database for future academic/scholarly activities. I will pay specific attention to developing critical thinking, viewing the information and evidence given and making judgments. In addition, I will develop my skills in combining two or more theories in conclusive strategic arguments. I will also be using my academic writing skills to be more structured, to better evaluate work and to improve referencing techniques. I want to broaden my awareness of international marketing and the global strategy to enhance my career development. The continuous reflection and feedback of my own strengths and weaknesses will continue to be primary methods of developing my analytical competencies and decision-making skills (</w:t>
      </w:r>
      <w:proofErr w:type="spellStart"/>
      <w:r>
        <w:rPr>
          <w:rFonts w:ascii="Arial" w:hAnsi="Arial" w:cs="Arial"/>
          <w:sz w:val="24"/>
          <w:szCs w:val="24"/>
        </w:rPr>
        <w:t>Artioli</w:t>
      </w:r>
      <w:proofErr w:type="spellEnd"/>
      <w:r>
        <w:rPr>
          <w:rFonts w:ascii="Arial" w:hAnsi="Arial" w:cs="Arial"/>
          <w:sz w:val="24"/>
          <w:szCs w:val="24"/>
        </w:rPr>
        <w:t xml:space="preserve"> et al., 2021; Crichton et al., 2021).</w:t>
      </w:r>
    </w:p>
    <w:p w14:paraId="0607403C" w14:textId="77777777" w:rsidR="009C6B09" w:rsidRDefault="009C6B09">
      <w:pPr>
        <w:spacing w:after="0" w:line="360" w:lineRule="auto"/>
        <w:contextualSpacing/>
        <w:jc w:val="both"/>
        <w:rPr>
          <w:rFonts w:ascii="Arial" w:hAnsi="Arial" w:cs="Arial"/>
          <w:sz w:val="24"/>
          <w:szCs w:val="24"/>
        </w:rPr>
      </w:pPr>
    </w:p>
    <w:p w14:paraId="5F37F145" w14:textId="77777777" w:rsidR="009C6B09" w:rsidRDefault="009C6B09">
      <w:pPr>
        <w:spacing w:after="0" w:line="360" w:lineRule="auto"/>
        <w:contextualSpacing/>
        <w:jc w:val="both"/>
        <w:rPr>
          <w:rFonts w:ascii="Arial" w:hAnsi="Arial" w:cs="Arial"/>
          <w:sz w:val="24"/>
          <w:szCs w:val="24"/>
        </w:rPr>
      </w:pPr>
    </w:p>
    <w:p w14:paraId="002FDC1B" w14:textId="77777777" w:rsidR="009C6B09" w:rsidRDefault="009C6B09">
      <w:pPr>
        <w:spacing w:after="0" w:line="360" w:lineRule="auto"/>
        <w:contextualSpacing/>
        <w:jc w:val="both"/>
        <w:rPr>
          <w:rFonts w:ascii="Arial" w:hAnsi="Arial" w:cs="Arial"/>
          <w:sz w:val="24"/>
          <w:szCs w:val="24"/>
        </w:rPr>
      </w:pPr>
    </w:p>
    <w:p w14:paraId="471BAAD6" w14:textId="77777777" w:rsidR="009C6B09" w:rsidRDefault="009C6B09">
      <w:pPr>
        <w:spacing w:after="0" w:line="360" w:lineRule="auto"/>
        <w:contextualSpacing/>
        <w:rPr>
          <w:rFonts w:ascii="Arial" w:hAnsi="Arial" w:cs="Arial"/>
          <w:sz w:val="24"/>
          <w:szCs w:val="24"/>
        </w:rPr>
      </w:pPr>
    </w:p>
    <w:p w14:paraId="0B75A1F9" w14:textId="77777777" w:rsidR="009C6B09" w:rsidRDefault="009C6B09">
      <w:pPr>
        <w:spacing w:after="0" w:line="360" w:lineRule="auto"/>
        <w:contextualSpacing/>
        <w:rPr>
          <w:rFonts w:ascii="Arial" w:hAnsi="Arial" w:cs="Arial"/>
          <w:sz w:val="24"/>
          <w:szCs w:val="24"/>
        </w:rPr>
      </w:pPr>
    </w:p>
    <w:p w14:paraId="3AD3813C" w14:textId="77777777" w:rsidR="009C6B09" w:rsidRDefault="009C6B09">
      <w:pPr>
        <w:spacing w:after="0" w:line="360" w:lineRule="auto"/>
        <w:contextualSpacing/>
        <w:rPr>
          <w:rFonts w:ascii="Arial" w:hAnsi="Arial" w:cs="Arial"/>
          <w:sz w:val="24"/>
          <w:szCs w:val="24"/>
        </w:rPr>
      </w:pPr>
    </w:p>
    <w:p w14:paraId="5F11A1FA" w14:textId="77777777" w:rsidR="009C6B09" w:rsidRDefault="00994D0C">
      <w:pPr>
        <w:pStyle w:val="Heading1"/>
        <w:spacing w:before="0" w:line="360" w:lineRule="auto"/>
        <w:contextualSpacing/>
        <w:jc w:val="center"/>
        <w:rPr>
          <w:i w:val="0"/>
          <w:lang w:val="en-US"/>
        </w:rPr>
      </w:pPr>
      <w:bookmarkStart w:id="38" w:name="_Toc234856559"/>
      <w:r>
        <w:rPr>
          <w:i w:val="0"/>
          <w:lang w:val="en-US"/>
        </w:rPr>
        <w:lastRenderedPageBreak/>
        <w:t>References</w:t>
      </w:r>
      <w:bookmarkEnd w:id="38"/>
    </w:p>
    <w:p w14:paraId="427FE317" w14:textId="77777777" w:rsidR="009C6B09" w:rsidRDefault="00994D0C">
      <w:pPr>
        <w:spacing w:after="0" w:line="360" w:lineRule="auto"/>
        <w:ind w:left="720" w:hanging="720"/>
        <w:contextualSpacing/>
        <w:rPr>
          <w:rFonts w:ascii="Arial" w:hAnsi="Arial" w:cs="Arial"/>
          <w:sz w:val="24"/>
          <w:szCs w:val="24"/>
          <w:shd w:val="clear" w:color="auto" w:fill="FFFFFF"/>
        </w:rPr>
      </w:pPr>
      <w:proofErr w:type="spellStart"/>
      <w:r>
        <w:rPr>
          <w:rFonts w:ascii="Arial" w:hAnsi="Arial" w:cs="Arial"/>
          <w:sz w:val="24"/>
          <w:szCs w:val="24"/>
          <w:shd w:val="clear" w:color="auto" w:fill="FFFFFF"/>
        </w:rPr>
        <w:t>Artioli</w:t>
      </w:r>
      <w:proofErr w:type="spellEnd"/>
      <w:r>
        <w:rPr>
          <w:rFonts w:ascii="Arial" w:hAnsi="Arial" w:cs="Arial"/>
          <w:sz w:val="24"/>
          <w:szCs w:val="24"/>
          <w:shd w:val="clear" w:color="auto" w:fill="FFFFFF"/>
        </w:rPr>
        <w:t>, G., Deiana, L., De Vincenzo, F., Raucci, M., Amaducci, G., Bassi, M.C., Di Leo, S., Hayter, M. and Ghirotto, L., 2021. Health professionals and students’ experiences of reflective writing in learning: A qualitative meta-synthesis. </w:t>
      </w:r>
      <w:r>
        <w:rPr>
          <w:rFonts w:ascii="Arial" w:hAnsi="Arial" w:cs="Arial"/>
          <w:i/>
          <w:iCs/>
          <w:sz w:val="24"/>
          <w:szCs w:val="24"/>
          <w:shd w:val="clear" w:color="auto" w:fill="FFFFFF"/>
        </w:rPr>
        <w:t>BMC medical education</w:t>
      </w:r>
      <w:r>
        <w:rPr>
          <w:rFonts w:ascii="Arial" w:hAnsi="Arial" w:cs="Arial"/>
          <w:sz w:val="24"/>
          <w:szCs w:val="24"/>
          <w:shd w:val="clear" w:color="auto" w:fill="FFFFFF"/>
        </w:rPr>
        <w:t>, </w:t>
      </w:r>
      <w:r>
        <w:rPr>
          <w:rFonts w:ascii="Arial" w:hAnsi="Arial" w:cs="Arial"/>
          <w:i/>
          <w:iCs/>
          <w:sz w:val="24"/>
          <w:szCs w:val="24"/>
          <w:shd w:val="clear" w:color="auto" w:fill="FFFFFF"/>
        </w:rPr>
        <w:t>21</w:t>
      </w:r>
      <w:r>
        <w:rPr>
          <w:rFonts w:ascii="Arial" w:hAnsi="Arial" w:cs="Arial"/>
          <w:sz w:val="24"/>
          <w:szCs w:val="24"/>
          <w:shd w:val="clear" w:color="auto" w:fill="FFFFFF"/>
        </w:rPr>
        <w:t>(1), p.394.</w:t>
      </w:r>
    </w:p>
    <w:p w14:paraId="3F37B914" w14:textId="77777777" w:rsidR="009C6B09" w:rsidRDefault="00994D0C">
      <w:pPr>
        <w:spacing w:after="0" w:line="360" w:lineRule="auto"/>
        <w:ind w:left="720" w:hanging="720"/>
        <w:contextualSpacing/>
        <w:rPr>
          <w:rFonts w:ascii="Arial" w:hAnsi="Arial" w:cs="Arial"/>
          <w:sz w:val="24"/>
          <w:szCs w:val="24"/>
          <w:shd w:val="clear" w:color="auto" w:fill="FFFFFF"/>
        </w:rPr>
      </w:pPr>
      <w:r>
        <w:rPr>
          <w:rFonts w:ascii="Arial" w:hAnsi="Arial" w:cs="Arial"/>
          <w:sz w:val="24"/>
          <w:szCs w:val="24"/>
          <w:shd w:val="clear" w:color="auto" w:fill="FFFFFF"/>
        </w:rPr>
        <w:t>Aujla, D.S., 2022. an Analysis of the Marketing Strategies of Cadbury. </w:t>
      </w:r>
      <w:r>
        <w:rPr>
          <w:rFonts w:ascii="Arial" w:hAnsi="Arial" w:cs="Arial"/>
          <w:i/>
          <w:iCs/>
          <w:sz w:val="24"/>
          <w:szCs w:val="24"/>
          <w:shd w:val="clear" w:color="auto" w:fill="FFFFFF"/>
        </w:rPr>
        <w:t>Marketing Mastery: Strategies for Captivating Audiences</w:t>
      </w:r>
      <w:r>
        <w:rPr>
          <w:rFonts w:ascii="Arial" w:hAnsi="Arial" w:cs="Arial"/>
          <w:sz w:val="24"/>
          <w:szCs w:val="24"/>
          <w:shd w:val="clear" w:color="auto" w:fill="FFFFFF"/>
        </w:rPr>
        <w:t>, p.43.</w:t>
      </w:r>
    </w:p>
    <w:p w14:paraId="57C4184B" w14:textId="77777777" w:rsidR="009C6B09" w:rsidRDefault="00994D0C">
      <w:pPr>
        <w:spacing w:after="0" w:line="360" w:lineRule="auto"/>
        <w:ind w:left="720" w:hanging="720"/>
        <w:contextualSpacing/>
        <w:rPr>
          <w:rFonts w:ascii="Arial" w:hAnsi="Arial" w:cs="Arial"/>
          <w:sz w:val="24"/>
          <w:szCs w:val="24"/>
          <w:shd w:val="clear" w:color="auto" w:fill="FFFFFF"/>
        </w:rPr>
      </w:pPr>
      <w:proofErr w:type="spellStart"/>
      <w:r>
        <w:rPr>
          <w:rFonts w:ascii="Arial" w:hAnsi="Arial" w:cs="Arial"/>
          <w:sz w:val="24"/>
          <w:szCs w:val="24"/>
          <w:shd w:val="clear" w:color="auto" w:fill="FFFFFF"/>
        </w:rPr>
        <w:t>Bastiaansen</w:t>
      </w:r>
      <w:proofErr w:type="spellEnd"/>
      <w:r>
        <w:rPr>
          <w:rFonts w:ascii="Arial" w:hAnsi="Arial" w:cs="Arial"/>
          <w:sz w:val="24"/>
          <w:szCs w:val="24"/>
          <w:shd w:val="clear" w:color="auto" w:fill="FFFFFF"/>
        </w:rPr>
        <w:t xml:space="preserve">, C.A. and </w:t>
      </w:r>
      <w:proofErr w:type="spellStart"/>
      <w:r>
        <w:rPr>
          <w:rFonts w:ascii="Arial" w:hAnsi="Arial" w:cs="Arial"/>
          <w:sz w:val="24"/>
          <w:szCs w:val="24"/>
          <w:shd w:val="clear" w:color="auto" w:fill="FFFFFF"/>
        </w:rPr>
        <w:t>Wilderom</w:t>
      </w:r>
      <w:proofErr w:type="spellEnd"/>
      <w:r>
        <w:rPr>
          <w:rFonts w:ascii="Arial" w:hAnsi="Arial" w:cs="Arial"/>
          <w:sz w:val="24"/>
          <w:szCs w:val="24"/>
          <w:shd w:val="clear" w:color="auto" w:fill="FFFFFF"/>
        </w:rPr>
        <w:t>, C.P., 2022. Agile and generic work values of British vs Indian IT workers: a culture-clash case. </w:t>
      </w:r>
      <w:r>
        <w:rPr>
          <w:rFonts w:ascii="Arial" w:hAnsi="Arial" w:cs="Arial"/>
          <w:i/>
          <w:iCs/>
          <w:sz w:val="24"/>
          <w:szCs w:val="24"/>
          <w:shd w:val="clear" w:color="auto" w:fill="FFFFFF"/>
        </w:rPr>
        <w:t>Journal of strategy and management</w:t>
      </w:r>
      <w:r>
        <w:rPr>
          <w:rFonts w:ascii="Arial" w:hAnsi="Arial" w:cs="Arial"/>
          <w:sz w:val="24"/>
          <w:szCs w:val="24"/>
          <w:shd w:val="clear" w:color="auto" w:fill="FFFFFF"/>
        </w:rPr>
        <w:t>, </w:t>
      </w:r>
      <w:r>
        <w:rPr>
          <w:rFonts w:ascii="Arial" w:hAnsi="Arial" w:cs="Arial"/>
          <w:i/>
          <w:iCs/>
          <w:sz w:val="24"/>
          <w:szCs w:val="24"/>
          <w:shd w:val="clear" w:color="auto" w:fill="FFFFFF"/>
        </w:rPr>
        <w:t>15</w:t>
      </w:r>
      <w:r>
        <w:rPr>
          <w:rFonts w:ascii="Arial" w:hAnsi="Arial" w:cs="Arial"/>
          <w:sz w:val="24"/>
          <w:szCs w:val="24"/>
          <w:shd w:val="clear" w:color="auto" w:fill="FFFFFF"/>
        </w:rPr>
        <w:t>(3), pp.353-376.</w:t>
      </w:r>
    </w:p>
    <w:p w14:paraId="18E4E1E5" w14:textId="77777777" w:rsidR="009C6B09" w:rsidRDefault="00994D0C">
      <w:pPr>
        <w:spacing w:after="0" w:line="360" w:lineRule="auto"/>
        <w:ind w:left="720" w:hanging="720"/>
        <w:contextualSpacing/>
        <w:rPr>
          <w:rFonts w:ascii="Arial" w:hAnsi="Arial" w:cs="Arial"/>
          <w:sz w:val="24"/>
          <w:szCs w:val="24"/>
          <w:shd w:val="clear" w:color="auto" w:fill="FFFFFF"/>
        </w:rPr>
      </w:pPr>
      <w:r>
        <w:rPr>
          <w:rFonts w:ascii="Arial" w:hAnsi="Arial" w:cs="Arial"/>
          <w:sz w:val="24"/>
          <w:szCs w:val="24"/>
          <w:shd w:val="clear" w:color="auto" w:fill="FFFFFF"/>
        </w:rPr>
        <w:t>Buckley, P.J., 2022. Navigating three vectors of power: Global strategy in a world of intense competition, aggressive nation states, and antagonistic civil society. </w:t>
      </w:r>
      <w:r>
        <w:rPr>
          <w:rFonts w:ascii="Arial" w:hAnsi="Arial" w:cs="Arial"/>
          <w:i/>
          <w:iCs/>
          <w:sz w:val="24"/>
          <w:szCs w:val="24"/>
          <w:shd w:val="clear" w:color="auto" w:fill="FFFFFF"/>
        </w:rPr>
        <w:t>Global Strategy Journal</w:t>
      </w:r>
      <w:r>
        <w:rPr>
          <w:rFonts w:ascii="Arial" w:hAnsi="Arial" w:cs="Arial"/>
          <w:sz w:val="24"/>
          <w:szCs w:val="24"/>
          <w:shd w:val="clear" w:color="auto" w:fill="FFFFFF"/>
        </w:rPr>
        <w:t>, </w:t>
      </w:r>
      <w:r>
        <w:rPr>
          <w:rFonts w:ascii="Arial" w:hAnsi="Arial" w:cs="Arial"/>
          <w:i/>
          <w:iCs/>
          <w:sz w:val="24"/>
          <w:szCs w:val="24"/>
          <w:shd w:val="clear" w:color="auto" w:fill="FFFFFF"/>
        </w:rPr>
        <w:t>12</w:t>
      </w:r>
      <w:r>
        <w:rPr>
          <w:rFonts w:ascii="Arial" w:hAnsi="Arial" w:cs="Arial"/>
          <w:sz w:val="24"/>
          <w:szCs w:val="24"/>
          <w:shd w:val="clear" w:color="auto" w:fill="FFFFFF"/>
        </w:rPr>
        <w:t>(3), pp.543-554.</w:t>
      </w:r>
    </w:p>
    <w:p w14:paraId="1FBAD035" w14:textId="77777777" w:rsidR="009C6B09" w:rsidRDefault="00994D0C">
      <w:pPr>
        <w:spacing w:after="0" w:line="360" w:lineRule="auto"/>
        <w:ind w:left="720" w:hanging="720"/>
        <w:contextualSpacing/>
        <w:rPr>
          <w:rFonts w:ascii="Arial" w:hAnsi="Arial" w:cs="Arial"/>
          <w:sz w:val="24"/>
          <w:szCs w:val="24"/>
          <w:shd w:val="clear" w:color="auto" w:fill="FFFFFF"/>
        </w:rPr>
      </w:pPr>
      <w:r>
        <w:rPr>
          <w:rFonts w:ascii="Arial" w:hAnsi="Arial" w:cs="Arial"/>
          <w:sz w:val="24"/>
          <w:szCs w:val="24"/>
          <w:shd w:val="clear" w:color="auto" w:fill="FFFFFF"/>
        </w:rPr>
        <w:t xml:space="preserve">Contractor, F.J., 2022. The world economy will need even more globalization in the post-pandemic 2021 decade: </w:t>
      </w:r>
      <w:proofErr w:type="spellStart"/>
      <w:r>
        <w:rPr>
          <w:rFonts w:ascii="Arial" w:hAnsi="Arial" w:cs="Arial"/>
          <w:sz w:val="24"/>
          <w:szCs w:val="24"/>
          <w:shd w:val="clear" w:color="auto" w:fill="FFFFFF"/>
        </w:rPr>
        <w:t>Farok</w:t>
      </w:r>
      <w:proofErr w:type="spellEnd"/>
      <w:r>
        <w:rPr>
          <w:rFonts w:ascii="Arial" w:hAnsi="Arial" w:cs="Arial"/>
          <w:sz w:val="24"/>
          <w:szCs w:val="24"/>
          <w:shd w:val="clear" w:color="auto" w:fill="FFFFFF"/>
        </w:rPr>
        <w:t xml:space="preserve"> J. Contractor. </w:t>
      </w:r>
      <w:r>
        <w:rPr>
          <w:rFonts w:ascii="Arial" w:hAnsi="Arial" w:cs="Arial"/>
          <w:i/>
          <w:iCs/>
          <w:sz w:val="24"/>
          <w:szCs w:val="24"/>
          <w:shd w:val="clear" w:color="auto" w:fill="FFFFFF"/>
        </w:rPr>
        <w:t>Journal of international business studies</w:t>
      </w:r>
      <w:r>
        <w:rPr>
          <w:rFonts w:ascii="Arial" w:hAnsi="Arial" w:cs="Arial"/>
          <w:sz w:val="24"/>
          <w:szCs w:val="24"/>
          <w:shd w:val="clear" w:color="auto" w:fill="FFFFFF"/>
        </w:rPr>
        <w:t>, </w:t>
      </w:r>
      <w:r>
        <w:rPr>
          <w:rFonts w:ascii="Arial" w:hAnsi="Arial" w:cs="Arial"/>
          <w:i/>
          <w:iCs/>
          <w:sz w:val="24"/>
          <w:szCs w:val="24"/>
          <w:shd w:val="clear" w:color="auto" w:fill="FFFFFF"/>
        </w:rPr>
        <w:t>53</w:t>
      </w:r>
      <w:r>
        <w:rPr>
          <w:rFonts w:ascii="Arial" w:hAnsi="Arial" w:cs="Arial"/>
          <w:sz w:val="24"/>
          <w:szCs w:val="24"/>
          <w:shd w:val="clear" w:color="auto" w:fill="FFFFFF"/>
        </w:rPr>
        <w:t>(1), pp.156-171.</w:t>
      </w:r>
    </w:p>
    <w:p w14:paraId="5CD235B4" w14:textId="77777777" w:rsidR="009C6B09" w:rsidRDefault="00994D0C">
      <w:pPr>
        <w:spacing w:after="0" w:line="360" w:lineRule="auto"/>
        <w:ind w:left="720" w:hanging="720"/>
        <w:contextualSpacing/>
        <w:rPr>
          <w:rFonts w:ascii="Arial" w:hAnsi="Arial" w:cs="Arial"/>
          <w:sz w:val="24"/>
          <w:szCs w:val="24"/>
          <w:shd w:val="clear" w:color="auto" w:fill="FFFFFF"/>
        </w:rPr>
      </w:pPr>
      <w:r>
        <w:rPr>
          <w:rFonts w:ascii="Arial" w:hAnsi="Arial" w:cs="Arial"/>
          <w:sz w:val="24"/>
          <w:szCs w:val="24"/>
          <w:shd w:val="clear" w:color="auto" w:fill="FFFFFF"/>
        </w:rPr>
        <w:t>Crichton, H., Valdera Gil, F. and Hadfield, C., 2021. Reflections on peer micro-teaching: raising questions about theory informed practice. </w:t>
      </w:r>
      <w:r>
        <w:rPr>
          <w:rFonts w:ascii="Arial" w:hAnsi="Arial" w:cs="Arial"/>
          <w:i/>
          <w:iCs/>
          <w:sz w:val="24"/>
          <w:szCs w:val="24"/>
          <w:shd w:val="clear" w:color="auto" w:fill="FFFFFF"/>
        </w:rPr>
        <w:t>Reflective Practice</w:t>
      </w:r>
      <w:r>
        <w:rPr>
          <w:rFonts w:ascii="Arial" w:hAnsi="Arial" w:cs="Arial"/>
          <w:sz w:val="24"/>
          <w:szCs w:val="24"/>
          <w:shd w:val="clear" w:color="auto" w:fill="FFFFFF"/>
        </w:rPr>
        <w:t>, </w:t>
      </w:r>
      <w:r>
        <w:rPr>
          <w:rFonts w:ascii="Arial" w:hAnsi="Arial" w:cs="Arial"/>
          <w:i/>
          <w:iCs/>
          <w:sz w:val="24"/>
          <w:szCs w:val="24"/>
          <w:shd w:val="clear" w:color="auto" w:fill="FFFFFF"/>
        </w:rPr>
        <w:t>22</w:t>
      </w:r>
      <w:r>
        <w:rPr>
          <w:rFonts w:ascii="Arial" w:hAnsi="Arial" w:cs="Arial"/>
          <w:sz w:val="24"/>
          <w:szCs w:val="24"/>
          <w:shd w:val="clear" w:color="auto" w:fill="FFFFFF"/>
        </w:rPr>
        <w:t>(3), pp.345-361.</w:t>
      </w:r>
    </w:p>
    <w:p w14:paraId="076319EE" w14:textId="77777777" w:rsidR="009C6B09" w:rsidRDefault="00994D0C">
      <w:pPr>
        <w:spacing w:after="0" w:line="360" w:lineRule="auto"/>
        <w:ind w:left="720" w:hanging="720"/>
        <w:contextualSpacing/>
        <w:rPr>
          <w:rFonts w:ascii="Arial" w:hAnsi="Arial" w:cs="Arial"/>
          <w:sz w:val="24"/>
          <w:szCs w:val="24"/>
          <w:shd w:val="clear" w:color="auto" w:fill="FFFFFF"/>
        </w:rPr>
      </w:pPr>
      <w:r>
        <w:rPr>
          <w:rFonts w:ascii="Arial" w:hAnsi="Arial" w:cs="Arial"/>
          <w:sz w:val="24"/>
          <w:szCs w:val="24"/>
          <w:shd w:val="clear" w:color="auto" w:fill="FFFFFF"/>
        </w:rPr>
        <w:t>Dey, I., 2021. Cadbury Weds Mishti: Fusion, Taste and Selling ‘Authenticity’. </w:t>
      </w:r>
      <w:r>
        <w:rPr>
          <w:rFonts w:ascii="Arial" w:hAnsi="Arial" w:cs="Arial"/>
          <w:i/>
          <w:iCs/>
          <w:sz w:val="24"/>
          <w:szCs w:val="24"/>
          <w:shd w:val="clear" w:color="auto" w:fill="FFFFFF"/>
        </w:rPr>
        <w:t>International Journal of South Asian Studies</w:t>
      </w:r>
      <w:r>
        <w:rPr>
          <w:rFonts w:ascii="Arial" w:hAnsi="Arial" w:cs="Arial"/>
          <w:sz w:val="24"/>
          <w:szCs w:val="24"/>
          <w:shd w:val="clear" w:color="auto" w:fill="FFFFFF"/>
        </w:rPr>
        <w:t>, </w:t>
      </w:r>
      <w:r>
        <w:rPr>
          <w:rFonts w:ascii="Arial" w:hAnsi="Arial" w:cs="Arial"/>
          <w:i/>
          <w:iCs/>
          <w:sz w:val="24"/>
          <w:szCs w:val="24"/>
          <w:shd w:val="clear" w:color="auto" w:fill="FFFFFF"/>
        </w:rPr>
        <w:t>11</w:t>
      </w:r>
      <w:r>
        <w:rPr>
          <w:rFonts w:ascii="Arial" w:hAnsi="Arial" w:cs="Arial"/>
          <w:sz w:val="24"/>
          <w:szCs w:val="24"/>
          <w:shd w:val="clear" w:color="auto" w:fill="FFFFFF"/>
        </w:rPr>
        <w:t>, pp.47-60.</w:t>
      </w:r>
    </w:p>
    <w:p w14:paraId="7FE66346" w14:textId="77777777" w:rsidR="009C6B09" w:rsidRDefault="00994D0C">
      <w:pPr>
        <w:spacing w:after="0" w:line="360" w:lineRule="auto"/>
        <w:ind w:left="720" w:hanging="720"/>
        <w:contextualSpacing/>
        <w:rPr>
          <w:rFonts w:ascii="Arial" w:hAnsi="Arial" w:cs="Arial"/>
          <w:sz w:val="24"/>
          <w:szCs w:val="24"/>
          <w:shd w:val="clear" w:color="auto" w:fill="FFFFFF"/>
        </w:rPr>
      </w:pPr>
      <w:r>
        <w:rPr>
          <w:rFonts w:ascii="Arial" w:hAnsi="Arial" w:cs="Arial"/>
          <w:sz w:val="24"/>
          <w:szCs w:val="24"/>
          <w:shd w:val="clear" w:color="auto" w:fill="FFFFFF"/>
        </w:rPr>
        <w:t>Gerlach, P. and Eriksson, K., 2021. Measuring cultural dimensions: external validity and internal consistency of Hofstede's VSM 2013 Scales. </w:t>
      </w:r>
      <w:r>
        <w:rPr>
          <w:rFonts w:ascii="Arial" w:hAnsi="Arial" w:cs="Arial"/>
          <w:i/>
          <w:iCs/>
          <w:sz w:val="24"/>
          <w:szCs w:val="24"/>
          <w:shd w:val="clear" w:color="auto" w:fill="FFFFFF"/>
        </w:rPr>
        <w:t>Frontiers in Psychology</w:t>
      </w:r>
      <w:r>
        <w:rPr>
          <w:rFonts w:ascii="Arial" w:hAnsi="Arial" w:cs="Arial"/>
          <w:sz w:val="24"/>
          <w:szCs w:val="24"/>
          <w:shd w:val="clear" w:color="auto" w:fill="FFFFFF"/>
        </w:rPr>
        <w:t>, </w:t>
      </w:r>
      <w:r>
        <w:rPr>
          <w:rFonts w:ascii="Arial" w:hAnsi="Arial" w:cs="Arial"/>
          <w:i/>
          <w:iCs/>
          <w:sz w:val="24"/>
          <w:szCs w:val="24"/>
          <w:shd w:val="clear" w:color="auto" w:fill="FFFFFF"/>
        </w:rPr>
        <w:t>12</w:t>
      </w:r>
      <w:r>
        <w:rPr>
          <w:rFonts w:ascii="Arial" w:hAnsi="Arial" w:cs="Arial"/>
          <w:sz w:val="24"/>
          <w:szCs w:val="24"/>
          <w:shd w:val="clear" w:color="auto" w:fill="FFFFFF"/>
        </w:rPr>
        <w:t>, p.662604.</w:t>
      </w:r>
    </w:p>
    <w:p w14:paraId="447B6DE3" w14:textId="77777777" w:rsidR="009C6B09" w:rsidRDefault="00994D0C">
      <w:pPr>
        <w:spacing w:after="0" w:line="360" w:lineRule="auto"/>
        <w:ind w:left="720" w:hanging="720"/>
        <w:contextualSpacing/>
        <w:rPr>
          <w:rFonts w:ascii="Arial" w:hAnsi="Arial" w:cs="Arial"/>
          <w:sz w:val="24"/>
          <w:szCs w:val="24"/>
          <w:shd w:val="clear" w:color="auto" w:fill="FFFFFF"/>
        </w:rPr>
      </w:pPr>
      <w:r>
        <w:rPr>
          <w:rFonts w:ascii="Arial" w:hAnsi="Arial" w:cs="Arial"/>
          <w:sz w:val="24"/>
          <w:szCs w:val="24"/>
          <w:shd w:val="clear" w:color="auto" w:fill="FFFFFF"/>
        </w:rPr>
        <w:t>Green, M.C. and Keegan, W.J., 2020. </w:t>
      </w:r>
      <w:r>
        <w:rPr>
          <w:rFonts w:ascii="Arial" w:hAnsi="Arial" w:cs="Arial"/>
          <w:i/>
          <w:iCs/>
          <w:sz w:val="24"/>
          <w:szCs w:val="24"/>
          <w:shd w:val="clear" w:color="auto" w:fill="FFFFFF"/>
        </w:rPr>
        <w:t>Global marketing</w:t>
      </w:r>
      <w:r>
        <w:rPr>
          <w:rFonts w:ascii="Arial" w:hAnsi="Arial" w:cs="Arial"/>
          <w:sz w:val="24"/>
          <w:szCs w:val="24"/>
          <w:shd w:val="clear" w:color="auto" w:fill="FFFFFF"/>
        </w:rPr>
        <w:t>. Pearson.</w:t>
      </w:r>
    </w:p>
    <w:p w14:paraId="4E33883D" w14:textId="77777777" w:rsidR="009C6B09" w:rsidRDefault="00994D0C">
      <w:pPr>
        <w:spacing w:after="0" w:line="360" w:lineRule="auto"/>
        <w:ind w:left="720" w:hanging="720"/>
        <w:contextualSpacing/>
        <w:rPr>
          <w:rFonts w:ascii="Arial" w:hAnsi="Arial" w:cs="Arial"/>
          <w:sz w:val="24"/>
          <w:szCs w:val="24"/>
          <w:shd w:val="clear" w:color="auto" w:fill="FFFFFF"/>
        </w:rPr>
      </w:pPr>
      <w:r>
        <w:rPr>
          <w:rFonts w:ascii="Arial" w:hAnsi="Arial" w:cs="Arial"/>
          <w:sz w:val="24"/>
          <w:szCs w:val="24"/>
          <w:shd w:val="clear" w:color="auto" w:fill="FFFFFF"/>
        </w:rPr>
        <w:t>Hollensen, S., 2020. </w:t>
      </w:r>
      <w:r>
        <w:rPr>
          <w:rFonts w:ascii="Arial" w:hAnsi="Arial" w:cs="Arial"/>
          <w:i/>
          <w:iCs/>
          <w:sz w:val="24"/>
          <w:szCs w:val="24"/>
          <w:shd w:val="clear" w:color="auto" w:fill="FFFFFF"/>
        </w:rPr>
        <w:t>Global marketing</w:t>
      </w:r>
      <w:r>
        <w:rPr>
          <w:rFonts w:ascii="Arial" w:hAnsi="Arial" w:cs="Arial"/>
          <w:sz w:val="24"/>
          <w:szCs w:val="24"/>
          <w:shd w:val="clear" w:color="auto" w:fill="FFFFFF"/>
        </w:rPr>
        <w:t> (pp. 978-1). Harlow: Pearson.</w:t>
      </w:r>
    </w:p>
    <w:p w14:paraId="29FE5FC8" w14:textId="77777777" w:rsidR="009C6B09" w:rsidRDefault="00994D0C">
      <w:pPr>
        <w:spacing w:after="0" w:line="360" w:lineRule="auto"/>
        <w:ind w:left="720" w:hanging="720"/>
        <w:contextualSpacing/>
        <w:rPr>
          <w:rFonts w:ascii="Arial" w:hAnsi="Arial" w:cs="Arial"/>
          <w:sz w:val="24"/>
          <w:szCs w:val="24"/>
          <w:shd w:val="clear" w:color="auto" w:fill="FFFFFF"/>
        </w:rPr>
      </w:pPr>
      <w:proofErr w:type="spellStart"/>
      <w:r>
        <w:rPr>
          <w:rFonts w:ascii="Arial" w:hAnsi="Arial" w:cs="Arial"/>
          <w:sz w:val="24"/>
          <w:szCs w:val="24"/>
          <w:shd w:val="clear" w:color="auto" w:fill="FFFFFF"/>
        </w:rPr>
        <w:t>Kotabe</w:t>
      </w:r>
      <w:proofErr w:type="spellEnd"/>
      <w:r>
        <w:rPr>
          <w:rFonts w:ascii="Arial" w:hAnsi="Arial" w:cs="Arial"/>
          <w:sz w:val="24"/>
          <w:szCs w:val="24"/>
          <w:shd w:val="clear" w:color="auto" w:fill="FFFFFF"/>
        </w:rPr>
        <w:t>, M.M. and Helsen, K., 2022. </w:t>
      </w:r>
      <w:r>
        <w:rPr>
          <w:rFonts w:ascii="Arial" w:hAnsi="Arial" w:cs="Arial"/>
          <w:i/>
          <w:iCs/>
          <w:sz w:val="24"/>
          <w:szCs w:val="24"/>
          <w:shd w:val="clear" w:color="auto" w:fill="FFFFFF"/>
        </w:rPr>
        <w:t>Global marketing management</w:t>
      </w:r>
      <w:r>
        <w:rPr>
          <w:rFonts w:ascii="Arial" w:hAnsi="Arial" w:cs="Arial"/>
          <w:sz w:val="24"/>
          <w:szCs w:val="24"/>
          <w:shd w:val="clear" w:color="auto" w:fill="FFFFFF"/>
        </w:rPr>
        <w:t>. John Wiley &amp; Sons.</w:t>
      </w:r>
    </w:p>
    <w:p w14:paraId="1EAD4A69" w14:textId="77777777" w:rsidR="009C6B09" w:rsidRDefault="00994D0C">
      <w:pPr>
        <w:spacing w:after="0" w:line="360" w:lineRule="auto"/>
        <w:ind w:left="720" w:hanging="720"/>
        <w:contextualSpacing/>
        <w:rPr>
          <w:rFonts w:ascii="Arial" w:hAnsi="Arial" w:cs="Arial"/>
          <w:sz w:val="24"/>
          <w:szCs w:val="24"/>
          <w:shd w:val="clear" w:color="auto" w:fill="FFFFFF"/>
        </w:rPr>
      </w:pPr>
      <w:proofErr w:type="spellStart"/>
      <w:r>
        <w:rPr>
          <w:rFonts w:ascii="Arial" w:hAnsi="Arial" w:cs="Arial"/>
          <w:sz w:val="24"/>
          <w:szCs w:val="24"/>
          <w:shd w:val="clear" w:color="auto" w:fill="FFFFFF"/>
        </w:rPr>
        <w:t>Musafir</w:t>
      </w:r>
      <w:proofErr w:type="spellEnd"/>
      <w:r>
        <w:rPr>
          <w:rFonts w:ascii="Arial" w:hAnsi="Arial" w:cs="Arial"/>
          <w:sz w:val="24"/>
          <w:szCs w:val="24"/>
          <w:shd w:val="clear" w:color="auto" w:fill="FFFFFF"/>
        </w:rPr>
        <w:t>, S., 2017. Consumer satisfaction and consumer delight. </w:t>
      </w:r>
      <w:r>
        <w:rPr>
          <w:rFonts w:ascii="Arial" w:hAnsi="Arial" w:cs="Arial"/>
          <w:i/>
          <w:iCs/>
          <w:sz w:val="24"/>
          <w:szCs w:val="24"/>
          <w:shd w:val="clear" w:color="auto" w:fill="FFFFFF"/>
        </w:rPr>
        <w:t>International Journal of Advanced Research in Management and Social Sciences</w:t>
      </w:r>
      <w:r>
        <w:rPr>
          <w:rFonts w:ascii="Arial" w:hAnsi="Arial" w:cs="Arial"/>
          <w:sz w:val="24"/>
          <w:szCs w:val="24"/>
          <w:shd w:val="clear" w:color="auto" w:fill="FFFFFF"/>
        </w:rPr>
        <w:t>, </w:t>
      </w:r>
      <w:r>
        <w:rPr>
          <w:rFonts w:ascii="Arial" w:hAnsi="Arial" w:cs="Arial"/>
          <w:i/>
          <w:iCs/>
          <w:sz w:val="24"/>
          <w:szCs w:val="24"/>
          <w:shd w:val="clear" w:color="auto" w:fill="FFFFFF"/>
        </w:rPr>
        <w:t>6</w:t>
      </w:r>
      <w:r>
        <w:rPr>
          <w:rFonts w:ascii="Arial" w:hAnsi="Arial" w:cs="Arial"/>
          <w:sz w:val="24"/>
          <w:szCs w:val="24"/>
          <w:shd w:val="clear" w:color="auto" w:fill="FFFFFF"/>
        </w:rPr>
        <w:t>(5), pp.328-329.</w:t>
      </w:r>
    </w:p>
    <w:p w14:paraId="790C4DF2" w14:textId="77777777" w:rsidR="009C6B09" w:rsidRDefault="00994D0C">
      <w:pPr>
        <w:spacing w:after="0" w:line="360" w:lineRule="auto"/>
        <w:ind w:left="720" w:hanging="720"/>
        <w:contextualSpacing/>
        <w:rPr>
          <w:rFonts w:ascii="Arial" w:hAnsi="Arial" w:cs="Arial"/>
          <w:spacing w:val="-12"/>
          <w:sz w:val="24"/>
          <w:szCs w:val="24"/>
        </w:rPr>
      </w:pPr>
      <w:r>
        <w:rPr>
          <w:rFonts w:ascii="Arial" w:hAnsi="Arial" w:cs="Arial"/>
          <w:sz w:val="24"/>
          <w:szCs w:val="24"/>
          <w:lang w:val="en-US"/>
        </w:rPr>
        <w:t xml:space="preserve">OECD. 2024. </w:t>
      </w:r>
      <w:r>
        <w:rPr>
          <w:rFonts w:ascii="Arial" w:hAnsi="Arial" w:cs="Arial"/>
          <w:spacing w:val="-12"/>
          <w:sz w:val="24"/>
          <w:szCs w:val="24"/>
        </w:rPr>
        <w:t>OECD Economic Surveys: United Kingdom 2024. Available at: https://www.oecd.org/en/publications/oecd-economic-surveys-united-kingdom-2024_709e70b8-en.html</w:t>
      </w:r>
    </w:p>
    <w:p w14:paraId="681738C5" w14:textId="77777777" w:rsidR="009C6B09" w:rsidRDefault="00994D0C">
      <w:pPr>
        <w:spacing w:after="0" w:line="360" w:lineRule="auto"/>
        <w:ind w:left="720" w:hanging="720"/>
        <w:contextualSpacing/>
        <w:rPr>
          <w:rFonts w:ascii="Arial" w:hAnsi="Arial" w:cs="Arial"/>
          <w:sz w:val="24"/>
          <w:szCs w:val="24"/>
        </w:rPr>
      </w:pPr>
      <w:r>
        <w:rPr>
          <w:rFonts w:ascii="Arial" w:hAnsi="Arial" w:cs="Arial"/>
          <w:sz w:val="24"/>
          <w:szCs w:val="24"/>
        </w:rPr>
        <w:lastRenderedPageBreak/>
        <w:t>OECD. 2025. OECD Economic Outlook, Volume 2025 Issue 2. Available at: https://www.oecd.org/en/publications/2025/12/oecd-economic-outlook-volume-2025-issue-2_413f7d0a/full-report/india_65a8d75a.html</w:t>
      </w:r>
    </w:p>
    <w:p w14:paraId="5DE9C125" w14:textId="77777777" w:rsidR="009C6B09" w:rsidRDefault="00994D0C">
      <w:pPr>
        <w:spacing w:after="0" w:line="360" w:lineRule="auto"/>
        <w:ind w:left="720" w:hanging="720"/>
        <w:contextualSpacing/>
        <w:rPr>
          <w:rFonts w:ascii="Arial" w:hAnsi="Arial" w:cs="Arial"/>
          <w:sz w:val="24"/>
          <w:szCs w:val="24"/>
          <w:shd w:val="clear" w:color="auto" w:fill="FFFFFF"/>
        </w:rPr>
      </w:pPr>
      <w:r>
        <w:rPr>
          <w:rFonts w:ascii="Arial" w:hAnsi="Arial" w:cs="Arial"/>
          <w:sz w:val="24"/>
          <w:szCs w:val="24"/>
          <w:shd w:val="clear" w:color="auto" w:fill="FFFFFF"/>
        </w:rPr>
        <w:t xml:space="preserve">Pandey, R., </w:t>
      </w:r>
      <w:proofErr w:type="spellStart"/>
      <w:r>
        <w:rPr>
          <w:rFonts w:ascii="Arial" w:hAnsi="Arial" w:cs="Arial"/>
          <w:sz w:val="24"/>
          <w:szCs w:val="24"/>
          <w:shd w:val="clear" w:color="auto" w:fill="FFFFFF"/>
        </w:rPr>
        <w:t>Massand</w:t>
      </w:r>
      <w:proofErr w:type="spellEnd"/>
      <w:r>
        <w:rPr>
          <w:rFonts w:ascii="Arial" w:hAnsi="Arial" w:cs="Arial"/>
          <w:sz w:val="24"/>
          <w:szCs w:val="24"/>
          <w:shd w:val="clear" w:color="auto" w:fill="FFFFFF"/>
        </w:rPr>
        <w:t xml:space="preserve">, A., Suhasini, B.V., Sharma, L., Rai, A., Aida, S., Kee, D.M.H., </w:t>
      </w:r>
      <w:proofErr w:type="spellStart"/>
      <w:r>
        <w:rPr>
          <w:rFonts w:ascii="Arial" w:hAnsi="Arial" w:cs="Arial"/>
          <w:sz w:val="24"/>
          <w:szCs w:val="24"/>
          <w:shd w:val="clear" w:color="auto" w:fill="FFFFFF"/>
        </w:rPr>
        <w:t>Rattanapoond</w:t>
      </w:r>
      <w:proofErr w:type="spellEnd"/>
      <w:r>
        <w:rPr>
          <w:rFonts w:ascii="Arial" w:hAnsi="Arial" w:cs="Arial"/>
          <w:sz w:val="24"/>
          <w:szCs w:val="24"/>
          <w:shd w:val="clear" w:color="auto" w:fill="FFFFFF"/>
        </w:rPr>
        <w:t>, W.S.S. and Ilyana10, N., 2021. A comparative study of consumer perception on the usage of Cadbury products in Malaysia and India. </w:t>
      </w:r>
      <w:r>
        <w:rPr>
          <w:rFonts w:ascii="Arial" w:hAnsi="Arial" w:cs="Arial"/>
          <w:i/>
          <w:iCs/>
          <w:sz w:val="24"/>
          <w:szCs w:val="24"/>
          <w:shd w:val="clear" w:color="auto" w:fill="FFFFFF"/>
        </w:rPr>
        <w:t>Journal of The Community Development in Asia</w:t>
      </w:r>
      <w:r>
        <w:rPr>
          <w:rFonts w:ascii="Arial" w:hAnsi="Arial" w:cs="Arial"/>
          <w:sz w:val="24"/>
          <w:szCs w:val="24"/>
          <w:shd w:val="clear" w:color="auto" w:fill="FFFFFF"/>
        </w:rPr>
        <w:t>, </w:t>
      </w:r>
      <w:r>
        <w:rPr>
          <w:rFonts w:ascii="Arial" w:hAnsi="Arial" w:cs="Arial"/>
          <w:i/>
          <w:iCs/>
          <w:sz w:val="24"/>
          <w:szCs w:val="24"/>
          <w:shd w:val="clear" w:color="auto" w:fill="FFFFFF"/>
        </w:rPr>
        <w:t>4</w:t>
      </w:r>
      <w:r>
        <w:rPr>
          <w:rFonts w:ascii="Arial" w:hAnsi="Arial" w:cs="Arial"/>
          <w:sz w:val="24"/>
          <w:szCs w:val="24"/>
          <w:shd w:val="clear" w:color="auto" w:fill="FFFFFF"/>
        </w:rPr>
        <w:t>(1), pp.106-115.</w:t>
      </w:r>
    </w:p>
    <w:p w14:paraId="6BA391A3" w14:textId="77777777" w:rsidR="009C6B09" w:rsidRDefault="00994D0C">
      <w:pPr>
        <w:spacing w:after="0" w:line="360" w:lineRule="auto"/>
        <w:ind w:left="720" w:hanging="720"/>
        <w:contextualSpacing/>
        <w:rPr>
          <w:rFonts w:ascii="Arial" w:hAnsi="Arial" w:cs="Arial"/>
          <w:sz w:val="24"/>
          <w:szCs w:val="24"/>
          <w:shd w:val="clear" w:color="auto" w:fill="FFFFFF"/>
        </w:rPr>
      </w:pPr>
      <w:r>
        <w:rPr>
          <w:rFonts w:ascii="Arial" w:hAnsi="Arial" w:cs="Arial"/>
          <w:sz w:val="24"/>
          <w:szCs w:val="24"/>
          <w:shd w:val="clear" w:color="auto" w:fill="FFFFFF"/>
        </w:rPr>
        <w:t xml:space="preserve">Patnaik, B.C.M. and Sahoo, P.K., 2012. An empirical study on consumer </w:t>
      </w:r>
      <w:proofErr w:type="spellStart"/>
      <w:r>
        <w:rPr>
          <w:rFonts w:ascii="Arial" w:hAnsi="Arial" w:cs="Arial"/>
          <w:sz w:val="24"/>
          <w:szCs w:val="24"/>
          <w:shd w:val="clear" w:color="auto" w:fill="FFFFFF"/>
        </w:rPr>
        <w:t>behavior</w:t>
      </w:r>
      <w:proofErr w:type="spellEnd"/>
      <w:r>
        <w:rPr>
          <w:rFonts w:ascii="Arial" w:hAnsi="Arial" w:cs="Arial"/>
          <w:sz w:val="24"/>
          <w:szCs w:val="24"/>
          <w:shd w:val="clear" w:color="auto" w:fill="FFFFFF"/>
        </w:rPr>
        <w:t xml:space="preserve"> towards Cadbury's India Ltd. and Nestle India </w:t>
      </w:r>
      <w:proofErr w:type="gramStart"/>
      <w:r>
        <w:rPr>
          <w:rFonts w:ascii="Arial" w:hAnsi="Arial" w:cs="Arial"/>
          <w:sz w:val="24"/>
          <w:szCs w:val="24"/>
          <w:shd w:val="clear" w:color="auto" w:fill="FFFFFF"/>
        </w:rPr>
        <w:t>Ltd.(</w:t>
      </w:r>
      <w:proofErr w:type="gramEnd"/>
      <w:r>
        <w:rPr>
          <w:rFonts w:ascii="Arial" w:hAnsi="Arial" w:cs="Arial"/>
          <w:sz w:val="24"/>
          <w:szCs w:val="24"/>
          <w:shd w:val="clear" w:color="auto" w:fill="FFFFFF"/>
        </w:rPr>
        <w:t>A case study of male and female of Cuttack and Bhubaneswar of Odisha). </w:t>
      </w:r>
      <w:r>
        <w:rPr>
          <w:rFonts w:ascii="Arial" w:hAnsi="Arial" w:cs="Arial"/>
          <w:i/>
          <w:iCs/>
          <w:sz w:val="24"/>
          <w:szCs w:val="24"/>
          <w:shd w:val="clear" w:color="auto" w:fill="FFFFFF"/>
        </w:rPr>
        <w:t>TRANS Asian Journal of Marketing &amp; Management Research (TAJMMR)</w:t>
      </w:r>
      <w:r>
        <w:rPr>
          <w:rFonts w:ascii="Arial" w:hAnsi="Arial" w:cs="Arial"/>
          <w:sz w:val="24"/>
          <w:szCs w:val="24"/>
          <w:shd w:val="clear" w:color="auto" w:fill="FFFFFF"/>
        </w:rPr>
        <w:t>, </w:t>
      </w:r>
      <w:r>
        <w:rPr>
          <w:rFonts w:ascii="Arial" w:hAnsi="Arial" w:cs="Arial"/>
          <w:i/>
          <w:iCs/>
          <w:sz w:val="24"/>
          <w:szCs w:val="24"/>
          <w:shd w:val="clear" w:color="auto" w:fill="FFFFFF"/>
        </w:rPr>
        <w:t>1</w:t>
      </w:r>
      <w:r>
        <w:rPr>
          <w:rFonts w:ascii="Arial" w:hAnsi="Arial" w:cs="Arial"/>
          <w:sz w:val="24"/>
          <w:szCs w:val="24"/>
          <w:shd w:val="clear" w:color="auto" w:fill="FFFFFF"/>
        </w:rPr>
        <w:t>(1), pp.1-11.</w:t>
      </w:r>
    </w:p>
    <w:p w14:paraId="7D171B50" w14:textId="77777777" w:rsidR="009C6B09" w:rsidRDefault="00994D0C">
      <w:pPr>
        <w:spacing w:after="0" w:line="360" w:lineRule="auto"/>
        <w:ind w:left="720" w:hanging="720"/>
        <w:contextualSpacing/>
        <w:rPr>
          <w:rFonts w:ascii="Arial" w:hAnsi="Arial" w:cs="Arial"/>
          <w:sz w:val="24"/>
          <w:szCs w:val="24"/>
          <w:shd w:val="clear" w:color="auto" w:fill="FFFFFF"/>
        </w:rPr>
      </w:pPr>
      <w:r>
        <w:rPr>
          <w:rFonts w:ascii="Arial" w:hAnsi="Arial" w:cs="Arial"/>
          <w:sz w:val="24"/>
          <w:szCs w:val="24"/>
          <w:shd w:val="clear" w:color="auto" w:fill="FFFFFF"/>
        </w:rPr>
        <w:t>Stratton, J., 2021. Heartland television commercials: Cadbury, the EU and Brexit. </w:t>
      </w:r>
      <w:r>
        <w:rPr>
          <w:rFonts w:ascii="Arial" w:hAnsi="Arial" w:cs="Arial"/>
          <w:i/>
          <w:iCs/>
          <w:sz w:val="24"/>
          <w:szCs w:val="24"/>
          <w:shd w:val="clear" w:color="auto" w:fill="FFFFFF"/>
        </w:rPr>
        <w:t>Journal for Cultural Research</w:t>
      </w:r>
      <w:r>
        <w:rPr>
          <w:rFonts w:ascii="Arial" w:hAnsi="Arial" w:cs="Arial"/>
          <w:sz w:val="24"/>
          <w:szCs w:val="24"/>
          <w:shd w:val="clear" w:color="auto" w:fill="FFFFFF"/>
        </w:rPr>
        <w:t>, </w:t>
      </w:r>
      <w:r>
        <w:rPr>
          <w:rFonts w:ascii="Arial" w:hAnsi="Arial" w:cs="Arial"/>
          <w:i/>
          <w:iCs/>
          <w:sz w:val="24"/>
          <w:szCs w:val="24"/>
          <w:shd w:val="clear" w:color="auto" w:fill="FFFFFF"/>
        </w:rPr>
        <w:t>25</w:t>
      </w:r>
      <w:r>
        <w:rPr>
          <w:rFonts w:ascii="Arial" w:hAnsi="Arial" w:cs="Arial"/>
          <w:sz w:val="24"/>
          <w:szCs w:val="24"/>
          <w:shd w:val="clear" w:color="auto" w:fill="FFFFFF"/>
        </w:rPr>
        <w:t>(4), pp.393-412.</w:t>
      </w:r>
    </w:p>
    <w:p w14:paraId="7A7FCB10" w14:textId="77777777" w:rsidR="009C6B09" w:rsidRDefault="00994D0C">
      <w:pPr>
        <w:spacing w:after="0" w:line="360" w:lineRule="auto"/>
        <w:ind w:left="720" w:hanging="720"/>
        <w:contextualSpacing/>
        <w:rPr>
          <w:rFonts w:ascii="Arial" w:hAnsi="Arial" w:cs="Arial"/>
          <w:sz w:val="24"/>
          <w:szCs w:val="24"/>
          <w:shd w:val="clear" w:color="auto" w:fill="FFFFFF"/>
        </w:rPr>
      </w:pPr>
      <w:r>
        <w:rPr>
          <w:rFonts w:ascii="Arial" w:hAnsi="Arial" w:cs="Arial"/>
          <w:sz w:val="24"/>
          <w:szCs w:val="24"/>
          <w:shd w:val="clear" w:color="auto" w:fill="FFFFFF"/>
        </w:rPr>
        <w:t>Taras, V., Steel, P. and Stackhouse, M., 2023. A comparative evaluation of seven instruments for measuring values comprising Hofstede's model of culture. </w:t>
      </w:r>
      <w:r>
        <w:rPr>
          <w:rFonts w:ascii="Arial" w:hAnsi="Arial" w:cs="Arial"/>
          <w:i/>
          <w:iCs/>
          <w:sz w:val="24"/>
          <w:szCs w:val="24"/>
          <w:shd w:val="clear" w:color="auto" w:fill="FFFFFF"/>
        </w:rPr>
        <w:t>Journal of World Business</w:t>
      </w:r>
      <w:r>
        <w:rPr>
          <w:rFonts w:ascii="Arial" w:hAnsi="Arial" w:cs="Arial"/>
          <w:sz w:val="24"/>
          <w:szCs w:val="24"/>
          <w:shd w:val="clear" w:color="auto" w:fill="FFFFFF"/>
        </w:rPr>
        <w:t>, </w:t>
      </w:r>
      <w:r>
        <w:rPr>
          <w:rFonts w:ascii="Arial" w:hAnsi="Arial" w:cs="Arial"/>
          <w:i/>
          <w:iCs/>
          <w:sz w:val="24"/>
          <w:szCs w:val="24"/>
          <w:shd w:val="clear" w:color="auto" w:fill="FFFFFF"/>
        </w:rPr>
        <w:t>58</w:t>
      </w:r>
      <w:r>
        <w:rPr>
          <w:rFonts w:ascii="Arial" w:hAnsi="Arial" w:cs="Arial"/>
          <w:sz w:val="24"/>
          <w:szCs w:val="24"/>
          <w:shd w:val="clear" w:color="auto" w:fill="FFFFFF"/>
        </w:rPr>
        <w:t>(1), p.101386.</w:t>
      </w:r>
    </w:p>
    <w:p w14:paraId="139E2086" w14:textId="77777777" w:rsidR="009C6B09" w:rsidRDefault="00994D0C">
      <w:pPr>
        <w:spacing w:after="0" w:line="360" w:lineRule="auto"/>
        <w:ind w:left="720" w:hanging="720"/>
        <w:contextualSpacing/>
        <w:rPr>
          <w:rFonts w:ascii="Arial" w:hAnsi="Arial" w:cs="Arial"/>
          <w:sz w:val="24"/>
          <w:szCs w:val="24"/>
          <w:shd w:val="clear" w:color="auto" w:fill="FFFFFF"/>
        </w:rPr>
      </w:pPr>
      <w:r>
        <w:rPr>
          <w:rFonts w:ascii="Arial" w:hAnsi="Arial" w:cs="Arial"/>
          <w:sz w:val="24"/>
          <w:szCs w:val="24"/>
          <w:shd w:val="clear" w:color="auto" w:fill="FFFFFF"/>
        </w:rPr>
        <w:t>Wedel, M. and Kamakura, W.A., 2000. </w:t>
      </w:r>
      <w:r>
        <w:rPr>
          <w:rFonts w:ascii="Arial" w:hAnsi="Arial" w:cs="Arial"/>
          <w:i/>
          <w:iCs/>
          <w:sz w:val="24"/>
          <w:szCs w:val="24"/>
          <w:shd w:val="clear" w:color="auto" w:fill="FFFFFF"/>
        </w:rPr>
        <w:t>Market segmentation: Conceptual and methodological foundations</w:t>
      </w:r>
      <w:r>
        <w:rPr>
          <w:rFonts w:ascii="Arial" w:hAnsi="Arial" w:cs="Arial"/>
          <w:sz w:val="24"/>
          <w:szCs w:val="24"/>
          <w:shd w:val="clear" w:color="auto" w:fill="FFFFFF"/>
        </w:rPr>
        <w:t>. Springer Science &amp; Business Media.</w:t>
      </w:r>
    </w:p>
    <w:sectPr w:rsidR="009C6B09">
      <w:headerReference w:type="default" r:id="rId7"/>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67375E" w14:textId="77777777" w:rsidR="003A6166" w:rsidRDefault="003A6166">
      <w:pPr>
        <w:spacing w:line="240" w:lineRule="auto"/>
      </w:pPr>
      <w:r>
        <w:separator/>
      </w:r>
    </w:p>
  </w:endnote>
  <w:endnote w:type="continuationSeparator" w:id="0">
    <w:p w14:paraId="7C9C9A4A" w14:textId="77777777" w:rsidR="003A6166" w:rsidRDefault="003A61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AAE65D" w14:textId="77777777" w:rsidR="003A6166" w:rsidRDefault="003A6166">
      <w:pPr>
        <w:spacing w:after="0"/>
      </w:pPr>
      <w:r>
        <w:separator/>
      </w:r>
    </w:p>
  </w:footnote>
  <w:footnote w:type="continuationSeparator" w:id="0">
    <w:p w14:paraId="533CB79C" w14:textId="77777777" w:rsidR="003A6166" w:rsidRDefault="003A616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9670593"/>
      <w:docPartObj>
        <w:docPartGallery w:val="Page Numbers (Top of Page)"/>
        <w:docPartUnique/>
      </w:docPartObj>
    </w:sdtPr>
    <w:sdtContent>
      <w:p w14:paraId="6B1ED319" w14:textId="4BDA3D0F" w:rsidR="009C6B09" w:rsidRPr="00984A92" w:rsidRDefault="00984A92" w:rsidP="00984A92">
        <w:pPr>
          <w:pStyle w:val="Header"/>
          <w:jc w:val="center"/>
        </w:pPr>
        <w:r>
          <w:fldChar w:fldCharType="begin"/>
        </w:r>
        <w:r>
          <w:instrText>PAGE   \* MERGEFORMAT</w:instrText>
        </w:r>
        <w:r>
          <w:fldChar w:fldCharType="separate"/>
        </w:r>
        <w:r>
          <w:t>2</w:t>
        </w:r>
        <w:r>
          <w:fldChar w:fldCharType="end"/>
        </w:r>
      </w:p>
    </w:sdtContent>
  </w:sdt>
  <w:p w14:paraId="189566BD" w14:textId="77777777" w:rsidR="009C6B09" w:rsidRDefault="009C6B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37C4"/>
    <w:rsid w:val="000364F1"/>
    <w:rsid w:val="000D3FC6"/>
    <w:rsid w:val="0012270A"/>
    <w:rsid w:val="003A6166"/>
    <w:rsid w:val="00480821"/>
    <w:rsid w:val="005305EA"/>
    <w:rsid w:val="00620D7B"/>
    <w:rsid w:val="00663958"/>
    <w:rsid w:val="00750C61"/>
    <w:rsid w:val="008079EF"/>
    <w:rsid w:val="008460C0"/>
    <w:rsid w:val="00984A92"/>
    <w:rsid w:val="00994D0C"/>
    <w:rsid w:val="009C6B09"/>
    <w:rsid w:val="009D7B91"/>
    <w:rsid w:val="00A75EB0"/>
    <w:rsid w:val="00A849CD"/>
    <w:rsid w:val="00A90579"/>
    <w:rsid w:val="00AE3C82"/>
    <w:rsid w:val="00C737C4"/>
    <w:rsid w:val="00CA4EF7"/>
    <w:rsid w:val="00E86BC4"/>
    <w:rsid w:val="00EC3D0C"/>
    <w:rsid w:val="00ED79A1"/>
    <w:rsid w:val="00EF0438"/>
    <w:rsid w:val="00F34D91"/>
    <w:rsid w:val="02CA49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51934"/>
  <w15:docId w15:val="{C466A084-D7B6-7848-9303-AF2AFBC7D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rPr>
  </w:style>
  <w:style w:type="paragraph" w:styleId="Heading1">
    <w:name w:val="heading 1"/>
    <w:basedOn w:val="Normal"/>
    <w:next w:val="Normal"/>
    <w:link w:val="Heading1Char"/>
    <w:uiPriority w:val="9"/>
    <w:qFormat/>
    <w:pPr>
      <w:keepNext/>
      <w:keepLines/>
      <w:spacing w:before="240" w:after="0"/>
      <w:outlineLvl w:val="0"/>
    </w:pPr>
    <w:rPr>
      <w:rFonts w:ascii="Arial" w:eastAsiaTheme="majorEastAsia" w:hAnsi="Arial" w:cs="Arial"/>
      <w:b/>
      <w:i/>
      <w:sz w:val="24"/>
      <w:szCs w:val="24"/>
    </w:rPr>
  </w:style>
  <w:style w:type="paragraph" w:styleId="Heading2">
    <w:name w:val="heading 2"/>
    <w:basedOn w:val="Normal"/>
    <w:next w:val="Normal"/>
    <w:link w:val="Heading2Char"/>
    <w:uiPriority w:val="9"/>
    <w:unhideWhenUsed/>
    <w:qFormat/>
    <w:pPr>
      <w:keepNext/>
      <w:keepLines/>
      <w:spacing w:before="40" w:after="0"/>
      <w:outlineLvl w:val="1"/>
    </w:pPr>
    <w:rPr>
      <w:rFonts w:ascii="Arial" w:eastAsiaTheme="majorEastAsia" w:hAnsi="Arial" w:cs="Arial"/>
      <w:i/>
      <w:sz w:val="24"/>
      <w:szCs w:val="24"/>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Theme="majorHAnsi" w:eastAsiaTheme="majorEastAsia" w:hAnsiTheme="majorHAnsi" w:cstheme="majorBidi"/>
      <w:color w:val="1F4E79" w:themeColor="accent1" w:themeShade="80"/>
      <w:sz w:val="24"/>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Pr>
      <w:b/>
      <w:bCs/>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character" w:customStyle="1" w:styleId="Heading1Char">
    <w:name w:val="Heading 1 Char"/>
    <w:basedOn w:val="DefaultParagraphFont"/>
    <w:link w:val="Heading1"/>
    <w:uiPriority w:val="9"/>
    <w:qFormat/>
    <w:rPr>
      <w:rFonts w:ascii="Arial" w:eastAsiaTheme="majorEastAsia" w:hAnsi="Arial" w:cs="Arial"/>
      <w:b/>
      <w:i/>
      <w:sz w:val="24"/>
      <w:szCs w:val="24"/>
    </w:rPr>
  </w:style>
  <w:style w:type="character" w:customStyle="1" w:styleId="Heading2Char">
    <w:name w:val="Heading 2 Char"/>
    <w:basedOn w:val="DefaultParagraphFont"/>
    <w:link w:val="Heading2"/>
    <w:uiPriority w:val="9"/>
    <w:qFormat/>
    <w:rPr>
      <w:rFonts w:ascii="Arial" w:eastAsiaTheme="majorEastAsia" w:hAnsi="Arial" w:cs="Arial"/>
      <w:i/>
      <w:sz w:val="24"/>
      <w:szCs w:val="24"/>
    </w:rPr>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color w:val="1F4E79" w:themeColor="accent1" w:themeShade="80"/>
      <w:sz w:val="24"/>
      <w:szCs w:val="24"/>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i/>
      <w:iCs/>
      <w:color w:val="2E74B5" w:themeColor="accent1" w:themeShade="BF"/>
    </w:rPr>
  </w:style>
  <w:style w:type="paragraph" w:customStyle="1" w:styleId="isselectedend">
    <w:name w:val="isselectedend"/>
    <w:basedOn w:val="Normal"/>
    <w:qFormat/>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CHeading1">
    <w:name w:val="TOC Heading1"/>
    <w:basedOn w:val="Heading1"/>
    <w:next w:val="Normal"/>
    <w:uiPriority w:val="39"/>
    <w:unhideWhenUsed/>
    <w:qFormat/>
    <w:pPr>
      <w:outlineLvl w:val="9"/>
    </w:pPr>
    <w:rPr>
      <w:rFonts w:asciiTheme="majorHAnsi" w:hAnsiTheme="majorHAnsi" w:cstheme="majorBidi"/>
      <w:b w:val="0"/>
      <w:i w:val="0"/>
      <w:color w:val="2E74B5" w:themeColor="accent1" w:themeShade="BF"/>
      <w:sz w:val="32"/>
      <w:szCs w:val="32"/>
      <w:lang w:val="en-US"/>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D5F515-D045-47CB-861F-AF035B32A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6238</Words>
  <Characters>35559</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savaiz.kamran</dc:creator>
  <cp:lastModifiedBy>Mariana Roman</cp:lastModifiedBy>
  <cp:revision>3</cp:revision>
  <dcterms:created xsi:type="dcterms:W3CDTF">2026-07-20T08:58:00Z</dcterms:created>
  <dcterms:modified xsi:type="dcterms:W3CDTF">2026-07-20T09:09:00Z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eyJoZGlkIjoiNDE1OWMzYTJjMzkyMTI0NzI4MzU1ZjNlZDA5YzJlNGYiLCJ1c2VySWQiOiIxOTQyMDU2NzAwNzQ5In0=</vt:lpwstr>
  </property>
  <property fmtid="{D5CDD505-2E9C-101B-9397-08002B2CF9AE}" pid="3" name="KSOProductBuildVer">
    <vt:lpwstr>1033-12.1.0.26880</vt:lpwstr>
  </property>
  <property fmtid="{D5CDD505-2E9C-101B-9397-08002B2CF9AE}" pid="4" name="ICV">
    <vt:lpwstr>ABDECA7612234A47A79ACEFE4C242242_12</vt:lpwstr>
  </property>
</Properties>
</file>