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F0D1E" w14:textId="77777777" w:rsidR="00F165E2" w:rsidRPr="00F165E2" w:rsidRDefault="00F165E2" w:rsidP="00F165E2">
      <w:r w:rsidRPr="00F165E2">
        <w:rPr>
          <w:b/>
          <w:bCs/>
          <w:u w:val="single"/>
        </w:rPr>
        <w:t>Barriers to High-Quality and Equitable Education in Kenya</w:t>
      </w:r>
    </w:p>
    <w:p w14:paraId="07D7358F" w14:textId="77777777" w:rsidR="00F165E2" w:rsidRPr="00F165E2" w:rsidRDefault="00F165E2" w:rsidP="00F165E2">
      <w:r w:rsidRPr="00F165E2">
        <w:t>Education is widely recognised as both a fundamental human right and a cornerstone of sustainable development. It is enshrined in numerous international conventions and national constitutions as a right that must be protected and promoted for all (UNCRC 1989; UNESCO, 2016; EFA, 2009). In the 21st century, education is not only valued for its intrinsic contribution to human flourishing but also for its instrumental role in driving economic growth, fostering social cohesion, enhancing public health, and supporting democratic governance (</w:t>
      </w:r>
      <w:proofErr w:type="spellStart"/>
      <w:r w:rsidRPr="00F165E2">
        <w:t>Bignold</w:t>
      </w:r>
      <w:proofErr w:type="spellEnd"/>
      <w:r w:rsidRPr="00F165E2">
        <w:t xml:space="preserve"> &amp; Gayton, 2009). The United Nations, through the Universal Declaration of Human Rights (Article 26), the United Nations Convention on the Rights of the Child (UNCRC), and subsequent declarations, places education at the centre of global development frameworks. The rationale is clear: education is a powerful lever for reducing poverty, promoting gender equality, and building peaceful, inclusive societies (EFA, 2016; Fennell &amp; Arnot, 2009).</w:t>
      </w:r>
    </w:p>
    <w:p w14:paraId="662E5383" w14:textId="77777777" w:rsidR="00F165E2" w:rsidRPr="00F165E2" w:rsidRDefault="00F165E2" w:rsidP="00F165E2">
      <w:r w:rsidRPr="00F165E2">
        <w:t>Despite this widespread recognition and decades of global policy focus, access to good-quality, consistent education remains uneven (EFA, 2009; UNESCO, 2016). Around 250–270 million children and young people remain out of school globally, and progress in reducing this number has slowed in recent years (UNESCO, 2023; UNESCO GEM Report, 2024). In many parts of the world, particularly in sub-Saharan Africa and South Asia, millions of children face barriers to enrolling in or completing school. Where enrolment has increased, as it has in much of the Global South, worries persist that quality has not kept pace with access (</w:t>
      </w:r>
      <w:proofErr w:type="spellStart"/>
      <w:r w:rsidRPr="00F165E2">
        <w:t>Bignold</w:t>
      </w:r>
      <w:proofErr w:type="spellEnd"/>
      <w:r w:rsidRPr="00F165E2">
        <w:t xml:space="preserve"> &amp; Gayton, 2009). While global enrolment has improved significantly since the Education for All movement began in 2000, persistent inequalities between wealthier and poorer households demonstrate that expanding access alone does not guarantee educational quality, equity or meaningful life outcomes (Roser and Ortiz-Ospina, 2024; Fennell &amp; Arnot, 2009). These trends highlight the limitations of education policy approaches that prioritise enrolment statistics over long-term learning and capability development and underscore the urgent need to look beyond numbers to the lived experiences of children and young people within education systems (EFA, 2016; UNESCO, 2023).</w:t>
      </w:r>
    </w:p>
    <w:p w14:paraId="1A46BB02" w14:textId="77777777" w:rsidR="00F165E2" w:rsidRPr="00F165E2" w:rsidRDefault="00F165E2" w:rsidP="00F165E2">
      <w:r w:rsidRPr="00F165E2">
        <w:t>Moreover, the COVID-19 pandemic has further exposed and exacerbated pre-existing educational inequalities (UNESCO, 2023). School closures, disruptions to learning, and shifts to remote education have disproportionately affected vulnerable children, particularly those without access to digital devices, a stable internet connection, or supportive learning environments (EFA, 2016). As a result, the global community faces new challenges to achieving the Sustainable Development Goal 4 (SDG 4), which seeks to ensure inclusive and equitable quality education for all by 2030 (UNESCO, 2015). The setbacks of the pandemic have reinforced the importance of addressing both access and quality, as well as the need for resilient education systems that can withstand shocks and adapt to changing circumstances (</w:t>
      </w:r>
      <w:proofErr w:type="spellStart"/>
      <w:r w:rsidRPr="00F165E2">
        <w:t>Bignold</w:t>
      </w:r>
      <w:proofErr w:type="spellEnd"/>
      <w:r w:rsidRPr="00F165E2">
        <w:t xml:space="preserve"> &amp; Gayton, 2009).</w:t>
      </w:r>
    </w:p>
    <w:p w14:paraId="2680FD37" w14:textId="77777777" w:rsidR="00F165E2" w:rsidRPr="00F165E2" w:rsidRDefault="00F165E2" w:rsidP="00F165E2">
      <w:r w:rsidRPr="00F165E2">
        <w:lastRenderedPageBreak/>
        <w:t>Kenya reflects many of these global education tensions (EFA, 2016; UNESCO, 2015). With a population of approximately 55 million people and a rapidly growing youth population, the country faces sustained pressure to expand education systems while maintaining quality (</w:t>
      </w:r>
      <w:proofErr w:type="spellStart"/>
      <w:r w:rsidRPr="00F165E2">
        <w:t>Bignold</w:t>
      </w:r>
      <w:proofErr w:type="spellEnd"/>
      <w:r w:rsidRPr="00F165E2">
        <w:t xml:space="preserve"> &amp; Gayton, 2009). The introduction of Free Primary Education in 2003 and Free Day Secondary Education in 2008 significantly increased enrolment and access to schooling (Oketch and Rolleston, 2019; EFA, 2009). However, improvements in access have not consistently translated into improvements in learning outcomes, particularly for children living in poverty or marginalised regions (Fennell &amp; Arnot, 2009; EFA, 2016).</w:t>
      </w:r>
    </w:p>
    <w:p w14:paraId="3D7EF761" w14:textId="77777777" w:rsidR="00F165E2" w:rsidRPr="00F165E2" w:rsidRDefault="00F165E2" w:rsidP="00F165E2">
      <w:r w:rsidRPr="00F165E2">
        <w:t>Kenya is strongly committed to global and regional education frameworks. The United Nations Convention on the Rights of the Child (UNCRC) establishes education as a universal right, particularly through Article 28, which emphasises access, attendance and completion, and Article 29, which defines education as holistic child development and preparation for life opportunities (United Nations, 1989). The African Charter on the Rights and Welfare of the Child (ACRWC) reinforces these commitments while recognising African socio-economic realities, such as poverty and structural inequality (African Union, 1990). These frameworks are reinforced globally through Sustainable Development Goal 4, which emphasises inclusive and equitable quality education for all (United Nations, 2015).</w:t>
      </w:r>
    </w:p>
    <w:p w14:paraId="4AE51A41" w14:textId="77777777" w:rsidR="00F165E2" w:rsidRPr="00F165E2" w:rsidRDefault="00F165E2" w:rsidP="00F165E2">
      <w:r w:rsidRPr="00F165E2">
        <w:t xml:space="preserve">Barriers to accessing high-quality, consistent education in Kenya are primarily shaped by structural inequality, colonial legacies, funding constraints, and global political-economic pressures, rather than by a lack of policy commitment (EFA, 2009; </w:t>
      </w:r>
      <w:proofErr w:type="spellStart"/>
      <w:r w:rsidRPr="00F165E2">
        <w:t>Bignold</w:t>
      </w:r>
      <w:proofErr w:type="spellEnd"/>
      <w:r w:rsidRPr="00F165E2">
        <w:t xml:space="preserve"> &amp; Gayton, 2009). The integration of social theory with global rights frameworks demonstrates how these structural barriers interact to influence educational outcomes (Fennell &amp; Arnot, 2009).</w:t>
      </w:r>
    </w:p>
    <w:p w14:paraId="522D1D88" w14:textId="77777777" w:rsidR="00F165E2" w:rsidRPr="00F165E2" w:rsidRDefault="00F165E2" w:rsidP="00F165E2">
      <w:r w:rsidRPr="00F165E2">
        <w:t xml:space="preserve">The Capabilities Approach, pioneered by Amartya Sen and further developed by Martha Nussbaum, provides a critical lens for analysing education beyond access and enrolment figures. This approach emphasises the importance of real freedoms and opportunities (capabilities) that individuals </w:t>
      </w:r>
      <w:proofErr w:type="gramStart"/>
      <w:r w:rsidRPr="00F165E2">
        <w:t>have to</w:t>
      </w:r>
      <w:proofErr w:type="gramEnd"/>
      <w:r w:rsidRPr="00F165E2">
        <w:t xml:space="preserve"> pursue lives they have reason to value (Sen, 1999). In educational terms, the Capabilities Approach reframes success from mere attendance to whether children are truly able to learn, develop skills, and participate meaningfully in society. This theoretical framework is particularly relevant in Kenya, where, despite policy commitments and increased enrolment, many children from poor and marginalised backgrounds are unable to convert schooling into genuine life opportunities. The Capabilities Approach thus highlights the need to focus on the quality of learning, the relevance of the curriculum, and the removal of practical barriers—such as hunger, gender-based violence, and household labour—that constrain children's freedom to benefit from education (Fennell &amp; Arnot, 2009).</w:t>
      </w:r>
    </w:p>
    <w:p w14:paraId="27D2D628" w14:textId="77777777" w:rsidR="00F165E2" w:rsidRPr="00F165E2" w:rsidRDefault="00F165E2" w:rsidP="00F165E2">
      <w:r w:rsidRPr="00F165E2">
        <w:lastRenderedPageBreak/>
        <w:t xml:space="preserve">Political economy theory places education within broader global and local economic structures. It argues that education systems are not only shaped by national priorities but also by international financial institutions, donor agencies, and global policy trends (Ball, 2012; </w:t>
      </w:r>
      <w:proofErr w:type="spellStart"/>
      <w:r w:rsidRPr="00F165E2">
        <w:t>Bignold</w:t>
      </w:r>
      <w:proofErr w:type="spellEnd"/>
      <w:r w:rsidRPr="00F165E2">
        <w:t xml:space="preserve"> &amp; Gayton, 2009). In Kenya, external influences from the World Bank, UNESCO, and bilateral donors have promoted certain policy models—such as decentralisation, accountability, and competency-based curricula, that may not always align with local realities or needs (Steiner-Khamsi, 2014). Political economy frameworks also reveal how funding constraints, global economic cycles, and policy borrowing can undermine the effectiveness of national education reforms. These frameworks also highlight the risk of underfunding and the dangers of treating education as a commodity rather than a public good (EFA, 2016).</w:t>
      </w:r>
    </w:p>
    <w:p w14:paraId="5E6E77A6" w14:textId="77777777" w:rsidR="00F165E2" w:rsidRPr="00F165E2" w:rsidRDefault="00F165E2" w:rsidP="00F165E2">
      <w:r w:rsidRPr="00F165E2">
        <w:t>Bronfenbrenner’s ecological systems theory provides a multi-layered perspective on how children’s development is influenced by interactions across different systems: the family, school, community, and broader policy environment (Bronfenbrenner, 1979). In the Kenyan context, ecological systems theory reveals how barriers to education, such as poverty, health, infrastructure, and cultural norms, interact cooperatively. For example, a child’s ability to learn is affected not only by school resources, but also by family income, gender expectations, health status, and local infrastructure. This theoretical lens explains why isolated educational reforms are often insufficient; systemic and holistic approaches are needed to address the multiple, intersecting challenges facing Kenyan children (</w:t>
      </w:r>
      <w:proofErr w:type="spellStart"/>
      <w:r w:rsidRPr="00F165E2">
        <w:t>Bignold</w:t>
      </w:r>
      <w:proofErr w:type="spellEnd"/>
      <w:r w:rsidRPr="00F165E2">
        <w:t xml:space="preserve"> &amp; Gayton, 2009; Fennell &amp; Arnot, 2009).</w:t>
      </w:r>
    </w:p>
    <w:p w14:paraId="4EF10135" w14:textId="77777777" w:rsidR="00F165E2" w:rsidRPr="00F165E2" w:rsidRDefault="00F165E2" w:rsidP="00F165E2">
      <w:r w:rsidRPr="00F165E2">
        <w:t>Gender theory and social reproduction theory, as discussed by Fennell and Arnot (2009), underscore the persistence of gender-based barriers and the role of schools in reproducing or challenging social inequalities. In Kenya, girls are often disproportionately affected by early marriage, school-related gender-based violence, and expectations around domestic work. Despite policy commitments to gender parity, these barriers persist, demonstrating the need for targeted interventions that address both school environments and broader social norms. Gender theory highlights how education can reinforce or disrupt cycles of inequality, depending on the curriculum, teacher attitudes, and community engagement (EFA, 2016; UNESCO, 2023).</w:t>
      </w:r>
    </w:p>
    <w:p w14:paraId="0EC8294C" w14:textId="77777777" w:rsidR="00F165E2" w:rsidRPr="00F165E2" w:rsidRDefault="00F165E2" w:rsidP="00F165E2">
      <w:r w:rsidRPr="00F165E2">
        <w:t>Global and regional rights frameworks, such as the UNCRC, ACRWC, and SDG 4, recognise education as a human right and a driver of development. These frameworks require states to provide not just access but quality, equity, and holistic development (UNCRC, 1989; EFA, 2016). They provide a normative basis for accountability but also highlight the gap between policy intent and lived realities, especially in low-resource contexts such as Kenya. The policy landscape is further shaped by national commitments, including Kenya’s Basic Education Act and Vision 2030, which articulate national ambitions aligned with global norms which nonetheless face constraints in funding, implementation, and capacity (EFA, 2009; UNESCO).</w:t>
      </w:r>
    </w:p>
    <w:p w14:paraId="2FE4F053" w14:textId="77777777" w:rsidR="00F165E2" w:rsidRPr="00F165E2" w:rsidRDefault="00F165E2" w:rsidP="00F165E2">
      <w:r w:rsidRPr="00F165E2">
        <w:lastRenderedPageBreak/>
        <w:t>Taken together, these theoretical frameworks reveal that barriers to education in Kenya are structural, intersecting, and embedded within broader socio-economic and political contexts. They offer a foundation for designing policy solutions that address the root causes of inequality rather than focusing solely on access.</w:t>
      </w:r>
    </w:p>
    <w:p w14:paraId="7CE45DF7" w14:textId="77777777" w:rsidR="00F165E2" w:rsidRPr="00F165E2" w:rsidRDefault="00F165E2" w:rsidP="00F165E2">
      <w:r w:rsidRPr="00F165E2">
        <w:t>Kenya’s education system operates within a context of rapid population growth and a large youth population, creating sustained pressure on education infrastructure, workforce capacity and funding (EFA, 2009). Although global progress has reduced the number of out-of-school children since 2000, progress has slowed, and quality gaps remain persistent (UNESCO, 2023; EFA, 2016). Kenya reflects this global pattern, where access expansion has often outpaced improvements in learning quality and system capacity (</w:t>
      </w:r>
      <w:proofErr w:type="spellStart"/>
      <w:r w:rsidRPr="00F165E2">
        <w:t>Bignold</w:t>
      </w:r>
      <w:proofErr w:type="spellEnd"/>
      <w:r w:rsidRPr="00F165E2">
        <w:t xml:space="preserve"> &amp; Gayton, 2009).</w:t>
      </w:r>
    </w:p>
    <w:p w14:paraId="5FF5C750" w14:textId="77777777" w:rsidR="00F165E2" w:rsidRPr="00F165E2" w:rsidRDefault="00F165E2" w:rsidP="00F165E2">
      <w:r w:rsidRPr="00F165E2">
        <w:t>Colonial history continues to shape Kenya’s education system. During British colonial rule, education was structured primarily to support labour-market needs rather than universal development, creating long-term inequality in infrastructure, resource distribution, and regional development (Sifuna and Sawamura, 2010). These structural inequalities remain visible today in regional disparities in school quality and access to resources. This demonstrates that education inequality is not simply the result of contemporary policy limitations but reflects long-term structural and historical processes.</w:t>
      </w:r>
    </w:p>
    <w:p w14:paraId="72EC2831" w14:textId="77777777" w:rsidR="00F165E2" w:rsidRPr="00F165E2" w:rsidRDefault="00F165E2" w:rsidP="00F165E2">
      <w:r w:rsidRPr="00F165E2">
        <w:t>Globalisation has also shaped Kenya’s education system (EFA, 2016; UNESCO). International organisations, including the World Bank and UNESCO, have influenced education reform priorities through funding and policy guidance (</w:t>
      </w:r>
      <w:proofErr w:type="spellStart"/>
      <w:r w:rsidRPr="00F165E2">
        <w:t>Bignold</w:t>
      </w:r>
      <w:proofErr w:type="spellEnd"/>
      <w:r w:rsidRPr="00F165E2">
        <w:t xml:space="preserve"> &amp; Gayton, 2009). While this has supported access expansion, it has also created pressure to adopt global policy models that may not fully reflect local system capacity or resource availability (Steiner-Khamsi, 2014; EFA, 2009). This demonstrates how education policy is shaped by global power structures and national policy decisions (Fennell &amp; Arnot, 2009).</w:t>
      </w:r>
    </w:p>
    <w:p w14:paraId="68CEE1B9" w14:textId="77777777" w:rsidR="00F165E2" w:rsidRPr="00F165E2" w:rsidRDefault="00F165E2" w:rsidP="00F165E2">
      <w:r w:rsidRPr="00F165E2">
        <w:t xml:space="preserve">Poverty remains one of the most significant barriers to good-quality and consistent education in Kenya, despite strong policy commitments to universal education (EFA, 2016). Although primary education is officially free, hidden costs, including uniforms, transport, learning materials and food, remain significant barriers for low-income families (UNICEF, 2021; </w:t>
      </w:r>
      <w:proofErr w:type="spellStart"/>
      <w:r w:rsidRPr="00F165E2">
        <w:t>Bignold</w:t>
      </w:r>
      <w:proofErr w:type="spellEnd"/>
      <w:r w:rsidRPr="00F165E2">
        <w:t xml:space="preserve"> &amp; Gayton, 2009). Poverty also affects children’s ability to learn effectively, as food insecurity, poor health, and unstable living conditions reduce concentration, attendance, and engagement in learning (Fennell &amp; Arnot, 2009). From a Capabilities Approach perspective, this demonstrates the difference between formal access to schooling and real educational opportunity (EFA, 2009). While Kenya has expanded enrolment, poverty limits children’s ability to convert education access into meaningful life opportunities (Sen, 1999). This directly challenges the goals of </w:t>
      </w:r>
      <w:r w:rsidRPr="00F165E2">
        <w:lastRenderedPageBreak/>
        <w:t>UNCRC Article 28 and SDG 4, both of which emphasise meaningful participation and quality learning outcomes rather than access alone (UNCRC; UNESCO, 2016).</w:t>
      </w:r>
    </w:p>
    <w:p w14:paraId="63B67535" w14:textId="77777777" w:rsidR="00F165E2" w:rsidRPr="00F165E2" w:rsidRDefault="00F165E2" w:rsidP="00F165E2">
      <w:r w:rsidRPr="00F165E2">
        <w:t>Poverty-related barriers also highlight the importance of regional rights frameworks such as the ACRWC, which recognises that children’s rights must be understood within broader socio-economic realities. Bronfenbrenner’s ecological systems theory reinforces this by demonstrating how household-level deprivation directly influences education outcomes (Bronfenbrenner, 1979). Without broader poverty-reduction and social-protection strategies, education reform alone cannot achieve educational equity., particularly as teacher workforce challenges further reinforce education inequality. Many Kenyan schools operate with overcrowded classrooms, which reduce teaching quality and limit individual student support (Teachers Service Commission, 2021). The introduction of the Competency-Based Curriculum aims to improve learning outcomes, but implementation challenges demonstrate the importance of workforce investment (UNESCO, 2023). Political economy theory highlights how education reform is often prioritised at the policy level without equivalent investment in implementation capacity (Ball, 2012). This disconnect between policy ambition and practical capacity is particularly evident in the distribution and support of the teacher workforce. Bourdieu’s theory demonstrates how unequal distribution of teachers can reinforce social inequality, as more experienced teachers are often concentrated in wealthier schools (Bourdieu, 1986). These workforce challenges demonstrate that curriculum reform cannot succeed without sustained investment in teacher recruitment, training and retention.</w:t>
      </w:r>
    </w:p>
    <w:p w14:paraId="69BB6DE2" w14:textId="77777777" w:rsidR="00F165E2" w:rsidRPr="00F165E2" w:rsidRDefault="00F165E2" w:rsidP="00F165E2">
      <w:r w:rsidRPr="00F165E2">
        <w:t xml:space="preserve">Education financing remains another major structural barrier (EFA, 2016; UNESCO). Global education funding gaps demonstrate the limitations of rights-based education frameworks when not supported by financial investment (EFA, 2009). Political economy theory highlights how global economic structures shape national education capacity (Ball, 2012; </w:t>
      </w:r>
      <w:proofErr w:type="spellStart"/>
      <w:r w:rsidRPr="00F165E2">
        <w:t>Bignold</w:t>
      </w:r>
      <w:proofErr w:type="spellEnd"/>
      <w:r w:rsidRPr="00F165E2">
        <w:t xml:space="preserve"> &amp; Gayton, 2009). In Kenya, population growth, infrastructure expansion and workforce demands create sustained financial pressure on education systems (Fennell &amp; Arnot, 2009). This demonstrates that achieving SDG 4 requires sustained global financial cooperation rather than short-term policy commitments (EFA, 2016).</w:t>
      </w:r>
    </w:p>
    <w:p w14:paraId="56736C10" w14:textId="77777777" w:rsidR="00F165E2" w:rsidRPr="00F165E2" w:rsidRDefault="00F165E2" w:rsidP="00F165E2">
      <w:r w:rsidRPr="00F165E2">
        <w:t>Curriculum reform is also influenced by globalisation pressures. Policy borrowing theory indicates that global education reforms may be adopted to achieve international legitimacy rather than to enhance local effectiveness (Steiner-Khamsi, 2014). Although global standards support accountability and benchmarking, they can impose unrealistic expectations on resource-limited education systems. This underscores the importance of context-specific education reform over universal policy models.</w:t>
      </w:r>
    </w:p>
    <w:p w14:paraId="25059069" w14:textId="77777777" w:rsidR="00F165E2" w:rsidRPr="00F165E2" w:rsidRDefault="00F165E2" w:rsidP="00F165E2">
      <w:r w:rsidRPr="00F165E2">
        <w:t xml:space="preserve">Regional inequality further reinforces education inequality (EFA, 2009; UNESCO, 2016). Rural and arid regions often lack basic infrastructure, including electricity, sanitation </w:t>
      </w:r>
      <w:r w:rsidRPr="00F165E2">
        <w:lastRenderedPageBreak/>
        <w:t xml:space="preserve">and learning resources (UNICEF, 2021; </w:t>
      </w:r>
      <w:proofErr w:type="spellStart"/>
      <w:r w:rsidRPr="00F165E2">
        <w:t>Bignold</w:t>
      </w:r>
      <w:proofErr w:type="spellEnd"/>
      <w:r w:rsidRPr="00F165E2">
        <w:t xml:space="preserve"> &amp; Gayton, 2009). These inequalities reflect colonial development patterns and ongoing structural economic inequality (Sifuna and Sawamura, 2010; Fennell &amp; Arnot, 2009). From a Capabilities perspective, infrastructure inequality directly limits children’s ability to benefit from education, even when they are formally enrolled (Sen, 1999; EFA, 2016).</w:t>
      </w:r>
    </w:p>
    <w:p w14:paraId="6181C384" w14:textId="77777777" w:rsidR="00F165E2" w:rsidRPr="00F165E2" w:rsidRDefault="00F165E2" w:rsidP="00F165E2">
      <w:r w:rsidRPr="00F165E2">
        <w:t>The evidence demonstrates that education barriers in Kenya are systemic and interconnected (EFA, 2016; UNESCO). Poverty, workforce shortages, funding constraints, curriculum reform pressures and regional inequality reinforce one another, limiting the effectiveness of individual policy reforms (</w:t>
      </w:r>
      <w:proofErr w:type="spellStart"/>
      <w:r w:rsidRPr="00F165E2">
        <w:t>Bignold</w:t>
      </w:r>
      <w:proofErr w:type="spellEnd"/>
      <w:r w:rsidRPr="00F165E2">
        <w:t xml:space="preserve"> &amp; Gayton, 2009). While Kenya demonstrates strong policy commitment through alignment with the UNCRC, ACRWC and SDG 4, structural inequality continues to shape education outcomes (Fennell &amp; Arnot, 2009; EFA, 2009). Improving education quality and equity in Kenya requires a shift from isolated reforms to comprehensive, cross-sectoral strategies. Policies should address the root causes of inequality, such as poverty, gender discrimination, regional disparities, and chronic underfunding. This entails linking education policy with broader social protection, health, and poverty reduction programmes to create an enabling environment for learning.</w:t>
      </w:r>
    </w:p>
    <w:p w14:paraId="4A3681B5" w14:textId="77777777" w:rsidR="00F165E2" w:rsidRPr="00F165E2" w:rsidRDefault="00F165E2" w:rsidP="00F165E2">
      <w:r w:rsidRPr="00F165E2">
        <w:t>Equitable and sustained funding is essential. The Kenyan government should increase its education budget, prioritising resources for disadvantaged regions and marginalised groups. Collaboration between international organisations, such as UNESCO and the Global Partnership for Education, and donor agencies should focus on long-term, system-wide improvements rather than short-term projects. Transparent monitoring and accountability mechanisms are necessary to ensure resources reach those most in need.</w:t>
      </w:r>
    </w:p>
    <w:p w14:paraId="281AE608" w14:textId="77777777" w:rsidR="00F165E2" w:rsidRPr="00F165E2" w:rsidRDefault="00F165E2" w:rsidP="00F165E2">
      <w:r w:rsidRPr="00F165E2">
        <w:t>Investment in the recruitment, training, and retention of qualified teachers is also critical. Policy should aim to reduce class sizes, improve teacher working conditions, and provide ongoing professional development, particularly in rural and arid regions. Gender-sensitive training and support will help address barriers faced by female teachers and students.</w:t>
      </w:r>
    </w:p>
    <w:p w14:paraId="2AF77C40" w14:textId="77777777" w:rsidR="00F165E2" w:rsidRPr="00F165E2" w:rsidRDefault="00F165E2" w:rsidP="00F165E2">
      <w:r w:rsidRPr="00F165E2">
        <w:t>Curriculum development must be context-specific, reflecting local realities, languages, and cultural knowledge while maintaining international standards. Policy borrowing should be adapted to Kenya’s needs, with meaningful participation from teachers, students, and local communities to ensure relevance and effectiveness.</w:t>
      </w:r>
    </w:p>
    <w:p w14:paraId="736677B1" w14:textId="77777777" w:rsidR="00F165E2" w:rsidRPr="00F165E2" w:rsidRDefault="00F165E2" w:rsidP="00F165E2">
      <w:r w:rsidRPr="00F165E2">
        <w:t>Special focus should be given to children with disabilities, girls, children living in informal settlements, and those in arid and semi-arid lands. Policies should remove barriers such as school fees, provide inclusive infrastructure, and address cultural practices that limit participation.</w:t>
      </w:r>
    </w:p>
    <w:p w14:paraId="3D0AB657" w14:textId="77777777" w:rsidR="00F165E2" w:rsidRPr="00F165E2" w:rsidRDefault="00F165E2" w:rsidP="00F165E2">
      <w:r w:rsidRPr="00F165E2">
        <w:lastRenderedPageBreak/>
        <w:t>It is also essential to strengthen mechanisms for monitoring and enforcing children’s educational rights at all levels. This includes supporting independent oversight bodies, enabling community participation in school governance, and ensuring that Kenya’s commitments under the UNCRC, ACRWC, and SDG 4 are translated into actionable plans.</w:t>
      </w:r>
    </w:p>
    <w:p w14:paraId="5F01F6F4" w14:textId="77777777" w:rsidR="00F165E2" w:rsidRPr="00F165E2" w:rsidRDefault="00F165E2" w:rsidP="00F165E2">
      <w:r w:rsidRPr="00F165E2">
        <w:t>Finally, robust and disaggregated data are vital for evidence-based policy. Ongoing investment in research, monitoring, and evaluation will help track progress, identify emerging challenges, and inform adaptive strategies.</w:t>
      </w:r>
    </w:p>
    <w:p w14:paraId="696BD630" w14:textId="77777777" w:rsidR="00F165E2" w:rsidRPr="00F165E2" w:rsidRDefault="00F165E2" w:rsidP="00F165E2">
      <w:r w:rsidRPr="00F165E2">
        <w:t xml:space="preserve">Nevertheless, translating policy ambition into sustained educational improvement requires more than technical reform. Success ultimately depends on strengthening governance capacity, ensuring accountability, and building structural resilience (Ball, 2012; </w:t>
      </w:r>
      <w:proofErr w:type="spellStart"/>
      <w:r w:rsidRPr="00F165E2">
        <w:t>Bignold</w:t>
      </w:r>
      <w:proofErr w:type="spellEnd"/>
      <w:r w:rsidRPr="00F165E2">
        <w:t xml:space="preserve"> &amp; Gayton, 2009).</w:t>
      </w:r>
    </w:p>
    <w:p w14:paraId="6904F0B0" w14:textId="77777777" w:rsidR="00F165E2" w:rsidRPr="00F165E2" w:rsidRDefault="00F165E2" w:rsidP="00F165E2">
      <w:r w:rsidRPr="00F165E2">
        <w:t>In addition to structural and economic constraints, governance and accountability mechanisms are decisive in determining whether policy commitments translate into tangible educational improvements. While Kenya has established strong legislative frameworks through the Basic Education Act and constitutional guarantees, implementation gaps remain evident at county and school levels (EFA, 2016). Decentralisation, intended to improve responsiveness and community participation, has at times produced uneven administrative capacity across regions. Political economy theory suggests that decentralised systems may reproduce inequalities when local authorities lack adequate funding, training, or oversight structures (Ball, 2012; Fennell &amp; Arnot, 2009). This reinforces the argument that governance reform must be accompanied by sustained institutional capacity-building and transparent accountability mechanisms (UNESCO, 2016).</w:t>
      </w:r>
    </w:p>
    <w:p w14:paraId="7D927670" w14:textId="77777777" w:rsidR="00F165E2" w:rsidRPr="00F165E2" w:rsidRDefault="00F165E2" w:rsidP="00F165E2">
      <w:r w:rsidRPr="00F165E2">
        <w:t xml:space="preserve">Accountability must also extend beyond national governments to international actors. Global education agendas, such as SDG 4, rely heavily on voluntary compliance and normative commitments rather than enforceable financial obligations (UNESCO, 2023). While rights-based frameworks articulate universal principles, they often lack binding funding guarantees, creating tension between global ambition and national fiscal realities (EFA, 2009). Political economy analysis highlights how global economic structures and donor priorities shape domestic education capacity, sometimes constraining long-term planning (Ball, 2012; </w:t>
      </w:r>
      <w:proofErr w:type="spellStart"/>
      <w:r w:rsidRPr="00F165E2">
        <w:t>Bignold</w:t>
      </w:r>
      <w:proofErr w:type="spellEnd"/>
      <w:r w:rsidRPr="00F165E2">
        <w:t xml:space="preserve"> &amp; Gayton, 2009).</w:t>
      </w:r>
    </w:p>
    <w:p w14:paraId="76D6931B" w14:textId="77777777" w:rsidR="00F165E2" w:rsidRPr="00F165E2" w:rsidRDefault="00F165E2" w:rsidP="00F165E2">
      <w:r w:rsidRPr="00F165E2">
        <w:t xml:space="preserve">Climate change and environmental vulnerability represent additional emerging pressures on Kenya’s education system. Increasing droughts and food insecurity in arid and semi-arid regions disrupt attendance and exacerbate household poverty, further limiting children’s educational capabilities (UNICEF, 2021). Bronfenbrenner’s ecological systems theory illustrates how macro-level environmental and economic shocks directly affect micro-level educational outcomes (Bronfenbrenner, 1979). Education </w:t>
      </w:r>
      <w:r w:rsidRPr="00F165E2">
        <w:lastRenderedPageBreak/>
        <w:t>systems must therefore strengthen resilience through integrated social protection, adaptive infrastructure, and crisis-responsive learning strategies (EFA, 2016).</w:t>
      </w:r>
    </w:p>
    <w:p w14:paraId="20D66CB8" w14:textId="77777777" w:rsidR="00F165E2" w:rsidRPr="00F165E2" w:rsidRDefault="00F165E2" w:rsidP="00F165E2">
      <w:r w:rsidRPr="00F165E2">
        <w:t xml:space="preserve">Achieving equitable, high-quality education in Kenya requires conceptualising education as an interconnected social ecosystem rather than merely a service delivered through schools. Structural poverty reduction, gender justice, infrastructure development, teacher empowerment, and sustained global cooperation must be pursued concurrently. The Capabilities Approach highlights that the true measure of educational success is whether children are genuinely enabled to lead lives they value. Without addressing the structural constraints that limit these freedoms, universal enrolment alone cannot fulfil the transformative potential embedded in global education rights frameworks. This holistic perspective reinforces the necessity of </w:t>
      </w:r>
      <w:proofErr w:type="gramStart"/>
      <w:r w:rsidRPr="00F165E2">
        <w:t>coordinated,</w:t>
      </w:r>
      <w:proofErr w:type="gramEnd"/>
      <w:r w:rsidRPr="00F165E2">
        <w:t xml:space="preserve"> multi-sectoral approaches to education reform.</w:t>
      </w:r>
    </w:p>
    <w:p w14:paraId="5D1596B3" w14:textId="77777777" w:rsidR="00F165E2" w:rsidRPr="00F165E2" w:rsidRDefault="00F165E2" w:rsidP="00F165E2">
      <w:r w:rsidRPr="00F165E2">
        <w:t>Collectively, these recommendations underscore that achieving high-quality, consistent education in Kenya is a long-term process that requires collaboration among the government, communities, international partners, and civil society. The ultimate objective is to establish education systems that are inclusive, resilient, and capable of supporting all children to realise their rights and potential.</w:t>
      </w:r>
    </w:p>
    <w:p w14:paraId="20433249" w14:textId="77777777" w:rsidR="00F165E2" w:rsidRPr="00F165E2" w:rsidRDefault="00F165E2" w:rsidP="00F165E2">
      <w:r w:rsidRPr="00F165E2">
        <w:t>In conclusion, the analysis demonstrates that, despite significant progress in expanding access to education, structural inequalities continue to constrain the realisation of equitable, high-quality learning for children and young people in Kenya. The Capabilities Approach affirms that educational success should be measured not solely by enrolment statistics, but by the extent to which children are genuinely enabled to develop knowledge, skills, agency, and meaningful life opportunities. The persistent gap between formal access and substantive learning outcomes underscores the need to reorient policy priorities toward quality, equity, and long-term capability development rather than access expansion alone.</w:t>
      </w:r>
    </w:p>
    <w:p w14:paraId="3A8B54B6" w14:textId="3BEE5F26" w:rsidR="00723DDE" w:rsidRDefault="00F165E2" w:rsidP="00D00732">
      <w:r w:rsidRPr="00F165E2">
        <w:t>Furthermore, the analysis underscores the limitations of global rights frameworks when they are not matched by sustained financial commitment and structural reform. While SDG 4, the UNCRC, and regional instruments articulate ambitious normative standards, their implementation remains shaped by economic inequality, governance capacity, and global political-economic constraints. Kenya exemplifies both the transformative potential and the structural limitations of policy-driven education reform. Achieving inclusive, resilient, and high-quality education, therefore, requires long-term structural investment, strengthened accountability mechanisms, and sustained global cooperation. Universal education must ultimately be understood not solely as a policy aspiration, but as a broader development and social justice project requiring coordinated action across local, national, and international systems.</w:t>
      </w:r>
    </w:p>
    <w:p w14:paraId="1AB339EE" w14:textId="77777777" w:rsidR="00087389" w:rsidRDefault="00087389" w:rsidP="00D00732"/>
    <w:p w14:paraId="157D5CDC" w14:textId="6465E667" w:rsidR="00D00732" w:rsidRDefault="00D00732" w:rsidP="00D00732">
      <w:pPr>
        <w:rPr>
          <w:b/>
          <w:bCs/>
          <w:u w:val="single"/>
        </w:rPr>
      </w:pPr>
      <w:r>
        <w:rPr>
          <w:b/>
          <w:bCs/>
          <w:u w:val="single"/>
        </w:rPr>
        <w:lastRenderedPageBreak/>
        <w:t xml:space="preserve">Reference List </w:t>
      </w:r>
    </w:p>
    <w:p w14:paraId="0A10D4E9" w14:textId="77777777" w:rsidR="00D00732" w:rsidRDefault="00D00732" w:rsidP="00D00732">
      <w:r w:rsidRPr="00D865D9">
        <w:t xml:space="preserve">African Union (1990) </w:t>
      </w:r>
      <w:r w:rsidRPr="00D865D9">
        <w:rPr>
          <w:i/>
          <w:iCs/>
        </w:rPr>
        <w:t>African Charter on the Rights and Welfare of the Child</w:t>
      </w:r>
      <w:r w:rsidRPr="00D865D9">
        <w:t>. A</w:t>
      </w:r>
      <w:r>
        <w:t xml:space="preserve">vailable at: </w:t>
      </w:r>
      <w:hyperlink r:id="rId4" w:history="1">
        <w:r w:rsidRPr="00792249">
          <w:rPr>
            <w:rStyle w:val="Hyperlink"/>
          </w:rPr>
          <w:t>https://au.int/sites/default/files/treaties/36804-treaty-african_charter_on_rights_welfare_of_the_child.pdf</w:t>
        </w:r>
      </w:hyperlink>
      <w:r>
        <w:t xml:space="preserve"> (Accessed: 2 February 2026)</w:t>
      </w:r>
    </w:p>
    <w:p w14:paraId="42C4A378" w14:textId="77777777" w:rsidR="00D00732" w:rsidRPr="00D865D9" w:rsidRDefault="00D00732" w:rsidP="00D00732">
      <w:r w:rsidRPr="00D865D9">
        <w:t xml:space="preserve">Ball, S.J. (2012) </w:t>
      </w:r>
      <w:r w:rsidRPr="00D865D9">
        <w:rPr>
          <w:i/>
          <w:iCs/>
        </w:rPr>
        <w:t>Global Education Inc.: New Policy Networks and the Neo-liberal Imaginary</w:t>
      </w:r>
      <w:r w:rsidRPr="00D865D9">
        <w:t>. London: Routledge.</w:t>
      </w:r>
    </w:p>
    <w:p w14:paraId="0CC00E9C" w14:textId="77777777" w:rsidR="00D00732" w:rsidRPr="00D865D9" w:rsidRDefault="00D00732" w:rsidP="00D00732">
      <w:proofErr w:type="spellStart"/>
      <w:r w:rsidRPr="00D865D9">
        <w:t>Bignold</w:t>
      </w:r>
      <w:proofErr w:type="spellEnd"/>
      <w:r w:rsidRPr="00D865D9">
        <w:t xml:space="preserve">, S. and Gayton, A. (2009) </w:t>
      </w:r>
      <w:r w:rsidRPr="00D865D9">
        <w:rPr>
          <w:i/>
          <w:iCs/>
        </w:rPr>
        <w:t>Global Issues and Comparative Education</w:t>
      </w:r>
      <w:r w:rsidRPr="00D865D9">
        <w:t>. Exeter: Learning Matters.</w:t>
      </w:r>
    </w:p>
    <w:p w14:paraId="3EFD2C3F" w14:textId="77777777" w:rsidR="00D00732" w:rsidRPr="00D865D9" w:rsidRDefault="00D00732" w:rsidP="00D00732">
      <w:r w:rsidRPr="00D865D9">
        <w:t xml:space="preserve">Bourdieu, P. (1986) ‘The forms of capital’, in Richardson, J.G. (ed.) </w:t>
      </w:r>
      <w:r w:rsidRPr="00D865D9">
        <w:rPr>
          <w:i/>
          <w:iCs/>
        </w:rPr>
        <w:t>Handbook of Theory and Research for the Sociology of Education</w:t>
      </w:r>
      <w:r w:rsidRPr="00D865D9">
        <w:t>. New York: Greenwood, pp. 241–258.</w:t>
      </w:r>
    </w:p>
    <w:p w14:paraId="119741DC" w14:textId="77777777" w:rsidR="00D00732" w:rsidRPr="00D865D9" w:rsidRDefault="00D00732" w:rsidP="00D00732">
      <w:r w:rsidRPr="00D865D9">
        <w:t xml:space="preserve">Bronfenbrenner, U. (1979) </w:t>
      </w:r>
      <w:r w:rsidRPr="00D865D9">
        <w:rPr>
          <w:i/>
          <w:iCs/>
        </w:rPr>
        <w:t>The Ecology of Human Development: Experiments by Nature and Design</w:t>
      </w:r>
      <w:r w:rsidRPr="00D865D9">
        <w:t xml:space="preserve">. </w:t>
      </w:r>
      <w:r>
        <w:t xml:space="preserve">Available at: </w:t>
      </w:r>
      <w:hyperlink r:id="rId5" w:history="1">
        <w:r w:rsidRPr="00D865D9">
          <w:rPr>
            <w:rStyle w:val="Hyperlink"/>
            <w:b/>
            <w:bCs/>
          </w:rPr>
          <w:t>https://doi.org/10.2307/j.ctv26071r6</w:t>
        </w:r>
      </w:hyperlink>
      <w:r>
        <w:t xml:space="preserve"> (Accessed: 2 February 2026) </w:t>
      </w:r>
    </w:p>
    <w:p w14:paraId="72C647A5" w14:textId="77777777" w:rsidR="00D00732" w:rsidRDefault="00D00732" w:rsidP="00D00732">
      <w:r w:rsidRPr="00D865D9">
        <w:t xml:space="preserve">Education for All (EFA) (2009) </w:t>
      </w:r>
      <w:r w:rsidRPr="00D865D9">
        <w:rPr>
          <w:i/>
          <w:iCs/>
        </w:rPr>
        <w:t>Education for All Global Monitoring Report 2009: Overcoming Inequality: Why Governance Matters</w:t>
      </w:r>
      <w:r w:rsidRPr="00D865D9">
        <w:t>.</w:t>
      </w:r>
      <w:r>
        <w:t xml:space="preserve"> Available at: </w:t>
      </w:r>
      <w:hyperlink r:id="rId6" w:history="1">
        <w:r w:rsidRPr="00792249">
          <w:rPr>
            <w:rStyle w:val="Hyperlink"/>
          </w:rPr>
          <w:t>https://unesdoc.unesco.org/ark:/48223/pf0000177683</w:t>
        </w:r>
      </w:hyperlink>
      <w:r>
        <w:t xml:space="preserve">. (Accessed: 2 February 2026) </w:t>
      </w:r>
    </w:p>
    <w:p w14:paraId="3BB78405" w14:textId="77777777" w:rsidR="00D00732" w:rsidRPr="00D865D9" w:rsidRDefault="00D00732" w:rsidP="00D00732">
      <w:r w:rsidRPr="00D865D9">
        <w:t>Fennell, S. and Arnot, M. (200</w:t>
      </w:r>
      <w:r>
        <w:t>8</w:t>
      </w:r>
      <w:r w:rsidRPr="00D865D9">
        <w:t xml:space="preserve">) </w:t>
      </w:r>
      <w:r>
        <w:rPr>
          <w:i/>
          <w:iCs/>
        </w:rPr>
        <w:t xml:space="preserve">Gender Education and Equality in a Global Context. </w:t>
      </w:r>
      <w:r>
        <w:t xml:space="preserve">Available at: </w:t>
      </w:r>
      <w:hyperlink r:id="rId7" w:history="1">
        <w:r w:rsidRPr="00792249">
          <w:rPr>
            <w:rStyle w:val="Hyperlink"/>
          </w:rPr>
          <w:t>https://discovery.ucl.ac.uk/id/eprint/1576468/1/FennellandArnotBook08.pdf</w:t>
        </w:r>
      </w:hyperlink>
      <w:r>
        <w:t xml:space="preserve">. Accessed (5 February 2026) </w:t>
      </w:r>
    </w:p>
    <w:p w14:paraId="0A50900F" w14:textId="77777777" w:rsidR="00D00732" w:rsidRPr="00D865D9" w:rsidRDefault="00D00732" w:rsidP="00D00732">
      <w:r w:rsidRPr="00D865D9">
        <w:t xml:space="preserve">Oketch, M. and Rolleston, C. (2019) ‘Policies on free primary and secondary education in East Africa: Retrospect and prospect’, </w:t>
      </w:r>
      <w:r w:rsidRPr="00D865D9">
        <w:rPr>
          <w:i/>
          <w:iCs/>
        </w:rPr>
        <w:t>Review of Research in Education</w:t>
      </w:r>
      <w:r w:rsidRPr="00D865D9">
        <w:t>, 43(1), pp. 1–30.</w:t>
      </w:r>
      <w:r>
        <w:t xml:space="preserve"> Available at: </w:t>
      </w:r>
      <w:hyperlink r:id="rId8" w:history="1">
        <w:r w:rsidRPr="00792249">
          <w:rPr>
            <w:rStyle w:val="Hyperlink"/>
          </w:rPr>
          <w:t>https://johnorodho.com/wp-content/uploads/2025/10/9-Policies-on-free-primary-and-secondary-education-in-East-Africa.pdf</w:t>
        </w:r>
      </w:hyperlink>
      <w:r>
        <w:t xml:space="preserve"> (Accessed 1 February 2026) </w:t>
      </w:r>
    </w:p>
    <w:p w14:paraId="4FB33390" w14:textId="77777777" w:rsidR="00D00732" w:rsidRPr="00D865D9" w:rsidRDefault="00D00732" w:rsidP="00D00732">
      <w:r w:rsidRPr="00D865D9">
        <w:t xml:space="preserve">Roser, M. and Ortiz-Ospina, E. (2024) ‘Global education’, </w:t>
      </w:r>
      <w:r w:rsidRPr="00D865D9">
        <w:rPr>
          <w:i/>
          <w:iCs/>
        </w:rPr>
        <w:t>Our World in Data</w:t>
      </w:r>
      <w:r w:rsidRPr="00D865D9">
        <w:t xml:space="preserve">. Available at: https://ourworldindata.org/education (Accessed: </w:t>
      </w:r>
      <w:r>
        <w:t>3 February 2026</w:t>
      </w:r>
      <w:r w:rsidRPr="00D865D9">
        <w:t>)</w:t>
      </w:r>
    </w:p>
    <w:p w14:paraId="28CE0A48" w14:textId="77777777" w:rsidR="00D00732" w:rsidRPr="00D865D9" w:rsidRDefault="00D00732" w:rsidP="00D00732">
      <w:r w:rsidRPr="00D865D9">
        <w:t xml:space="preserve">Sen, A. (1999) </w:t>
      </w:r>
      <w:r w:rsidRPr="00D865D9">
        <w:rPr>
          <w:i/>
          <w:iCs/>
        </w:rPr>
        <w:t>Development as Freedom</w:t>
      </w:r>
      <w:r w:rsidRPr="00D865D9">
        <w:t xml:space="preserve">. </w:t>
      </w:r>
      <w:r>
        <w:t xml:space="preserve">Available at: </w:t>
      </w:r>
      <w:hyperlink r:id="rId9" w:history="1">
        <w:r w:rsidRPr="00792249">
          <w:rPr>
            <w:rStyle w:val="Hyperlink"/>
          </w:rPr>
          <w:t>https://raggeduniversity.co.uk/wp-content/uploads/2025/01/1_x_senDevelopmentasFreedom-_compressed.pdf</w:t>
        </w:r>
      </w:hyperlink>
      <w:r>
        <w:t xml:space="preserve"> (Accessed 29 February 2026) </w:t>
      </w:r>
    </w:p>
    <w:p w14:paraId="036D4660" w14:textId="77777777" w:rsidR="00D00732" w:rsidRPr="00D865D9" w:rsidRDefault="00D00732" w:rsidP="00D00732">
      <w:r w:rsidRPr="00D865D9">
        <w:t xml:space="preserve">Sifuna, D.N. and Sawamura, N. (2010) </w:t>
      </w:r>
      <w:r w:rsidRPr="00D865D9">
        <w:rPr>
          <w:i/>
          <w:iCs/>
        </w:rPr>
        <w:t>Challenges of Quality Education in Sub-Saharan Africa: Some Key Issues</w:t>
      </w:r>
      <w:r w:rsidRPr="00D865D9">
        <w:t xml:space="preserve">. </w:t>
      </w:r>
      <w:r>
        <w:t xml:space="preserve">Available at: </w:t>
      </w:r>
      <w:hyperlink r:id="rId10" w:history="1">
        <w:r w:rsidRPr="00792249">
          <w:rPr>
            <w:rStyle w:val="Hyperlink"/>
          </w:rPr>
          <w:t>https://cice.hiroshima-u.ac.jp/wp-content/uploads/2014/03/4-1-13.pdf</w:t>
        </w:r>
      </w:hyperlink>
      <w:r>
        <w:t xml:space="preserve"> (Accessed 13 February 2026) </w:t>
      </w:r>
    </w:p>
    <w:p w14:paraId="123178AA" w14:textId="77777777" w:rsidR="00D00732" w:rsidRDefault="00D00732" w:rsidP="00D00732">
      <w:r w:rsidRPr="00D865D9">
        <w:lastRenderedPageBreak/>
        <w:t xml:space="preserve">Steiner-Khamsi, G. (2014) </w:t>
      </w:r>
      <w:r w:rsidRPr="00D865D9">
        <w:rPr>
          <w:i/>
          <w:iCs/>
        </w:rPr>
        <w:t>Policy Borrowing and Lending in Education</w:t>
      </w:r>
      <w:r w:rsidRPr="00D865D9">
        <w:t xml:space="preserve">. </w:t>
      </w:r>
      <w:r>
        <w:t xml:space="preserve">Available at: </w:t>
      </w:r>
      <w:hyperlink r:id="rId11" w:history="1">
        <w:r w:rsidRPr="00792249">
          <w:rPr>
            <w:rStyle w:val="Hyperlink"/>
          </w:rPr>
          <w:t>https://www.researchgate.net/publication/274183778_Policy_borrowing_and_lending_in_education</w:t>
        </w:r>
      </w:hyperlink>
      <w:r>
        <w:t xml:space="preserve"> (Accessed: 13 February 2026) </w:t>
      </w:r>
    </w:p>
    <w:p w14:paraId="0EEED68C" w14:textId="77777777" w:rsidR="00D00732" w:rsidRDefault="00D00732" w:rsidP="00D00732">
      <w:r w:rsidRPr="00D865D9">
        <w:t xml:space="preserve">Teachers Service Commission (2021) </w:t>
      </w:r>
      <w:r w:rsidRPr="00D865D9">
        <w:rPr>
          <w:i/>
          <w:iCs/>
        </w:rPr>
        <w:t>Annual Report 2020–2021</w:t>
      </w:r>
      <w:r w:rsidRPr="00D865D9">
        <w:t xml:space="preserve">. </w:t>
      </w:r>
      <w:r>
        <w:t xml:space="preserve">Available at: </w:t>
      </w:r>
      <w:hyperlink r:id="rId12" w:history="1">
        <w:r w:rsidRPr="00792249">
          <w:rPr>
            <w:rStyle w:val="Hyperlink"/>
          </w:rPr>
          <w:t>https://www.parliament.go.ke/sites/default/files/2023-04/Annual%20Report%20and%20Financial%20Statements%20of%20Teachers%20Service%20Commission%20for%20the%20year%20ended%2030%20June,%202021.pdf</w:t>
        </w:r>
      </w:hyperlink>
      <w:r>
        <w:t xml:space="preserve"> (Accessed: 15 February 2026) </w:t>
      </w:r>
    </w:p>
    <w:p w14:paraId="7BA96297" w14:textId="77777777" w:rsidR="00D00732" w:rsidRPr="00D865D9" w:rsidRDefault="00D00732" w:rsidP="00D00732">
      <w:r w:rsidRPr="00D865D9">
        <w:t xml:space="preserve">UNESCO (2015). </w:t>
      </w:r>
      <w:r w:rsidRPr="0026359A">
        <w:rPr>
          <w:i/>
          <w:iCs/>
        </w:rPr>
        <w:t>Education for All Global Monitoring Report 2015: Education for All 2000-2015: Achievements and challenges</w:t>
      </w:r>
      <w:r w:rsidRPr="00D865D9">
        <w:t xml:space="preserve">. </w:t>
      </w:r>
      <w:r>
        <w:t xml:space="preserve">Available at: </w:t>
      </w:r>
      <w:proofErr w:type="spellStart"/>
      <w:proofErr w:type="gramStart"/>
      <w:r w:rsidRPr="00D865D9">
        <w:t>doi:https</w:t>
      </w:r>
      <w:proofErr w:type="spellEnd"/>
      <w:r w:rsidRPr="00D865D9">
        <w:t>://doi.org/10.54676/lbsf6974</w:t>
      </w:r>
      <w:proofErr w:type="gramEnd"/>
      <w:r w:rsidRPr="00D865D9">
        <w:t>.</w:t>
      </w:r>
      <w:r>
        <w:t xml:space="preserve"> (Accessed: 6 February 2026)</w:t>
      </w:r>
    </w:p>
    <w:p w14:paraId="2C3841BA" w14:textId="77777777" w:rsidR="00D00732" w:rsidRPr="00D865D9" w:rsidRDefault="00D00732" w:rsidP="00D00732">
      <w:r w:rsidRPr="00D865D9">
        <w:t xml:space="preserve">UNESCO (2016) </w:t>
      </w:r>
      <w:r w:rsidRPr="00D865D9">
        <w:rPr>
          <w:i/>
          <w:iCs/>
        </w:rPr>
        <w:t>Global Education Monitoring Report 2016: Education for People and Planet</w:t>
      </w:r>
      <w:r w:rsidRPr="00D865D9">
        <w:t xml:space="preserve">. </w:t>
      </w:r>
      <w:r>
        <w:t xml:space="preserve">Available at: </w:t>
      </w:r>
      <w:hyperlink r:id="rId13" w:history="1">
        <w:r w:rsidRPr="00792249">
          <w:rPr>
            <w:rStyle w:val="Hyperlink"/>
          </w:rPr>
          <w:t>https://doi.org/10.54676/AXEQ8566</w:t>
        </w:r>
      </w:hyperlink>
      <w:r>
        <w:t xml:space="preserve"> (Accessed 7 February 2026) </w:t>
      </w:r>
    </w:p>
    <w:p w14:paraId="053E549D" w14:textId="77777777" w:rsidR="00D00732" w:rsidRPr="00D865D9" w:rsidRDefault="00D00732" w:rsidP="00D00732">
      <w:r w:rsidRPr="00D865D9">
        <w:t xml:space="preserve">UNESCO (2023) </w:t>
      </w:r>
      <w:r w:rsidRPr="00D865D9">
        <w:rPr>
          <w:i/>
          <w:iCs/>
        </w:rPr>
        <w:t>Global Education Monitoring Report 2023</w:t>
      </w:r>
      <w:r w:rsidRPr="00D865D9">
        <w:t xml:space="preserve">. </w:t>
      </w:r>
      <w:r>
        <w:t xml:space="preserve">Available at: </w:t>
      </w:r>
      <w:hyperlink r:id="rId14" w:history="1">
        <w:r w:rsidRPr="00792249">
          <w:rPr>
            <w:rStyle w:val="Hyperlink"/>
          </w:rPr>
          <w:t>https://gem-report-2023.unesco.org/</w:t>
        </w:r>
      </w:hyperlink>
      <w:r>
        <w:t xml:space="preserve"> (Accessed 7 February 2026) </w:t>
      </w:r>
    </w:p>
    <w:p w14:paraId="4340CEEC" w14:textId="77777777" w:rsidR="00D00732" w:rsidRPr="00D865D9" w:rsidRDefault="00D00732" w:rsidP="00D00732">
      <w:r w:rsidRPr="00D865D9">
        <w:t xml:space="preserve">UNESCO (2024) </w:t>
      </w:r>
      <w:r w:rsidRPr="00D865D9">
        <w:rPr>
          <w:i/>
          <w:iCs/>
        </w:rPr>
        <w:t>Global Education Monitoring Report 2024</w:t>
      </w:r>
      <w:r w:rsidRPr="00D865D9">
        <w:t>.</w:t>
      </w:r>
      <w:r>
        <w:t xml:space="preserve"> Available at: </w:t>
      </w:r>
      <w:hyperlink r:id="rId15" w:history="1">
        <w:r w:rsidRPr="00792249">
          <w:rPr>
            <w:rStyle w:val="Hyperlink"/>
          </w:rPr>
          <w:t>https://www.unesco.org/reports/gem-report/en/2024</w:t>
        </w:r>
      </w:hyperlink>
      <w:r>
        <w:t xml:space="preserve"> (Accessed 9 February 2026) </w:t>
      </w:r>
    </w:p>
    <w:p w14:paraId="284EFCF1" w14:textId="77777777" w:rsidR="00D00732" w:rsidRPr="00D865D9" w:rsidRDefault="00D00732" w:rsidP="00D00732">
      <w:r w:rsidRPr="00D865D9">
        <w:t xml:space="preserve">UNICEF (2021) </w:t>
      </w:r>
      <w:r w:rsidRPr="00D865D9">
        <w:rPr>
          <w:i/>
          <w:iCs/>
        </w:rPr>
        <w:t>Education</w:t>
      </w:r>
      <w:r>
        <w:rPr>
          <w:i/>
          <w:iCs/>
        </w:rPr>
        <w:t xml:space="preserve">: Providing inclusive and equitable quality education for every child. </w:t>
      </w:r>
      <w:r>
        <w:t xml:space="preserve">Available at: </w:t>
      </w:r>
      <w:hyperlink r:id="rId16" w:history="1">
        <w:r w:rsidRPr="00792249">
          <w:rPr>
            <w:rStyle w:val="Hyperlink"/>
          </w:rPr>
          <w:t>https://www.unicef.org/kenya/education</w:t>
        </w:r>
      </w:hyperlink>
      <w:r>
        <w:t xml:space="preserve"> (Accessed: 2 February 2026) </w:t>
      </w:r>
    </w:p>
    <w:p w14:paraId="794A6EC8" w14:textId="77777777" w:rsidR="00D00732" w:rsidRPr="00D865D9" w:rsidRDefault="00D00732" w:rsidP="00D00732">
      <w:r w:rsidRPr="00D865D9">
        <w:t xml:space="preserve">United Nations (1948) </w:t>
      </w:r>
      <w:r w:rsidRPr="00D865D9">
        <w:rPr>
          <w:i/>
          <w:iCs/>
        </w:rPr>
        <w:t>Universal Declaration of Human Rights</w:t>
      </w:r>
      <w:r w:rsidRPr="00D865D9">
        <w:t xml:space="preserve">. </w:t>
      </w:r>
      <w:r>
        <w:t xml:space="preserve">Available at: </w:t>
      </w:r>
      <w:hyperlink r:id="rId17" w:history="1">
        <w:r w:rsidRPr="00792249">
          <w:rPr>
            <w:rStyle w:val="Hyperlink"/>
          </w:rPr>
          <w:t>https://www.un.org/en/about-us/universal-declaration-of-human-rights</w:t>
        </w:r>
      </w:hyperlink>
      <w:r>
        <w:t xml:space="preserve"> (Accessed 1 February 2026) </w:t>
      </w:r>
    </w:p>
    <w:p w14:paraId="3788E891" w14:textId="77777777" w:rsidR="00D00732" w:rsidRPr="00D865D9" w:rsidRDefault="00D00732" w:rsidP="00D00732">
      <w:r w:rsidRPr="00D865D9">
        <w:t>United Nations (1989)</w:t>
      </w:r>
      <w:r>
        <w:t>.</w:t>
      </w:r>
      <w:r w:rsidRPr="00D865D9">
        <w:t xml:space="preserve"> </w:t>
      </w:r>
      <w:r w:rsidRPr="00D865D9">
        <w:rPr>
          <w:i/>
          <w:iCs/>
        </w:rPr>
        <w:t>Convention on the Rights of the Child</w:t>
      </w:r>
      <w:r w:rsidRPr="00D865D9">
        <w:t>.</w:t>
      </w:r>
      <w:r>
        <w:t xml:space="preserve"> Available at: </w:t>
      </w:r>
      <w:hyperlink r:id="rId18" w:history="1">
        <w:r w:rsidRPr="00792249">
          <w:rPr>
            <w:rStyle w:val="Hyperlink"/>
          </w:rPr>
          <w:t>https://www.unicef.org.uk/what-we-do/un-convention-child-rights/</w:t>
        </w:r>
      </w:hyperlink>
      <w:r>
        <w:t xml:space="preserve"> (Accessed 28 January 2026) </w:t>
      </w:r>
    </w:p>
    <w:p w14:paraId="055FB347" w14:textId="4ACF51F4" w:rsidR="00194F28" w:rsidRDefault="00D00732">
      <w:r w:rsidRPr="00D865D9">
        <w:t>United Nations (2015)</w:t>
      </w:r>
      <w:r>
        <w:t>.</w:t>
      </w:r>
      <w:r w:rsidRPr="00D865D9">
        <w:t xml:space="preserve"> </w:t>
      </w:r>
      <w:r w:rsidRPr="00D865D9">
        <w:rPr>
          <w:i/>
          <w:iCs/>
        </w:rPr>
        <w:t>Transforming Our World: The 2030 Agenda for Sustainable Development</w:t>
      </w:r>
      <w:r>
        <w:t xml:space="preserve">. Available at: </w:t>
      </w:r>
      <w:hyperlink r:id="rId19" w:history="1">
        <w:r w:rsidRPr="00792249">
          <w:rPr>
            <w:rStyle w:val="Hyperlink"/>
          </w:rPr>
          <w:t>https://sdgs.un.org/2030agenda</w:t>
        </w:r>
      </w:hyperlink>
      <w:r>
        <w:t xml:space="preserve"> (Accessed: 1 February 2026) </w:t>
      </w:r>
    </w:p>
    <w:p w14:paraId="70E52E94" w14:textId="77777777" w:rsidR="00253C8B" w:rsidRDefault="00253C8B"/>
    <w:sectPr w:rsidR="00253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553"/>
    <w:rsid w:val="00061988"/>
    <w:rsid w:val="00087389"/>
    <w:rsid w:val="0009730E"/>
    <w:rsid w:val="00183E4E"/>
    <w:rsid w:val="00194F28"/>
    <w:rsid w:val="001E23AF"/>
    <w:rsid w:val="00253C8B"/>
    <w:rsid w:val="0026359A"/>
    <w:rsid w:val="003B31CB"/>
    <w:rsid w:val="00400BDD"/>
    <w:rsid w:val="00422391"/>
    <w:rsid w:val="00516DD6"/>
    <w:rsid w:val="005A1251"/>
    <w:rsid w:val="005A6C70"/>
    <w:rsid w:val="005D412C"/>
    <w:rsid w:val="0062639F"/>
    <w:rsid w:val="00647538"/>
    <w:rsid w:val="006C47CA"/>
    <w:rsid w:val="00723DDE"/>
    <w:rsid w:val="007C07A6"/>
    <w:rsid w:val="007D71D9"/>
    <w:rsid w:val="00821BBB"/>
    <w:rsid w:val="00846A69"/>
    <w:rsid w:val="008963A6"/>
    <w:rsid w:val="008A70D2"/>
    <w:rsid w:val="0096287A"/>
    <w:rsid w:val="00974EC4"/>
    <w:rsid w:val="009817CE"/>
    <w:rsid w:val="00992C4D"/>
    <w:rsid w:val="00A00700"/>
    <w:rsid w:val="00A13553"/>
    <w:rsid w:val="00A20DD5"/>
    <w:rsid w:val="00A96083"/>
    <w:rsid w:val="00B60BB5"/>
    <w:rsid w:val="00B60C62"/>
    <w:rsid w:val="00B871C5"/>
    <w:rsid w:val="00BA2751"/>
    <w:rsid w:val="00C35415"/>
    <w:rsid w:val="00C805B1"/>
    <w:rsid w:val="00CC6354"/>
    <w:rsid w:val="00CD3BF7"/>
    <w:rsid w:val="00D00732"/>
    <w:rsid w:val="00D220FE"/>
    <w:rsid w:val="00D5349B"/>
    <w:rsid w:val="00DC7BC6"/>
    <w:rsid w:val="00E000B6"/>
    <w:rsid w:val="00E60426"/>
    <w:rsid w:val="00EE0A8C"/>
    <w:rsid w:val="00F165E2"/>
    <w:rsid w:val="00F54E7A"/>
    <w:rsid w:val="00F90726"/>
    <w:rsid w:val="00FC0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F0E94"/>
  <w15:chartTrackingRefBased/>
  <w15:docId w15:val="{79CE426F-2BB4-4466-AB87-632E7568B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5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35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35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35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35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35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5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5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5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5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35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35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35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35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35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5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5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553"/>
    <w:rPr>
      <w:rFonts w:eastAsiaTheme="majorEastAsia" w:cstheme="majorBidi"/>
      <w:color w:val="272727" w:themeColor="text1" w:themeTint="D8"/>
    </w:rPr>
  </w:style>
  <w:style w:type="paragraph" w:styleId="Title">
    <w:name w:val="Title"/>
    <w:basedOn w:val="Normal"/>
    <w:next w:val="Normal"/>
    <w:link w:val="TitleChar"/>
    <w:uiPriority w:val="10"/>
    <w:qFormat/>
    <w:rsid w:val="00A135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5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5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5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553"/>
    <w:pPr>
      <w:spacing w:before="160"/>
      <w:jc w:val="center"/>
    </w:pPr>
    <w:rPr>
      <w:i/>
      <w:iCs/>
      <w:color w:val="404040" w:themeColor="text1" w:themeTint="BF"/>
    </w:rPr>
  </w:style>
  <w:style w:type="character" w:customStyle="1" w:styleId="QuoteChar">
    <w:name w:val="Quote Char"/>
    <w:basedOn w:val="DefaultParagraphFont"/>
    <w:link w:val="Quote"/>
    <w:uiPriority w:val="29"/>
    <w:rsid w:val="00A13553"/>
    <w:rPr>
      <w:i/>
      <w:iCs/>
      <w:color w:val="404040" w:themeColor="text1" w:themeTint="BF"/>
    </w:rPr>
  </w:style>
  <w:style w:type="paragraph" w:styleId="ListParagraph">
    <w:name w:val="List Paragraph"/>
    <w:basedOn w:val="Normal"/>
    <w:uiPriority w:val="34"/>
    <w:qFormat/>
    <w:rsid w:val="00A13553"/>
    <w:pPr>
      <w:ind w:left="720"/>
      <w:contextualSpacing/>
    </w:pPr>
  </w:style>
  <w:style w:type="character" w:styleId="IntenseEmphasis">
    <w:name w:val="Intense Emphasis"/>
    <w:basedOn w:val="DefaultParagraphFont"/>
    <w:uiPriority w:val="21"/>
    <w:qFormat/>
    <w:rsid w:val="00A13553"/>
    <w:rPr>
      <w:i/>
      <w:iCs/>
      <w:color w:val="0F4761" w:themeColor="accent1" w:themeShade="BF"/>
    </w:rPr>
  </w:style>
  <w:style w:type="paragraph" w:styleId="IntenseQuote">
    <w:name w:val="Intense Quote"/>
    <w:basedOn w:val="Normal"/>
    <w:next w:val="Normal"/>
    <w:link w:val="IntenseQuoteChar"/>
    <w:uiPriority w:val="30"/>
    <w:qFormat/>
    <w:rsid w:val="00A13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3553"/>
    <w:rPr>
      <w:i/>
      <w:iCs/>
      <w:color w:val="0F4761" w:themeColor="accent1" w:themeShade="BF"/>
    </w:rPr>
  </w:style>
  <w:style w:type="character" w:styleId="IntenseReference">
    <w:name w:val="Intense Reference"/>
    <w:basedOn w:val="DefaultParagraphFont"/>
    <w:uiPriority w:val="32"/>
    <w:qFormat/>
    <w:rsid w:val="00A13553"/>
    <w:rPr>
      <w:b/>
      <w:bCs/>
      <w:smallCaps/>
      <w:color w:val="0F4761" w:themeColor="accent1" w:themeShade="BF"/>
      <w:spacing w:val="5"/>
    </w:rPr>
  </w:style>
  <w:style w:type="character" w:styleId="Hyperlink">
    <w:name w:val="Hyperlink"/>
    <w:basedOn w:val="DefaultParagraphFont"/>
    <w:uiPriority w:val="99"/>
    <w:unhideWhenUsed/>
    <w:rsid w:val="00D0073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hnorodho.com/wp-content/uploads/2025/10/9-Policies-on-free-primary-and-secondary-education-in-East-Africa.pdf" TargetMode="External"/><Relationship Id="rId13" Type="http://schemas.openxmlformats.org/officeDocument/2006/relationships/hyperlink" Target="https://doi.org/10.54676/AXEQ8566" TargetMode="External"/><Relationship Id="rId18" Type="http://schemas.openxmlformats.org/officeDocument/2006/relationships/hyperlink" Target="https://www.unicef.org.uk/what-we-do/un-convention-child-right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iscovery.ucl.ac.uk/id/eprint/1576468/1/FennellandArnotBook08.pdf" TargetMode="External"/><Relationship Id="rId12" Type="http://schemas.openxmlformats.org/officeDocument/2006/relationships/hyperlink" Target="https://www.parliament.go.ke/sites/default/files/2023-04/Annual%20Report%20and%20Financial%20Statements%20of%20Teachers%20Service%20Commission%20for%20the%20year%20ended%2030%20June,%202021.pdf" TargetMode="External"/><Relationship Id="rId17" Type="http://schemas.openxmlformats.org/officeDocument/2006/relationships/hyperlink" Target="https://www.un.org/en/about-us/universal-declaration-of-human-rights" TargetMode="External"/><Relationship Id="rId2" Type="http://schemas.openxmlformats.org/officeDocument/2006/relationships/settings" Target="settings.xml"/><Relationship Id="rId16" Type="http://schemas.openxmlformats.org/officeDocument/2006/relationships/hyperlink" Target="https://www.unicef.org/kenya/educatio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unesdoc.unesco.org/ark:/48223/pf0000177683" TargetMode="External"/><Relationship Id="rId11" Type="http://schemas.openxmlformats.org/officeDocument/2006/relationships/hyperlink" Target="https://www.researchgate.net/publication/274183778_Policy_borrowing_and_lending_in_education" TargetMode="External"/><Relationship Id="rId5" Type="http://schemas.openxmlformats.org/officeDocument/2006/relationships/hyperlink" Target="https://doi.org/10.2307/j.ctv26071r6" TargetMode="External"/><Relationship Id="rId15" Type="http://schemas.openxmlformats.org/officeDocument/2006/relationships/hyperlink" Target="https://www.unesco.org/reports/gem-report/en/2024" TargetMode="External"/><Relationship Id="rId10" Type="http://schemas.openxmlformats.org/officeDocument/2006/relationships/hyperlink" Target="https://cice.hiroshima-u.ac.jp/wp-content/uploads/2014/03/4-1-13.pdf" TargetMode="External"/><Relationship Id="rId19" Type="http://schemas.openxmlformats.org/officeDocument/2006/relationships/hyperlink" Target="https://sdgs.un.org/2030agenda" TargetMode="External"/><Relationship Id="rId4" Type="http://schemas.openxmlformats.org/officeDocument/2006/relationships/hyperlink" Target="https://au.int/sites/default/files/treaties/36804-treaty-african_charter_on_rights_welfare_of_the_child.pdf" TargetMode="External"/><Relationship Id="rId9" Type="http://schemas.openxmlformats.org/officeDocument/2006/relationships/hyperlink" Target="https://raggeduniversity.co.uk/wp-content/uploads/2025/01/1_x_senDevelopmentasFreedom-_compressed.pdf" TargetMode="External"/><Relationship Id="rId14" Type="http://schemas.openxmlformats.org/officeDocument/2006/relationships/hyperlink" Target="https://gem-report-2023.unesc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4410</Words>
  <Characters>25139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Aimi Davies (1711589)</dc:creator>
  <cp:keywords/>
  <dc:description/>
  <cp:lastModifiedBy>Aimi Davies (1711589)</cp:lastModifiedBy>
  <cp:revision>2</cp:revision>
  <dcterms:created xsi:type="dcterms:W3CDTF">2026-02-26T18:42:00Z</dcterms:created>
  <dcterms:modified xsi:type="dcterms:W3CDTF">2026-02-26T18:42:00Z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72b993eb-c77e-4a3c-941d-f50b469ade77</vt:lpwstr>
  </property>
</Properties>
</file>