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1AD" w:rsidRPr="001B2907" w:rsidRDefault="006F513D" w:rsidP="001D11AD">
      <w:r w:rsidRPr="001B2907">
        <w:rPr>
          <w:rFonts w:ascii="Arial" w:hAnsi="Arial" w:cs="Arial"/>
          <w:noProof/>
          <w:sz w:val="20"/>
          <w:szCs w:val="20"/>
          <w:lang w:val="en-IN" w:eastAsia="en-IN"/>
        </w:rPr>
        <w:drawing>
          <wp:anchor distT="0" distB="0" distL="114300" distR="114300" simplePos="0" relativeHeight="251663360" behindDoc="0" locked="0" layoutInCell="1" allowOverlap="1">
            <wp:simplePos x="0" y="0"/>
            <wp:positionH relativeFrom="margin">
              <wp:align>right</wp:align>
            </wp:positionH>
            <wp:positionV relativeFrom="margin">
              <wp:align>center</wp:align>
            </wp:positionV>
            <wp:extent cx="5052060" cy="2021840"/>
            <wp:effectExtent l="0" t="0" r="0" b="0"/>
            <wp:wrapThrough wrapText="bothSides">
              <wp:wrapPolygon edited="0">
                <wp:start x="0" y="0"/>
                <wp:lineTo x="0" y="21369"/>
                <wp:lineTo x="21502" y="21369"/>
                <wp:lineTo x="21502" y="0"/>
                <wp:lineTo x="0" y="0"/>
              </wp:wrapPolygon>
            </wp:wrapThrough>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2060" cy="202184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id w:val="-1410150343"/>
          <w:docPartObj>
            <w:docPartGallery w:val="Cover Pages"/>
            <w:docPartUnique/>
          </w:docPartObj>
        </w:sdtPr>
        <w:sdtEndPr>
          <w:rPr>
            <w:noProof/>
            <w:color w:val="1E5155" w:themeColor="text2"/>
            <w:sz w:val="32"/>
            <w:szCs w:val="32"/>
          </w:rPr>
        </w:sdtEndPr>
        <w:sdtContent>
          <w:r w:rsidR="003F796C" w:rsidRPr="001B2907">
            <w:rPr>
              <w:noProof/>
              <w:lang w:val="en-IN" w:eastAsia="en-IN"/>
            </w:rPr>
            <mc:AlternateContent>
              <mc:Choice Requires="wps">
                <w:drawing>
                  <wp:anchor distT="0" distB="0" distL="114300" distR="114300" simplePos="0" relativeHeight="251661312" behindDoc="0" locked="1" layoutInCell="1" allowOverlap="1">
                    <wp:simplePos x="0" y="0"/>
                    <wp:positionH relativeFrom="margin">
                      <wp:align>right</wp:align>
                    </wp:positionH>
                    <mc:AlternateContent>
                      <mc:Choice Requires="wp14">
                        <wp:positionV relativeFrom="page">
                          <wp14:pctPosVOffset>83700</wp14:pctPosVOffset>
                        </wp:positionV>
                      </mc:Choice>
                      <mc:Fallback>
                        <wp:positionV relativeFrom="page">
                          <wp:posOffset>8418830</wp:posOffset>
                        </wp:positionV>
                      </mc:Fallback>
                    </mc:AlternateContent>
                    <wp:extent cx="5753100" cy="731520"/>
                    <wp:effectExtent l="0" t="0" r="0" b="11430"/>
                    <wp:wrapSquare wrapText="bothSides"/>
                    <wp:docPr id="35" name="Text Box 35" descr="Presenter, company name and address"/>
                    <wp:cNvGraphicFramePr/>
                    <a:graphic xmlns:a="http://schemas.openxmlformats.org/drawingml/2006/main">
                      <a:graphicData uri="http://schemas.microsoft.com/office/word/2010/wordprocessingShape">
                        <wps:wsp>
                          <wps:cNvSpPr txBox="1"/>
                          <wps:spPr>
                            <a:xfrm>
                              <a:off x="0" y="0"/>
                              <a:ext cx="5753100" cy="731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3F796C">
                                <w:pPr>
                                  <w:pStyle w:val="Subtitle"/>
                                </w:pPr>
                                <w:r>
                                  <w:t xml:space="preserve">Presented by: </w:t>
                                </w:r>
                                <w:sdt>
                                  <w:sdtPr>
                                    <w:alias w:val="Your Name"/>
                                    <w:tag w:val=""/>
                                    <w:id w:val="-997718366"/>
                                    <w:dataBinding w:prefixMappings="xmlns:ns0='http://purl.org/dc/elements/1.1/' xmlns:ns1='http://schemas.openxmlformats.org/package/2006/metadata/core-properties' " w:xpath="/ns1:coreProperties[1]/ns0:creator[1]" w:storeItemID="{6C3C8BC8-F283-45AE-878A-BAB7291924A1}"/>
                                    <w:text/>
                                  </w:sdtPr>
                                  <w:sdtEndPr/>
                                  <w:sdtContent>
                                    <w:r w:rsidR="0088577A">
                                      <w:rPr>
                                        <w:lang w:val="en-IN"/>
                                      </w:rPr>
                                      <w:t>Ibrahim tasira</w:t>
                                    </w:r>
                                  </w:sdtContent>
                                </w:sdt>
                              </w:p>
                              <w:p w:rsidR="00C96ADB" w:rsidRDefault="00C078FC">
                                <w:pPr>
                                  <w:pStyle w:val="Contactinfo"/>
                                </w:pPr>
                                <w:sdt>
                                  <w:sdtPr>
                                    <w:alias w:val="Company"/>
                                    <w:tag w:val=""/>
                                    <w:id w:val="-819494455"/>
                                    <w:placeholder>
                                      <w:docPart w:val="F68DE084186C435FB77E5AEFDAA6048E"/>
                                    </w:placeholder>
                                    <w:dataBinding w:prefixMappings="xmlns:ns0='http://schemas.openxmlformats.org/officeDocument/2006/extended-properties' " w:xpath="/ns0:Properties[1]/ns0:Company[1]" w:storeItemID="{6668398D-A668-4E3E-A5EB-62B293D839F1}"/>
                                    <w:text/>
                                  </w:sdtPr>
                                  <w:sdtEndPr/>
                                  <w:sdtContent>
                                    <w:r w:rsidR="0088577A">
                                      <w:t>roll number: 1705750</w:t>
                                    </w:r>
                                  </w:sdtContent>
                                </w:sdt>
                              </w:p>
                              <w:p w:rsidR="00C96ADB" w:rsidRDefault="00C078FC">
                                <w:pPr>
                                  <w:pStyle w:val="Contactinfo"/>
                                </w:pPr>
                                <w:sdt>
                                  <w:sdtPr>
                                    <w:alias w:val="Company Address"/>
                                    <w:tag w:val=""/>
                                    <w:id w:val="1178465981"/>
                                    <w:placeholder>
                                      <w:docPart w:val="E54EE5EB97104F329FDE7F5A91E648AC"/>
                                    </w:placeholder>
                                    <w:dataBinding w:prefixMappings="xmlns:ns0='http://schemas.microsoft.com/office/2006/coverPageProps' " w:xpath="/ns0:CoverPageProperties[1]/ns0:CompanyAddress[1]" w:storeItemID="{55AF091B-3C7A-41E3-B477-F2FDAA23CFDA}"/>
                                    <w:text/>
                                  </w:sdtPr>
                                  <w:sdtEndPr/>
                                  <w:sdtContent>
                                    <w:r w:rsidR="0088577A">
                                      <w:t xml:space="preserve">lecturer: </w:t>
                                    </w:r>
                                    <w:r w:rsidR="001D11AD">
                                      <w:t>JIA MIAO</w:t>
                                    </w:r>
                                  </w:sdtContent>
                                </w:sdt>
                                <w:r w:rsidR="003F796C">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47100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alt="Presenter, company name and address" style="position:absolute;left:0;text-align:left;margin-left:401.8pt;margin-top:0;width:453pt;height:57.6pt;z-index:251661312;visibility:visible;mso-wrap-style:square;mso-width-percent:471;mso-height-percent:0;mso-top-percent:837;mso-wrap-distance-left:9pt;mso-wrap-distance-top:0;mso-wrap-distance-right:9pt;mso-wrap-distance-bottom:0;mso-position-horizontal:right;mso-position-horizontal-relative:margin;mso-position-vertical-relative:page;mso-width-percent:471;mso-height-percent: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" filled="f" stroked="f" strokeweight=".5pt">
                    <v:textbox inset="0,0,0,0">
                      <w:txbxContent>
                        <w:p w:rsidR="00C96ADB" w:rsidRDefault="003F796C">
                          <w:pPr>
                            <w:pStyle w:val="Subtitle"/>
                          </w:pPr>
                          <w:r>
                            <w:t xml:space="preserve">Presented by: </w:t>
                          </w:r>
                          <w:sdt>
                            <w:sdtPr>
                              <w:alias w:val="Your Name"/>
                              <w:tag w:val=""/>
                              <w:id w:val="-997718366"/>
                              <w:dataBinding w:prefixMappings="xmlns:ns0='http://purl.org/dc/elements/1.1/' xmlns:ns1='http://schemas.openxmlformats.org/package/2006/metadata/core-properties' " w:xpath="/ns1:coreProperties[1]/ns0:creator[1]" w:storeItemID="{6C3C8BC8-F283-45AE-878A-BAB7291924A1}"/>
                              <w:text/>
                            </w:sdtPr>
                            <w:sdtEndPr/>
                            <w:sdtContent>
                              <w:r w:rsidR="0088577A">
                                <w:rPr>
                                  <w:lang w:val="en-IN"/>
                                </w:rPr>
                                <w:t>Ibrahim tasira</w:t>
                              </w:r>
                            </w:sdtContent>
                          </w:sdt>
                        </w:p>
                        <w:p w:rsidR="00C96ADB" w:rsidRDefault="00D62FC9">
                          <w:pPr>
                            <w:pStyle w:val="Contactinfo"/>
                          </w:pPr>
                          <w:sdt>
                            <w:sdtPr>
                              <w:alias w:val="Company"/>
                              <w:tag w:val=""/>
                              <w:id w:val="-819494455"/>
                              <w:placeholder>
                                <w:docPart w:val="F68DE084186C435FB77E5AEFDAA6048E"/>
                              </w:placeholder>
                              <w:dataBinding w:prefixMappings="xmlns:ns0='http://schemas.openxmlformats.org/officeDocument/2006/extended-properties' " w:xpath="/ns0:Properties[1]/ns0:Company[1]" w:storeItemID="{6668398D-A668-4E3E-A5EB-62B293D839F1}"/>
                              <w:text/>
                            </w:sdtPr>
                            <w:sdtEndPr/>
                            <w:sdtContent>
                              <w:r w:rsidR="0088577A">
                                <w:t>roll number: 1705750</w:t>
                              </w:r>
                            </w:sdtContent>
                          </w:sdt>
                        </w:p>
                        <w:p w:rsidR="00C96ADB" w:rsidRDefault="00D62FC9">
                          <w:pPr>
                            <w:pStyle w:val="Contactinfo"/>
                          </w:pPr>
                          <w:sdt>
                            <w:sdtPr>
                              <w:alias w:val="Company Address"/>
                              <w:tag w:val=""/>
                              <w:id w:val="1178465981"/>
                              <w:placeholder>
                                <w:docPart w:val="E54EE5EB97104F329FDE7F5A91E648AC"/>
                              </w:placeholder>
                              <w:dataBinding w:prefixMappings="xmlns:ns0='http://schemas.microsoft.com/office/2006/coverPageProps' " w:xpath="/ns0:CoverPageProperties[1]/ns0:CompanyAddress[1]" w:storeItemID="{55AF091B-3C7A-41E3-B477-F2FDAA23CFDA}"/>
                              <w:text/>
                            </w:sdtPr>
                            <w:sdtEndPr/>
                            <w:sdtContent>
                              <w:r w:rsidR="0088577A">
                                <w:t xml:space="preserve">lecturer: </w:t>
                              </w:r>
                              <w:r w:rsidR="001D11AD">
                                <w:t>JIA MIAO</w:t>
                              </w:r>
                            </w:sdtContent>
                          </w:sdt>
                          <w:r w:rsidR="003F796C">
                            <w:t xml:space="preserve"> </w:t>
                          </w:r>
                        </w:p>
                      </w:txbxContent>
                    </v:textbox>
                    <w10:wrap type="square" anchorx="margin" anchory="page"/>
                    <w10:anchorlock/>
                  </v:shape>
                </w:pict>
              </mc:Fallback>
            </mc:AlternateContent>
          </w:r>
          <w:r w:rsidR="003F796C" w:rsidRPr="001B2907">
            <w:rPr>
              <w:noProof/>
              <w:lang w:val="en-IN" w:eastAsia="en-IN"/>
            </w:rPr>
            <mc:AlternateContent>
              <mc:Choice Requires="wps">
                <w:drawing>
                  <wp:anchor distT="0" distB="0" distL="114300" distR="114300" simplePos="0" relativeHeight="251660288" behindDoc="0" locked="1" layoutInCell="1" allowOverlap="1">
                    <wp:simplePos x="0" y="0"/>
                    <wp:positionH relativeFrom="margin">
                      <wp:align>right</wp:align>
                    </wp:positionH>
                    <wp:positionV relativeFrom="page">
                      <wp:posOffset>4577680</wp:posOffset>
                    </wp:positionV>
                    <wp:extent cx="5522976" cy="525780"/>
                    <wp:effectExtent l="0" t="0" r="1905" b="6350"/>
                    <wp:wrapSquare wrapText="bothSides"/>
                    <wp:docPr id="37" name="Text Box 37" descr="Title and subtitle"/>
                    <wp:cNvGraphicFramePr/>
                    <a:graphic xmlns:a="http://schemas.openxmlformats.org/drawingml/2006/main">
                      <a:graphicData uri="http://schemas.microsoft.com/office/word/2010/wordprocessingShape">
                        <wps:wsp>
                          <wps:cNvSpPr txBox="1"/>
                          <wps:spPr>
                            <a:xfrm>
                              <a:off x="0" y="0"/>
                              <a:ext cx="5522976"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C96ADB">
                                <w:pPr>
                                  <w:pStyle w:val="Logo"/>
                                </w:pPr>
                              </w:p>
                              <w:sdt>
                                <w:sdtPr>
                                  <w:alias w:val="Title"/>
                                  <w:tag w:val=""/>
                                  <w:id w:val="225807957"/>
                                  <w:dataBinding w:prefixMappings="xmlns:ns0='http://purl.org/dc/elements/1.1/' xmlns:ns1='http://schemas.openxmlformats.org/package/2006/metadata/core-properties' " w:xpath="/ns1:coreProperties[1]/ns0:title[1]" w:storeItemID="{6C3C8BC8-F283-45AE-878A-BAB7291924A1}"/>
                                  <w:text/>
                                </w:sdtPr>
                                <w:sdtEndPr/>
                                <w:sdtContent>
                                  <w:p w:rsidR="00C96ADB" w:rsidRDefault="001D11AD">
                                    <w:pPr>
                                      <w:pStyle w:val="Title"/>
                                    </w:pPr>
                                    <w:r>
                                      <w:rPr>
                                        <w:lang w:val="en-IN"/>
                                      </w:rPr>
                                      <w:t>FINANCIAL MANAGEMENT</w:t>
                                    </w:r>
                                  </w:p>
                                </w:sdtContent>
                              </w:sdt>
                              <w:p w:rsidR="00C96ADB" w:rsidRDefault="001D11AD">
                                <w:pPr>
                                  <w:pStyle w:val="Subtitle"/>
                                </w:pPr>
                                <w:r>
                                  <w:t>Sbma7100</w:t>
                                </w:r>
                                <w:r w:rsidR="0088577A">
                                  <w:t xml:space="preserve"> </w:t>
                                </w:r>
                                <w:sdt>
                                  <w:sdtPr>
                                    <w:alias w:val="Subtitle"/>
                                    <w:tag w:val=""/>
                                    <w:id w:val="-1517532123"/>
                                    <w:dataBinding w:prefixMappings="xmlns:ns0='http://purl.org/dc/elements/1.1/' xmlns:ns1='http://schemas.openxmlformats.org/package/2006/metadata/core-properties' " w:xpath="/ns1:coreProperties[1]/ns0:subject[1]" w:storeItemID="{6C3C8BC8-F283-45AE-878A-BAB7291924A1}"/>
                                    <w:text/>
                                  </w:sdtPr>
                                  <w:sdtEndPr/>
                                  <w:sdtContent>
                                    <w:r w:rsidR="0088577A">
                                      <w:t>assessment 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id="Text Box 37" o:spid="_x0000_s1027" type="#_x0000_t202" alt="Title and subtitle" style="position:absolute;left:0;text-align:left;margin-left:383.7pt;margin-top:360.45pt;width:434.9pt;height:41.4pt;z-index:251660288;visibility:visible;mso-wrap-style:square;mso-width-percent:0;mso-height-percent:363;mso-wrap-distance-left:9pt;mso-wrap-distance-top:0;mso-wrap-distance-right:9pt;mso-wrap-distance-bottom:0;mso-position-horizontal:right;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" filled="f" stroked="f" strokeweight=".5pt">
                    <v:textbox inset="0,0,0,0">
                      <w:txbxContent>
                        <w:p w:rsidR="00C96ADB" w:rsidRDefault="00C96ADB">
                          <w:pPr>
                            <w:pStyle w:val="Logo"/>
                          </w:pPr>
                        </w:p>
                        <w:sdt>
                          <w:sdtPr>
                            <w:alias w:val="Title"/>
                            <w:tag w:val=""/>
                            <w:id w:val="225807957"/>
                            <w:dataBinding w:prefixMappings="xmlns:ns0='http://purl.org/dc/elements/1.1/' xmlns:ns1='http://schemas.openxmlformats.org/package/2006/metadata/core-properties' " w:xpath="/ns1:coreProperties[1]/ns0:title[1]" w:storeItemID="{6C3C8BC8-F283-45AE-878A-BAB7291924A1}"/>
                            <w:text/>
                          </w:sdtPr>
                          <w:sdtEndPr/>
                          <w:sdtContent>
                            <w:p w:rsidR="00C96ADB" w:rsidRDefault="001D11AD">
                              <w:pPr>
                                <w:pStyle w:val="Title"/>
                              </w:pPr>
                              <w:r>
                                <w:rPr>
                                  <w:lang w:val="en-IN"/>
                                </w:rPr>
                                <w:t>FINANCIAL MANAGEMENT</w:t>
                              </w:r>
                            </w:p>
                          </w:sdtContent>
                        </w:sdt>
                        <w:p w:rsidR="00C96ADB" w:rsidRDefault="001D11AD">
                          <w:pPr>
                            <w:pStyle w:val="Subtitle"/>
                          </w:pPr>
                          <w:r>
                            <w:t>Sbma7100</w:t>
                          </w:r>
                          <w:r w:rsidR="0088577A">
                            <w:t xml:space="preserve"> </w:t>
                          </w:r>
                          <w:sdt>
                            <w:sdtPr>
                              <w:alias w:val="Subtitle"/>
                              <w:tag w:val=""/>
                              <w:id w:val="-1517532123"/>
                              <w:dataBinding w:prefixMappings="xmlns:ns0='http://purl.org/dc/elements/1.1/' xmlns:ns1='http://schemas.openxmlformats.org/package/2006/metadata/core-properties' " w:xpath="/ns1:coreProperties[1]/ns0:subject[1]" w:storeItemID="{6C3C8BC8-F283-45AE-878A-BAB7291924A1}"/>
                              <w:text/>
                            </w:sdtPr>
                            <w:sdtEndPr/>
                            <w:sdtContent>
                              <w:r w:rsidR="0088577A">
                                <w:t>assessment 1</w:t>
                              </w:r>
                            </w:sdtContent>
                          </w:sdt>
                        </w:p>
                      </w:txbxContent>
                    </v:textbox>
                    <w10:wrap type="square" anchorx="margin" anchory="page"/>
                    <w10:anchorlock/>
                  </v:shape>
                </w:pict>
              </mc:Fallback>
            </mc:AlternateContent>
          </w:r>
          <w:r w:rsidR="003F796C" w:rsidRPr="001B2907">
            <w:rPr>
              <w:noProof/>
              <w:lang w:val="en-IN" w:eastAsia="en-IN"/>
            </w:rPr>
            <mc:AlternateContent>
              <mc:Choice Requires="wps">
                <w:drawing>
                  <wp:anchor distT="0" distB="0" distL="114300" distR="114300" simplePos="0" relativeHeight="251662336" behindDoc="0" locked="1" layoutInCell="1" allowOverlap="1">
                    <wp:simplePos x="0" y="0"/>
                    <wp:positionH relativeFrom="margin">
                      <wp:align>right</wp:align>
                    </wp:positionH>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0" b="0"/>
                    <wp:wrapSquare wrapText="bothSides"/>
                    <wp:docPr id="33" name="Text Box 33" descr="Version number and date"/>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C96ADB">
                                <w:pPr>
                                  <w:pStyle w:val="Subtitle"/>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47100</wp14:pctWidth>
                    </wp14:sizeRelH>
                    <wp14:sizeRelV relativeFrom="page">
                      <wp14:pctHeight>36300</wp14:pctHeight>
                    </wp14:sizeRelV>
                  </wp:anchor>
                </w:drawing>
              </mc:Choice>
              <mc:Fallback>
                <w:pict>
                  <v:shape id="Text Box 33" o:spid="_x0000_s1028" type="#_x0000_t202" alt="Version number and date" style="position:absolute;left:0;text-align:left;margin-left:237.05pt;margin-top:0;width:288.25pt;height:287.5pt;z-index:251662336;visibility:visible;mso-wrap-style:square;mso-width-percent:471;mso-height-percent:363;mso-top-percent:91;mso-wrap-distance-left:9pt;mso-wrap-distance-top:0;mso-wrap-distance-right:9pt;mso-wrap-distance-bottom:0;mso-position-horizontal:right;mso-position-horizontal-relative:margin;mso-position-vertical-relative:page;mso-width-percent:471;mso-height-percent:363;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" filled="f" stroked="f" strokeweight=".5pt">
                    <v:textbox style="mso-fit-shape-to-text:t" inset="0,0,0,0">
                      <w:txbxContent>
                        <w:p w:rsidR="00C96ADB" w:rsidRDefault="00C96ADB">
                          <w:pPr>
                            <w:pStyle w:val="Subtitle"/>
                          </w:pPr>
                        </w:p>
                      </w:txbxContent>
                    </v:textbox>
                    <w10:wrap type="square" anchorx="margin" anchory="page"/>
                    <w10:anchorlock/>
                  </v:shape>
                </w:pict>
              </mc:Fallback>
            </mc:AlternateContent>
          </w:r>
          <w:r w:rsidR="003F796C" w:rsidRPr="001B2907">
            <w:rPr>
              <w:noProof/>
              <w:lang w:val="en-IN" w:eastAsia="en-IN"/>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38" name="Group 38" title="Decorative sidebar"/>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9" name="Rectangle 39"/>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1A7C2BB" id="Group 38" o:spid="_x0000_s1026" alt="Title: Decorative sidebar"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">
                    <v:rect id="Rectangle 39"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WkcUA&#10;AADbAAAADwAAAGRycy9kb3ducmV2LnhtbESPW2vCQBSE3wv9D8sp+FY3rSAaXcVaxEsfild8PGZP&#10;k9Ts2ZBdNf57VxB8HGbmG6Y/rE0hzlS53LKCj2YEgjixOudUwWY9ee+AcB5ZY2GZFFzJwXDw+tLH&#10;WNsLL+m88qkIEHYxKsi8L2MpXZKRQde0JXHw/mxl0AdZpVJXeAlwU8jPKGpLgzmHhQxLGmeUHFcn&#10;o2DxM/2n2ajc7c3v5DCPtstvbn0p1XirRz0Qnmr/DD/aM62g1YX7l/AD5OA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haRxQAAANsAAAAPAAAAAAAAAAAAAAAAAJgCAABkcnMv&#10;ZG93bnJldi54bWxQSwUGAAAAAAQABAD1AAAAigMAAAAA&#10;" fillcolor="#ea6312 [3205]" stroked="f" strokeweight="1.5pt">
                      <v:stroke endcap="round"/>
                    </v:rect>
                    <v:rect id="Rectangle 40"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aDB8AA&#10;AADbAAAADwAAAGRycy9kb3ducmV2LnhtbERPTYvCMBC9C/6HMMLeNFVWka5RFkEUD7LWIh5nm7Ep&#10;20xKE7X+e3NY8Ph434tVZ2txp9ZXjhWMRwkI4sLpiksF+WkznIPwAVlj7ZgUPMnDatnvLTDV7sFH&#10;umehFDGEfYoKTAhNKqUvDFn0I9cQR+7qWoshwraUusVHDLe1nCTJTFqsODYYbGhtqPjLblbBD5/N&#10;5Xi2c3srt9f99Jn/dodcqY9B9/0FIlAX3uJ/904r+Izr45f4A+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haDB8AAAADbAAAADwAAAAAAAAAAAAAAAACYAgAAZHJzL2Rvd25y&#10;ZXYueG1sUEsFBgAAAAAEAAQA9QAAAIUDAAAAAA==&#10;" fillcolor="#b01513 [3204]" stroked="f" strokeweight="1.5pt">
                      <v:stroke endcap="round"/>
                      <v:path arrowok="t"/>
                      <o:lock v:ext="edit" aspectratio="t"/>
                    </v:rect>
                    <w10:wrap anchorx="page" anchory="page"/>
                  </v:group>
                </w:pict>
              </mc:Fallback>
            </mc:AlternateContent>
          </w:r>
          <w:r w:rsidRPr="001B2907">
            <w:t xml:space="preserve">       </w:t>
          </w:r>
          <w:r w:rsidRPr="001B2907">
            <w:rPr>
              <w:sz w:val="32"/>
              <w:szCs w:val="32"/>
            </w:rPr>
            <w:tab/>
            <w:t xml:space="preserve"> </w:t>
          </w:r>
          <w:r w:rsidR="003F796C" w:rsidRPr="001B2907">
            <w:rPr>
              <w:sz w:val="32"/>
              <w:szCs w:val="32"/>
            </w:rPr>
            <w:br w:type="page"/>
          </w:r>
        </w:sdtContent>
      </w:sdt>
    </w:p>
    <w:p w:rsidR="00C5545F" w:rsidRPr="001B2907" w:rsidRDefault="00C5545F" w:rsidP="00C5545F"/>
    <w:p w:rsidR="001D11AD" w:rsidRPr="00217265" w:rsidRDefault="001D11AD" w:rsidP="001D11AD">
      <w:pPr>
        <w:pStyle w:val="Heading1"/>
        <w:rPr>
          <w:rFonts w:ascii="Times New Roman" w:hAnsi="Times New Roman" w:cs="Times New Roman"/>
          <w:b/>
        </w:rPr>
      </w:pPr>
      <w:r w:rsidRPr="00217265">
        <w:rPr>
          <w:rFonts w:ascii="Times New Roman" w:hAnsi="Times New Roman" w:cs="Times New Roman"/>
          <w:b/>
          <w:color w:val="FF0000"/>
        </w:rPr>
        <w:t>TABLE OF CONTENTS</w:t>
      </w:r>
    </w:p>
    <w:p w:rsidR="00C5545F" w:rsidRPr="001B2907" w:rsidRDefault="00C5545F" w:rsidP="00C5545F"/>
    <w:p w:rsidR="001D11AD" w:rsidRPr="001B2907" w:rsidRDefault="00C078FC" w:rsidP="00217265">
      <w:pPr>
        <w:pStyle w:val="TOC1"/>
        <w:rPr>
          <w:rStyle w:val="Hyperlink"/>
          <w:u w:val="none"/>
        </w:rPr>
      </w:pPr>
      <w:hyperlink w:anchor="_Toc502333122" w:history="1">
        <w:r w:rsidR="001D11AD" w:rsidRPr="001B2907">
          <w:rPr>
            <w:rStyle w:val="Hyperlink"/>
          </w:rPr>
          <w:t>INTRODUCTION</w:t>
        </w:r>
        <w:r w:rsidR="001D11AD" w:rsidRPr="001B2907">
          <w:rPr>
            <w:rStyle w:val="Hyperlink"/>
            <w:webHidden/>
            <w:u w:val="none"/>
          </w:rPr>
          <w:tab/>
          <w:t>2</w:t>
        </w:r>
      </w:hyperlink>
    </w:p>
    <w:p w:rsidR="004876F6" w:rsidRPr="001B2907" w:rsidRDefault="00F85A86" w:rsidP="00217265">
      <w:pPr>
        <w:pStyle w:val="TOC1"/>
        <w:numPr>
          <w:ilvl w:val="0"/>
          <w:numId w:val="7"/>
        </w:numPr>
        <w:rPr>
          <w:rStyle w:val="Hyperlink"/>
          <w:lang w:val="en-GB"/>
        </w:rPr>
      </w:pPr>
      <w:r w:rsidRPr="001B2907">
        <w:rPr>
          <w:rStyle w:val="Hyperlink"/>
        </w:rPr>
        <w:fldChar w:fldCharType="begin"/>
      </w:r>
      <w:r w:rsidRPr="001B2907">
        <w:rPr>
          <w:rStyle w:val="Hyperlink"/>
        </w:rPr>
        <w:instrText xml:space="preserve"> HYPERLINK  \l "_BACKGROUND_OF_HONEYWELL" </w:instrText>
      </w:r>
      <w:r w:rsidRPr="001B2907">
        <w:rPr>
          <w:rStyle w:val="Hyperlink"/>
        </w:rPr>
        <w:fldChar w:fldCharType="separate"/>
      </w:r>
      <w:r w:rsidR="004876F6" w:rsidRPr="001B2907">
        <w:rPr>
          <w:rStyle w:val="Hyperlink"/>
        </w:rPr>
        <w:t>BACKGROUND OF HONEYWELL</w:t>
      </w:r>
      <w:r w:rsidR="001D11AD" w:rsidRPr="001B2907">
        <w:rPr>
          <w:rStyle w:val="Hyperlink"/>
          <w:webHidden/>
          <w:u w:val="none"/>
        </w:rPr>
        <w:tab/>
        <w:t>2</w:t>
      </w:r>
    </w:p>
    <w:p w:rsidR="004876F6" w:rsidRPr="001B2907" w:rsidRDefault="00F85A86" w:rsidP="00217265">
      <w:pPr>
        <w:pStyle w:val="TOC1"/>
        <w:rPr>
          <w:rStyle w:val="Hyperlink"/>
          <w:u w:val="none"/>
        </w:rPr>
      </w:pPr>
      <w:r w:rsidRPr="001B2907">
        <w:rPr>
          <w:rStyle w:val="Hyperlink"/>
        </w:rPr>
        <w:fldChar w:fldCharType="end"/>
      </w:r>
      <w:hyperlink w:anchor="_CALCULATION_OF_FINANCIAL" w:history="1">
        <w:r w:rsidR="004876F6" w:rsidRPr="001B2907">
          <w:rPr>
            <w:rStyle w:val="Hyperlink"/>
          </w:rPr>
          <w:t>CALCULATION OF FINANCIAL PERFORMANCE USING RATIOS</w:t>
        </w:r>
        <w:r w:rsidR="004876F6" w:rsidRPr="001B2907">
          <w:rPr>
            <w:rStyle w:val="Hyperlink"/>
            <w:webHidden/>
            <w:u w:val="none"/>
          </w:rPr>
          <w:tab/>
          <w:t>4</w:t>
        </w:r>
      </w:hyperlink>
    </w:p>
    <w:p w:rsidR="00415A7D" w:rsidRPr="001B2907" w:rsidRDefault="00C078FC" w:rsidP="00217265">
      <w:pPr>
        <w:pStyle w:val="TOC1"/>
        <w:numPr>
          <w:ilvl w:val="0"/>
          <w:numId w:val="6"/>
        </w:numPr>
        <w:rPr>
          <w:rStyle w:val="Hyperlink"/>
          <w:u w:val="none"/>
        </w:rPr>
      </w:pPr>
      <w:hyperlink w:anchor="_PROFITABILITY_RATIOS" w:history="1">
        <w:r w:rsidR="00415A7D" w:rsidRPr="001B2907">
          <w:rPr>
            <w:rStyle w:val="Hyperlink"/>
          </w:rPr>
          <w:t>PROFITABILITY RATIOS</w:t>
        </w:r>
        <w:r w:rsidR="00415A7D" w:rsidRPr="001B2907">
          <w:rPr>
            <w:rStyle w:val="Hyperlink"/>
            <w:webHidden/>
            <w:u w:val="none"/>
          </w:rPr>
          <w:tab/>
        </w:r>
        <w:r w:rsidR="003B5C71">
          <w:rPr>
            <w:rStyle w:val="Hyperlink"/>
            <w:webHidden/>
            <w:u w:val="none"/>
          </w:rPr>
          <w:t>5</w:t>
        </w:r>
      </w:hyperlink>
    </w:p>
    <w:p w:rsidR="00B3201B" w:rsidRPr="001B2907" w:rsidRDefault="00B3201B" w:rsidP="00217265">
      <w:pPr>
        <w:pStyle w:val="TOC1"/>
        <w:numPr>
          <w:ilvl w:val="0"/>
          <w:numId w:val="6"/>
        </w:numPr>
        <w:rPr>
          <w:rStyle w:val="Hyperlink"/>
          <w:u w:val="none"/>
        </w:rPr>
      </w:pPr>
      <w:r w:rsidRPr="001B2907">
        <w:t xml:space="preserve"> </w:t>
      </w:r>
      <w:hyperlink w:anchor="_LIQUIDITY_RATIOS" w:history="1">
        <w:r w:rsidRPr="001B2907">
          <w:rPr>
            <w:rStyle w:val="Hyperlink"/>
          </w:rPr>
          <w:t>LIQUIDITY RATIOS</w:t>
        </w:r>
        <w:r w:rsidRPr="001B2907">
          <w:rPr>
            <w:rStyle w:val="Hyperlink"/>
            <w:webHidden/>
            <w:u w:val="none"/>
          </w:rPr>
          <w:tab/>
        </w:r>
        <w:r w:rsidR="006D39E0" w:rsidRPr="001B2907">
          <w:rPr>
            <w:rStyle w:val="Hyperlink"/>
            <w:webHidden/>
            <w:u w:val="none"/>
          </w:rPr>
          <w:t>7</w:t>
        </w:r>
      </w:hyperlink>
    </w:p>
    <w:p w:rsidR="00C82E87" w:rsidRPr="001B2907" w:rsidRDefault="00C078FC" w:rsidP="00217265">
      <w:pPr>
        <w:pStyle w:val="TOC1"/>
        <w:numPr>
          <w:ilvl w:val="0"/>
          <w:numId w:val="6"/>
        </w:numPr>
        <w:rPr>
          <w:rStyle w:val="Hyperlink"/>
          <w:u w:val="none"/>
        </w:rPr>
      </w:pPr>
      <w:hyperlink w:anchor="_LIQUIDITY_RATIOS" w:history="1">
        <w:r w:rsidR="00C82E87" w:rsidRPr="001B2907">
          <w:rPr>
            <w:rStyle w:val="Hyperlink"/>
          </w:rPr>
          <w:t>EFFICIENCY RATIOS</w:t>
        </w:r>
        <w:r w:rsidR="00C82E87" w:rsidRPr="001B2907">
          <w:rPr>
            <w:rStyle w:val="Hyperlink"/>
            <w:webHidden/>
            <w:u w:val="none"/>
          </w:rPr>
          <w:tab/>
        </w:r>
        <w:r w:rsidR="003B5C71">
          <w:rPr>
            <w:rStyle w:val="Hyperlink"/>
            <w:webHidden/>
            <w:u w:val="none"/>
          </w:rPr>
          <w:t>9</w:t>
        </w:r>
      </w:hyperlink>
    </w:p>
    <w:p w:rsidR="00A13CB1" w:rsidRPr="001B2907" w:rsidRDefault="00A13CB1" w:rsidP="00217265">
      <w:pPr>
        <w:pStyle w:val="TOC1"/>
        <w:numPr>
          <w:ilvl w:val="0"/>
          <w:numId w:val="6"/>
        </w:numPr>
        <w:rPr>
          <w:rStyle w:val="Hyperlink"/>
          <w:u w:val="none"/>
        </w:rPr>
      </w:pPr>
      <w:r w:rsidRPr="001B2907">
        <w:rPr>
          <w:rStyle w:val="Hyperlink"/>
          <w:u w:val="none"/>
        </w:rPr>
        <w:fldChar w:fldCharType="begin"/>
      </w:r>
      <w:r w:rsidRPr="001B2907">
        <w:rPr>
          <w:rStyle w:val="Hyperlink"/>
          <w:u w:val="none"/>
        </w:rPr>
        <w:instrText xml:space="preserve"> HYPERLINK  \l "_GEARING_RATIOS" </w:instrText>
      </w:r>
      <w:r w:rsidRPr="001B2907">
        <w:rPr>
          <w:rStyle w:val="Hyperlink"/>
          <w:u w:val="none"/>
        </w:rPr>
        <w:fldChar w:fldCharType="separate"/>
      </w:r>
      <w:r w:rsidRPr="001B2907">
        <w:rPr>
          <w:rStyle w:val="Hyperlink"/>
        </w:rPr>
        <w:t>GEARING RATIOS</w:t>
      </w:r>
      <w:r w:rsidRPr="001B2907">
        <w:rPr>
          <w:rStyle w:val="Hyperlink"/>
          <w:webHidden/>
          <w:u w:val="none"/>
        </w:rPr>
        <w:tab/>
      </w:r>
      <w:r w:rsidR="003B5C71">
        <w:rPr>
          <w:rStyle w:val="Hyperlink"/>
          <w:webHidden/>
          <w:u w:val="none"/>
        </w:rPr>
        <w:t>11</w:t>
      </w:r>
    </w:p>
    <w:p w:rsidR="006817F6" w:rsidRPr="001B2907" w:rsidRDefault="00A13CB1" w:rsidP="00217265">
      <w:pPr>
        <w:pStyle w:val="TOC1"/>
        <w:numPr>
          <w:ilvl w:val="0"/>
          <w:numId w:val="6"/>
        </w:numPr>
        <w:rPr>
          <w:rStyle w:val="Hyperlink"/>
          <w:u w:val="none"/>
        </w:rPr>
      </w:pPr>
      <w:r w:rsidRPr="001B2907">
        <w:rPr>
          <w:rStyle w:val="Hyperlink"/>
          <w:caps/>
          <w:u w:val="none"/>
        </w:rPr>
        <w:fldChar w:fldCharType="end"/>
      </w:r>
      <w:r w:rsidR="006817F6" w:rsidRPr="001B2907">
        <w:rPr>
          <w:rStyle w:val="Hyperlink"/>
          <w:u w:val="none"/>
        </w:rPr>
        <w:fldChar w:fldCharType="begin"/>
      </w:r>
      <w:r w:rsidR="00C660DE">
        <w:rPr>
          <w:rStyle w:val="Hyperlink"/>
          <w:u w:val="none"/>
        </w:rPr>
        <w:instrText>HYPERLINK  \l "_RATIOS_BASED_ON"</w:instrText>
      </w:r>
      <w:r w:rsidR="006817F6" w:rsidRPr="001B2907">
        <w:rPr>
          <w:rStyle w:val="Hyperlink"/>
          <w:u w:val="none"/>
        </w:rPr>
        <w:fldChar w:fldCharType="separate"/>
      </w:r>
      <w:r w:rsidR="006817F6" w:rsidRPr="001B2907">
        <w:rPr>
          <w:rStyle w:val="Hyperlink"/>
        </w:rPr>
        <w:t>RATIOS BASED ON SHARE PRICE</w:t>
      </w:r>
      <w:r w:rsidR="006817F6" w:rsidRPr="001B2907">
        <w:rPr>
          <w:rStyle w:val="Hyperlink"/>
          <w:webHidden/>
          <w:u w:val="none"/>
        </w:rPr>
        <w:tab/>
      </w:r>
      <w:r w:rsidR="003B5C71">
        <w:rPr>
          <w:rStyle w:val="Hyperlink"/>
          <w:webHidden/>
          <w:u w:val="none"/>
        </w:rPr>
        <w:t>13</w:t>
      </w:r>
    </w:p>
    <w:p w:rsidR="006817F6" w:rsidRPr="001B2907" w:rsidRDefault="006817F6" w:rsidP="00217265">
      <w:pPr>
        <w:pStyle w:val="TOC1"/>
        <w:numPr>
          <w:ilvl w:val="0"/>
          <w:numId w:val="6"/>
        </w:numPr>
        <w:rPr>
          <w:rStyle w:val="Hyperlink"/>
          <w:u w:val="none"/>
        </w:rPr>
      </w:pPr>
      <w:r w:rsidRPr="001B2907">
        <w:rPr>
          <w:rStyle w:val="Hyperlink"/>
          <w:caps/>
          <w:u w:val="none"/>
        </w:rPr>
        <w:fldChar w:fldCharType="end"/>
      </w:r>
      <w:r w:rsidRPr="001B2907">
        <w:rPr>
          <w:rStyle w:val="Hyperlink"/>
          <w:u w:val="none"/>
        </w:rPr>
        <w:fldChar w:fldCharType="begin"/>
      </w:r>
      <w:r w:rsidR="00B13D4F" w:rsidRPr="001B2907">
        <w:rPr>
          <w:rStyle w:val="Hyperlink"/>
          <w:u w:val="none"/>
        </w:rPr>
        <w:instrText>HYPERLINK  \l "_SALES_&amp;_SALES"</w:instrText>
      </w:r>
      <w:r w:rsidRPr="001B2907">
        <w:rPr>
          <w:rStyle w:val="Hyperlink"/>
          <w:u w:val="none"/>
        </w:rPr>
        <w:fldChar w:fldCharType="separate"/>
      </w:r>
      <w:r w:rsidRPr="001B2907">
        <w:rPr>
          <w:rStyle w:val="Hyperlink"/>
        </w:rPr>
        <w:t>SALE</w:t>
      </w:r>
      <w:r w:rsidR="00B13D4F" w:rsidRPr="001B2907">
        <w:rPr>
          <w:rStyle w:val="Hyperlink"/>
        </w:rPr>
        <w:t xml:space="preserve"> &amp; SALES GROWTH ANALYSIS</w:t>
      </w:r>
      <w:r w:rsidRPr="001B2907">
        <w:rPr>
          <w:rStyle w:val="Hyperlink"/>
          <w:webHidden/>
          <w:u w:val="none"/>
        </w:rPr>
        <w:tab/>
      </w:r>
      <w:r w:rsidR="003B5C71">
        <w:rPr>
          <w:rStyle w:val="Hyperlink"/>
          <w:webHidden/>
          <w:u w:val="none"/>
        </w:rPr>
        <w:t>14</w:t>
      </w:r>
    </w:p>
    <w:p w:rsidR="00B13D4F" w:rsidRPr="001B2907" w:rsidRDefault="006817F6" w:rsidP="00217265">
      <w:pPr>
        <w:pStyle w:val="TOC1"/>
        <w:rPr>
          <w:rStyle w:val="Hyperlink"/>
        </w:rPr>
      </w:pPr>
      <w:r w:rsidRPr="001B2907">
        <w:rPr>
          <w:rStyle w:val="Hyperlink"/>
          <w:caps/>
          <w:u w:val="none"/>
        </w:rPr>
        <w:fldChar w:fldCharType="end"/>
      </w:r>
      <w:r w:rsidR="00B13D4F" w:rsidRPr="001B2907">
        <w:rPr>
          <w:rStyle w:val="Hyperlink"/>
          <w:u w:val="none"/>
        </w:rPr>
        <w:fldChar w:fldCharType="begin"/>
      </w:r>
      <w:r w:rsidR="00B13D4F" w:rsidRPr="001B2907">
        <w:rPr>
          <w:rStyle w:val="Hyperlink"/>
          <w:u w:val="none"/>
        </w:rPr>
        <w:instrText>HYPERLINK  \l "_PROJECTION_ABOUT_FUTURE"</w:instrText>
      </w:r>
      <w:r w:rsidR="00B13D4F" w:rsidRPr="001B2907">
        <w:rPr>
          <w:rStyle w:val="Hyperlink"/>
          <w:u w:val="none"/>
        </w:rPr>
        <w:fldChar w:fldCharType="separate"/>
      </w:r>
      <w:r w:rsidR="00B13D4F" w:rsidRPr="001B2907">
        <w:rPr>
          <w:rStyle w:val="Hyperlink"/>
        </w:rPr>
        <w:t>PROJECTION ABOUT FUTURE PERFORMANCE OF HONEYWELL</w:t>
      </w:r>
      <w:r w:rsidR="00B13D4F" w:rsidRPr="001B2907">
        <w:rPr>
          <w:rStyle w:val="Hyperlink"/>
          <w:webHidden/>
          <w:u w:val="none"/>
        </w:rPr>
        <w:tab/>
      </w:r>
      <w:r w:rsidR="003B5C71">
        <w:rPr>
          <w:rStyle w:val="Hyperlink"/>
          <w:webHidden/>
          <w:u w:val="none"/>
        </w:rPr>
        <w:t>15</w:t>
      </w:r>
    </w:p>
    <w:p w:rsidR="00B13D4F" w:rsidRPr="001B2907" w:rsidRDefault="00B13D4F" w:rsidP="00217265">
      <w:pPr>
        <w:pStyle w:val="TOC1"/>
        <w:rPr>
          <w:rStyle w:val="Hyperlink"/>
        </w:rPr>
      </w:pPr>
      <w:r w:rsidRPr="001B2907">
        <w:rPr>
          <w:rStyle w:val="Hyperlink"/>
          <w:caps/>
          <w:u w:val="none"/>
        </w:rPr>
        <w:fldChar w:fldCharType="end"/>
      </w:r>
      <w:r w:rsidRPr="001B2907">
        <w:rPr>
          <w:rStyle w:val="Hyperlink"/>
          <w:u w:val="none"/>
        </w:rPr>
        <w:fldChar w:fldCharType="begin"/>
      </w:r>
      <w:r w:rsidRPr="001B2907">
        <w:rPr>
          <w:rStyle w:val="Hyperlink"/>
          <w:u w:val="none"/>
        </w:rPr>
        <w:instrText>HYPERLINK  \l "_PRO_AND_CONS"</w:instrText>
      </w:r>
      <w:r w:rsidRPr="001B2907">
        <w:rPr>
          <w:rStyle w:val="Hyperlink"/>
          <w:u w:val="none"/>
        </w:rPr>
        <w:fldChar w:fldCharType="separate"/>
      </w:r>
      <w:r w:rsidRPr="001B2907">
        <w:rPr>
          <w:rStyle w:val="Hyperlink"/>
        </w:rPr>
        <w:t>PRO AND CONS OF RATIO ANALYSIS</w:t>
      </w:r>
      <w:r w:rsidRPr="001B2907">
        <w:rPr>
          <w:rStyle w:val="Hyperlink"/>
          <w:webHidden/>
          <w:u w:val="none"/>
        </w:rPr>
        <w:tab/>
      </w:r>
      <w:r w:rsidR="003B5C71">
        <w:rPr>
          <w:rStyle w:val="Hyperlink"/>
          <w:webHidden/>
          <w:u w:val="none"/>
        </w:rPr>
        <w:t>17</w:t>
      </w:r>
    </w:p>
    <w:p w:rsidR="00B13D4F" w:rsidRPr="001B2907" w:rsidRDefault="00B13D4F" w:rsidP="00217265">
      <w:pPr>
        <w:pStyle w:val="TOC1"/>
        <w:rPr>
          <w:rStyle w:val="Hyperlink"/>
        </w:rPr>
      </w:pPr>
      <w:r w:rsidRPr="001B2907">
        <w:rPr>
          <w:rStyle w:val="Hyperlink"/>
          <w:caps/>
          <w:u w:val="none"/>
        </w:rPr>
        <w:fldChar w:fldCharType="end"/>
      </w:r>
      <w:r w:rsidRPr="001B2907">
        <w:rPr>
          <w:rStyle w:val="Hyperlink"/>
          <w:u w:val="none"/>
        </w:rPr>
        <w:fldChar w:fldCharType="begin"/>
      </w:r>
      <w:r w:rsidR="00C660DE">
        <w:rPr>
          <w:rStyle w:val="Hyperlink"/>
          <w:u w:val="none"/>
        </w:rPr>
        <w:instrText>HYPERLINK  \l "_CONCLUSION"</w:instrText>
      </w:r>
      <w:r w:rsidRPr="001B2907">
        <w:rPr>
          <w:rStyle w:val="Hyperlink"/>
          <w:u w:val="none"/>
        </w:rPr>
        <w:fldChar w:fldCharType="separate"/>
      </w:r>
      <w:r w:rsidRPr="001B2907">
        <w:rPr>
          <w:rStyle w:val="Hyperlink"/>
        </w:rPr>
        <w:t>CONCLUSION</w:t>
      </w:r>
      <w:r w:rsidRPr="001B2907">
        <w:rPr>
          <w:rStyle w:val="Hyperlink"/>
          <w:webHidden/>
          <w:u w:val="none"/>
        </w:rPr>
        <w:tab/>
      </w:r>
      <w:r w:rsidR="003B5C71">
        <w:rPr>
          <w:rStyle w:val="Hyperlink"/>
          <w:webHidden/>
          <w:u w:val="none"/>
        </w:rPr>
        <w:t>17</w:t>
      </w:r>
    </w:p>
    <w:p w:rsidR="001D11AD" w:rsidRPr="001B2907" w:rsidRDefault="00B13D4F" w:rsidP="00217265">
      <w:pPr>
        <w:pStyle w:val="TOC1"/>
      </w:pPr>
      <w:r w:rsidRPr="001B2907">
        <w:rPr>
          <w:rStyle w:val="Hyperlink"/>
          <w:u w:val="none"/>
        </w:rPr>
        <w:fldChar w:fldCharType="end"/>
      </w:r>
      <w:hyperlink w:anchor="_References" w:history="1">
        <w:r w:rsidR="00C660DE" w:rsidRPr="00217265">
          <w:rPr>
            <w:rStyle w:val="Hyperlink"/>
            <w:u w:val="none"/>
          </w:rPr>
          <w:t xml:space="preserve"> </w:t>
        </w:r>
        <w:r w:rsidR="00C660DE" w:rsidRPr="00217265">
          <w:rPr>
            <w:rStyle w:val="Hyperlink"/>
          </w:rPr>
          <w:t>REFERENCES</w:t>
        </w:r>
        <w:r w:rsidR="00C660DE" w:rsidRPr="00217265">
          <w:rPr>
            <w:rStyle w:val="Hyperlink"/>
            <w:webHidden/>
            <w:u w:val="none"/>
          </w:rPr>
          <w:tab/>
        </w:r>
        <w:r w:rsidR="003B5C71">
          <w:rPr>
            <w:rStyle w:val="Hyperlink"/>
            <w:webHidden/>
            <w:u w:val="none"/>
          </w:rPr>
          <w:t>18</w:t>
        </w:r>
      </w:hyperlink>
    </w:p>
    <w:p w:rsidR="00217265" w:rsidRPr="001B2907" w:rsidRDefault="00217265" w:rsidP="00217265">
      <w:pPr>
        <w:pStyle w:val="TOC1"/>
        <w:rPr>
          <w:rStyle w:val="Hyperlink"/>
        </w:rPr>
      </w:pPr>
      <w:r w:rsidRPr="001B2907">
        <w:rPr>
          <w:rStyle w:val="Hyperlink"/>
          <w:u w:val="none"/>
        </w:rPr>
        <w:fldChar w:fldCharType="begin"/>
      </w:r>
      <w:r>
        <w:rPr>
          <w:rStyle w:val="Hyperlink"/>
          <w:u w:val="none"/>
        </w:rPr>
        <w:instrText>HYPERLINK  \l "_APPENDIX:_FORMULAS_USED"</w:instrText>
      </w:r>
      <w:r w:rsidRPr="001B2907">
        <w:rPr>
          <w:rStyle w:val="Hyperlink"/>
          <w:u w:val="none"/>
        </w:rPr>
        <w:fldChar w:fldCharType="separate"/>
      </w:r>
      <w:r w:rsidRPr="00B115F2">
        <w:rPr>
          <w:bCs/>
          <w:color w:val="0000FF"/>
          <w:kern w:val="36"/>
          <w:u w:val="single"/>
        </w:rPr>
        <w:t>APPENDIX: FORMULAS USED FOR RATIO ANALYSIS</w:t>
      </w:r>
      <w:r w:rsidRPr="001B2907">
        <w:rPr>
          <w:rStyle w:val="Hyperlink"/>
          <w:webHidden/>
          <w:u w:val="none"/>
        </w:rPr>
        <w:tab/>
      </w:r>
      <w:r w:rsidR="003B5C71">
        <w:rPr>
          <w:rStyle w:val="Hyperlink"/>
          <w:webHidden/>
          <w:u w:val="none"/>
        </w:rPr>
        <w:t>20</w:t>
      </w:r>
    </w:p>
    <w:p w:rsidR="00217265" w:rsidRDefault="00217265" w:rsidP="00217265">
      <w:pPr>
        <w:rPr>
          <w:rStyle w:val="Hyperlink"/>
          <w:caps/>
          <w:u w:val="none"/>
        </w:rPr>
      </w:pPr>
      <w:r w:rsidRPr="001B2907">
        <w:rPr>
          <w:rStyle w:val="Hyperlink"/>
          <w:caps/>
          <w:u w:val="none"/>
        </w:rPr>
        <w:fldChar w:fldCharType="end"/>
      </w:r>
    </w:p>
    <w:p w:rsidR="00217265" w:rsidRDefault="00217265" w:rsidP="00217265">
      <w:pPr>
        <w:rPr>
          <w:rStyle w:val="Hyperlink"/>
          <w:caps/>
          <w:u w:val="none"/>
        </w:rPr>
      </w:pPr>
    </w:p>
    <w:p w:rsidR="00217265" w:rsidRDefault="00217265" w:rsidP="00217265">
      <w:pPr>
        <w:rPr>
          <w:rStyle w:val="Hyperlink"/>
          <w:caps/>
          <w:u w:val="none"/>
        </w:rPr>
      </w:pPr>
    </w:p>
    <w:p w:rsidR="00217265" w:rsidRDefault="00217265" w:rsidP="00217265">
      <w:pPr>
        <w:rPr>
          <w:rStyle w:val="Hyperlink"/>
          <w:caps/>
          <w:u w:val="none"/>
        </w:rPr>
      </w:pPr>
    </w:p>
    <w:p w:rsidR="00217265" w:rsidRDefault="00217265" w:rsidP="00217265">
      <w:pPr>
        <w:rPr>
          <w:rStyle w:val="Hyperlink"/>
          <w:caps/>
          <w:u w:val="none"/>
        </w:rPr>
      </w:pPr>
    </w:p>
    <w:p w:rsidR="00217265" w:rsidRDefault="00217265" w:rsidP="00217265">
      <w:pPr>
        <w:rPr>
          <w:rStyle w:val="Hyperlink"/>
          <w:caps/>
          <w:u w:val="none"/>
        </w:rPr>
      </w:pPr>
    </w:p>
    <w:p w:rsidR="00217265" w:rsidRDefault="00217265" w:rsidP="00217265">
      <w:pPr>
        <w:rPr>
          <w:rStyle w:val="Hyperlink"/>
          <w:caps/>
          <w:u w:val="none"/>
        </w:rPr>
      </w:pPr>
    </w:p>
    <w:p w:rsidR="00217265" w:rsidRDefault="00217265" w:rsidP="00217265">
      <w:pPr>
        <w:rPr>
          <w:rStyle w:val="Hyperlink"/>
          <w:caps/>
          <w:u w:val="none"/>
        </w:rPr>
      </w:pPr>
    </w:p>
    <w:p w:rsidR="00217265" w:rsidRDefault="00217265" w:rsidP="00217265">
      <w:pPr>
        <w:rPr>
          <w:rStyle w:val="Hyperlink"/>
          <w:caps/>
          <w:u w:val="none"/>
        </w:rPr>
      </w:pPr>
    </w:p>
    <w:p w:rsidR="00217265" w:rsidRDefault="00217265" w:rsidP="00217265">
      <w:pPr>
        <w:rPr>
          <w:rStyle w:val="Hyperlink"/>
          <w:caps/>
          <w:u w:val="none"/>
        </w:rPr>
      </w:pPr>
    </w:p>
    <w:p w:rsidR="00217265" w:rsidRPr="001B2907" w:rsidRDefault="00217265" w:rsidP="00217265"/>
    <w:p w:rsidR="001D11AD" w:rsidRPr="001B2907" w:rsidRDefault="001D11AD" w:rsidP="00217265">
      <w:pPr>
        <w:pStyle w:val="Heading1"/>
        <w:ind w:left="0"/>
        <w:rPr>
          <w:rFonts w:ascii="Times New Roman" w:hAnsi="Times New Roman" w:cs="Times New Roman"/>
          <w:b/>
          <w:color w:val="FF0000"/>
        </w:rPr>
      </w:pPr>
      <w:bookmarkStart w:id="0" w:name="_Toc502333122"/>
      <w:r w:rsidRPr="001B2907">
        <w:rPr>
          <w:rFonts w:ascii="Times New Roman" w:hAnsi="Times New Roman" w:cs="Times New Roman"/>
          <w:b/>
          <w:color w:val="FF0000"/>
        </w:rPr>
        <w:lastRenderedPageBreak/>
        <w:t>INTRODUCTION</w:t>
      </w:r>
      <w:bookmarkEnd w:id="0"/>
    </w:p>
    <w:p w:rsidR="00F85A86" w:rsidRPr="001B2907" w:rsidRDefault="00F85A86" w:rsidP="00F85A86"/>
    <w:p w:rsidR="004876F6" w:rsidRPr="001B2907" w:rsidRDefault="004876F6" w:rsidP="004876F6">
      <w:pPr>
        <w:spacing w:line="360" w:lineRule="auto"/>
        <w:ind w:left="0"/>
        <w:jc w:val="both"/>
        <w:rPr>
          <w:rFonts w:ascii="Times New Roman" w:hAnsi="Times New Roman"/>
          <w:sz w:val="24"/>
          <w:szCs w:val="24"/>
        </w:rPr>
      </w:pPr>
      <w:r w:rsidRPr="001B2907">
        <w:rPr>
          <w:rFonts w:ascii="Times New Roman" w:hAnsi="Times New Roman"/>
          <w:sz w:val="24"/>
          <w:szCs w:val="24"/>
        </w:rPr>
        <w:t xml:space="preserve">Financial performance of an </w:t>
      </w:r>
      <w:proofErr w:type="spellStart"/>
      <w:r w:rsidRPr="001B2907">
        <w:rPr>
          <w:rFonts w:ascii="Times New Roman" w:hAnsi="Times New Roman"/>
          <w:sz w:val="24"/>
          <w:szCs w:val="24"/>
        </w:rPr>
        <w:t>organisation</w:t>
      </w:r>
      <w:proofErr w:type="spellEnd"/>
      <w:r w:rsidRPr="001B2907">
        <w:rPr>
          <w:rFonts w:ascii="Times New Roman" w:hAnsi="Times New Roman"/>
          <w:sz w:val="24"/>
          <w:szCs w:val="24"/>
        </w:rPr>
        <w:t xml:space="preserve"> decides its attractiveness for investment and the effectiveness of management. This report will perform a detailed research on the case study </w:t>
      </w:r>
      <w:proofErr w:type="spellStart"/>
      <w:r w:rsidRPr="001B2907">
        <w:rPr>
          <w:rFonts w:ascii="Times New Roman" w:hAnsi="Times New Roman"/>
          <w:sz w:val="24"/>
          <w:szCs w:val="24"/>
        </w:rPr>
        <w:t>organisation</w:t>
      </w:r>
      <w:proofErr w:type="spellEnd"/>
      <w:r w:rsidRPr="001B2907">
        <w:rPr>
          <w:rFonts w:ascii="Times New Roman" w:hAnsi="Times New Roman"/>
          <w:sz w:val="24"/>
          <w:szCs w:val="24"/>
        </w:rPr>
        <w:t xml:space="preserve"> chosen for analysis of its financial status using proper financial assessment techniques. Honeywell is the firm that has been selected for this report and will make use of </w:t>
      </w:r>
      <w:r w:rsidR="00C1545A">
        <w:rPr>
          <w:rFonts w:ascii="Times New Roman" w:hAnsi="Times New Roman"/>
          <w:sz w:val="24"/>
          <w:szCs w:val="24"/>
        </w:rPr>
        <w:t>financial ratios to identify and</w:t>
      </w:r>
      <w:r w:rsidRPr="001B2907">
        <w:rPr>
          <w:rFonts w:ascii="Times New Roman" w:hAnsi="Times New Roman"/>
          <w:sz w:val="24"/>
          <w:szCs w:val="24"/>
        </w:rPr>
        <w:t xml:space="preserve"> measure its performance for the past five years. The change in values will be estimated and future projections for the firm will be done based upon this analysis. </w:t>
      </w:r>
    </w:p>
    <w:p w:rsidR="004876F6" w:rsidRPr="001B2907" w:rsidRDefault="004876F6" w:rsidP="004876F6">
      <w:pPr>
        <w:spacing w:line="360" w:lineRule="auto"/>
        <w:ind w:left="0"/>
        <w:jc w:val="both"/>
        <w:rPr>
          <w:rFonts w:ascii="Times New Roman" w:hAnsi="Times New Roman"/>
          <w:sz w:val="24"/>
          <w:szCs w:val="24"/>
        </w:rPr>
      </w:pPr>
    </w:p>
    <w:p w:rsidR="004876F6" w:rsidRPr="001B2907" w:rsidRDefault="004876F6" w:rsidP="00F85A86">
      <w:pPr>
        <w:pStyle w:val="Heading1"/>
        <w:rPr>
          <w:rFonts w:ascii="Times New Roman" w:hAnsi="Times New Roman" w:cs="Times New Roman"/>
          <w:b/>
          <w:color w:val="FF0000"/>
        </w:rPr>
      </w:pPr>
      <w:bookmarkStart w:id="1" w:name="_BACKGROUND_OF_HONEYWELL"/>
      <w:bookmarkEnd w:id="1"/>
      <w:r w:rsidRPr="001B2907">
        <w:rPr>
          <w:rFonts w:ascii="Times New Roman" w:hAnsi="Times New Roman" w:cs="Times New Roman"/>
          <w:b/>
          <w:color w:val="FF0000"/>
        </w:rPr>
        <w:t xml:space="preserve">BACKGROUND OF HONEYWELL </w:t>
      </w:r>
    </w:p>
    <w:p w:rsidR="00F85A86" w:rsidRPr="001B2907" w:rsidRDefault="00F85A86" w:rsidP="00F85A86"/>
    <w:p w:rsidR="004876F6" w:rsidRPr="001B2907" w:rsidRDefault="004876F6" w:rsidP="004876F6">
      <w:pPr>
        <w:spacing w:line="360" w:lineRule="auto"/>
        <w:jc w:val="both"/>
        <w:rPr>
          <w:rFonts w:ascii="Times New Roman" w:hAnsi="Times New Roman"/>
          <w:sz w:val="24"/>
          <w:szCs w:val="24"/>
        </w:rPr>
      </w:pPr>
      <w:r w:rsidRPr="001B2907">
        <w:rPr>
          <w:rFonts w:ascii="Times New Roman" w:hAnsi="Times New Roman"/>
          <w:sz w:val="24"/>
          <w:szCs w:val="24"/>
        </w:rPr>
        <w:t xml:space="preserve">Honeywell is an American based firm that has 125 years of history involved in manufacturing of engineering systems, aerospace systems and commercial products. The roots of Honeywell dates back to 1885 based upon the invention of furnace regulator and alarm. In the next year, it got is successive form of a damper flapper from Albert </w:t>
      </w:r>
      <w:proofErr w:type="spellStart"/>
      <w:r w:rsidRPr="001B2907">
        <w:rPr>
          <w:rFonts w:ascii="Times New Roman" w:hAnsi="Times New Roman"/>
          <w:sz w:val="24"/>
          <w:szCs w:val="24"/>
        </w:rPr>
        <w:t>butz</w:t>
      </w:r>
      <w:proofErr w:type="spellEnd"/>
      <w:r w:rsidRPr="001B2907">
        <w:rPr>
          <w:rFonts w:ascii="Times New Roman" w:hAnsi="Times New Roman"/>
          <w:sz w:val="24"/>
          <w:szCs w:val="24"/>
        </w:rPr>
        <w:t>. Later in 1893 renamed the business as Electric Heat regulator Co which was then purchased by another person to further undergo name change. The product line were then expanded with patient rights to result in the inventio</w:t>
      </w:r>
      <w:r w:rsidR="00C1545A">
        <w:rPr>
          <w:rFonts w:ascii="Times New Roman" w:hAnsi="Times New Roman"/>
          <w:sz w:val="24"/>
          <w:szCs w:val="24"/>
        </w:rPr>
        <w:t>n of electric motor (Honeywell,</w:t>
      </w:r>
      <w:r w:rsidRPr="001B2907">
        <w:rPr>
          <w:rFonts w:ascii="Times New Roman" w:hAnsi="Times New Roman"/>
          <w:sz w:val="24"/>
          <w:szCs w:val="24"/>
        </w:rPr>
        <w:t xml:space="preserve"> 2017). Therefore, it could be noted that Honeywell has a good heritage and has been the pioneer in inventing new system that are highly useful for the people. Based upon the inventions, there have been many new products developed by the engineers in the firm due to which it has grown effectively. </w:t>
      </w:r>
    </w:p>
    <w:p w:rsidR="004876F6" w:rsidRPr="001B2907" w:rsidRDefault="004876F6" w:rsidP="004876F6">
      <w:pPr>
        <w:spacing w:line="360" w:lineRule="auto"/>
        <w:jc w:val="both"/>
        <w:rPr>
          <w:rFonts w:ascii="Times New Roman" w:hAnsi="Times New Roman"/>
          <w:sz w:val="24"/>
          <w:szCs w:val="24"/>
        </w:rPr>
      </w:pPr>
      <w:r w:rsidRPr="001B2907">
        <w:rPr>
          <w:rFonts w:ascii="Times New Roman" w:hAnsi="Times New Roman"/>
          <w:sz w:val="24"/>
          <w:szCs w:val="24"/>
        </w:rPr>
        <w:t xml:space="preserve">It was officially established in 1906 by Mark. C. Honeywell in the place Wabash, Indiana. The business was then modified with inclusion of heat generator system with later developments to include hot water generators. Merging with Minneapolis heat </w:t>
      </w:r>
      <w:r w:rsidR="00C1545A" w:rsidRPr="001B2907">
        <w:rPr>
          <w:rFonts w:ascii="Times New Roman" w:hAnsi="Times New Roman"/>
          <w:sz w:val="24"/>
          <w:szCs w:val="24"/>
        </w:rPr>
        <w:t>Regulator Company</w:t>
      </w:r>
      <w:r w:rsidRPr="001B2907">
        <w:rPr>
          <w:rFonts w:ascii="Times New Roman" w:hAnsi="Times New Roman"/>
          <w:sz w:val="24"/>
          <w:szCs w:val="24"/>
        </w:rPr>
        <w:t xml:space="preserve"> in 1927, they began to sell </w:t>
      </w:r>
      <w:proofErr w:type="spellStart"/>
      <w:r w:rsidRPr="001B2907">
        <w:rPr>
          <w:rFonts w:ascii="Times New Roman" w:hAnsi="Times New Roman"/>
          <w:sz w:val="24"/>
          <w:szCs w:val="24"/>
        </w:rPr>
        <w:t>jewelled</w:t>
      </w:r>
      <w:proofErr w:type="spellEnd"/>
      <w:r w:rsidRPr="001B2907">
        <w:rPr>
          <w:rFonts w:ascii="Times New Roman" w:hAnsi="Times New Roman"/>
          <w:sz w:val="24"/>
          <w:szCs w:val="24"/>
        </w:rPr>
        <w:t xml:space="preserve"> clocks of high quality. Then, industrial controls and indicators were added to the product line. The year 1937 saw acquisition of Time-O-Stat to set up the path of global expansion. It has distributors in </w:t>
      </w:r>
      <w:proofErr w:type="gramStart"/>
      <w:r w:rsidRPr="001B2907">
        <w:rPr>
          <w:rFonts w:ascii="Times New Roman" w:hAnsi="Times New Roman"/>
          <w:sz w:val="24"/>
          <w:szCs w:val="24"/>
        </w:rPr>
        <w:t>South</w:t>
      </w:r>
      <w:proofErr w:type="gramEnd"/>
      <w:r w:rsidRPr="001B2907">
        <w:rPr>
          <w:rFonts w:ascii="Times New Roman" w:hAnsi="Times New Roman"/>
          <w:sz w:val="24"/>
          <w:szCs w:val="24"/>
        </w:rPr>
        <w:t xml:space="preserve"> of the world and made use of entry modes such as wholly owned subsidiaries, joint ventures, mergers, acquisiti</w:t>
      </w:r>
      <w:r w:rsidR="00C1545A">
        <w:rPr>
          <w:rFonts w:ascii="Times New Roman" w:hAnsi="Times New Roman"/>
          <w:sz w:val="24"/>
          <w:szCs w:val="24"/>
        </w:rPr>
        <w:t>ons and affiliations (Honeywell</w:t>
      </w:r>
      <w:r w:rsidRPr="001B2907">
        <w:rPr>
          <w:rFonts w:ascii="Times New Roman" w:hAnsi="Times New Roman"/>
          <w:sz w:val="24"/>
          <w:szCs w:val="24"/>
        </w:rPr>
        <w:t xml:space="preserve">, 2017).  The firm had its headquarters in Minneapolis in Minnesota. It could be noted that the growth and development of Honeywell was a steady and consistent process where they began evolving their </w:t>
      </w:r>
      <w:r w:rsidRPr="001B2907">
        <w:rPr>
          <w:rFonts w:ascii="Times New Roman" w:hAnsi="Times New Roman"/>
          <w:sz w:val="24"/>
          <w:szCs w:val="24"/>
        </w:rPr>
        <w:lastRenderedPageBreak/>
        <w:t xml:space="preserve">products from one form to another as per the market needs. The firm knew their path and were keen on expanding globally through different entry strategies that are suitable for the particular country. </w:t>
      </w:r>
    </w:p>
    <w:p w:rsidR="004876F6" w:rsidRPr="001B2907" w:rsidRDefault="004876F6" w:rsidP="004876F6">
      <w:pPr>
        <w:spacing w:line="360" w:lineRule="auto"/>
        <w:jc w:val="both"/>
        <w:rPr>
          <w:rFonts w:ascii="Times New Roman" w:hAnsi="Times New Roman"/>
          <w:sz w:val="24"/>
          <w:szCs w:val="24"/>
        </w:rPr>
      </w:pPr>
      <w:r w:rsidRPr="001B2907">
        <w:rPr>
          <w:rFonts w:ascii="Times New Roman" w:hAnsi="Times New Roman"/>
          <w:sz w:val="24"/>
          <w:szCs w:val="24"/>
        </w:rPr>
        <w:t xml:space="preserve">Product development is one of the major aspects that have led to the success of Honeywell throughout the years. The iconic round thermostat was produced by the firm in 1953 that is even under demand for households rather than other thermostats. Sensitive gyroscopes were manufactured in 1954 and in the year 1955, the firm was said to enter into computer parts production. Alarm and fire detection systems were produced in 1957 and the firm got its official name as Honeywell </w:t>
      </w:r>
      <w:r w:rsidR="00DD273C" w:rsidRPr="001B2907">
        <w:rPr>
          <w:rFonts w:ascii="Times New Roman" w:hAnsi="Times New Roman"/>
          <w:sz w:val="24"/>
          <w:szCs w:val="24"/>
        </w:rPr>
        <w:t>Inc.</w:t>
      </w:r>
      <w:r w:rsidR="00C1545A">
        <w:rPr>
          <w:rFonts w:ascii="Times New Roman" w:hAnsi="Times New Roman"/>
          <w:sz w:val="24"/>
          <w:szCs w:val="24"/>
        </w:rPr>
        <w:t xml:space="preserve"> in 1963 (Honeywell</w:t>
      </w:r>
      <w:r w:rsidRPr="001B2907">
        <w:rPr>
          <w:rFonts w:ascii="Times New Roman" w:hAnsi="Times New Roman"/>
          <w:sz w:val="24"/>
          <w:szCs w:val="24"/>
        </w:rPr>
        <w:t xml:space="preserve">, 2017). Following its establishment, the company performed many acquisitions and expanded its business boundaries through diversifications. The brand was well </w:t>
      </w:r>
      <w:r w:rsidR="00DD273C" w:rsidRPr="001B2907">
        <w:rPr>
          <w:rFonts w:ascii="Times New Roman" w:hAnsi="Times New Roman"/>
          <w:sz w:val="24"/>
          <w:szCs w:val="24"/>
        </w:rPr>
        <w:t>recognized</w:t>
      </w:r>
      <w:r w:rsidRPr="001B2907">
        <w:rPr>
          <w:rFonts w:ascii="Times New Roman" w:hAnsi="Times New Roman"/>
          <w:sz w:val="24"/>
          <w:szCs w:val="24"/>
        </w:rPr>
        <w:t xml:space="preserve"> after its merger with another firm called AlliedSignal in 1999 which then operated under the name of Honeywell International Inc. After merger, the headquarters were shifted to Morristown located in New Jersey. The firm acquired </w:t>
      </w:r>
      <w:proofErr w:type="spellStart"/>
      <w:r w:rsidRPr="001B2907">
        <w:rPr>
          <w:rFonts w:ascii="Times New Roman" w:hAnsi="Times New Roman"/>
          <w:sz w:val="24"/>
          <w:szCs w:val="24"/>
        </w:rPr>
        <w:t>Noval</w:t>
      </w:r>
      <w:proofErr w:type="spellEnd"/>
      <w:r w:rsidRPr="001B2907">
        <w:rPr>
          <w:rFonts w:ascii="Times New Roman" w:hAnsi="Times New Roman"/>
          <w:sz w:val="24"/>
          <w:szCs w:val="24"/>
        </w:rPr>
        <w:t xml:space="preserve"> </w:t>
      </w:r>
      <w:r w:rsidR="00DD273C" w:rsidRPr="001B2907">
        <w:rPr>
          <w:rFonts w:ascii="Times New Roman" w:hAnsi="Times New Roman"/>
          <w:sz w:val="24"/>
          <w:szCs w:val="24"/>
        </w:rPr>
        <w:t>Plc.</w:t>
      </w:r>
      <w:r w:rsidRPr="001B2907">
        <w:rPr>
          <w:rFonts w:ascii="Times New Roman" w:hAnsi="Times New Roman"/>
          <w:sz w:val="24"/>
          <w:szCs w:val="24"/>
        </w:rPr>
        <w:t xml:space="preserve"> in the year 2005. Till 2007, the firm has losses in its stock and there were massive layoffs (Success story, 2017).  Product portfolios of Honeywell were expanded continuously and the firm was found to take advantage of every possible opportunity for showcasing their innovative abilities. Acquisitions and mergers has facilitated the firm to get diversified to enter into commercial and household businesses with positive success rates. </w:t>
      </w:r>
    </w:p>
    <w:p w:rsidR="004876F6" w:rsidRPr="001B2907" w:rsidRDefault="004876F6" w:rsidP="004876F6">
      <w:pPr>
        <w:spacing w:line="360" w:lineRule="auto"/>
        <w:jc w:val="both"/>
        <w:rPr>
          <w:rFonts w:ascii="Times New Roman" w:hAnsi="Times New Roman"/>
          <w:sz w:val="24"/>
          <w:szCs w:val="24"/>
        </w:rPr>
      </w:pPr>
      <w:r w:rsidRPr="001B2907">
        <w:rPr>
          <w:rFonts w:ascii="Times New Roman" w:hAnsi="Times New Roman"/>
          <w:sz w:val="24"/>
          <w:szCs w:val="24"/>
        </w:rPr>
        <w:t xml:space="preserve">Honeywell has its success through its quality system known as the Honeywell Operating System which strives to achieve sustainability by continuous improvement </w:t>
      </w:r>
      <w:r w:rsidR="00DD273C" w:rsidRPr="001B2907">
        <w:rPr>
          <w:rFonts w:ascii="Times New Roman" w:hAnsi="Times New Roman"/>
          <w:sz w:val="24"/>
          <w:szCs w:val="24"/>
        </w:rPr>
        <w:t>focusing</w:t>
      </w:r>
      <w:r w:rsidRPr="001B2907">
        <w:rPr>
          <w:rFonts w:ascii="Times New Roman" w:hAnsi="Times New Roman"/>
          <w:sz w:val="24"/>
          <w:szCs w:val="24"/>
        </w:rPr>
        <w:t xml:space="preserve"> on inventory, delivery, safety and quality. Systems such as Velocity product development, Functional transformation and HOS gold initiatives are effective in performing functional, administrative and process oriented alignment with the business for growing up sales and productivity (Honeywell., 2017).  In all of its acquisitions, the business aligns the existing technologies and integrates other companies with its business groups. The operations of Honeywell are segmented into four categories which are Aerospace and technologies, Automation control and performance materials. Under Aerospace division, it concentrates on aircraft software, services, vehicles, space contractors, integrated avionics and others. The performance material section includes automation solutions, process technologies, catalysts, </w:t>
      </w:r>
      <w:r w:rsidR="00DD273C" w:rsidRPr="001B2907">
        <w:rPr>
          <w:rFonts w:ascii="Times New Roman" w:hAnsi="Times New Roman"/>
          <w:sz w:val="24"/>
          <w:szCs w:val="24"/>
        </w:rPr>
        <w:t>equipment’s</w:t>
      </w:r>
      <w:r w:rsidRPr="001B2907">
        <w:rPr>
          <w:rFonts w:ascii="Times New Roman" w:hAnsi="Times New Roman"/>
          <w:sz w:val="24"/>
          <w:szCs w:val="24"/>
        </w:rPr>
        <w:t xml:space="preserve">, petrochemicals and consulting services. Safety and productivity includes protection </w:t>
      </w:r>
      <w:r w:rsidR="00DD273C" w:rsidRPr="001B2907">
        <w:rPr>
          <w:rFonts w:ascii="Times New Roman" w:hAnsi="Times New Roman"/>
          <w:sz w:val="24"/>
          <w:szCs w:val="24"/>
        </w:rPr>
        <w:t>equipment’s</w:t>
      </w:r>
      <w:r w:rsidRPr="001B2907">
        <w:rPr>
          <w:rFonts w:ascii="Times New Roman" w:hAnsi="Times New Roman"/>
          <w:sz w:val="24"/>
          <w:szCs w:val="24"/>
        </w:rPr>
        <w:t xml:space="preserve">, footwear, detection </w:t>
      </w:r>
      <w:r w:rsidRPr="001B2907">
        <w:rPr>
          <w:rFonts w:ascii="Times New Roman" w:hAnsi="Times New Roman"/>
          <w:sz w:val="24"/>
          <w:szCs w:val="24"/>
        </w:rPr>
        <w:lastRenderedPageBreak/>
        <w:t xml:space="preserve">solutions and other (Reuters, 2017). The quality of materials is of high standards and its products are highly credibility. The customer satisfaction is very strong and influences them to purchase the products of Honeywell repeatedly. At present, Honeywell has more than 130000 employees globally and is one of the fortune 500 companies with ranking 77. It has been incurring good performance results across its global operations where the expansions continue to take place (Success story, 2017).  Hence, it could be stated that the history of Honeywell is highly inspiring and informs about the usage of technology and abilities for ensuring the satisfaction of business goals. The firm has aligned its business with various functions and has focused on three business categories. With high quality products driving customer satisfaction, the brand has high credibility and recognition in market. </w:t>
      </w:r>
    </w:p>
    <w:p w:rsidR="00231CE0" w:rsidRPr="001B2907" w:rsidRDefault="00231CE0" w:rsidP="004876F6">
      <w:pPr>
        <w:spacing w:line="360" w:lineRule="auto"/>
        <w:jc w:val="both"/>
        <w:rPr>
          <w:rFonts w:ascii="Times New Roman" w:hAnsi="Times New Roman"/>
          <w:sz w:val="24"/>
          <w:szCs w:val="24"/>
        </w:rPr>
      </w:pPr>
    </w:p>
    <w:p w:rsidR="004876F6" w:rsidRPr="001B2907" w:rsidRDefault="004876F6" w:rsidP="004876F6">
      <w:pPr>
        <w:spacing w:line="360" w:lineRule="auto"/>
        <w:jc w:val="both"/>
        <w:rPr>
          <w:rFonts w:ascii="Times New Roman" w:hAnsi="Times New Roman"/>
          <w:sz w:val="24"/>
          <w:szCs w:val="24"/>
        </w:rPr>
      </w:pPr>
    </w:p>
    <w:p w:rsidR="004876F6" w:rsidRPr="001B2907" w:rsidRDefault="004876F6" w:rsidP="00B3201B">
      <w:pPr>
        <w:pStyle w:val="Heading1"/>
        <w:rPr>
          <w:rFonts w:ascii="Times New Roman" w:hAnsi="Times New Roman" w:cs="Times New Roman"/>
          <w:b/>
          <w:color w:val="FF0000"/>
        </w:rPr>
      </w:pPr>
      <w:bookmarkStart w:id="2" w:name="_CALCULATION_OF_FINANCIAL"/>
      <w:bookmarkEnd w:id="2"/>
      <w:r w:rsidRPr="001B2907">
        <w:rPr>
          <w:rFonts w:ascii="Times New Roman" w:hAnsi="Times New Roman" w:cs="Times New Roman"/>
          <w:b/>
          <w:color w:val="FF0000"/>
        </w:rPr>
        <w:t>CALCULATION OF FINANCIAL PERFORMANCE USING RATIOS</w:t>
      </w:r>
    </w:p>
    <w:p w:rsidR="00B3201B" w:rsidRPr="001B2907" w:rsidRDefault="00B3201B" w:rsidP="00B3201B"/>
    <w:p w:rsidR="004876F6" w:rsidRPr="001B2907" w:rsidRDefault="00F85A86" w:rsidP="004876F6">
      <w:pPr>
        <w:spacing w:line="360" w:lineRule="auto"/>
        <w:jc w:val="both"/>
        <w:rPr>
          <w:rFonts w:ascii="Times New Roman" w:hAnsi="Times New Roman"/>
          <w:sz w:val="24"/>
          <w:szCs w:val="24"/>
        </w:rPr>
      </w:pPr>
      <w:r w:rsidRPr="001B2907">
        <w:rPr>
          <w:rFonts w:ascii="Times New Roman" w:hAnsi="Times New Roman"/>
          <w:sz w:val="24"/>
          <w:szCs w:val="24"/>
        </w:rPr>
        <w:t xml:space="preserve">This section will </w:t>
      </w:r>
      <w:r w:rsidR="00DD273C" w:rsidRPr="001B2907">
        <w:rPr>
          <w:rFonts w:ascii="Times New Roman" w:hAnsi="Times New Roman"/>
          <w:sz w:val="24"/>
          <w:szCs w:val="24"/>
        </w:rPr>
        <w:t>analyze</w:t>
      </w:r>
      <w:r w:rsidRPr="001B2907">
        <w:rPr>
          <w:rFonts w:ascii="Times New Roman" w:hAnsi="Times New Roman"/>
          <w:sz w:val="24"/>
          <w:szCs w:val="24"/>
        </w:rPr>
        <w:t xml:space="preserve"> the financial performance of Honeywell using ratios that are calculated for the past five</w:t>
      </w:r>
      <w:r w:rsidR="003B5C71">
        <w:rPr>
          <w:rFonts w:ascii="Times New Roman" w:hAnsi="Times New Roman"/>
          <w:sz w:val="24"/>
          <w:szCs w:val="24"/>
        </w:rPr>
        <w:t xml:space="preserve"> years ranging from 2012 to 2016</w:t>
      </w:r>
      <w:r w:rsidRPr="001B2907">
        <w:rPr>
          <w:rFonts w:ascii="Times New Roman" w:hAnsi="Times New Roman"/>
          <w:sz w:val="24"/>
          <w:szCs w:val="24"/>
        </w:rPr>
        <w:t>. Ratio analysis is useful in capturing a good idea on the level of financial management by a firm. Its liquidity levels, debt, profitability and other aspects can inform investors about the risks and strengths of investing in the company (Gibson, 2012). Different set of ratios will be calculated for Honeywell for determining its profitability (Net profit, Gross profit,</w:t>
      </w:r>
      <w:r w:rsidR="00231CE0" w:rsidRPr="001B2907">
        <w:rPr>
          <w:rFonts w:ascii="Times New Roman" w:hAnsi="Times New Roman"/>
          <w:sz w:val="24"/>
          <w:szCs w:val="24"/>
        </w:rPr>
        <w:t xml:space="preserve"> Operating Profit</w:t>
      </w:r>
      <w:r w:rsidRPr="001B2907">
        <w:rPr>
          <w:rFonts w:ascii="Times New Roman" w:hAnsi="Times New Roman"/>
          <w:sz w:val="24"/>
          <w:szCs w:val="24"/>
        </w:rPr>
        <w:t>), liquidity (current ratio, quick ratio</w:t>
      </w:r>
      <w:r w:rsidR="00DD273C" w:rsidRPr="001B2907">
        <w:rPr>
          <w:rFonts w:ascii="Times New Roman" w:hAnsi="Times New Roman"/>
          <w:sz w:val="24"/>
          <w:szCs w:val="24"/>
        </w:rPr>
        <w:t>, cash ratio</w:t>
      </w:r>
      <w:r w:rsidRPr="001B2907">
        <w:rPr>
          <w:rFonts w:ascii="Times New Roman" w:hAnsi="Times New Roman"/>
          <w:sz w:val="24"/>
          <w:szCs w:val="24"/>
        </w:rPr>
        <w:t>), efficiency (Asset,</w:t>
      </w:r>
      <w:r w:rsidRPr="001B2907">
        <w:rPr>
          <w:rFonts w:ascii="Times New Roman" w:hAnsi="Times New Roman"/>
          <w:b/>
          <w:i/>
          <w:sz w:val="24"/>
          <w:szCs w:val="24"/>
        </w:rPr>
        <w:t xml:space="preserve"> </w:t>
      </w:r>
      <w:r w:rsidRPr="001B2907">
        <w:rPr>
          <w:rFonts w:ascii="Times New Roman" w:hAnsi="Times New Roman"/>
          <w:sz w:val="24"/>
          <w:szCs w:val="24"/>
        </w:rPr>
        <w:t>Account receivables turnover and inventory</w:t>
      </w:r>
      <w:r w:rsidR="00231CE0" w:rsidRPr="001B2907">
        <w:rPr>
          <w:rFonts w:ascii="Times New Roman" w:hAnsi="Times New Roman"/>
          <w:sz w:val="24"/>
          <w:szCs w:val="24"/>
        </w:rPr>
        <w:t>/s</w:t>
      </w:r>
      <w:r w:rsidR="004E12AF" w:rsidRPr="001B2907">
        <w:rPr>
          <w:rFonts w:ascii="Times New Roman" w:hAnsi="Times New Roman"/>
          <w:sz w:val="24"/>
          <w:szCs w:val="24"/>
        </w:rPr>
        <w:t>tock</w:t>
      </w:r>
      <w:r w:rsidRPr="001B2907">
        <w:rPr>
          <w:rFonts w:ascii="Times New Roman" w:hAnsi="Times New Roman"/>
          <w:sz w:val="24"/>
          <w:szCs w:val="24"/>
        </w:rPr>
        <w:t xml:space="preserve"> turnover) and gearing ratios.</w:t>
      </w:r>
    </w:p>
    <w:p w:rsidR="004876F6" w:rsidRPr="001B2907" w:rsidRDefault="004876F6" w:rsidP="004876F6">
      <w:pPr>
        <w:spacing w:line="276" w:lineRule="auto"/>
        <w:rPr>
          <w:rFonts w:cstheme="minorHAnsi"/>
        </w:rPr>
      </w:pPr>
    </w:p>
    <w:p w:rsidR="00E43177" w:rsidRPr="001B2907" w:rsidRDefault="00E43177" w:rsidP="004876F6">
      <w:pPr>
        <w:spacing w:line="276" w:lineRule="auto"/>
        <w:rPr>
          <w:rFonts w:cstheme="minorHAnsi"/>
        </w:rPr>
      </w:pPr>
    </w:p>
    <w:p w:rsidR="00E43177" w:rsidRPr="001B2907" w:rsidRDefault="00E43177" w:rsidP="004876F6">
      <w:pPr>
        <w:spacing w:line="276" w:lineRule="auto"/>
        <w:rPr>
          <w:rFonts w:cstheme="minorHAnsi"/>
        </w:rPr>
      </w:pPr>
    </w:p>
    <w:p w:rsidR="00E43177" w:rsidRPr="001B2907" w:rsidRDefault="00E43177" w:rsidP="004876F6">
      <w:pPr>
        <w:spacing w:line="276" w:lineRule="auto"/>
        <w:rPr>
          <w:rFonts w:cstheme="minorHAnsi"/>
        </w:rPr>
      </w:pPr>
    </w:p>
    <w:p w:rsidR="00E43177" w:rsidRPr="001B2907" w:rsidRDefault="00E43177" w:rsidP="004876F6">
      <w:pPr>
        <w:spacing w:line="276" w:lineRule="auto"/>
        <w:rPr>
          <w:rFonts w:cstheme="minorHAnsi"/>
        </w:rPr>
      </w:pPr>
    </w:p>
    <w:p w:rsidR="00E43177" w:rsidRPr="001B2907" w:rsidRDefault="00E43177" w:rsidP="004876F6">
      <w:pPr>
        <w:spacing w:line="276" w:lineRule="auto"/>
        <w:rPr>
          <w:rFonts w:cstheme="minorHAnsi"/>
        </w:rPr>
      </w:pPr>
    </w:p>
    <w:p w:rsidR="00E43177" w:rsidRPr="001B2907" w:rsidRDefault="00E43177" w:rsidP="004876F6">
      <w:pPr>
        <w:spacing w:line="276" w:lineRule="auto"/>
        <w:rPr>
          <w:rFonts w:cstheme="minorHAnsi"/>
        </w:rPr>
      </w:pPr>
    </w:p>
    <w:p w:rsidR="00E43177" w:rsidRPr="001B2907" w:rsidRDefault="00E43177" w:rsidP="004876F6">
      <w:pPr>
        <w:spacing w:line="276" w:lineRule="auto"/>
        <w:rPr>
          <w:rFonts w:cstheme="minorHAnsi"/>
        </w:rPr>
      </w:pPr>
    </w:p>
    <w:p w:rsidR="00F85A86" w:rsidRPr="001B2907" w:rsidRDefault="00415A7D" w:rsidP="00415A7D">
      <w:pPr>
        <w:pStyle w:val="Heading1"/>
        <w:rPr>
          <w:rFonts w:ascii="Times New Roman" w:eastAsia="Calibri" w:hAnsi="Times New Roman" w:cs="Times New Roman"/>
          <w:b/>
          <w:color w:val="FF0000"/>
          <w:lang w:val="en-GB" w:eastAsia="en-US"/>
        </w:rPr>
      </w:pPr>
      <w:bookmarkStart w:id="3" w:name="_PROFITABILITY_RATIOS"/>
      <w:bookmarkEnd w:id="3"/>
      <w:r w:rsidRPr="001B2907">
        <w:rPr>
          <w:rFonts w:ascii="Times New Roman" w:eastAsia="Calibri" w:hAnsi="Times New Roman" w:cs="Times New Roman"/>
          <w:b/>
          <w:color w:val="FF0000"/>
          <w:lang w:val="en-GB" w:eastAsia="en-US"/>
        </w:rPr>
        <w:t>PROFITABILITY RATIOS</w:t>
      </w:r>
    </w:p>
    <w:p w:rsidR="00415A7D" w:rsidRPr="001B2907" w:rsidRDefault="00415A7D" w:rsidP="00415A7D">
      <w:pPr>
        <w:spacing w:line="276" w:lineRule="auto"/>
        <w:rPr>
          <w:rFonts w:ascii="Times New Roman" w:eastAsia="Calibri" w:hAnsi="Times New Roman" w:cs="Times New Roman"/>
          <w:b/>
          <w:color w:val="FF0000"/>
          <w:kern w:val="0"/>
          <w:sz w:val="28"/>
          <w:szCs w:val="28"/>
          <w:lang w:val="en-GB" w:eastAsia="en-US"/>
          <w14:ligatures w14:val="none"/>
        </w:rPr>
      </w:pP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253"/>
        <w:gridCol w:w="1017"/>
        <w:gridCol w:w="1017"/>
        <w:gridCol w:w="1017"/>
        <w:gridCol w:w="1017"/>
        <w:gridCol w:w="1017"/>
        <w:gridCol w:w="1012"/>
      </w:tblGrid>
      <w:tr w:rsidR="00E43177" w:rsidRPr="001B2907" w:rsidTr="00E43177">
        <w:trPr>
          <w:trHeight w:val="776"/>
        </w:trPr>
        <w:tc>
          <w:tcPr>
            <w:tcW w:w="1739" w:type="pct"/>
            <w:tcBorders>
              <w:top w:val="single" w:sz="4" w:space="0" w:color="auto"/>
              <w:left w:val="single" w:sz="4" w:space="0" w:color="auto"/>
              <w:right w:val="nil"/>
            </w:tcBorders>
            <w:shd w:val="clear" w:color="auto" w:fill="F9C6C6" w:themeFill="accent1" w:themeFillTint="33"/>
          </w:tcPr>
          <w:p w:rsidR="00415A7D" w:rsidRPr="001B2907" w:rsidRDefault="00415A7D" w:rsidP="00E467C0">
            <w:pPr>
              <w:spacing w:line="360" w:lineRule="auto"/>
              <w:jc w:val="center"/>
              <w:rPr>
                <w:rFonts w:ascii="Times New Roman" w:hAnsi="Times New Roman"/>
                <w:b/>
                <w:sz w:val="24"/>
                <w:szCs w:val="24"/>
              </w:rPr>
            </w:pPr>
          </w:p>
        </w:tc>
        <w:tc>
          <w:tcPr>
            <w:tcW w:w="2719" w:type="pct"/>
            <w:gridSpan w:val="5"/>
            <w:tcBorders>
              <w:top w:val="single" w:sz="4" w:space="0" w:color="auto"/>
              <w:left w:val="nil"/>
              <w:right w:val="nil"/>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Honeywell</w:t>
            </w:r>
          </w:p>
        </w:tc>
        <w:tc>
          <w:tcPr>
            <w:tcW w:w="542" w:type="pct"/>
            <w:tcBorders>
              <w:top w:val="single" w:sz="4" w:space="0" w:color="auto"/>
              <w:left w:val="nil"/>
              <w:right w:val="single" w:sz="4" w:space="0" w:color="auto"/>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GE</w:t>
            </w:r>
          </w:p>
        </w:tc>
      </w:tr>
      <w:tr w:rsidR="00E43177" w:rsidRPr="001B2907" w:rsidTr="00E43177">
        <w:trPr>
          <w:trHeight w:val="776"/>
        </w:trPr>
        <w:tc>
          <w:tcPr>
            <w:tcW w:w="1739" w:type="pct"/>
            <w:tcBorders>
              <w:left w:val="single" w:sz="4" w:space="0" w:color="auto"/>
            </w:tcBorders>
            <w:shd w:val="clear" w:color="auto" w:fill="F9C6C6" w:themeFill="accent1" w:themeFillTint="33"/>
          </w:tcPr>
          <w:p w:rsidR="00415A7D" w:rsidRPr="001B2907" w:rsidRDefault="00415A7D" w:rsidP="00E467C0">
            <w:pPr>
              <w:spacing w:line="360" w:lineRule="auto"/>
              <w:jc w:val="center"/>
              <w:rPr>
                <w:rFonts w:ascii="Times New Roman" w:hAnsi="Times New Roman"/>
                <w:sz w:val="24"/>
                <w:szCs w:val="24"/>
              </w:rPr>
            </w:pPr>
          </w:p>
        </w:tc>
        <w:tc>
          <w:tcPr>
            <w:tcW w:w="544" w:type="pct"/>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2012</w:t>
            </w:r>
          </w:p>
        </w:tc>
        <w:tc>
          <w:tcPr>
            <w:tcW w:w="544" w:type="pct"/>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2013</w:t>
            </w:r>
          </w:p>
        </w:tc>
        <w:tc>
          <w:tcPr>
            <w:tcW w:w="544" w:type="pct"/>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2014</w:t>
            </w:r>
          </w:p>
        </w:tc>
        <w:tc>
          <w:tcPr>
            <w:tcW w:w="544" w:type="pct"/>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2015</w:t>
            </w:r>
          </w:p>
        </w:tc>
        <w:tc>
          <w:tcPr>
            <w:tcW w:w="544" w:type="pct"/>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2016</w:t>
            </w:r>
          </w:p>
        </w:tc>
        <w:tc>
          <w:tcPr>
            <w:tcW w:w="542" w:type="pct"/>
            <w:tcBorders>
              <w:right w:val="single" w:sz="4" w:space="0" w:color="auto"/>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2016</w:t>
            </w:r>
          </w:p>
        </w:tc>
      </w:tr>
      <w:tr w:rsidR="00E43177" w:rsidRPr="001B2907" w:rsidTr="00E43177">
        <w:trPr>
          <w:trHeight w:val="776"/>
        </w:trPr>
        <w:tc>
          <w:tcPr>
            <w:tcW w:w="1739" w:type="pct"/>
            <w:tcBorders>
              <w:top w:val="single" w:sz="4" w:space="0" w:color="FFFFFF"/>
              <w:left w:val="single" w:sz="4" w:space="0" w:color="auto"/>
              <w:bottom w:val="single" w:sz="4" w:space="0" w:color="FFFFFF"/>
              <w:right w:val="single" w:sz="4" w:space="0" w:color="FFFFFF"/>
            </w:tcBorders>
            <w:shd w:val="clear" w:color="auto" w:fill="F9C6C6" w:themeFill="accent1" w:themeFillTint="33"/>
          </w:tcPr>
          <w:p w:rsidR="00415A7D" w:rsidRPr="001B2907" w:rsidRDefault="00415A7D" w:rsidP="00E467C0">
            <w:pPr>
              <w:spacing w:line="360" w:lineRule="auto"/>
              <w:jc w:val="center"/>
              <w:rPr>
                <w:rFonts w:ascii="Times New Roman" w:hAnsi="Times New Roman"/>
                <w:sz w:val="24"/>
                <w:szCs w:val="24"/>
              </w:rPr>
            </w:pPr>
            <w:r w:rsidRPr="001B2907">
              <w:rPr>
                <w:rFonts w:ascii="Times New Roman" w:hAnsi="Times New Roman"/>
                <w:sz w:val="24"/>
                <w:szCs w:val="24"/>
              </w:rPr>
              <w:t>Gross Profit Margin</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415A7D">
            <w:pPr>
              <w:spacing w:line="360" w:lineRule="auto"/>
              <w:jc w:val="center"/>
              <w:rPr>
                <w:rFonts w:ascii="Times New Roman" w:hAnsi="Times New Roman"/>
                <w:b/>
                <w:sz w:val="24"/>
                <w:szCs w:val="24"/>
              </w:rPr>
            </w:pPr>
            <w:r w:rsidRPr="001B2907">
              <w:rPr>
                <w:rFonts w:ascii="Times New Roman" w:hAnsi="Times New Roman"/>
                <w:b/>
                <w:sz w:val="24"/>
                <w:szCs w:val="24"/>
              </w:rPr>
              <w:t>25%</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27%</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28%</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31%</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31%</w:t>
            </w:r>
          </w:p>
        </w:tc>
        <w:tc>
          <w:tcPr>
            <w:tcW w:w="542" w:type="pct"/>
            <w:tcBorders>
              <w:top w:val="single" w:sz="4" w:space="0" w:color="FFFFFF"/>
              <w:left w:val="single" w:sz="4" w:space="0" w:color="FFFFFF"/>
              <w:bottom w:val="single" w:sz="4" w:space="0" w:color="FFFFFF"/>
              <w:right w:val="single" w:sz="4" w:space="0" w:color="auto"/>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27%</w:t>
            </w:r>
          </w:p>
        </w:tc>
      </w:tr>
      <w:tr w:rsidR="00E43177" w:rsidRPr="001B2907" w:rsidTr="00E43177">
        <w:trPr>
          <w:trHeight w:val="776"/>
        </w:trPr>
        <w:tc>
          <w:tcPr>
            <w:tcW w:w="1739" w:type="pct"/>
            <w:tcBorders>
              <w:top w:val="single" w:sz="4" w:space="0" w:color="FFFFFF"/>
              <w:left w:val="single" w:sz="4" w:space="0" w:color="auto"/>
              <w:bottom w:val="single" w:sz="4" w:space="0" w:color="FFFFFF"/>
              <w:right w:val="single" w:sz="4" w:space="0" w:color="FFFFFF"/>
            </w:tcBorders>
            <w:shd w:val="clear" w:color="auto" w:fill="F9C6C6" w:themeFill="accent1" w:themeFillTint="33"/>
          </w:tcPr>
          <w:p w:rsidR="00415A7D" w:rsidRPr="001B2907" w:rsidRDefault="00415A7D" w:rsidP="00E467C0">
            <w:pPr>
              <w:spacing w:line="360" w:lineRule="auto"/>
              <w:jc w:val="center"/>
              <w:rPr>
                <w:rFonts w:ascii="Times New Roman" w:hAnsi="Times New Roman"/>
                <w:sz w:val="24"/>
                <w:szCs w:val="24"/>
              </w:rPr>
            </w:pPr>
            <w:r w:rsidRPr="001B2907">
              <w:rPr>
                <w:rFonts w:ascii="Times New Roman" w:hAnsi="Times New Roman"/>
                <w:sz w:val="24"/>
                <w:szCs w:val="24"/>
              </w:rPr>
              <w:t>Net Profit Margin</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415A7D">
            <w:pPr>
              <w:spacing w:line="360" w:lineRule="auto"/>
              <w:jc w:val="center"/>
              <w:rPr>
                <w:rFonts w:ascii="Times New Roman" w:hAnsi="Times New Roman"/>
                <w:b/>
                <w:sz w:val="24"/>
                <w:szCs w:val="24"/>
              </w:rPr>
            </w:pPr>
            <w:r w:rsidRPr="001B2907">
              <w:rPr>
                <w:rFonts w:ascii="Times New Roman" w:hAnsi="Times New Roman"/>
                <w:b/>
                <w:sz w:val="24"/>
                <w:szCs w:val="24"/>
              </w:rPr>
              <w:t>8%</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16%</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5%</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10%</w:t>
            </w:r>
          </w:p>
        </w:tc>
        <w:tc>
          <w:tcPr>
            <w:tcW w:w="544" w:type="pct"/>
            <w:tcBorders>
              <w:top w:val="single" w:sz="4" w:space="0" w:color="FFFFFF"/>
              <w:left w:val="single" w:sz="4" w:space="0" w:color="FFFFFF"/>
              <w:bottom w:val="single" w:sz="4" w:space="0" w:color="FFFFFF"/>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12%</w:t>
            </w:r>
          </w:p>
        </w:tc>
        <w:tc>
          <w:tcPr>
            <w:tcW w:w="542" w:type="pct"/>
            <w:tcBorders>
              <w:top w:val="single" w:sz="4" w:space="0" w:color="FFFFFF"/>
              <w:left w:val="single" w:sz="4" w:space="0" w:color="FFFFFF"/>
              <w:bottom w:val="single" w:sz="4" w:space="0" w:color="FFFFFF"/>
              <w:right w:val="single" w:sz="4" w:space="0" w:color="auto"/>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7%</w:t>
            </w:r>
          </w:p>
        </w:tc>
      </w:tr>
      <w:tr w:rsidR="00E43177" w:rsidRPr="001B2907" w:rsidTr="00E43177">
        <w:trPr>
          <w:trHeight w:val="776"/>
        </w:trPr>
        <w:tc>
          <w:tcPr>
            <w:tcW w:w="1739" w:type="pct"/>
            <w:tcBorders>
              <w:top w:val="single" w:sz="4" w:space="0" w:color="FFFFFF"/>
              <w:left w:val="single" w:sz="4" w:space="0" w:color="auto"/>
              <w:bottom w:val="single" w:sz="4" w:space="0" w:color="auto"/>
              <w:right w:val="single" w:sz="4" w:space="0" w:color="FFFFFF"/>
            </w:tcBorders>
            <w:shd w:val="clear" w:color="auto" w:fill="F9C6C6" w:themeFill="accent1" w:themeFillTint="33"/>
          </w:tcPr>
          <w:p w:rsidR="00415A7D" w:rsidRPr="001B2907" w:rsidRDefault="00415A7D" w:rsidP="00E467C0">
            <w:pPr>
              <w:spacing w:line="360" w:lineRule="auto"/>
              <w:jc w:val="center"/>
              <w:rPr>
                <w:rFonts w:ascii="Times New Roman" w:hAnsi="Times New Roman"/>
                <w:sz w:val="24"/>
                <w:szCs w:val="24"/>
              </w:rPr>
            </w:pPr>
            <w:r w:rsidRPr="001B2907">
              <w:rPr>
                <w:rFonts w:ascii="Times New Roman" w:hAnsi="Times New Roman"/>
                <w:sz w:val="24"/>
                <w:szCs w:val="24"/>
              </w:rPr>
              <w:t>Operating Profit Margin</w:t>
            </w:r>
          </w:p>
        </w:tc>
        <w:tc>
          <w:tcPr>
            <w:tcW w:w="544"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tcPr>
          <w:p w:rsidR="00415A7D" w:rsidRPr="001B2907" w:rsidRDefault="00415A7D" w:rsidP="00415A7D">
            <w:pPr>
              <w:spacing w:line="360" w:lineRule="auto"/>
              <w:jc w:val="center"/>
              <w:rPr>
                <w:rFonts w:ascii="Times New Roman" w:hAnsi="Times New Roman"/>
                <w:b/>
                <w:sz w:val="24"/>
                <w:szCs w:val="24"/>
              </w:rPr>
            </w:pPr>
            <w:r w:rsidRPr="001B2907">
              <w:rPr>
                <w:rFonts w:ascii="Times New Roman" w:hAnsi="Times New Roman"/>
                <w:b/>
                <w:sz w:val="24"/>
                <w:szCs w:val="24"/>
              </w:rPr>
              <w:t>11%</w:t>
            </w:r>
          </w:p>
        </w:tc>
        <w:tc>
          <w:tcPr>
            <w:tcW w:w="544"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14%</w:t>
            </w:r>
          </w:p>
        </w:tc>
        <w:tc>
          <w:tcPr>
            <w:tcW w:w="544"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14%</w:t>
            </w:r>
          </w:p>
        </w:tc>
        <w:tc>
          <w:tcPr>
            <w:tcW w:w="544"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18%</w:t>
            </w:r>
          </w:p>
        </w:tc>
        <w:tc>
          <w:tcPr>
            <w:tcW w:w="544"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sz w:val="24"/>
                <w:szCs w:val="24"/>
              </w:rPr>
            </w:pPr>
            <w:r w:rsidRPr="001B2907">
              <w:rPr>
                <w:rFonts w:ascii="Times New Roman" w:hAnsi="Times New Roman"/>
                <w:b/>
                <w:sz w:val="24"/>
                <w:szCs w:val="24"/>
              </w:rPr>
              <w:t>17%</w:t>
            </w:r>
          </w:p>
        </w:tc>
        <w:tc>
          <w:tcPr>
            <w:tcW w:w="542" w:type="pct"/>
            <w:tcBorders>
              <w:top w:val="single" w:sz="4" w:space="0" w:color="FFFFFF"/>
              <w:left w:val="single" w:sz="4" w:space="0" w:color="FFFFFF"/>
              <w:bottom w:val="single" w:sz="4" w:space="0" w:color="auto"/>
              <w:right w:val="single" w:sz="4" w:space="0" w:color="auto"/>
            </w:tcBorders>
            <w:shd w:val="clear" w:color="auto" w:fill="F9C6C6" w:themeFill="accent1" w:themeFillTint="33"/>
            <w:noWrap/>
          </w:tcPr>
          <w:p w:rsidR="00415A7D" w:rsidRPr="001B2907" w:rsidRDefault="00415A7D"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12%</w:t>
            </w:r>
          </w:p>
        </w:tc>
      </w:tr>
    </w:tbl>
    <w:p w:rsidR="00415A7D" w:rsidRPr="001B2907" w:rsidRDefault="00E43177" w:rsidP="005B1EBE">
      <w:pPr>
        <w:spacing w:line="360" w:lineRule="auto"/>
        <w:jc w:val="both"/>
        <w:rPr>
          <w:rFonts w:ascii="Times New Roman" w:hAnsi="Times New Roman"/>
          <w:sz w:val="24"/>
          <w:szCs w:val="24"/>
        </w:rPr>
      </w:pPr>
      <w:r w:rsidRPr="001B2907">
        <w:rPr>
          <w:noProof/>
          <w:lang w:val="en-IN" w:eastAsia="en-IN"/>
        </w:rPr>
        <w:drawing>
          <wp:inline distT="0" distB="0" distL="0" distR="0" wp14:anchorId="7CEBBA2B" wp14:editId="7A5208EA">
            <wp:extent cx="5870121" cy="2906486"/>
            <wp:effectExtent l="0" t="0" r="16510" b="825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415A7D" w:rsidRPr="001B2907">
        <w:rPr>
          <w:rFonts w:ascii="Times New Roman" w:hAnsi="Times New Roman"/>
          <w:sz w:val="24"/>
          <w:szCs w:val="24"/>
        </w:rPr>
        <w:t>Table: Profitability Ratios of Honeywell and GE</w:t>
      </w:r>
    </w:p>
    <w:p w:rsidR="00415A7D" w:rsidRPr="001B2907" w:rsidRDefault="00415A7D" w:rsidP="00415A7D">
      <w:pPr>
        <w:spacing w:line="360" w:lineRule="auto"/>
        <w:jc w:val="both"/>
        <w:rPr>
          <w:rFonts w:ascii="Times New Roman" w:hAnsi="Times New Roman"/>
          <w:bCs/>
          <w:sz w:val="24"/>
          <w:szCs w:val="24"/>
        </w:rPr>
      </w:pPr>
      <w:r w:rsidRPr="001B2907">
        <w:rPr>
          <w:rFonts w:ascii="Times New Roman" w:hAnsi="Times New Roman"/>
          <w:sz w:val="24"/>
          <w:szCs w:val="24"/>
        </w:rPr>
        <w:t xml:space="preserve">Source: Adapted from </w:t>
      </w:r>
      <w:r w:rsidRPr="001B2907">
        <w:rPr>
          <w:rFonts w:ascii="Times New Roman" w:hAnsi="Times New Roman"/>
          <w:bCs/>
          <w:sz w:val="24"/>
          <w:szCs w:val="24"/>
        </w:rPr>
        <w:t>H</w:t>
      </w:r>
      <w:r w:rsidR="00632FB7" w:rsidRPr="001B2907">
        <w:rPr>
          <w:rFonts w:ascii="Times New Roman" w:hAnsi="Times New Roman"/>
          <w:bCs/>
          <w:sz w:val="24"/>
          <w:szCs w:val="24"/>
        </w:rPr>
        <w:t>oneywell (2014), Honeywell (2016</w:t>
      </w:r>
      <w:r w:rsidRPr="001B2907">
        <w:rPr>
          <w:rFonts w:ascii="Times New Roman" w:hAnsi="Times New Roman"/>
          <w:bCs/>
          <w:sz w:val="24"/>
          <w:szCs w:val="24"/>
        </w:rPr>
        <w:t>) and GE (2016)</w:t>
      </w:r>
    </w:p>
    <w:p w:rsidR="00415A7D" w:rsidRPr="001B2907" w:rsidRDefault="00415A7D" w:rsidP="00415A7D">
      <w:pPr>
        <w:spacing w:line="360" w:lineRule="auto"/>
        <w:jc w:val="both"/>
        <w:rPr>
          <w:rFonts w:ascii="Times New Roman" w:hAnsi="Times New Roman"/>
          <w:bCs/>
          <w:sz w:val="24"/>
          <w:szCs w:val="24"/>
        </w:rPr>
      </w:pPr>
    </w:p>
    <w:p w:rsidR="00415A7D" w:rsidRPr="001B2907" w:rsidRDefault="00415A7D" w:rsidP="00415A7D">
      <w:pPr>
        <w:spacing w:line="360" w:lineRule="auto"/>
        <w:jc w:val="both"/>
        <w:rPr>
          <w:rFonts w:ascii="Times New Roman" w:hAnsi="Times New Roman"/>
          <w:sz w:val="24"/>
          <w:szCs w:val="24"/>
        </w:rPr>
      </w:pPr>
      <w:r w:rsidRPr="001B2907">
        <w:rPr>
          <w:rFonts w:ascii="Times New Roman" w:hAnsi="Times New Roman"/>
          <w:b/>
          <w:sz w:val="24"/>
          <w:szCs w:val="24"/>
        </w:rPr>
        <w:t xml:space="preserve">Gross Profit Margin – </w:t>
      </w:r>
      <w:r w:rsidRPr="001B2907">
        <w:rPr>
          <w:rFonts w:ascii="Times New Roman" w:hAnsi="Times New Roman"/>
          <w:sz w:val="24"/>
          <w:szCs w:val="24"/>
        </w:rPr>
        <w:t>The</w:t>
      </w:r>
      <w:r w:rsidRPr="001B2907">
        <w:rPr>
          <w:rFonts w:ascii="Times New Roman" w:hAnsi="Times New Roman"/>
          <w:b/>
          <w:sz w:val="24"/>
          <w:szCs w:val="24"/>
        </w:rPr>
        <w:t xml:space="preserve"> </w:t>
      </w:r>
      <w:r w:rsidRPr="001B2907">
        <w:rPr>
          <w:rFonts w:ascii="Times New Roman" w:hAnsi="Times New Roman"/>
          <w:sz w:val="24"/>
          <w:szCs w:val="24"/>
        </w:rPr>
        <w:t xml:space="preserve">Gross Profit Margin of Honeywell has been rising in small increments of 1% to 3% from 2012. The product sales and service sales of Honeywell was improving over the years, although, it dipped in 2015. The same trend was also seen in the cost </w:t>
      </w:r>
      <w:proofErr w:type="gramStart"/>
      <w:r w:rsidRPr="001B2907">
        <w:rPr>
          <w:rFonts w:ascii="Times New Roman" w:hAnsi="Times New Roman"/>
          <w:sz w:val="24"/>
          <w:szCs w:val="24"/>
        </w:rPr>
        <w:lastRenderedPageBreak/>
        <w:t>of</w:t>
      </w:r>
      <w:proofErr w:type="gramEnd"/>
      <w:r w:rsidRPr="001B2907">
        <w:rPr>
          <w:rFonts w:ascii="Times New Roman" w:hAnsi="Times New Roman"/>
          <w:sz w:val="24"/>
          <w:szCs w:val="24"/>
        </w:rPr>
        <w:t xml:space="preserve"> sales for products sold and the cost of sales for services sold that rose but fell in 2015. Both the sales and cost of sales have then been improving for Honeywell. The Gross Profit Margin of GE was found to be much lower than Honeywell in 2016 at 27% against the 31% recorded by Honeywell. Therefore, Honeywell has been able to improve its sales figures while lowering its cost of sales levels. It enables Honeywell to pay its operating expenses with its high gross profit margins, due to its high profitability enjoyed by Honeywell over the last 5 years. It can also aid Honeywell to sell its inventory to generate more profits. The higher gross profit margin of Honeywell showed that it can profitably sell of its inventory. In order to boost the gross profit margin of Honeywell, it can increase its sales and this will requiring increasing its level of inventory which can be sold profitably. </w:t>
      </w:r>
    </w:p>
    <w:p w:rsidR="00415A7D" w:rsidRPr="001B2907" w:rsidRDefault="00415A7D" w:rsidP="00415A7D">
      <w:pPr>
        <w:spacing w:line="360" w:lineRule="auto"/>
        <w:jc w:val="both"/>
        <w:rPr>
          <w:rFonts w:ascii="Times New Roman" w:hAnsi="Times New Roman"/>
          <w:sz w:val="24"/>
          <w:szCs w:val="24"/>
        </w:rPr>
      </w:pPr>
      <w:r w:rsidRPr="001B2907">
        <w:rPr>
          <w:rFonts w:ascii="Times New Roman" w:hAnsi="Times New Roman"/>
          <w:b/>
          <w:sz w:val="24"/>
          <w:szCs w:val="24"/>
        </w:rPr>
        <w:t xml:space="preserve">Net Profit Margin – </w:t>
      </w:r>
      <w:r w:rsidRPr="001B2907">
        <w:rPr>
          <w:rFonts w:ascii="Times New Roman" w:hAnsi="Times New Roman"/>
          <w:sz w:val="24"/>
          <w:szCs w:val="24"/>
        </w:rPr>
        <w:t>On observing the</w:t>
      </w:r>
      <w:r w:rsidRPr="001B2907">
        <w:rPr>
          <w:rFonts w:ascii="Times New Roman" w:hAnsi="Times New Roman"/>
          <w:b/>
          <w:sz w:val="24"/>
          <w:szCs w:val="24"/>
        </w:rPr>
        <w:t xml:space="preserve"> </w:t>
      </w:r>
      <w:r w:rsidRPr="001B2907">
        <w:rPr>
          <w:rFonts w:ascii="Times New Roman" w:hAnsi="Times New Roman"/>
          <w:sz w:val="24"/>
          <w:szCs w:val="24"/>
        </w:rPr>
        <w:t xml:space="preserve">Net Profit Margin of Honeywell, it can be seen that the Net Profit Margin of Honeywell rose sharply in 2013 by doubling itself and then fell dramatically in 2014. Nevertheless, in 2015, it doubled its net profit margin again on recovering strongly in its sales and net profits levels. However, since then, it has been able to improve its Net Profit Margin by maintain its higher levels of net profits and sales generated by the </w:t>
      </w:r>
      <w:proofErr w:type="spellStart"/>
      <w:r w:rsidRPr="001B2907">
        <w:rPr>
          <w:rFonts w:ascii="Times New Roman" w:hAnsi="Times New Roman"/>
          <w:sz w:val="24"/>
          <w:szCs w:val="24"/>
        </w:rPr>
        <w:t>organisation</w:t>
      </w:r>
      <w:proofErr w:type="spellEnd"/>
      <w:r w:rsidRPr="001B2907">
        <w:rPr>
          <w:rFonts w:ascii="Times New Roman" w:hAnsi="Times New Roman"/>
          <w:sz w:val="24"/>
          <w:szCs w:val="24"/>
        </w:rPr>
        <w:t xml:space="preserve">. It was found that there was a huge fall in the Net Profit of Honeywell while the sales rose for Honeywell and so Honeywell has been incurring high operational and administrative expenses in its business operations. On the other hand, the Net Profit Margin of GE is much lower than Honeywell. This shows that Honeywell has higher performance efficiency than GE that has helped deliver it higher profits and sales in the last few years. It is imperative that Honeywell has to increase its net profits by improving its sales and lowering its operational expenses in order to translate the high level of sales into higher profits for the </w:t>
      </w:r>
      <w:proofErr w:type="spellStart"/>
      <w:r w:rsidRPr="001B2907">
        <w:rPr>
          <w:rFonts w:ascii="Times New Roman" w:hAnsi="Times New Roman"/>
          <w:sz w:val="24"/>
          <w:szCs w:val="24"/>
        </w:rPr>
        <w:t>organisation</w:t>
      </w:r>
      <w:proofErr w:type="spellEnd"/>
      <w:r w:rsidRPr="001B2907">
        <w:rPr>
          <w:rFonts w:ascii="Times New Roman" w:hAnsi="Times New Roman"/>
          <w:sz w:val="24"/>
          <w:szCs w:val="24"/>
        </w:rPr>
        <w:t xml:space="preserve">. </w:t>
      </w:r>
    </w:p>
    <w:p w:rsidR="00415A7D" w:rsidRPr="001B2907" w:rsidRDefault="00415A7D" w:rsidP="00415A7D">
      <w:pPr>
        <w:spacing w:line="360" w:lineRule="auto"/>
        <w:jc w:val="both"/>
        <w:rPr>
          <w:rFonts w:ascii="Times New Roman" w:hAnsi="Times New Roman"/>
          <w:sz w:val="24"/>
          <w:szCs w:val="24"/>
        </w:rPr>
      </w:pPr>
      <w:r w:rsidRPr="001B2907">
        <w:rPr>
          <w:rFonts w:ascii="Times New Roman" w:hAnsi="Times New Roman"/>
          <w:b/>
          <w:sz w:val="24"/>
          <w:szCs w:val="24"/>
        </w:rPr>
        <w:t xml:space="preserve">Operating Profit Margin – </w:t>
      </w:r>
      <w:r w:rsidRPr="001B2907">
        <w:rPr>
          <w:rFonts w:ascii="Times New Roman" w:hAnsi="Times New Roman"/>
          <w:sz w:val="24"/>
          <w:szCs w:val="24"/>
        </w:rPr>
        <w:t>The</w:t>
      </w:r>
      <w:r w:rsidRPr="001B2907">
        <w:rPr>
          <w:rFonts w:ascii="Times New Roman" w:hAnsi="Times New Roman"/>
          <w:b/>
          <w:sz w:val="24"/>
          <w:szCs w:val="24"/>
        </w:rPr>
        <w:t xml:space="preserve"> </w:t>
      </w:r>
      <w:r w:rsidRPr="001B2907">
        <w:rPr>
          <w:rFonts w:ascii="Times New Roman" w:hAnsi="Times New Roman"/>
          <w:sz w:val="24"/>
          <w:szCs w:val="24"/>
        </w:rPr>
        <w:t xml:space="preserve">Operating Profit Margin of Honeywell has shown remarkable improvement in the past 5 years by Honeywell while it is much higher compared to the Operating Profit Margin of GE for the year 2016. While the operating expenses of Honeywell has been reduced, the sales level of Honeywell has been increasing steadily from the year 2012 to 2016. This offers more income for Honeywell after paying all its operating costs for the business operations of the </w:t>
      </w:r>
      <w:proofErr w:type="spellStart"/>
      <w:r w:rsidRPr="001B2907">
        <w:rPr>
          <w:rFonts w:ascii="Times New Roman" w:hAnsi="Times New Roman"/>
          <w:sz w:val="24"/>
          <w:szCs w:val="24"/>
        </w:rPr>
        <w:t>organisation</w:t>
      </w:r>
      <w:proofErr w:type="spellEnd"/>
      <w:r w:rsidRPr="001B2907">
        <w:rPr>
          <w:rFonts w:ascii="Times New Roman" w:hAnsi="Times New Roman"/>
          <w:sz w:val="24"/>
          <w:szCs w:val="24"/>
        </w:rPr>
        <w:t xml:space="preserve">. The stable and improving operating profit margin showed by Honeywell has showed that there is stability in the business operations of Honeywell and it is sustainable for ensuring profitability of the </w:t>
      </w:r>
      <w:proofErr w:type="spellStart"/>
      <w:r w:rsidRPr="001B2907">
        <w:rPr>
          <w:rFonts w:ascii="Times New Roman" w:hAnsi="Times New Roman"/>
          <w:sz w:val="24"/>
          <w:szCs w:val="24"/>
        </w:rPr>
        <w:t>organisation</w:t>
      </w:r>
      <w:proofErr w:type="spellEnd"/>
      <w:r w:rsidRPr="001B2907">
        <w:rPr>
          <w:rFonts w:ascii="Times New Roman" w:hAnsi="Times New Roman"/>
          <w:sz w:val="24"/>
          <w:szCs w:val="24"/>
        </w:rPr>
        <w:t xml:space="preserve"> through the form of its </w:t>
      </w:r>
      <w:r w:rsidR="00DD273C" w:rsidRPr="001B2907">
        <w:rPr>
          <w:rFonts w:ascii="Times New Roman" w:hAnsi="Times New Roman"/>
          <w:sz w:val="24"/>
          <w:szCs w:val="24"/>
        </w:rPr>
        <w:t>non-operational</w:t>
      </w:r>
      <w:r w:rsidRPr="001B2907">
        <w:rPr>
          <w:rFonts w:ascii="Times New Roman" w:hAnsi="Times New Roman"/>
          <w:sz w:val="24"/>
          <w:szCs w:val="24"/>
        </w:rPr>
        <w:t xml:space="preserve"> </w:t>
      </w:r>
      <w:r w:rsidRPr="001B2907">
        <w:rPr>
          <w:rFonts w:ascii="Times New Roman" w:hAnsi="Times New Roman"/>
          <w:sz w:val="24"/>
          <w:szCs w:val="24"/>
        </w:rPr>
        <w:lastRenderedPageBreak/>
        <w:t xml:space="preserve">income. It can be said that Honeywell is making sufficient money to pay for its fixed costs and variable costs through income earned from its current </w:t>
      </w:r>
      <w:r w:rsidR="00DD273C" w:rsidRPr="001B2907">
        <w:rPr>
          <w:rFonts w:ascii="Times New Roman" w:hAnsi="Times New Roman"/>
          <w:sz w:val="24"/>
          <w:szCs w:val="24"/>
        </w:rPr>
        <w:t>organizational</w:t>
      </w:r>
      <w:r w:rsidRPr="001B2907">
        <w:rPr>
          <w:rFonts w:ascii="Times New Roman" w:hAnsi="Times New Roman"/>
          <w:sz w:val="24"/>
          <w:szCs w:val="24"/>
        </w:rPr>
        <w:t xml:space="preserve"> operations and so will be more </w:t>
      </w:r>
      <w:r w:rsidR="00DD273C" w:rsidRPr="001B2907">
        <w:rPr>
          <w:rFonts w:ascii="Times New Roman" w:hAnsi="Times New Roman"/>
          <w:sz w:val="24"/>
          <w:szCs w:val="24"/>
        </w:rPr>
        <w:t>favorable</w:t>
      </w:r>
      <w:r w:rsidRPr="001B2907">
        <w:rPr>
          <w:rFonts w:ascii="Times New Roman" w:hAnsi="Times New Roman"/>
          <w:sz w:val="24"/>
          <w:szCs w:val="24"/>
        </w:rPr>
        <w:t xml:space="preserve"> both for its investors and creditors. Despite, Honeywell enjoying a higher operating profit margin that GE, it can improve its operating profit margin from effectively lowering its operational expenses through various cost cutting measures that can be implemented across the </w:t>
      </w:r>
      <w:proofErr w:type="spellStart"/>
      <w:r w:rsidRPr="001B2907">
        <w:rPr>
          <w:rFonts w:ascii="Times New Roman" w:hAnsi="Times New Roman"/>
          <w:sz w:val="24"/>
          <w:szCs w:val="24"/>
        </w:rPr>
        <w:t>organisation</w:t>
      </w:r>
      <w:proofErr w:type="spellEnd"/>
      <w:r w:rsidRPr="001B2907">
        <w:rPr>
          <w:rFonts w:ascii="Times New Roman" w:hAnsi="Times New Roman"/>
          <w:sz w:val="24"/>
          <w:szCs w:val="24"/>
        </w:rPr>
        <w:t xml:space="preserve"> to boost its profits.</w:t>
      </w:r>
    </w:p>
    <w:p w:rsidR="00B3201B" w:rsidRPr="001B2907" w:rsidRDefault="00B3201B" w:rsidP="00415A7D">
      <w:pPr>
        <w:spacing w:line="360" w:lineRule="auto"/>
        <w:jc w:val="both"/>
        <w:rPr>
          <w:rFonts w:ascii="Times New Roman" w:hAnsi="Times New Roman"/>
          <w:sz w:val="24"/>
          <w:szCs w:val="24"/>
        </w:rPr>
      </w:pPr>
    </w:p>
    <w:p w:rsidR="00B3201B" w:rsidRPr="001B2907" w:rsidRDefault="00B3201B" w:rsidP="00B3201B">
      <w:pPr>
        <w:pStyle w:val="Heading1"/>
        <w:rPr>
          <w:rFonts w:ascii="Times New Roman" w:hAnsi="Times New Roman" w:cs="Times New Roman"/>
          <w:b/>
          <w:color w:val="FF0000"/>
        </w:rPr>
      </w:pPr>
      <w:bookmarkStart w:id="4" w:name="_LIQUIDITY_RATIOS"/>
      <w:bookmarkEnd w:id="4"/>
      <w:r w:rsidRPr="001B2907">
        <w:rPr>
          <w:rFonts w:ascii="Times New Roman" w:hAnsi="Times New Roman" w:cs="Times New Roman"/>
          <w:b/>
          <w:color w:val="FF0000"/>
        </w:rPr>
        <w:t>LIQUIDITY RATIOS</w:t>
      </w:r>
    </w:p>
    <w:p w:rsidR="00B3201B" w:rsidRPr="001B2907" w:rsidRDefault="00B3201B" w:rsidP="00B3201B"/>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985"/>
        <w:gridCol w:w="1088"/>
        <w:gridCol w:w="1086"/>
        <w:gridCol w:w="1245"/>
        <w:gridCol w:w="1399"/>
        <w:gridCol w:w="1156"/>
        <w:gridCol w:w="1391"/>
      </w:tblGrid>
      <w:tr w:rsidR="00B3201B" w:rsidRPr="001B2907" w:rsidTr="00DD273C">
        <w:trPr>
          <w:trHeight w:val="39"/>
        </w:trPr>
        <w:tc>
          <w:tcPr>
            <w:tcW w:w="1061" w:type="pct"/>
            <w:tcBorders>
              <w:top w:val="single" w:sz="4" w:space="0" w:color="auto"/>
              <w:left w:val="single" w:sz="4" w:space="0" w:color="auto"/>
              <w:right w:val="nil"/>
            </w:tcBorders>
            <w:shd w:val="clear" w:color="auto" w:fill="F9C6C6" w:themeFill="accent1" w:themeFillTint="33"/>
            <w:vAlign w:val="center"/>
          </w:tcPr>
          <w:p w:rsidR="00B3201B" w:rsidRPr="001B2907" w:rsidRDefault="00B3201B" w:rsidP="002A7137">
            <w:pPr>
              <w:spacing w:line="360" w:lineRule="auto"/>
              <w:jc w:val="center"/>
              <w:rPr>
                <w:rFonts w:ascii="Times New Roman" w:hAnsi="Times New Roman"/>
                <w:b/>
                <w:sz w:val="24"/>
                <w:szCs w:val="24"/>
              </w:rPr>
            </w:pPr>
            <w:bookmarkStart w:id="5" w:name="_Hlk502309373"/>
          </w:p>
        </w:tc>
        <w:tc>
          <w:tcPr>
            <w:tcW w:w="3195" w:type="pct"/>
            <w:gridSpan w:val="5"/>
            <w:tcBorders>
              <w:top w:val="single" w:sz="4" w:space="0" w:color="auto"/>
              <w:left w:val="nil"/>
              <w:right w:val="nil"/>
            </w:tcBorders>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sz w:val="24"/>
                <w:szCs w:val="24"/>
              </w:rPr>
            </w:pPr>
            <w:r w:rsidRPr="001B2907">
              <w:rPr>
                <w:rFonts w:ascii="Times New Roman" w:hAnsi="Times New Roman"/>
                <w:b/>
                <w:sz w:val="24"/>
                <w:szCs w:val="24"/>
              </w:rPr>
              <w:t>Honeywell</w:t>
            </w:r>
          </w:p>
        </w:tc>
        <w:tc>
          <w:tcPr>
            <w:tcW w:w="744" w:type="pct"/>
            <w:tcBorders>
              <w:top w:val="single" w:sz="4" w:space="0" w:color="auto"/>
              <w:left w:val="nil"/>
              <w:right w:val="single" w:sz="4" w:space="0" w:color="auto"/>
            </w:tcBorders>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sz w:val="24"/>
                <w:szCs w:val="24"/>
              </w:rPr>
            </w:pPr>
            <w:r w:rsidRPr="001B2907">
              <w:rPr>
                <w:rFonts w:ascii="Times New Roman" w:hAnsi="Times New Roman"/>
                <w:b/>
                <w:sz w:val="24"/>
                <w:szCs w:val="24"/>
              </w:rPr>
              <w:t>GE</w:t>
            </w:r>
          </w:p>
        </w:tc>
      </w:tr>
      <w:tr w:rsidR="00E43177" w:rsidRPr="001B2907" w:rsidTr="00DD273C">
        <w:trPr>
          <w:trHeight w:val="39"/>
        </w:trPr>
        <w:tc>
          <w:tcPr>
            <w:tcW w:w="1061" w:type="pct"/>
            <w:tcBorders>
              <w:left w:val="single" w:sz="4" w:space="0" w:color="auto"/>
            </w:tcBorders>
            <w:shd w:val="clear" w:color="auto" w:fill="F9C6C6" w:themeFill="accent1" w:themeFillTint="33"/>
            <w:vAlign w:val="center"/>
          </w:tcPr>
          <w:p w:rsidR="00B3201B" w:rsidRPr="001B2907" w:rsidRDefault="00B3201B" w:rsidP="002A7137">
            <w:pPr>
              <w:spacing w:line="360" w:lineRule="auto"/>
              <w:jc w:val="center"/>
              <w:rPr>
                <w:rFonts w:ascii="Times New Roman" w:hAnsi="Times New Roman"/>
                <w:sz w:val="24"/>
                <w:szCs w:val="24"/>
              </w:rPr>
            </w:pPr>
          </w:p>
        </w:tc>
        <w:tc>
          <w:tcPr>
            <w:tcW w:w="582"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sz w:val="24"/>
                <w:szCs w:val="24"/>
              </w:rPr>
            </w:pPr>
            <w:r w:rsidRPr="001B2907">
              <w:rPr>
                <w:rFonts w:ascii="Times New Roman" w:hAnsi="Times New Roman"/>
                <w:b/>
                <w:sz w:val="24"/>
                <w:szCs w:val="24"/>
              </w:rPr>
              <w:t>2012</w:t>
            </w:r>
          </w:p>
        </w:tc>
        <w:tc>
          <w:tcPr>
            <w:tcW w:w="581"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sz w:val="24"/>
                <w:szCs w:val="24"/>
              </w:rPr>
            </w:pPr>
            <w:r w:rsidRPr="001B2907">
              <w:rPr>
                <w:rFonts w:ascii="Times New Roman" w:hAnsi="Times New Roman"/>
                <w:b/>
                <w:sz w:val="24"/>
                <w:szCs w:val="24"/>
              </w:rPr>
              <w:t>2013</w:t>
            </w:r>
          </w:p>
        </w:tc>
        <w:tc>
          <w:tcPr>
            <w:tcW w:w="666"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sz w:val="24"/>
                <w:szCs w:val="24"/>
              </w:rPr>
            </w:pPr>
            <w:r w:rsidRPr="001B2907">
              <w:rPr>
                <w:rFonts w:ascii="Times New Roman" w:hAnsi="Times New Roman"/>
                <w:b/>
                <w:sz w:val="24"/>
                <w:szCs w:val="24"/>
              </w:rPr>
              <w:t>2014</w:t>
            </w:r>
          </w:p>
        </w:tc>
        <w:tc>
          <w:tcPr>
            <w:tcW w:w="748"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sz w:val="24"/>
                <w:szCs w:val="24"/>
              </w:rPr>
            </w:pPr>
            <w:r w:rsidRPr="001B2907">
              <w:rPr>
                <w:rFonts w:ascii="Times New Roman" w:hAnsi="Times New Roman"/>
                <w:b/>
                <w:sz w:val="24"/>
                <w:szCs w:val="24"/>
              </w:rPr>
              <w:t>2015</w:t>
            </w:r>
          </w:p>
        </w:tc>
        <w:tc>
          <w:tcPr>
            <w:tcW w:w="618"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sz w:val="24"/>
                <w:szCs w:val="24"/>
              </w:rPr>
            </w:pPr>
            <w:r w:rsidRPr="001B2907">
              <w:rPr>
                <w:rFonts w:ascii="Times New Roman" w:hAnsi="Times New Roman"/>
                <w:b/>
                <w:sz w:val="24"/>
                <w:szCs w:val="24"/>
              </w:rPr>
              <w:t>2016</w:t>
            </w:r>
          </w:p>
        </w:tc>
        <w:tc>
          <w:tcPr>
            <w:tcW w:w="744" w:type="pct"/>
            <w:tcBorders>
              <w:right w:val="single" w:sz="4" w:space="0" w:color="auto"/>
            </w:tcBorders>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2016</w:t>
            </w:r>
          </w:p>
        </w:tc>
      </w:tr>
      <w:tr w:rsidR="00E43177" w:rsidRPr="001B2907" w:rsidTr="00DD273C">
        <w:trPr>
          <w:trHeight w:val="39"/>
        </w:trPr>
        <w:tc>
          <w:tcPr>
            <w:tcW w:w="1061" w:type="pct"/>
            <w:tcBorders>
              <w:left w:val="single" w:sz="4" w:space="0" w:color="auto"/>
            </w:tcBorders>
            <w:shd w:val="clear" w:color="auto" w:fill="F9C6C6" w:themeFill="accent1" w:themeFillTint="33"/>
            <w:vAlign w:val="center"/>
            <w:hideMark/>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Current Ratio</w:t>
            </w:r>
          </w:p>
        </w:tc>
        <w:tc>
          <w:tcPr>
            <w:tcW w:w="582" w:type="pct"/>
            <w:shd w:val="clear" w:color="auto" w:fill="F9C6C6" w:themeFill="accent1" w:themeFillTint="33"/>
            <w:noWrap/>
            <w:vAlign w:val="center"/>
            <w:hideMark/>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1.35</w:t>
            </w:r>
          </w:p>
        </w:tc>
        <w:tc>
          <w:tcPr>
            <w:tcW w:w="581" w:type="pct"/>
            <w:shd w:val="clear" w:color="auto" w:fill="F9C6C6" w:themeFill="accent1" w:themeFillTint="33"/>
            <w:noWrap/>
            <w:vAlign w:val="center"/>
            <w:hideMark/>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1.49</w:t>
            </w:r>
          </w:p>
        </w:tc>
        <w:tc>
          <w:tcPr>
            <w:tcW w:w="666" w:type="pct"/>
            <w:shd w:val="clear" w:color="auto" w:fill="F9C6C6" w:themeFill="accent1" w:themeFillTint="33"/>
            <w:noWrap/>
            <w:vAlign w:val="center"/>
            <w:hideMark/>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1.50</w:t>
            </w:r>
          </w:p>
        </w:tc>
        <w:tc>
          <w:tcPr>
            <w:tcW w:w="748" w:type="pct"/>
            <w:shd w:val="clear" w:color="auto" w:fill="F9C6C6" w:themeFill="accent1" w:themeFillTint="33"/>
            <w:noWrap/>
            <w:vAlign w:val="center"/>
            <w:hideMark/>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1.25</w:t>
            </w:r>
          </w:p>
        </w:tc>
        <w:tc>
          <w:tcPr>
            <w:tcW w:w="618" w:type="pct"/>
            <w:shd w:val="clear" w:color="auto" w:fill="F9C6C6" w:themeFill="accent1" w:themeFillTint="33"/>
            <w:noWrap/>
            <w:vAlign w:val="center"/>
            <w:hideMark/>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1.41</w:t>
            </w:r>
          </w:p>
        </w:tc>
        <w:tc>
          <w:tcPr>
            <w:tcW w:w="744" w:type="pct"/>
            <w:tcBorders>
              <w:right w:val="single" w:sz="4" w:space="0" w:color="auto"/>
            </w:tcBorders>
            <w:shd w:val="clear" w:color="auto" w:fill="F9C6C6" w:themeFill="accent1" w:themeFillTint="33"/>
            <w:noWrap/>
            <w:vAlign w:val="center"/>
            <w:hideMark/>
          </w:tcPr>
          <w:p w:rsidR="00B3201B" w:rsidRPr="001B2907" w:rsidRDefault="00B3201B"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1.85</w:t>
            </w:r>
          </w:p>
        </w:tc>
      </w:tr>
      <w:tr w:rsidR="00E43177" w:rsidRPr="001B2907" w:rsidTr="00DD273C">
        <w:trPr>
          <w:trHeight w:val="39"/>
        </w:trPr>
        <w:tc>
          <w:tcPr>
            <w:tcW w:w="1061" w:type="pct"/>
            <w:tcBorders>
              <w:left w:val="single" w:sz="4" w:space="0" w:color="auto"/>
            </w:tcBorders>
            <w:shd w:val="clear" w:color="auto" w:fill="F9C6C6" w:themeFill="accent1" w:themeFillTint="33"/>
            <w:vAlign w:val="center"/>
          </w:tcPr>
          <w:p w:rsidR="00B3201B" w:rsidRPr="001B2907" w:rsidRDefault="00B3201B" w:rsidP="002A7137">
            <w:pPr>
              <w:spacing w:line="360" w:lineRule="auto"/>
              <w:jc w:val="center"/>
              <w:rPr>
                <w:rFonts w:ascii="Times New Roman" w:hAnsi="Times New Roman"/>
                <w:color w:val="FFFFFF"/>
                <w:sz w:val="24"/>
                <w:szCs w:val="24"/>
              </w:rPr>
            </w:pPr>
            <w:r w:rsidRPr="001B2907">
              <w:rPr>
                <w:rFonts w:ascii="Times New Roman" w:hAnsi="Times New Roman"/>
                <w:b/>
                <w:bCs/>
                <w:sz w:val="24"/>
                <w:szCs w:val="24"/>
              </w:rPr>
              <w:t>Quick Ratio</w:t>
            </w:r>
          </w:p>
        </w:tc>
        <w:tc>
          <w:tcPr>
            <w:tcW w:w="582" w:type="pct"/>
            <w:shd w:val="clear" w:color="auto" w:fill="F9C6C6" w:themeFill="accent1" w:themeFillTint="33"/>
            <w:noWrap/>
            <w:vAlign w:val="center"/>
          </w:tcPr>
          <w:p w:rsidR="00B3201B" w:rsidRPr="001B2907" w:rsidRDefault="00B3201B" w:rsidP="002A7137">
            <w:pPr>
              <w:spacing w:after="0" w:line="360" w:lineRule="auto"/>
              <w:jc w:val="center"/>
              <w:rPr>
                <w:rFonts w:ascii="Times New Roman" w:hAnsi="Times New Roman"/>
                <w:b/>
                <w:bCs/>
                <w:color w:val="000000"/>
                <w:sz w:val="24"/>
                <w:szCs w:val="24"/>
                <w:lang w:eastAsia="en-IN"/>
              </w:rPr>
            </w:pPr>
            <w:r w:rsidRPr="001B2907">
              <w:rPr>
                <w:rFonts w:ascii="Times New Roman" w:hAnsi="Times New Roman"/>
                <w:b/>
                <w:bCs/>
                <w:color w:val="000000"/>
                <w:sz w:val="24"/>
                <w:szCs w:val="24"/>
              </w:rPr>
              <w:t>1.02</w:t>
            </w:r>
          </w:p>
        </w:tc>
        <w:tc>
          <w:tcPr>
            <w:tcW w:w="581"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1.19</w:t>
            </w:r>
          </w:p>
        </w:tc>
        <w:tc>
          <w:tcPr>
            <w:tcW w:w="666"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1.20</w:t>
            </w:r>
          </w:p>
        </w:tc>
        <w:tc>
          <w:tcPr>
            <w:tcW w:w="748"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1.01</w:t>
            </w:r>
          </w:p>
        </w:tc>
        <w:tc>
          <w:tcPr>
            <w:tcW w:w="618" w:type="pct"/>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1.14</w:t>
            </w:r>
          </w:p>
        </w:tc>
        <w:tc>
          <w:tcPr>
            <w:tcW w:w="744" w:type="pct"/>
            <w:tcBorders>
              <w:right w:val="single" w:sz="4" w:space="0" w:color="auto"/>
            </w:tcBorders>
            <w:shd w:val="clear" w:color="auto" w:fill="F9C6C6" w:themeFill="accent1" w:themeFillTint="33"/>
            <w:noWrap/>
            <w:vAlign w:val="center"/>
          </w:tcPr>
          <w:p w:rsidR="00B3201B" w:rsidRPr="001B2907" w:rsidRDefault="00B3201B"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1.58</w:t>
            </w:r>
          </w:p>
        </w:tc>
      </w:tr>
      <w:bookmarkEnd w:id="5"/>
      <w:tr w:rsidR="00DD273C" w:rsidRPr="001B2907" w:rsidTr="00DD273C">
        <w:trPr>
          <w:trHeight w:val="39"/>
        </w:trPr>
        <w:tc>
          <w:tcPr>
            <w:tcW w:w="1061" w:type="pct"/>
            <w:tcBorders>
              <w:top w:val="single" w:sz="4" w:space="0" w:color="FFFFFF"/>
              <w:left w:val="single" w:sz="4" w:space="0" w:color="auto"/>
              <w:bottom w:val="single" w:sz="4" w:space="0" w:color="auto"/>
              <w:right w:val="single" w:sz="4" w:space="0" w:color="FFFFFF"/>
            </w:tcBorders>
            <w:shd w:val="clear" w:color="auto" w:fill="F9C6C6" w:themeFill="accent1" w:themeFillTint="33"/>
            <w:vAlign w:val="center"/>
          </w:tcPr>
          <w:p w:rsidR="00DD273C" w:rsidRPr="001B2907" w:rsidRDefault="00DD273C" w:rsidP="009C12C1">
            <w:pPr>
              <w:spacing w:line="360" w:lineRule="auto"/>
              <w:jc w:val="center"/>
              <w:rPr>
                <w:rFonts w:ascii="Times New Roman" w:hAnsi="Times New Roman"/>
                <w:b/>
                <w:bCs/>
                <w:sz w:val="24"/>
                <w:szCs w:val="24"/>
              </w:rPr>
            </w:pPr>
            <w:r w:rsidRPr="001B2907">
              <w:rPr>
                <w:rFonts w:ascii="Times New Roman" w:hAnsi="Times New Roman"/>
                <w:b/>
                <w:bCs/>
                <w:sz w:val="24"/>
                <w:szCs w:val="24"/>
              </w:rPr>
              <w:t>Cash Ratio</w:t>
            </w:r>
          </w:p>
        </w:tc>
        <w:tc>
          <w:tcPr>
            <w:tcW w:w="582"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DD273C" w:rsidRPr="001B2907" w:rsidRDefault="00DD273C" w:rsidP="00DD273C">
            <w:pPr>
              <w:spacing w:after="0"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0.36</w:t>
            </w:r>
          </w:p>
        </w:tc>
        <w:tc>
          <w:tcPr>
            <w:tcW w:w="581"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DD273C" w:rsidRPr="001B2907" w:rsidRDefault="00DD273C" w:rsidP="00DD273C">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0.45</w:t>
            </w:r>
          </w:p>
        </w:tc>
        <w:tc>
          <w:tcPr>
            <w:tcW w:w="666"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DD273C" w:rsidRPr="001B2907" w:rsidRDefault="00DD273C" w:rsidP="00DD273C">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0.47</w:t>
            </w:r>
          </w:p>
        </w:tc>
        <w:tc>
          <w:tcPr>
            <w:tcW w:w="748"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DD273C" w:rsidRPr="001B2907" w:rsidRDefault="00DD273C" w:rsidP="00DD273C">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0.30</w:t>
            </w:r>
          </w:p>
        </w:tc>
        <w:tc>
          <w:tcPr>
            <w:tcW w:w="618"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DD273C" w:rsidRPr="001B2907" w:rsidRDefault="00DD273C" w:rsidP="00DD273C">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0.48</w:t>
            </w:r>
          </w:p>
        </w:tc>
        <w:tc>
          <w:tcPr>
            <w:tcW w:w="744" w:type="pct"/>
            <w:tcBorders>
              <w:top w:val="single" w:sz="4" w:space="0" w:color="FFFFFF"/>
              <w:left w:val="single" w:sz="4" w:space="0" w:color="FFFFFF"/>
              <w:bottom w:val="single" w:sz="4" w:space="0" w:color="auto"/>
              <w:right w:val="single" w:sz="4" w:space="0" w:color="auto"/>
            </w:tcBorders>
            <w:shd w:val="clear" w:color="auto" w:fill="F9C6C6" w:themeFill="accent1" w:themeFillTint="33"/>
            <w:noWrap/>
            <w:vAlign w:val="center"/>
          </w:tcPr>
          <w:p w:rsidR="00DD273C" w:rsidRPr="001B2907" w:rsidRDefault="00DD273C" w:rsidP="00DD273C">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0.59</w:t>
            </w:r>
          </w:p>
        </w:tc>
      </w:tr>
    </w:tbl>
    <w:p w:rsidR="00DD273C" w:rsidRPr="001B2907" w:rsidRDefault="00DD273C" w:rsidP="005B1EBE">
      <w:pPr>
        <w:spacing w:line="276" w:lineRule="auto"/>
        <w:rPr>
          <w:noProof/>
          <w:lang w:val="en-IN" w:eastAsia="en-IN"/>
        </w:rPr>
      </w:pPr>
      <w:r w:rsidRPr="001B2907">
        <w:rPr>
          <w:noProof/>
          <w:lang w:val="en-IN" w:eastAsia="en-IN"/>
        </w:rPr>
        <w:drawing>
          <wp:inline distT="0" distB="0" distL="0" distR="0" wp14:anchorId="58E09E41" wp14:editId="4D854861">
            <wp:extent cx="5844540" cy="2735580"/>
            <wp:effectExtent l="0" t="0" r="3810" b="762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3201B" w:rsidRPr="001B2907" w:rsidRDefault="00B3201B" w:rsidP="005B1EBE">
      <w:pPr>
        <w:spacing w:line="276" w:lineRule="auto"/>
        <w:rPr>
          <w:rFonts w:cstheme="minorHAnsi"/>
          <w:sz w:val="28"/>
          <w:szCs w:val="28"/>
        </w:rPr>
      </w:pPr>
      <w:r w:rsidRPr="001B2907">
        <w:rPr>
          <w:rFonts w:ascii="Times New Roman" w:hAnsi="Times New Roman"/>
          <w:sz w:val="24"/>
          <w:szCs w:val="24"/>
        </w:rPr>
        <w:t>Table: Liquidity Ratios of Honeywell and GE</w:t>
      </w:r>
    </w:p>
    <w:p w:rsidR="00B3201B" w:rsidRPr="001B2907" w:rsidRDefault="00B3201B" w:rsidP="00B3201B">
      <w:pPr>
        <w:spacing w:line="276" w:lineRule="auto"/>
        <w:rPr>
          <w:rFonts w:ascii="Times New Roman" w:hAnsi="Times New Roman"/>
          <w:bCs/>
          <w:sz w:val="24"/>
          <w:szCs w:val="24"/>
        </w:rPr>
      </w:pPr>
      <w:r w:rsidRPr="001B2907">
        <w:rPr>
          <w:rFonts w:ascii="Times New Roman" w:hAnsi="Times New Roman"/>
          <w:sz w:val="24"/>
          <w:szCs w:val="24"/>
        </w:rPr>
        <w:t xml:space="preserve">Source: Adapted from </w:t>
      </w:r>
      <w:r w:rsidRPr="001B2907">
        <w:rPr>
          <w:rFonts w:ascii="Times New Roman" w:hAnsi="Times New Roman"/>
          <w:bCs/>
          <w:sz w:val="24"/>
          <w:szCs w:val="24"/>
        </w:rPr>
        <w:t>H</w:t>
      </w:r>
      <w:r w:rsidR="00632FB7" w:rsidRPr="001B2907">
        <w:rPr>
          <w:rFonts w:ascii="Times New Roman" w:hAnsi="Times New Roman"/>
          <w:bCs/>
          <w:sz w:val="24"/>
          <w:szCs w:val="24"/>
        </w:rPr>
        <w:t>oneywell (2014), Honeywell (2016</w:t>
      </w:r>
      <w:r w:rsidRPr="001B2907">
        <w:rPr>
          <w:rFonts w:ascii="Times New Roman" w:hAnsi="Times New Roman"/>
          <w:bCs/>
          <w:sz w:val="24"/>
          <w:szCs w:val="24"/>
        </w:rPr>
        <w:t>) and GE (2016)</w:t>
      </w:r>
    </w:p>
    <w:p w:rsidR="00B3201B" w:rsidRPr="001B2907" w:rsidRDefault="00B3201B" w:rsidP="00B3201B">
      <w:pPr>
        <w:spacing w:line="276" w:lineRule="auto"/>
        <w:rPr>
          <w:rFonts w:ascii="Times New Roman" w:hAnsi="Times New Roman"/>
          <w:bCs/>
          <w:sz w:val="24"/>
          <w:szCs w:val="24"/>
        </w:rPr>
      </w:pPr>
    </w:p>
    <w:p w:rsidR="00B3201B" w:rsidRPr="001B2907" w:rsidRDefault="00B3201B" w:rsidP="00B3201B">
      <w:pPr>
        <w:spacing w:line="360" w:lineRule="auto"/>
        <w:jc w:val="both"/>
        <w:rPr>
          <w:rFonts w:ascii="Times New Roman" w:hAnsi="Times New Roman"/>
          <w:bCs/>
          <w:sz w:val="24"/>
          <w:szCs w:val="24"/>
        </w:rPr>
      </w:pPr>
      <w:r w:rsidRPr="001B2907">
        <w:rPr>
          <w:rFonts w:ascii="Times New Roman" w:hAnsi="Times New Roman"/>
          <w:b/>
          <w:sz w:val="24"/>
          <w:szCs w:val="24"/>
        </w:rPr>
        <w:lastRenderedPageBreak/>
        <w:t xml:space="preserve">Current Ratio - </w:t>
      </w:r>
      <w:r w:rsidRPr="001B2907">
        <w:rPr>
          <w:rFonts w:ascii="Times New Roman" w:hAnsi="Times New Roman"/>
          <w:sz w:val="24"/>
          <w:szCs w:val="24"/>
        </w:rPr>
        <w:t xml:space="preserve">The </w:t>
      </w:r>
      <w:r w:rsidRPr="001B2907">
        <w:rPr>
          <w:rFonts w:ascii="Times New Roman" w:hAnsi="Times New Roman"/>
          <w:bCs/>
          <w:sz w:val="24"/>
          <w:szCs w:val="24"/>
        </w:rPr>
        <w:t xml:space="preserve">current ratio </w:t>
      </w:r>
      <w:r w:rsidRPr="001B2907">
        <w:rPr>
          <w:rFonts w:ascii="Times New Roman" w:hAnsi="Times New Roman"/>
          <w:sz w:val="24"/>
          <w:szCs w:val="24"/>
        </w:rPr>
        <w:t xml:space="preserve">of </w:t>
      </w:r>
      <w:r w:rsidRPr="001B2907">
        <w:rPr>
          <w:rFonts w:ascii="Times New Roman" w:hAnsi="Times New Roman"/>
          <w:bCs/>
          <w:sz w:val="24"/>
          <w:szCs w:val="24"/>
        </w:rPr>
        <w:t xml:space="preserve">Honeywell over the last 5 years showed that it improved till 2014 and then suffered a huge decline in 2015 before recovering in 2016. However, in 2016, the current ratio of GE was found to be much higher than that of Honeywell. The unexpected dip in the current ratio of Honeywell can be due to the unexpected decline in current assets and increase in current liabilities in the year 2015. This was attributed to the </w:t>
      </w:r>
      <w:r w:rsidR="00DD273C" w:rsidRPr="001B2907">
        <w:rPr>
          <w:rFonts w:ascii="Times New Roman" w:hAnsi="Times New Roman"/>
          <w:bCs/>
          <w:sz w:val="24"/>
          <w:szCs w:val="24"/>
        </w:rPr>
        <w:t>unfavorable</w:t>
      </w:r>
      <w:r w:rsidRPr="001B2907">
        <w:rPr>
          <w:rFonts w:ascii="Times New Roman" w:hAnsi="Times New Roman"/>
          <w:bCs/>
          <w:sz w:val="24"/>
          <w:szCs w:val="24"/>
        </w:rPr>
        <w:t xml:space="preserve"> impact of fluctuations in the foreign currency. However, it improved in 2016 due to effective product mix and lesser foreign currency translation impacts. Hence, it is evident that Honeywell is struggling to make its short term payments and this increased the total debt burden of the </w:t>
      </w:r>
      <w:proofErr w:type="spellStart"/>
      <w:r w:rsidRPr="001B2907">
        <w:rPr>
          <w:rFonts w:ascii="Times New Roman" w:hAnsi="Times New Roman"/>
          <w:bCs/>
          <w:sz w:val="24"/>
          <w:szCs w:val="24"/>
        </w:rPr>
        <w:t>organisation</w:t>
      </w:r>
      <w:proofErr w:type="spellEnd"/>
      <w:r w:rsidRPr="001B2907">
        <w:rPr>
          <w:rFonts w:ascii="Times New Roman" w:hAnsi="Times New Roman"/>
          <w:bCs/>
          <w:sz w:val="24"/>
          <w:szCs w:val="24"/>
        </w:rPr>
        <w:t xml:space="preserve"> and so Honeywell has a low liquidity level. It is vital that Honeywell has to improve its current ratio by increasing its current assets while lowering its current liabilities to meet is debt payments over the short term period.</w:t>
      </w:r>
    </w:p>
    <w:p w:rsidR="00426C10" w:rsidRPr="001B2907" w:rsidRDefault="00426C10" w:rsidP="00426C10">
      <w:pPr>
        <w:spacing w:line="360" w:lineRule="auto"/>
        <w:jc w:val="both"/>
        <w:rPr>
          <w:rFonts w:ascii="Times New Roman" w:hAnsi="Times New Roman"/>
          <w:bCs/>
          <w:sz w:val="24"/>
          <w:szCs w:val="24"/>
        </w:rPr>
      </w:pPr>
      <w:r w:rsidRPr="001B2907">
        <w:rPr>
          <w:rFonts w:ascii="Times New Roman" w:hAnsi="Times New Roman"/>
          <w:b/>
          <w:sz w:val="24"/>
          <w:szCs w:val="24"/>
        </w:rPr>
        <w:t xml:space="preserve">Quick Ratio - </w:t>
      </w:r>
      <w:r w:rsidRPr="001B2907">
        <w:rPr>
          <w:rFonts w:ascii="Times New Roman" w:hAnsi="Times New Roman"/>
          <w:bCs/>
          <w:sz w:val="24"/>
          <w:szCs w:val="24"/>
        </w:rPr>
        <w:t>Similar, to the current ratio, the quick ratio or the acid test ratio of Honeywell also rose consistently till 2014 and then fell heavily before making a marginal recovery in the last year. In 2016, the quick ratio of GE was also higher than Honeywell. There was a huge decline in the cash and cash equivalents of Honeywell while its short term borrowings rose in 2015. This was due to the weakening of the Euro that has lowered the ability of Honeywell to settle its current liabilities using only its quick assets. It also suffered from changes in the industry conditions and global economic growth in its key markets and the divisions it operates in that affects its level of assets and liabilities.  Therefore, Honeywell does not have adequate quick assets to pay its obligations and so will be forced to sell its capital assets or close some of its unprofitable divisions. It will indicate to the investors that its current business operations are not sufficient to generate sufficient profits to meet its current liabilities. It is vital that Honeywell has to augment its current assets while ensure lowering of its current liabilities to improve its quick ratio.</w:t>
      </w:r>
    </w:p>
    <w:p w:rsidR="00DD273C" w:rsidRPr="001B2907" w:rsidRDefault="00DD273C" w:rsidP="00DD273C">
      <w:pPr>
        <w:spacing w:line="360" w:lineRule="auto"/>
        <w:jc w:val="both"/>
        <w:rPr>
          <w:rFonts w:ascii="Times New Roman" w:hAnsi="Times New Roman"/>
          <w:bCs/>
          <w:sz w:val="24"/>
          <w:szCs w:val="24"/>
          <w:lang w:val="en-GB"/>
        </w:rPr>
      </w:pPr>
      <w:r w:rsidRPr="001B2907">
        <w:rPr>
          <w:rFonts w:ascii="Times New Roman" w:hAnsi="Times New Roman"/>
          <w:b/>
          <w:bCs/>
          <w:sz w:val="24"/>
          <w:szCs w:val="24"/>
          <w:lang w:val="en-GB"/>
        </w:rPr>
        <w:t>Cash Ratio –</w:t>
      </w:r>
      <w:r w:rsidRPr="001B2907">
        <w:rPr>
          <w:rFonts w:ascii="Times New Roman" w:hAnsi="Times New Roman"/>
          <w:bCs/>
          <w:sz w:val="24"/>
          <w:szCs w:val="24"/>
          <w:lang w:val="en-GB"/>
        </w:rPr>
        <w:t xml:space="preserve"> The cash ratio of Honeywell was found to increase steadily from 2012. However, there was a decline in 2015, owing to currency fluctuations that reduced the cash available with Honeywell. Nevertheless, comparing the cash ratio of Honeywell with GE, it is seen that GE has a better cash ratio compared to Honeywell. Hence, Honeywell has been exposed to volatility in foreign exchange fluctuations. It must ensure proper hedging policies to lower its risks.</w:t>
      </w:r>
    </w:p>
    <w:p w:rsidR="005B1EBE" w:rsidRDefault="005B1EBE" w:rsidP="00C82E87">
      <w:pPr>
        <w:pStyle w:val="Heading1"/>
        <w:rPr>
          <w:rFonts w:ascii="Times New Roman" w:eastAsiaTheme="minorEastAsia" w:hAnsi="Times New Roman" w:cstheme="minorBidi"/>
          <w:bCs/>
          <w:caps w:val="0"/>
          <w:color w:val="auto"/>
          <w:sz w:val="24"/>
          <w:szCs w:val="24"/>
        </w:rPr>
      </w:pPr>
    </w:p>
    <w:p w:rsidR="00217265" w:rsidRPr="00217265" w:rsidRDefault="00217265" w:rsidP="00217265"/>
    <w:p w:rsidR="00426C10" w:rsidRPr="001B2907" w:rsidRDefault="00C82E87" w:rsidP="00C82E87">
      <w:pPr>
        <w:pStyle w:val="Heading1"/>
        <w:rPr>
          <w:rFonts w:ascii="Times New Roman" w:hAnsi="Times New Roman" w:cs="Times New Roman"/>
          <w:b/>
          <w:color w:val="FF0000"/>
        </w:rPr>
      </w:pPr>
      <w:r w:rsidRPr="001B2907">
        <w:rPr>
          <w:rFonts w:ascii="Times New Roman" w:hAnsi="Times New Roman" w:cs="Times New Roman"/>
          <w:b/>
          <w:color w:val="FF0000"/>
        </w:rPr>
        <w:t>EFFICIENCY RATIOS</w:t>
      </w:r>
    </w:p>
    <w:p w:rsidR="00C82E87" w:rsidRPr="001B2907" w:rsidRDefault="00C82E87" w:rsidP="00C82E87"/>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984"/>
        <w:gridCol w:w="1088"/>
        <w:gridCol w:w="1085"/>
        <w:gridCol w:w="1245"/>
        <w:gridCol w:w="1401"/>
        <w:gridCol w:w="1156"/>
        <w:gridCol w:w="1391"/>
      </w:tblGrid>
      <w:tr w:rsidR="00C82E87" w:rsidRPr="001B2907" w:rsidTr="005B1EBE">
        <w:trPr>
          <w:trHeight w:val="290"/>
        </w:trPr>
        <w:tc>
          <w:tcPr>
            <w:tcW w:w="1061" w:type="pct"/>
            <w:tcBorders>
              <w:top w:val="single" w:sz="4" w:space="0" w:color="auto"/>
              <w:left w:val="single" w:sz="4" w:space="0" w:color="auto"/>
              <w:right w:val="nil"/>
            </w:tcBorders>
            <w:shd w:val="clear" w:color="auto" w:fill="F9C6C6" w:themeFill="accent1" w:themeFillTint="33"/>
            <w:vAlign w:val="center"/>
          </w:tcPr>
          <w:p w:rsidR="00C82E87" w:rsidRPr="001B2907" w:rsidRDefault="00C82E87" w:rsidP="002A7137">
            <w:pPr>
              <w:spacing w:line="360" w:lineRule="auto"/>
              <w:jc w:val="center"/>
              <w:rPr>
                <w:rFonts w:ascii="Times New Roman" w:hAnsi="Times New Roman"/>
                <w:b/>
                <w:sz w:val="24"/>
                <w:szCs w:val="24"/>
              </w:rPr>
            </w:pPr>
          </w:p>
        </w:tc>
        <w:tc>
          <w:tcPr>
            <w:tcW w:w="3195" w:type="pct"/>
            <w:gridSpan w:val="5"/>
            <w:tcBorders>
              <w:top w:val="single" w:sz="4" w:space="0" w:color="auto"/>
              <w:left w:val="nil"/>
              <w:right w:val="nil"/>
            </w:tcBorders>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sz w:val="24"/>
                <w:szCs w:val="24"/>
              </w:rPr>
            </w:pPr>
            <w:r w:rsidRPr="001B2907">
              <w:rPr>
                <w:rFonts w:ascii="Times New Roman" w:hAnsi="Times New Roman"/>
                <w:b/>
                <w:sz w:val="24"/>
                <w:szCs w:val="24"/>
              </w:rPr>
              <w:t>Honeywell</w:t>
            </w:r>
          </w:p>
        </w:tc>
        <w:tc>
          <w:tcPr>
            <w:tcW w:w="744" w:type="pct"/>
            <w:tcBorders>
              <w:top w:val="single" w:sz="4" w:space="0" w:color="auto"/>
              <w:left w:val="nil"/>
              <w:right w:val="single" w:sz="4" w:space="0" w:color="auto"/>
            </w:tcBorders>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sz w:val="24"/>
                <w:szCs w:val="24"/>
              </w:rPr>
            </w:pPr>
            <w:r w:rsidRPr="001B2907">
              <w:rPr>
                <w:rFonts w:ascii="Times New Roman" w:hAnsi="Times New Roman"/>
                <w:b/>
                <w:sz w:val="24"/>
                <w:szCs w:val="24"/>
              </w:rPr>
              <w:t>GE</w:t>
            </w:r>
          </w:p>
        </w:tc>
      </w:tr>
      <w:tr w:rsidR="005B1EBE" w:rsidRPr="001B2907" w:rsidTr="005B1EBE">
        <w:trPr>
          <w:trHeight w:val="290"/>
        </w:trPr>
        <w:tc>
          <w:tcPr>
            <w:tcW w:w="1061" w:type="pct"/>
            <w:tcBorders>
              <w:left w:val="single" w:sz="4" w:space="0" w:color="auto"/>
            </w:tcBorders>
            <w:shd w:val="clear" w:color="auto" w:fill="F9C6C6" w:themeFill="accent1" w:themeFillTint="33"/>
            <w:vAlign w:val="center"/>
          </w:tcPr>
          <w:p w:rsidR="00C82E87" w:rsidRPr="001B2907" w:rsidRDefault="00C82E87" w:rsidP="002A7137">
            <w:pPr>
              <w:spacing w:line="360" w:lineRule="auto"/>
              <w:jc w:val="center"/>
              <w:rPr>
                <w:rFonts w:ascii="Times New Roman" w:hAnsi="Times New Roman"/>
                <w:sz w:val="24"/>
                <w:szCs w:val="24"/>
              </w:rPr>
            </w:pPr>
          </w:p>
        </w:tc>
        <w:tc>
          <w:tcPr>
            <w:tcW w:w="582"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sz w:val="24"/>
                <w:szCs w:val="24"/>
              </w:rPr>
            </w:pPr>
            <w:r w:rsidRPr="001B2907">
              <w:rPr>
                <w:rFonts w:ascii="Times New Roman" w:hAnsi="Times New Roman"/>
                <w:b/>
                <w:sz w:val="24"/>
                <w:szCs w:val="24"/>
              </w:rPr>
              <w:t>2012</w:t>
            </w:r>
          </w:p>
        </w:tc>
        <w:tc>
          <w:tcPr>
            <w:tcW w:w="580"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sz w:val="24"/>
                <w:szCs w:val="24"/>
              </w:rPr>
            </w:pPr>
            <w:r w:rsidRPr="001B2907">
              <w:rPr>
                <w:rFonts w:ascii="Times New Roman" w:hAnsi="Times New Roman"/>
                <w:b/>
                <w:sz w:val="24"/>
                <w:szCs w:val="24"/>
              </w:rPr>
              <w:t>2013</w:t>
            </w:r>
          </w:p>
        </w:tc>
        <w:tc>
          <w:tcPr>
            <w:tcW w:w="666"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sz w:val="24"/>
                <w:szCs w:val="24"/>
              </w:rPr>
            </w:pPr>
            <w:r w:rsidRPr="001B2907">
              <w:rPr>
                <w:rFonts w:ascii="Times New Roman" w:hAnsi="Times New Roman"/>
                <w:b/>
                <w:sz w:val="24"/>
                <w:szCs w:val="24"/>
              </w:rPr>
              <w:t>2014</w:t>
            </w:r>
          </w:p>
        </w:tc>
        <w:tc>
          <w:tcPr>
            <w:tcW w:w="749"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sz w:val="24"/>
                <w:szCs w:val="24"/>
              </w:rPr>
            </w:pPr>
            <w:r w:rsidRPr="001B2907">
              <w:rPr>
                <w:rFonts w:ascii="Times New Roman" w:hAnsi="Times New Roman"/>
                <w:b/>
                <w:sz w:val="24"/>
                <w:szCs w:val="24"/>
              </w:rPr>
              <w:t>2015</w:t>
            </w:r>
          </w:p>
        </w:tc>
        <w:tc>
          <w:tcPr>
            <w:tcW w:w="617"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sz w:val="24"/>
                <w:szCs w:val="24"/>
              </w:rPr>
            </w:pPr>
            <w:r w:rsidRPr="001B2907">
              <w:rPr>
                <w:rFonts w:ascii="Times New Roman" w:hAnsi="Times New Roman"/>
                <w:b/>
                <w:sz w:val="24"/>
                <w:szCs w:val="24"/>
              </w:rPr>
              <w:t>2016</w:t>
            </w:r>
          </w:p>
        </w:tc>
        <w:tc>
          <w:tcPr>
            <w:tcW w:w="744" w:type="pct"/>
            <w:tcBorders>
              <w:right w:val="single" w:sz="4" w:space="0" w:color="auto"/>
            </w:tcBorders>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2016</w:t>
            </w:r>
          </w:p>
        </w:tc>
      </w:tr>
      <w:tr w:rsidR="005B1EBE" w:rsidRPr="001B2907" w:rsidTr="005B1EBE">
        <w:trPr>
          <w:trHeight w:val="290"/>
        </w:trPr>
        <w:tc>
          <w:tcPr>
            <w:tcW w:w="1061" w:type="pct"/>
            <w:tcBorders>
              <w:left w:val="single" w:sz="4" w:space="0" w:color="auto"/>
            </w:tcBorders>
            <w:shd w:val="clear" w:color="auto" w:fill="F9C6C6" w:themeFill="accent1" w:themeFillTint="33"/>
            <w:vAlign w:val="center"/>
            <w:hideMark/>
          </w:tcPr>
          <w:p w:rsidR="00C82E87" w:rsidRPr="001B2907" w:rsidRDefault="00C82E87"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Inventory – stock Turnover ratio</w:t>
            </w:r>
          </w:p>
        </w:tc>
        <w:tc>
          <w:tcPr>
            <w:tcW w:w="582" w:type="pct"/>
            <w:shd w:val="clear" w:color="auto" w:fill="F9C6C6" w:themeFill="accent1" w:themeFillTint="33"/>
            <w:noWrap/>
            <w:vAlign w:val="center"/>
            <w:hideMark/>
          </w:tcPr>
          <w:p w:rsidR="00C82E87" w:rsidRPr="001B2907" w:rsidRDefault="00C82E87" w:rsidP="002A7137">
            <w:pPr>
              <w:spacing w:after="0" w:line="360" w:lineRule="auto"/>
              <w:jc w:val="center"/>
              <w:rPr>
                <w:rFonts w:ascii="Times New Roman" w:hAnsi="Times New Roman"/>
                <w:b/>
                <w:bCs/>
                <w:color w:val="000000"/>
                <w:sz w:val="24"/>
                <w:szCs w:val="24"/>
                <w:lang w:eastAsia="en-IN"/>
              </w:rPr>
            </w:pPr>
            <w:r w:rsidRPr="001B2907">
              <w:rPr>
                <w:rFonts w:ascii="Times New Roman" w:hAnsi="Times New Roman"/>
                <w:b/>
                <w:bCs/>
                <w:color w:val="000000"/>
                <w:sz w:val="24"/>
                <w:szCs w:val="24"/>
              </w:rPr>
              <w:t>6.68</w:t>
            </w:r>
          </w:p>
        </w:tc>
        <w:tc>
          <w:tcPr>
            <w:tcW w:w="580" w:type="pct"/>
            <w:shd w:val="clear" w:color="auto" w:fill="F9C6C6" w:themeFill="accent1" w:themeFillTint="33"/>
            <w:noWrap/>
            <w:vAlign w:val="center"/>
            <w:hideMark/>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6.61</w:t>
            </w:r>
          </w:p>
        </w:tc>
        <w:tc>
          <w:tcPr>
            <w:tcW w:w="666" w:type="pct"/>
            <w:shd w:val="clear" w:color="auto" w:fill="F9C6C6" w:themeFill="accent1" w:themeFillTint="33"/>
            <w:noWrap/>
            <w:vAlign w:val="center"/>
            <w:hideMark/>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6.57</w:t>
            </w:r>
          </w:p>
        </w:tc>
        <w:tc>
          <w:tcPr>
            <w:tcW w:w="749" w:type="pct"/>
            <w:shd w:val="clear" w:color="auto" w:fill="F9C6C6" w:themeFill="accent1" w:themeFillTint="33"/>
            <w:noWrap/>
            <w:vAlign w:val="center"/>
            <w:hideMark/>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6.05</w:t>
            </w:r>
          </w:p>
        </w:tc>
        <w:tc>
          <w:tcPr>
            <w:tcW w:w="617" w:type="pct"/>
            <w:shd w:val="clear" w:color="auto" w:fill="F9C6C6" w:themeFill="accent1" w:themeFillTint="33"/>
            <w:noWrap/>
            <w:vAlign w:val="center"/>
            <w:hideMark/>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6.22</w:t>
            </w:r>
          </w:p>
        </w:tc>
        <w:tc>
          <w:tcPr>
            <w:tcW w:w="744" w:type="pct"/>
            <w:tcBorders>
              <w:right w:val="single" w:sz="4" w:space="0" w:color="auto"/>
            </w:tcBorders>
            <w:shd w:val="clear" w:color="auto" w:fill="F9C6C6" w:themeFill="accent1" w:themeFillTint="33"/>
            <w:noWrap/>
            <w:vAlign w:val="center"/>
            <w:hideMark/>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4.04</w:t>
            </w:r>
          </w:p>
        </w:tc>
      </w:tr>
      <w:tr w:rsidR="005B1EBE" w:rsidRPr="001B2907" w:rsidTr="005B1EBE">
        <w:trPr>
          <w:trHeight w:val="290"/>
        </w:trPr>
        <w:tc>
          <w:tcPr>
            <w:tcW w:w="1061" w:type="pct"/>
            <w:tcBorders>
              <w:left w:val="single" w:sz="4" w:space="0" w:color="auto"/>
            </w:tcBorders>
            <w:shd w:val="clear" w:color="auto" w:fill="F9C6C6" w:themeFill="accent1" w:themeFillTint="33"/>
            <w:vAlign w:val="center"/>
          </w:tcPr>
          <w:p w:rsidR="00C82E87" w:rsidRPr="001B2907" w:rsidRDefault="00C82E87"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Asset Turnover</w:t>
            </w:r>
          </w:p>
        </w:tc>
        <w:tc>
          <w:tcPr>
            <w:tcW w:w="582" w:type="pct"/>
            <w:shd w:val="clear" w:color="auto" w:fill="F9C6C6" w:themeFill="accent1" w:themeFillTint="33"/>
            <w:noWrap/>
            <w:vAlign w:val="center"/>
          </w:tcPr>
          <w:p w:rsidR="00C82E87" w:rsidRPr="001B2907" w:rsidRDefault="00C82E87" w:rsidP="002A7137">
            <w:pPr>
              <w:spacing w:after="0" w:line="360" w:lineRule="auto"/>
              <w:jc w:val="center"/>
              <w:rPr>
                <w:rFonts w:ascii="Times New Roman" w:hAnsi="Times New Roman"/>
                <w:b/>
                <w:bCs/>
                <w:color w:val="000000"/>
                <w:sz w:val="24"/>
                <w:szCs w:val="24"/>
                <w:lang w:eastAsia="en-IN"/>
              </w:rPr>
            </w:pPr>
            <w:r w:rsidRPr="001B2907">
              <w:rPr>
                <w:rFonts w:ascii="Times New Roman" w:hAnsi="Times New Roman"/>
                <w:b/>
                <w:bCs/>
                <w:color w:val="000000"/>
                <w:sz w:val="24"/>
                <w:szCs w:val="24"/>
              </w:rPr>
              <w:t>0.90</w:t>
            </w:r>
          </w:p>
        </w:tc>
        <w:tc>
          <w:tcPr>
            <w:tcW w:w="580"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0.86</w:t>
            </w:r>
          </w:p>
        </w:tc>
        <w:tc>
          <w:tcPr>
            <w:tcW w:w="666"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0.89</w:t>
            </w:r>
          </w:p>
        </w:tc>
        <w:tc>
          <w:tcPr>
            <w:tcW w:w="749"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0.78</w:t>
            </w:r>
          </w:p>
        </w:tc>
        <w:tc>
          <w:tcPr>
            <w:tcW w:w="617" w:type="pct"/>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0.73</w:t>
            </w:r>
          </w:p>
        </w:tc>
        <w:tc>
          <w:tcPr>
            <w:tcW w:w="744" w:type="pct"/>
            <w:tcBorders>
              <w:right w:val="single" w:sz="4" w:space="0" w:color="auto"/>
            </w:tcBorders>
            <w:shd w:val="clear" w:color="auto" w:fill="F9C6C6" w:themeFill="accent1" w:themeFillTint="33"/>
            <w:noWrap/>
            <w:vAlign w:val="center"/>
          </w:tcPr>
          <w:p w:rsidR="00C82E87" w:rsidRPr="001B2907" w:rsidRDefault="00C82E8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0.34</w:t>
            </w:r>
          </w:p>
        </w:tc>
      </w:tr>
      <w:tr w:rsidR="002A7137" w:rsidRPr="001B2907" w:rsidTr="005B1EBE">
        <w:trPr>
          <w:trHeight w:val="290"/>
        </w:trPr>
        <w:tc>
          <w:tcPr>
            <w:tcW w:w="1061" w:type="pct"/>
            <w:tcBorders>
              <w:top w:val="single" w:sz="4" w:space="0" w:color="FFFFFF"/>
              <w:left w:val="single" w:sz="4" w:space="0" w:color="auto"/>
              <w:bottom w:val="single" w:sz="4" w:space="0" w:color="auto"/>
              <w:right w:val="single" w:sz="4" w:space="0" w:color="FFFFFF"/>
            </w:tcBorders>
            <w:shd w:val="clear" w:color="auto" w:fill="F9C6C6" w:themeFill="accent1" w:themeFillTint="33"/>
            <w:vAlign w:val="center"/>
          </w:tcPr>
          <w:p w:rsidR="002A7137" w:rsidRPr="001B2907" w:rsidRDefault="002A7137" w:rsidP="002A7137">
            <w:pPr>
              <w:spacing w:line="360" w:lineRule="auto"/>
              <w:jc w:val="center"/>
              <w:rPr>
                <w:rFonts w:ascii="Times New Roman" w:hAnsi="Times New Roman"/>
                <w:b/>
                <w:bCs/>
                <w:sz w:val="24"/>
                <w:szCs w:val="24"/>
              </w:rPr>
            </w:pPr>
            <w:r w:rsidRPr="001B2907">
              <w:rPr>
                <w:rFonts w:ascii="Times New Roman" w:hAnsi="Times New Roman"/>
                <w:b/>
                <w:bCs/>
                <w:sz w:val="24"/>
                <w:szCs w:val="24"/>
              </w:rPr>
              <w:t>Accounts Receivable Turnover</w:t>
            </w:r>
          </w:p>
        </w:tc>
        <w:tc>
          <w:tcPr>
            <w:tcW w:w="582"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2A7137" w:rsidRPr="001B2907" w:rsidRDefault="002A7137" w:rsidP="002A7137">
            <w:pPr>
              <w:spacing w:after="0"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5.07</w:t>
            </w:r>
          </w:p>
        </w:tc>
        <w:tc>
          <w:tcPr>
            <w:tcW w:w="580"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2A7137" w:rsidRPr="001B2907" w:rsidRDefault="002A713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4.93</w:t>
            </w:r>
          </w:p>
        </w:tc>
        <w:tc>
          <w:tcPr>
            <w:tcW w:w="666"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2A7137" w:rsidRPr="001B2907" w:rsidRDefault="002A713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5.06</w:t>
            </w:r>
          </w:p>
        </w:tc>
        <w:tc>
          <w:tcPr>
            <w:tcW w:w="749"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2A7137" w:rsidRPr="001B2907" w:rsidRDefault="002A713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4.78</w:t>
            </w:r>
          </w:p>
        </w:tc>
        <w:tc>
          <w:tcPr>
            <w:tcW w:w="617" w:type="pct"/>
            <w:tcBorders>
              <w:top w:val="single" w:sz="4" w:space="0" w:color="FFFFFF"/>
              <w:left w:val="single" w:sz="4" w:space="0" w:color="FFFFFF"/>
              <w:bottom w:val="single" w:sz="4" w:space="0" w:color="auto"/>
              <w:right w:val="single" w:sz="4" w:space="0" w:color="FFFFFF"/>
            </w:tcBorders>
            <w:shd w:val="clear" w:color="auto" w:fill="F9C6C6" w:themeFill="accent1" w:themeFillTint="33"/>
            <w:noWrap/>
            <w:vAlign w:val="center"/>
          </w:tcPr>
          <w:p w:rsidR="002A7137" w:rsidRPr="001B2907" w:rsidRDefault="002A713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4.46</w:t>
            </w:r>
          </w:p>
        </w:tc>
        <w:tc>
          <w:tcPr>
            <w:tcW w:w="744" w:type="pct"/>
            <w:tcBorders>
              <w:top w:val="single" w:sz="4" w:space="0" w:color="FFFFFF"/>
              <w:left w:val="single" w:sz="4" w:space="0" w:color="FFFFFF"/>
              <w:bottom w:val="single" w:sz="4" w:space="0" w:color="auto"/>
              <w:right w:val="single" w:sz="4" w:space="0" w:color="auto"/>
            </w:tcBorders>
            <w:shd w:val="clear" w:color="auto" w:fill="F9C6C6" w:themeFill="accent1" w:themeFillTint="33"/>
            <w:noWrap/>
            <w:vAlign w:val="center"/>
          </w:tcPr>
          <w:p w:rsidR="002A7137" w:rsidRPr="001B2907" w:rsidRDefault="002A7137" w:rsidP="002A7137">
            <w:pPr>
              <w:spacing w:line="360" w:lineRule="auto"/>
              <w:jc w:val="center"/>
              <w:rPr>
                <w:rFonts w:ascii="Times New Roman" w:hAnsi="Times New Roman"/>
                <w:b/>
                <w:bCs/>
                <w:color w:val="000000"/>
                <w:sz w:val="24"/>
                <w:szCs w:val="24"/>
              </w:rPr>
            </w:pPr>
            <w:r w:rsidRPr="001B2907">
              <w:rPr>
                <w:rFonts w:ascii="Times New Roman" w:hAnsi="Times New Roman"/>
                <w:b/>
                <w:bCs/>
                <w:color w:val="000000"/>
                <w:sz w:val="24"/>
                <w:szCs w:val="24"/>
              </w:rPr>
              <w:t>6.80</w:t>
            </w:r>
          </w:p>
        </w:tc>
      </w:tr>
    </w:tbl>
    <w:p w:rsidR="00C82E87" w:rsidRPr="001B2907" w:rsidRDefault="005B1EBE" w:rsidP="00C82E87">
      <w:r w:rsidRPr="001B2907">
        <w:rPr>
          <w:noProof/>
          <w:lang w:val="en-IN" w:eastAsia="en-IN"/>
        </w:rPr>
        <w:drawing>
          <wp:inline distT="0" distB="0" distL="0" distR="0" wp14:anchorId="573E85AA" wp14:editId="149AA008">
            <wp:extent cx="5870121" cy="2669540"/>
            <wp:effectExtent l="0" t="0" r="1651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82E87" w:rsidRPr="001B2907" w:rsidRDefault="00C82E87" w:rsidP="00C82E87">
      <w:pPr>
        <w:spacing w:line="360" w:lineRule="auto"/>
        <w:jc w:val="both"/>
        <w:rPr>
          <w:rFonts w:ascii="Times New Roman" w:hAnsi="Times New Roman"/>
          <w:sz w:val="24"/>
          <w:szCs w:val="24"/>
        </w:rPr>
      </w:pPr>
      <w:r w:rsidRPr="001B2907">
        <w:rPr>
          <w:rFonts w:ascii="Times New Roman" w:hAnsi="Times New Roman"/>
          <w:sz w:val="24"/>
          <w:szCs w:val="24"/>
        </w:rPr>
        <w:t>Table: Efficiency Ratios of Honeywell and GE</w:t>
      </w:r>
    </w:p>
    <w:p w:rsidR="00C82E87" w:rsidRPr="001B2907" w:rsidRDefault="00C82E87" w:rsidP="00C82E87">
      <w:pPr>
        <w:rPr>
          <w:rFonts w:ascii="Times New Roman" w:hAnsi="Times New Roman"/>
          <w:bCs/>
          <w:sz w:val="24"/>
          <w:szCs w:val="24"/>
        </w:rPr>
      </w:pPr>
      <w:r w:rsidRPr="001B2907">
        <w:rPr>
          <w:rFonts w:ascii="Times New Roman" w:hAnsi="Times New Roman"/>
          <w:sz w:val="24"/>
          <w:szCs w:val="24"/>
        </w:rPr>
        <w:t xml:space="preserve">Source: Adapted from </w:t>
      </w:r>
      <w:r w:rsidRPr="001B2907">
        <w:rPr>
          <w:rFonts w:ascii="Times New Roman" w:hAnsi="Times New Roman"/>
          <w:bCs/>
          <w:sz w:val="24"/>
          <w:szCs w:val="24"/>
        </w:rPr>
        <w:t>H</w:t>
      </w:r>
      <w:r w:rsidR="00632FB7" w:rsidRPr="001B2907">
        <w:rPr>
          <w:rFonts w:ascii="Times New Roman" w:hAnsi="Times New Roman"/>
          <w:bCs/>
          <w:sz w:val="24"/>
          <w:szCs w:val="24"/>
        </w:rPr>
        <w:t>oneywell (2014), Honeywell (2016</w:t>
      </w:r>
      <w:r w:rsidRPr="001B2907">
        <w:rPr>
          <w:rFonts w:ascii="Times New Roman" w:hAnsi="Times New Roman"/>
          <w:bCs/>
          <w:sz w:val="24"/>
          <w:szCs w:val="24"/>
        </w:rPr>
        <w:t>) and GE (2016)</w:t>
      </w:r>
    </w:p>
    <w:p w:rsidR="00C82E87" w:rsidRPr="001B2907" w:rsidRDefault="00C82E87" w:rsidP="00C82E87">
      <w:pPr>
        <w:rPr>
          <w:rFonts w:ascii="Times New Roman" w:hAnsi="Times New Roman"/>
          <w:bCs/>
          <w:sz w:val="24"/>
          <w:szCs w:val="24"/>
        </w:rPr>
      </w:pPr>
    </w:p>
    <w:p w:rsidR="00C82E87" w:rsidRPr="001B2907" w:rsidRDefault="00C82E87" w:rsidP="00C82E87">
      <w:pPr>
        <w:spacing w:line="360" w:lineRule="auto"/>
        <w:jc w:val="both"/>
        <w:rPr>
          <w:rFonts w:ascii="Times New Roman" w:hAnsi="Times New Roman"/>
          <w:bCs/>
          <w:sz w:val="24"/>
          <w:szCs w:val="24"/>
        </w:rPr>
      </w:pPr>
      <w:r w:rsidRPr="001B2907">
        <w:rPr>
          <w:rFonts w:ascii="Times New Roman" w:hAnsi="Times New Roman"/>
          <w:b/>
          <w:sz w:val="24"/>
          <w:szCs w:val="24"/>
        </w:rPr>
        <w:t xml:space="preserve">Inventory – stock turnover ratio – </w:t>
      </w:r>
      <w:r w:rsidRPr="001B2907">
        <w:rPr>
          <w:rFonts w:ascii="Times New Roman" w:hAnsi="Times New Roman"/>
          <w:sz w:val="24"/>
          <w:szCs w:val="24"/>
        </w:rPr>
        <w:t xml:space="preserve">The inventory - stock turnover ratio was rising in 2012 and 2013 for </w:t>
      </w:r>
      <w:r w:rsidRPr="001B2907">
        <w:rPr>
          <w:rFonts w:ascii="Times New Roman" w:hAnsi="Times New Roman"/>
          <w:bCs/>
          <w:sz w:val="24"/>
          <w:szCs w:val="24"/>
        </w:rPr>
        <w:t>Honeywell</w:t>
      </w:r>
      <w:r w:rsidRPr="001B2907">
        <w:rPr>
          <w:rFonts w:ascii="Times New Roman" w:hAnsi="Times New Roman"/>
          <w:sz w:val="24"/>
          <w:szCs w:val="24"/>
        </w:rPr>
        <w:t xml:space="preserve">. However, it began a downward trend from 2014 and improved marginally in 2016. The cost of goods sold for </w:t>
      </w:r>
      <w:r w:rsidRPr="001B2907">
        <w:rPr>
          <w:rFonts w:ascii="Times New Roman" w:hAnsi="Times New Roman"/>
          <w:bCs/>
          <w:sz w:val="24"/>
          <w:szCs w:val="24"/>
        </w:rPr>
        <w:t xml:space="preserve">Honeywell was increasing till 2014 and then dipped in 2015 </w:t>
      </w:r>
      <w:r w:rsidRPr="001B2907">
        <w:rPr>
          <w:rFonts w:ascii="Times New Roman" w:hAnsi="Times New Roman"/>
          <w:bCs/>
          <w:sz w:val="24"/>
          <w:szCs w:val="24"/>
        </w:rPr>
        <w:lastRenderedPageBreak/>
        <w:t xml:space="preserve">before increasing marginally in 2016. This indicated that Honeywell was having high costs incurred to manufacture its products and services. In the same manner, the inventory levels of Honeywell were also rising before it fell in the current year. This showed that Honeywell was ramping up its inventory levels on account of high demand for its profits and to enhance its revenues from the sales of its products and services. It showed effective stock management policies take up by Honeywell. </w:t>
      </w:r>
      <w:r w:rsidRPr="001B2907">
        <w:rPr>
          <w:rFonts w:ascii="Times New Roman" w:hAnsi="Times New Roman"/>
          <w:sz w:val="24"/>
          <w:szCs w:val="24"/>
        </w:rPr>
        <w:t xml:space="preserve">The inventory – stock ratio for GE of 4.04 in 2016 was much lower than the 6.22 posted by </w:t>
      </w:r>
      <w:r w:rsidRPr="001B2907">
        <w:rPr>
          <w:rFonts w:ascii="Times New Roman" w:hAnsi="Times New Roman"/>
          <w:bCs/>
          <w:sz w:val="24"/>
          <w:szCs w:val="24"/>
        </w:rPr>
        <w:t xml:space="preserve">Honeywell. In order to further increase the inventory – stock turnover ratio of Honeywell, it has to have more sound sales policies and implement effective inventory control mechanism. This will prevent its products and services from being slow moving to the market that will lead to idle inventory and high inventory costs to be incurred by the </w:t>
      </w:r>
      <w:proofErr w:type="spellStart"/>
      <w:r w:rsidRPr="001B2907">
        <w:rPr>
          <w:rFonts w:ascii="Times New Roman" w:hAnsi="Times New Roman"/>
          <w:bCs/>
          <w:sz w:val="24"/>
          <w:szCs w:val="24"/>
        </w:rPr>
        <w:t>organisation</w:t>
      </w:r>
      <w:proofErr w:type="spellEnd"/>
      <w:r w:rsidRPr="001B2907">
        <w:rPr>
          <w:rFonts w:ascii="Times New Roman" w:hAnsi="Times New Roman"/>
          <w:bCs/>
          <w:sz w:val="24"/>
          <w:szCs w:val="24"/>
        </w:rPr>
        <w:t xml:space="preserve">. </w:t>
      </w:r>
    </w:p>
    <w:p w:rsidR="00C82E87" w:rsidRPr="001B2907" w:rsidRDefault="00C82E87" w:rsidP="00C82E87">
      <w:pPr>
        <w:spacing w:line="360" w:lineRule="auto"/>
        <w:jc w:val="both"/>
        <w:rPr>
          <w:rFonts w:ascii="Times New Roman" w:hAnsi="Times New Roman"/>
          <w:bCs/>
          <w:sz w:val="24"/>
          <w:szCs w:val="24"/>
        </w:rPr>
      </w:pPr>
      <w:r w:rsidRPr="001B2907">
        <w:rPr>
          <w:rFonts w:ascii="Times New Roman" w:hAnsi="Times New Roman"/>
          <w:b/>
          <w:sz w:val="24"/>
          <w:szCs w:val="24"/>
        </w:rPr>
        <w:t xml:space="preserve">Asset Turnover – </w:t>
      </w:r>
      <w:r w:rsidRPr="001B2907">
        <w:rPr>
          <w:rFonts w:ascii="Times New Roman" w:hAnsi="Times New Roman"/>
          <w:sz w:val="24"/>
          <w:szCs w:val="24"/>
        </w:rPr>
        <w:t xml:space="preserve">The Asset Turnover of </w:t>
      </w:r>
      <w:r w:rsidRPr="001B2907">
        <w:rPr>
          <w:rFonts w:ascii="Times New Roman" w:hAnsi="Times New Roman"/>
          <w:bCs/>
          <w:sz w:val="24"/>
          <w:szCs w:val="24"/>
        </w:rPr>
        <w:t xml:space="preserve">Honeywell has been consistent in the last few years by hovering around the 0.7 and 0.9 ratios. Honeywell has been able to increase its sales over the years, although, it fell in 2015. This has been made possible by Honeywell through acquisition of assets with its rising sales and profits through its organic growth. Honeywell has also benefitted from higher goodwill in 2016 that has helped balance the decrease in cash and cash equivalents of Honeywell for the same year, as mentioned earlier. </w:t>
      </w:r>
      <w:r w:rsidRPr="001B2907">
        <w:rPr>
          <w:rFonts w:ascii="Times New Roman" w:hAnsi="Times New Roman"/>
          <w:sz w:val="24"/>
          <w:szCs w:val="24"/>
        </w:rPr>
        <w:t xml:space="preserve">On the other hand, the asset turnover of </w:t>
      </w:r>
      <w:r w:rsidRPr="001B2907">
        <w:rPr>
          <w:rFonts w:ascii="Times New Roman" w:hAnsi="Times New Roman"/>
          <w:bCs/>
          <w:sz w:val="24"/>
          <w:szCs w:val="24"/>
        </w:rPr>
        <w:t xml:space="preserve">GE was only 0.34 that was much lower than the asset turnover recorded by Honeywell. Hence, Honeywell has been able to effectively </w:t>
      </w:r>
      <w:proofErr w:type="spellStart"/>
      <w:r w:rsidRPr="001B2907">
        <w:rPr>
          <w:rFonts w:ascii="Times New Roman" w:hAnsi="Times New Roman"/>
          <w:bCs/>
          <w:sz w:val="24"/>
          <w:szCs w:val="24"/>
        </w:rPr>
        <w:t>utilise</w:t>
      </w:r>
      <w:proofErr w:type="spellEnd"/>
      <w:r w:rsidRPr="001B2907">
        <w:rPr>
          <w:rFonts w:ascii="Times New Roman" w:hAnsi="Times New Roman"/>
          <w:bCs/>
          <w:sz w:val="24"/>
          <w:szCs w:val="24"/>
        </w:rPr>
        <w:t xml:space="preserve"> its assets to generate higher sales for the </w:t>
      </w:r>
      <w:proofErr w:type="spellStart"/>
      <w:r w:rsidRPr="001B2907">
        <w:rPr>
          <w:rFonts w:ascii="Times New Roman" w:hAnsi="Times New Roman"/>
          <w:bCs/>
          <w:sz w:val="24"/>
          <w:szCs w:val="24"/>
        </w:rPr>
        <w:t>organisation</w:t>
      </w:r>
      <w:proofErr w:type="spellEnd"/>
      <w:r w:rsidRPr="001B2907">
        <w:rPr>
          <w:rFonts w:ascii="Times New Roman" w:hAnsi="Times New Roman"/>
          <w:bCs/>
          <w:sz w:val="24"/>
          <w:szCs w:val="24"/>
        </w:rPr>
        <w:t xml:space="preserve">. It highlighted that Honeywell has been efficient in its operations in using its assets well to generate more profits for the </w:t>
      </w:r>
      <w:proofErr w:type="spellStart"/>
      <w:r w:rsidRPr="001B2907">
        <w:rPr>
          <w:rFonts w:ascii="Times New Roman" w:hAnsi="Times New Roman"/>
          <w:bCs/>
          <w:sz w:val="24"/>
          <w:szCs w:val="24"/>
        </w:rPr>
        <w:t>organisation</w:t>
      </w:r>
      <w:proofErr w:type="spellEnd"/>
      <w:r w:rsidRPr="001B2907">
        <w:rPr>
          <w:rFonts w:ascii="Times New Roman" w:hAnsi="Times New Roman"/>
          <w:bCs/>
          <w:sz w:val="24"/>
          <w:szCs w:val="24"/>
        </w:rPr>
        <w:t xml:space="preserve"> and this is </w:t>
      </w:r>
      <w:proofErr w:type="spellStart"/>
      <w:r w:rsidRPr="001B2907">
        <w:rPr>
          <w:rFonts w:ascii="Times New Roman" w:hAnsi="Times New Roman"/>
          <w:bCs/>
          <w:sz w:val="24"/>
          <w:szCs w:val="24"/>
        </w:rPr>
        <w:t>favourable</w:t>
      </w:r>
      <w:proofErr w:type="spellEnd"/>
      <w:r w:rsidRPr="001B2907">
        <w:rPr>
          <w:rFonts w:ascii="Times New Roman" w:hAnsi="Times New Roman"/>
          <w:bCs/>
          <w:sz w:val="24"/>
          <w:szCs w:val="24"/>
        </w:rPr>
        <w:t xml:space="preserve"> for its creditors and investors. Nevertheless, Honeywell can improve its asset turnover ratio by increasing its assets to generate more sales and selling off assets that are no longer profitable for the </w:t>
      </w:r>
      <w:proofErr w:type="spellStart"/>
      <w:r w:rsidRPr="001B2907">
        <w:rPr>
          <w:rFonts w:ascii="Times New Roman" w:hAnsi="Times New Roman"/>
          <w:bCs/>
          <w:sz w:val="24"/>
          <w:szCs w:val="24"/>
        </w:rPr>
        <w:t>organisation</w:t>
      </w:r>
      <w:proofErr w:type="spellEnd"/>
      <w:r w:rsidRPr="001B2907">
        <w:rPr>
          <w:rFonts w:ascii="Times New Roman" w:hAnsi="Times New Roman"/>
          <w:bCs/>
          <w:sz w:val="24"/>
          <w:szCs w:val="24"/>
        </w:rPr>
        <w:t xml:space="preserve"> in generating the expected sales for its products and services.</w:t>
      </w:r>
    </w:p>
    <w:p w:rsidR="002A7137" w:rsidRPr="001B2907" w:rsidRDefault="002A7137" w:rsidP="002A7137">
      <w:pPr>
        <w:spacing w:line="360" w:lineRule="auto"/>
        <w:jc w:val="both"/>
        <w:rPr>
          <w:rFonts w:ascii="Times New Roman" w:hAnsi="Times New Roman"/>
          <w:sz w:val="24"/>
          <w:szCs w:val="24"/>
        </w:rPr>
      </w:pPr>
      <w:r w:rsidRPr="001B2907">
        <w:rPr>
          <w:rFonts w:ascii="Times New Roman" w:hAnsi="Times New Roman"/>
          <w:b/>
          <w:sz w:val="24"/>
          <w:szCs w:val="24"/>
        </w:rPr>
        <w:t xml:space="preserve">Accounts Receivable Turnover – </w:t>
      </w:r>
      <w:r w:rsidRPr="001B2907">
        <w:rPr>
          <w:rFonts w:ascii="Times New Roman" w:hAnsi="Times New Roman"/>
          <w:sz w:val="24"/>
          <w:szCs w:val="24"/>
        </w:rPr>
        <w:t xml:space="preserve">The Accounts Receivable Turnover or the </w:t>
      </w:r>
      <w:proofErr w:type="gramStart"/>
      <w:r w:rsidRPr="001B2907">
        <w:rPr>
          <w:rFonts w:ascii="Times New Roman" w:hAnsi="Times New Roman"/>
          <w:sz w:val="24"/>
          <w:szCs w:val="24"/>
        </w:rPr>
        <w:t>debtors</w:t>
      </w:r>
      <w:proofErr w:type="gramEnd"/>
      <w:r w:rsidRPr="001B2907">
        <w:rPr>
          <w:rFonts w:ascii="Times New Roman" w:hAnsi="Times New Roman"/>
          <w:sz w:val="24"/>
          <w:szCs w:val="24"/>
        </w:rPr>
        <w:t xml:space="preserve"> turnover ratio of </w:t>
      </w:r>
      <w:r w:rsidRPr="001B2907">
        <w:rPr>
          <w:rFonts w:ascii="Times New Roman" w:hAnsi="Times New Roman"/>
          <w:bCs/>
          <w:sz w:val="24"/>
          <w:szCs w:val="24"/>
        </w:rPr>
        <w:t xml:space="preserve">Honeywell has been fluctuating with alternate increase and decrease. However, in 2016, it has continued to dip further to 4.46. The accounts receivable of Honeywell has been rising drastically over the years from 2012 while the sales of Honeywell has also improved, although, it fell in 2015. Comparing the accounts receivable turnover of Honeywell and GE for the year 2016, it is seen that GE has a better accounts receivable turnover with the value of 6.80. It can </w:t>
      </w:r>
      <w:r w:rsidRPr="001B2907">
        <w:rPr>
          <w:rFonts w:ascii="Times New Roman" w:hAnsi="Times New Roman"/>
          <w:bCs/>
          <w:sz w:val="24"/>
          <w:szCs w:val="24"/>
        </w:rPr>
        <w:lastRenderedPageBreak/>
        <w:t xml:space="preserve">be pointed out that the accounts receivable policy of Honeywell is not effective in ensuring speedy collection of accounts receivables from the debtors and customers of the </w:t>
      </w:r>
      <w:proofErr w:type="spellStart"/>
      <w:r w:rsidRPr="001B2907">
        <w:rPr>
          <w:rFonts w:ascii="Times New Roman" w:hAnsi="Times New Roman"/>
          <w:bCs/>
          <w:sz w:val="24"/>
          <w:szCs w:val="24"/>
        </w:rPr>
        <w:t>organisation</w:t>
      </w:r>
      <w:proofErr w:type="spellEnd"/>
      <w:r w:rsidRPr="001B2907">
        <w:rPr>
          <w:rFonts w:ascii="Times New Roman" w:hAnsi="Times New Roman"/>
          <w:bCs/>
          <w:sz w:val="24"/>
          <w:szCs w:val="24"/>
        </w:rPr>
        <w:t xml:space="preserve">. This has led to the problem of Honeywell facing the problem of inefficient and sluggish collection by Honeywell from its customers that also affects its ability to meet its other obligations and settle bills from its creditors. It can be understood from the study that Honeywell has to improve its accounts receivable policy to ensure better collection of its account receivable from its debtors that is both efficient and speedier in nature.  </w:t>
      </w:r>
    </w:p>
    <w:p w:rsidR="002A7137" w:rsidRPr="001B2907" w:rsidRDefault="002A7137" w:rsidP="00C82E87">
      <w:pPr>
        <w:spacing w:line="360" w:lineRule="auto"/>
        <w:jc w:val="both"/>
        <w:rPr>
          <w:rFonts w:ascii="Times New Roman" w:hAnsi="Times New Roman"/>
          <w:sz w:val="24"/>
          <w:szCs w:val="24"/>
        </w:rPr>
      </w:pPr>
    </w:p>
    <w:p w:rsidR="00A13CB1" w:rsidRPr="001B2907" w:rsidRDefault="00A13CB1" w:rsidP="00A13CB1">
      <w:pPr>
        <w:pStyle w:val="Heading1"/>
        <w:rPr>
          <w:rFonts w:ascii="Times New Roman" w:hAnsi="Times New Roman" w:cs="Times New Roman"/>
          <w:b/>
          <w:color w:val="FF0000"/>
        </w:rPr>
      </w:pPr>
      <w:bookmarkStart w:id="6" w:name="_GEARING_RATIOS"/>
      <w:bookmarkEnd w:id="6"/>
      <w:r w:rsidRPr="001B2907">
        <w:rPr>
          <w:rFonts w:ascii="Times New Roman" w:hAnsi="Times New Roman" w:cs="Times New Roman"/>
          <w:b/>
          <w:color w:val="FF0000"/>
        </w:rPr>
        <w:t>GEARING RATIOS</w:t>
      </w:r>
    </w:p>
    <w:p w:rsidR="00A13CB1" w:rsidRPr="001B2907" w:rsidRDefault="00A13CB1" w:rsidP="00A13CB1"/>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985"/>
        <w:gridCol w:w="1088"/>
        <w:gridCol w:w="1086"/>
        <w:gridCol w:w="1245"/>
        <w:gridCol w:w="1399"/>
        <w:gridCol w:w="1156"/>
        <w:gridCol w:w="1391"/>
      </w:tblGrid>
      <w:tr w:rsidR="00A13CB1" w:rsidRPr="001B2907" w:rsidTr="005B1EBE">
        <w:trPr>
          <w:trHeight w:val="315"/>
        </w:trPr>
        <w:tc>
          <w:tcPr>
            <w:tcW w:w="1061" w:type="pct"/>
            <w:tcBorders>
              <w:top w:val="single" w:sz="4" w:space="0" w:color="auto"/>
              <w:left w:val="single" w:sz="4" w:space="0" w:color="auto"/>
              <w:right w:val="nil"/>
            </w:tcBorders>
            <w:shd w:val="clear" w:color="auto" w:fill="F9C6C6" w:themeFill="accent1" w:themeFillTint="33"/>
          </w:tcPr>
          <w:p w:rsidR="00A13CB1" w:rsidRPr="001B2907" w:rsidRDefault="00A13CB1" w:rsidP="00E467C0">
            <w:pPr>
              <w:spacing w:line="360" w:lineRule="auto"/>
              <w:jc w:val="center"/>
              <w:rPr>
                <w:rFonts w:ascii="Times New Roman" w:hAnsi="Times New Roman"/>
                <w:b/>
                <w:bCs/>
                <w:sz w:val="24"/>
                <w:szCs w:val="24"/>
              </w:rPr>
            </w:pPr>
          </w:p>
        </w:tc>
        <w:tc>
          <w:tcPr>
            <w:tcW w:w="3195" w:type="pct"/>
            <w:gridSpan w:val="5"/>
            <w:tcBorders>
              <w:top w:val="single" w:sz="4" w:space="0" w:color="auto"/>
              <w:left w:val="nil"/>
              <w:right w:val="nil"/>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Honeywell</w:t>
            </w:r>
          </w:p>
        </w:tc>
        <w:tc>
          <w:tcPr>
            <w:tcW w:w="744" w:type="pct"/>
            <w:tcBorders>
              <w:top w:val="single" w:sz="4" w:space="0" w:color="auto"/>
              <w:left w:val="nil"/>
              <w:right w:val="single" w:sz="4" w:space="0" w:color="auto"/>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GE</w:t>
            </w:r>
          </w:p>
        </w:tc>
      </w:tr>
      <w:tr w:rsidR="00A13CB1" w:rsidRPr="001B2907" w:rsidTr="005B1EBE">
        <w:trPr>
          <w:trHeight w:val="315"/>
        </w:trPr>
        <w:tc>
          <w:tcPr>
            <w:tcW w:w="1061" w:type="pct"/>
            <w:tcBorders>
              <w:left w:val="single" w:sz="4" w:space="0" w:color="auto"/>
            </w:tcBorders>
            <w:shd w:val="clear" w:color="auto" w:fill="F9C6C6" w:themeFill="accent1" w:themeFillTint="33"/>
          </w:tcPr>
          <w:p w:rsidR="00A13CB1" w:rsidRPr="001B2907" w:rsidRDefault="00A13CB1" w:rsidP="00E467C0">
            <w:pPr>
              <w:spacing w:line="360" w:lineRule="auto"/>
              <w:jc w:val="center"/>
              <w:rPr>
                <w:rFonts w:ascii="Times New Roman" w:hAnsi="Times New Roman"/>
                <w:b/>
                <w:bCs/>
                <w:sz w:val="24"/>
                <w:szCs w:val="24"/>
              </w:rPr>
            </w:pPr>
          </w:p>
        </w:tc>
        <w:tc>
          <w:tcPr>
            <w:tcW w:w="582" w:type="pct"/>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2012</w:t>
            </w:r>
          </w:p>
        </w:tc>
        <w:tc>
          <w:tcPr>
            <w:tcW w:w="581" w:type="pct"/>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2013</w:t>
            </w:r>
          </w:p>
        </w:tc>
        <w:tc>
          <w:tcPr>
            <w:tcW w:w="666" w:type="pct"/>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2014</w:t>
            </w:r>
          </w:p>
        </w:tc>
        <w:tc>
          <w:tcPr>
            <w:tcW w:w="748" w:type="pct"/>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2015</w:t>
            </w:r>
          </w:p>
        </w:tc>
        <w:tc>
          <w:tcPr>
            <w:tcW w:w="616" w:type="pct"/>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2016</w:t>
            </w:r>
          </w:p>
        </w:tc>
        <w:tc>
          <w:tcPr>
            <w:tcW w:w="744" w:type="pct"/>
            <w:tcBorders>
              <w:right w:val="single" w:sz="4" w:space="0" w:color="auto"/>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2016</w:t>
            </w:r>
          </w:p>
        </w:tc>
      </w:tr>
      <w:tr w:rsidR="00A13CB1" w:rsidRPr="001B2907" w:rsidTr="005B1EBE">
        <w:trPr>
          <w:trHeight w:val="315"/>
        </w:trPr>
        <w:tc>
          <w:tcPr>
            <w:tcW w:w="1061" w:type="pct"/>
            <w:tcBorders>
              <w:left w:val="single" w:sz="4" w:space="0" w:color="auto"/>
            </w:tcBorders>
            <w:shd w:val="clear" w:color="auto" w:fill="F9C6C6" w:themeFill="accent1" w:themeFillTint="33"/>
            <w:hideMark/>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sz w:val="24"/>
                <w:szCs w:val="24"/>
              </w:rPr>
              <w:t>Debt-Equity Ratio</w:t>
            </w:r>
          </w:p>
        </w:tc>
        <w:tc>
          <w:tcPr>
            <w:tcW w:w="582" w:type="pct"/>
            <w:shd w:val="clear" w:color="auto" w:fill="F9C6C6" w:themeFill="accent1" w:themeFillTint="33"/>
            <w:noWrap/>
            <w:hideMark/>
          </w:tcPr>
          <w:p w:rsidR="00A13CB1" w:rsidRPr="001B2907" w:rsidRDefault="00A13CB1" w:rsidP="00E467C0">
            <w:pPr>
              <w:spacing w:after="0" w:line="360" w:lineRule="auto"/>
              <w:jc w:val="center"/>
              <w:rPr>
                <w:rFonts w:ascii="Times New Roman" w:hAnsi="Times New Roman"/>
                <w:b/>
                <w:bCs/>
                <w:sz w:val="24"/>
                <w:szCs w:val="24"/>
                <w:lang w:eastAsia="en-IN"/>
              </w:rPr>
            </w:pPr>
            <w:r w:rsidRPr="001B2907">
              <w:rPr>
                <w:rFonts w:ascii="Times New Roman" w:hAnsi="Times New Roman"/>
                <w:b/>
                <w:bCs/>
                <w:sz w:val="24"/>
                <w:szCs w:val="24"/>
              </w:rPr>
              <w:t>0.49</w:t>
            </w:r>
          </w:p>
        </w:tc>
        <w:tc>
          <w:tcPr>
            <w:tcW w:w="581" w:type="pct"/>
            <w:shd w:val="clear" w:color="auto" w:fill="F9C6C6" w:themeFill="accent1" w:themeFillTint="33"/>
            <w:noWrap/>
            <w:hideMark/>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0.39</w:t>
            </w:r>
          </w:p>
        </w:tc>
        <w:tc>
          <w:tcPr>
            <w:tcW w:w="666" w:type="pct"/>
            <w:shd w:val="clear" w:color="auto" w:fill="F9C6C6" w:themeFill="accent1" w:themeFillTint="33"/>
            <w:noWrap/>
            <w:hideMark/>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0.34</w:t>
            </w:r>
          </w:p>
        </w:tc>
        <w:tc>
          <w:tcPr>
            <w:tcW w:w="748" w:type="pct"/>
            <w:shd w:val="clear" w:color="auto" w:fill="F9C6C6" w:themeFill="accent1" w:themeFillTint="33"/>
            <w:noWrap/>
            <w:hideMark/>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0.30</w:t>
            </w:r>
          </w:p>
        </w:tc>
        <w:tc>
          <w:tcPr>
            <w:tcW w:w="616" w:type="pct"/>
            <w:shd w:val="clear" w:color="auto" w:fill="F9C6C6" w:themeFill="accent1" w:themeFillTint="33"/>
            <w:noWrap/>
            <w:hideMark/>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0.62</w:t>
            </w:r>
          </w:p>
        </w:tc>
        <w:tc>
          <w:tcPr>
            <w:tcW w:w="744" w:type="pct"/>
            <w:tcBorders>
              <w:right w:val="single" w:sz="4" w:space="0" w:color="auto"/>
            </w:tcBorders>
            <w:shd w:val="clear" w:color="auto" w:fill="F9C6C6" w:themeFill="accent1" w:themeFillTint="33"/>
            <w:noWrap/>
            <w:hideMark/>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1.36</w:t>
            </w:r>
          </w:p>
        </w:tc>
      </w:tr>
      <w:tr w:rsidR="00A13CB1" w:rsidRPr="001B2907" w:rsidTr="005B1EBE">
        <w:trPr>
          <w:trHeight w:val="315"/>
        </w:trPr>
        <w:tc>
          <w:tcPr>
            <w:tcW w:w="1061" w:type="pct"/>
            <w:tcBorders>
              <w:left w:val="single" w:sz="4" w:space="0" w:color="auto"/>
              <w:bottom w:val="single" w:sz="4" w:space="0" w:color="auto"/>
            </w:tcBorders>
            <w:shd w:val="clear" w:color="auto" w:fill="F9C6C6" w:themeFill="accent1" w:themeFillTint="33"/>
          </w:tcPr>
          <w:p w:rsidR="00A13CB1" w:rsidRPr="001B2907" w:rsidRDefault="00A13CB1"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Earnings per share</w:t>
            </w:r>
          </w:p>
        </w:tc>
        <w:tc>
          <w:tcPr>
            <w:tcW w:w="582" w:type="pct"/>
            <w:tcBorders>
              <w:bottom w:val="single" w:sz="4" w:space="0" w:color="auto"/>
            </w:tcBorders>
            <w:shd w:val="clear" w:color="auto" w:fill="F9C6C6" w:themeFill="accent1" w:themeFillTint="33"/>
            <w:noWrap/>
          </w:tcPr>
          <w:p w:rsidR="00A13CB1" w:rsidRPr="001B2907" w:rsidRDefault="00A13CB1" w:rsidP="00E467C0">
            <w:pPr>
              <w:spacing w:after="0" w:line="360" w:lineRule="auto"/>
              <w:jc w:val="center"/>
              <w:rPr>
                <w:rFonts w:ascii="Times New Roman" w:hAnsi="Times New Roman"/>
                <w:b/>
                <w:sz w:val="24"/>
                <w:szCs w:val="24"/>
                <w:lang w:eastAsia="en-IN"/>
              </w:rPr>
            </w:pPr>
            <w:r w:rsidRPr="001B2907">
              <w:rPr>
                <w:rFonts w:ascii="Times New Roman" w:hAnsi="Times New Roman"/>
                <w:b/>
                <w:sz w:val="24"/>
                <w:szCs w:val="24"/>
              </w:rPr>
              <w:t>$ 3.74</w:t>
            </w:r>
          </w:p>
        </w:tc>
        <w:tc>
          <w:tcPr>
            <w:tcW w:w="581" w:type="pct"/>
            <w:tcBorders>
              <w:bottom w:val="single" w:sz="4" w:space="0" w:color="auto"/>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$ 4.99</w:t>
            </w:r>
          </w:p>
        </w:tc>
        <w:tc>
          <w:tcPr>
            <w:tcW w:w="666" w:type="pct"/>
            <w:tcBorders>
              <w:bottom w:val="single" w:sz="4" w:space="0" w:color="auto"/>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$ 5.40</w:t>
            </w:r>
          </w:p>
        </w:tc>
        <w:tc>
          <w:tcPr>
            <w:tcW w:w="748" w:type="pct"/>
            <w:tcBorders>
              <w:bottom w:val="single" w:sz="4" w:space="0" w:color="auto"/>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$ 6.11</w:t>
            </w:r>
          </w:p>
        </w:tc>
        <w:tc>
          <w:tcPr>
            <w:tcW w:w="616" w:type="pct"/>
            <w:tcBorders>
              <w:bottom w:val="single" w:sz="4" w:space="0" w:color="auto"/>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$ 6.29</w:t>
            </w:r>
          </w:p>
        </w:tc>
        <w:tc>
          <w:tcPr>
            <w:tcW w:w="744" w:type="pct"/>
            <w:tcBorders>
              <w:bottom w:val="single" w:sz="4" w:space="0" w:color="auto"/>
              <w:right w:val="single" w:sz="4" w:space="0" w:color="auto"/>
            </w:tcBorders>
            <w:shd w:val="clear" w:color="auto" w:fill="F9C6C6" w:themeFill="accent1" w:themeFillTint="33"/>
            <w:noWrap/>
          </w:tcPr>
          <w:p w:rsidR="00A13CB1" w:rsidRPr="001B2907" w:rsidRDefault="00A13CB1" w:rsidP="00E467C0">
            <w:pPr>
              <w:spacing w:line="360" w:lineRule="auto"/>
              <w:jc w:val="center"/>
              <w:rPr>
                <w:rFonts w:ascii="Times New Roman" w:hAnsi="Times New Roman"/>
                <w:b/>
                <w:sz w:val="24"/>
                <w:szCs w:val="24"/>
              </w:rPr>
            </w:pPr>
            <w:r w:rsidRPr="001B2907">
              <w:rPr>
                <w:rFonts w:ascii="Times New Roman" w:hAnsi="Times New Roman"/>
                <w:b/>
                <w:sz w:val="24"/>
                <w:szCs w:val="24"/>
              </w:rPr>
              <w:t>$ 0.90</w:t>
            </w:r>
          </w:p>
        </w:tc>
      </w:tr>
    </w:tbl>
    <w:p w:rsidR="00A13CB1" w:rsidRPr="001B2907" w:rsidRDefault="00A13CB1" w:rsidP="00A13CB1">
      <w:pPr>
        <w:spacing w:line="360" w:lineRule="auto"/>
        <w:jc w:val="both"/>
        <w:rPr>
          <w:rFonts w:ascii="Times New Roman" w:hAnsi="Times New Roman"/>
          <w:sz w:val="24"/>
          <w:szCs w:val="24"/>
        </w:rPr>
      </w:pPr>
      <w:r w:rsidRPr="001B2907">
        <w:rPr>
          <w:rFonts w:ascii="Times New Roman" w:hAnsi="Times New Roman"/>
          <w:sz w:val="24"/>
          <w:szCs w:val="24"/>
        </w:rPr>
        <w:t>Table: Gearing Ratios of Honeywell and GE</w:t>
      </w:r>
    </w:p>
    <w:p w:rsidR="00A13CB1" w:rsidRPr="001B2907" w:rsidRDefault="00A13CB1" w:rsidP="00A13CB1">
      <w:r w:rsidRPr="001B2907">
        <w:rPr>
          <w:rFonts w:ascii="Times New Roman" w:hAnsi="Times New Roman"/>
          <w:sz w:val="24"/>
          <w:szCs w:val="24"/>
        </w:rPr>
        <w:t xml:space="preserve">Source: Adapted from </w:t>
      </w:r>
      <w:r w:rsidRPr="001B2907">
        <w:rPr>
          <w:rFonts w:ascii="Times New Roman" w:hAnsi="Times New Roman"/>
          <w:bCs/>
          <w:sz w:val="24"/>
          <w:szCs w:val="24"/>
        </w:rPr>
        <w:t>H</w:t>
      </w:r>
      <w:r w:rsidR="00632FB7" w:rsidRPr="001B2907">
        <w:rPr>
          <w:rFonts w:ascii="Times New Roman" w:hAnsi="Times New Roman"/>
          <w:bCs/>
          <w:sz w:val="24"/>
          <w:szCs w:val="24"/>
        </w:rPr>
        <w:t>oneywell (2014), Honeywell (2016</w:t>
      </w:r>
      <w:r w:rsidRPr="001B2907">
        <w:rPr>
          <w:rFonts w:ascii="Times New Roman" w:hAnsi="Times New Roman"/>
          <w:bCs/>
          <w:sz w:val="24"/>
          <w:szCs w:val="24"/>
        </w:rPr>
        <w:t>) and GE (2016)</w:t>
      </w:r>
    </w:p>
    <w:p w:rsidR="00A13CB1" w:rsidRPr="001B2907" w:rsidRDefault="00A13CB1" w:rsidP="00A13CB1">
      <w:pPr>
        <w:spacing w:line="360" w:lineRule="auto"/>
        <w:jc w:val="both"/>
        <w:rPr>
          <w:rFonts w:ascii="Times New Roman" w:hAnsi="Times New Roman"/>
          <w:sz w:val="24"/>
          <w:szCs w:val="24"/>
        </w:rPr>
      </w:pPr>
    </w:p>
    <w:p w:rsidR="00A13CB1" w:rsidRPr="001B2907" w:rsidRDefault="00A13CB1" w:rsidP="00A13CB1">
      <w:pPr>
        <w:spacing w:line="360" w:lineRule="auto"/>
        <w:jc w:val="both"/>
        <w:rPr>
          <w:rFonts w:ascii="Times New Roman" w:hAnsi="Times New Roman"/>
          <w:sz w:val="24"/>
          <w:szCs w:val="24"/>
        </w:rPr>
      </w:pPr>
      <w:r w:rsidRPr="001B2907">
        <w:rPr>
          <w:rFonts w:ascii="Times New Roman" w:hAnsi="Times New Roman"/>
          <w:b/>
          <w:sz w:val="24"/>
          <w:szCs w:val="24"/>
        </w:rPr>
        <w:t xml:space="preserve">Debt-Equity Ratio – </w:t>
      </w:r>
      <w:r w:rsidRPr="001B2907">
        <w:rPr>
          <w:rFonts w:ascii="Times New Roman" w:hAnsi="Times New Roman"/>
          <w:sz w:val="24"/>
          <w:szCs w:val="24"/>
        </w:rPr>
        <w:t xml:space="preserve">The results for Honeywell on </w:t>
      </w:r>
      <w:proofErr w:type="gramStart"/>
      <w:r w:rsidRPr="001B2907">
        <w:rPr>
          <w:rFonts w:ascii="Times New Roman" w:hAnsi="Times New Roman"/>
          <w:sz w:val="24"/>
          <w:szCs w:val="24"/>
        </w:rPr>
        <w:t>Gearing</w:t>
      </w:r>
      <w:proofErr w:type="gramEnd"/>
      <w:r w:rsidRPr="001B2907">
        <w:rPr>
          <w:rFonts w:ascii="Times New Roman" w:hAnsi="Times New Roman"/>
          <w:sz w:val="24"/>
          <w:szCs w:val="24"/>
        </w:rPr>
        <w:t xml:space="preserve"> ratio projects a fluctuating trend over the years from 2012 to 2016. Right from 2012 to 2015, it has been slowly declining and in the present year, it has almost doubled. This can be viewed </w:t>
      </w:r>
      <w:proofErr w:type="spellStart"/>
      <w:r w:rsidRPr="001B2907">
        <w:rPr>
          <w:rFonts w:ascii="Times New Roman" w:hAnsi="Times New Roman"/>
          <w:sz w:val="24"/>
          <w:szCs w:val="24"/>
        </w:rPr>
        <w:t>favourable</w:t>
      </w:r>
      <w:proofErr w:type="spellEnd"/>
      <w:r w:rsidRPr="001B2907">
        <w:rPr>
          <w:rFonts w:ascii="Times New Roman" w:hAnsi="Times New Roman"/>
          <w:sz w:val="24"/>
          <w:szCs w:val="24"/>
        </w:rPr>
        <w:t xml:space="preserve"> for Honeywell that it can easily to pay over its long term and short term debts using its equities. </w:t>
      </w:r>
      <w:r w:rsidRPr="001B2907">
        <w:rPr>
          <w:rFonts w:ascii="Times New Roman" w:hAnsi="Times New Roman"/>
          <w:b/>
          <w:sz w:val="24"/>
          <w:szCs w:val="24"/>
        </w:rPr>
        <w:t xml:space="preserve"> </w:t>
      </w:r>
      <w:r w:rsidRPr="001B2907">
        <w:rPr>
          <w:rFonts w:ascii="Times New Roman" w:hAnsi="Times New Roman"/>
          <w:sz w:val="24"/>
          <w:szCs w:val="24"/>
        </w:rPr>
        <w:t xml:space="preserve">As </w:t>
      </w:r>
      <w:proofErr w:type="gramStart"/>
      <w:r w:rsidRPr="001B2907">
        <w:rPr>
          <w:rFonts w:ascii="Times New Roman" w:hAnsi="Times New Roman"/>
          <w:sz w:val="24"/>
          <w:szCs w:val="24"/>
        </w:rPr>
        <w:t>Gearing</w:t>
      </w:r>
      <w:proofErr w:type="gramEnd"/>
      <w:r w:rsidRPr="001B2907">
        <w:rPr>
          <w:rFonts w:ascii="Times New Roman" w:hAnsi="Times New Roman"/>
          <w:sz w:val="24"/>
          <w:szCs w:val="24"/>
        </w:rPr>
        <w:t xml:space="preserve"> ratio is said to indicate financial stability, a low gearing ratio achieved by Honeywell makes it less risky for investors to perform investments in the firm. This could be due to the reason that Honeywell has performed effective financial decisions and has managed its budget very well. Planned allocation of expenses and handling of debts by Honeywell has resulted in such a low gearing ratio that has increased the financial leverage of the firm. </w:t>
      </w:r>
    </w:p>
    <w:p w:rsidR="00A13CB1" w:rsidRPr="001B2907" w:rsidRDefault="00A13CB1" w:rsidP="00A13CB1">
      <w:pPr>
        <w:spacing w:line="360" w:lineRule="auto"/>
        <w:jc w:val="both"/>
        <w:rPr>
          <w:rFonts w:ascii="Times New Roman" w:hAnsi="Times New Roman"/>
          <w:sz w:val="24"/>
          <w:szCs w:val="24"/>
        </w:rPr>
      </w:pPr>
      <w:r w:rsidRPr="001B2907">
        <w:rPr>
          <w:rFonts w:ascii="Times New Roman" w:hAnsi="Times New Roman"/>
          <w:sz w:val="24"/>
          <w:szCs w:val="24"/>
        </w:rPr>
        <w:lastRenderedPageBreak/>
        <w:t xml:space="preserve">On comparing the gearing ratio of Honeywell with that of its competitor firm GE, it could be noted that the firm has achieved 1.6 in the year 2016. It is comparatively greater than that of Honeywell. Normally, this is a lower value indicating less risk for its financial position of GE. Therefore, the relatively lower gearing ratio makes Honeywell to be more favorable for investments and has less risk towards bankruptcy. </w:t>
      </w:r>
    </w:p>
    <w:p w:rsidR="00A13CB1" w:rsidRPr="001B2907" w:rsidRDefault="00A13CB1" w:rsidP="00A13CB1">
      <w:pPr>
        <w:spacing w:line="360" w:lineRule="auto"/>
        <w:jc w:val="both"/>
        <w:rPr>
          <w:rFonts w:ascii="Times New Roman" w:hAnsi="Times New Roman"/>
          <w:sz w:val="24"/>
          <w:szCs w:val="24"/>
        </w:rPr>
      </w:pPr>
      <w:r w:rsidRPr="001B2907">
        <w:rPr>
          <w:rFonts w:ascii="Times New Roman" w:hAnsi="Times New Roman"/>
          <w:b/>
          <w:sz w:val="24"/>
          <w:szCs w:val="24"/>
        </w:rPr>
        <w:t xml:space="preserve">Earnings per share – </w:t>
      </w:r>
      <w:r w:rsidRPr="001B2907">
        <w:rPr>
          <w:rFonts w:ascii="Times New Roman" w:hAnsi="Times New Roman"/>
          <w:sz w:val="24"/>
          <w:szCs w:val="24"/>
        </w:rPr>
        <w:t xml:space="preserve">The earnings per share calculated for Honeywell have been yielding impressive results in an upward trend from $ 3.74 in 2012 to $ 6.29 in the current year. This thereby makes it evident that the profitability of the company is considerably high. Investors get consistent returns for their shares of common stock due to the high revenue levels incurred by Honeywell. This makes the firm attractive for investments and the financial ability of the firm becomes clear. Management of expenses by the firm and the innovative strategies undertaken for increasing sales could be attributed to this increased value of earnings for Honeywell. </w:t>
      </w:r>
    </w:p>
    <w:p w:rsidR="00A13CB1" w:rsidRPr="001B2907" w:rsidRDefault="00A13CB1" w:rsidP="00A13CB1">
      <w:pPr>
        <w:spacing w:line="360" w:lineRule="auto"/>
        <w:jc w:val="both"/>
        <w:rPr>
          <w:rFonts w:ascii="Times New Roman" w:hAnsi="Times New Roman"/>
          <w:sz w:val="24"/>
          <w:szCs w:val="24"/>
        </w:rPr>
      </w:pPr>
      <w:r w:rsidRPr="001B2907">
        <w:rPr>
          <w:rFonts w:ascii="Times New Roman" w:hAnsi="Times New Roman"/>
          <w:sz w:val="24"/>
          <w:szCs w:val="24"/>
        </w:rPr>
        <w:t xml:space="preserve">Comparing the values of Honeywell and GE, they exhibit a stark contrast where the value of GE $0.90 indicates relatively lesser returns to the stockholders. Therefore, the position of Honeywell is extremely good when compared to its competitor and has attractive opportunities to have a competitive advantage. </w:t>
      </w:r>
    </w:p>
    <w:p w:rsidR="00217265" w:rsidRDefault="00A13CB1" w:rsidP="00217265">
      <w:pPr>
        <w:spacing w:line="360" w:lineRule="auto"/>
        <w:jc w:val="both"/>
        <w:rPr>
          <w:rFonts w:ascii="Times New Roman" w:hAnsi="Times New Roman"/>
          <w:sz w:val="24"/>
          <w:szCs w:val="24"/>
        </w:rPr>
      </w:pPr>
      <w:r w:rsidRPr="001B2907">
        <w:rPr>
          <w:rFonts w:ascii="Times New Roman" w:hAnsi="Times New Roman"/>
          <w:sz w:val="24"/>
          <w:szCs w:val="24"/>
        </w:rPr>
        <w:t>From the gearing and investment ratios, it could be clear that Honeywell has high financial leverage and abilities to handle its debts when compared to the competitor firm GE.</w:t>
      </w:r>
    </w:p>
    <w:p w:rsidR="00217265" w:rsidRDefault="00217265" w:rsidP="00217265">
      <w:pPr>
        <w:spacing w:line="360" w:lineRule="auto"/>
        <w:jc w:val="both"/>
        <w:rPr>
          <w:rFonts w:ascii="Times New Roman" w:hAnsi="Times New Roman"/>
          <w:sz w:val="24"/>
          <w:szCs w:val="24"/>
        </w:rPr>
      </w:pPr>
    </w:p>
    <w:p w:rsidR="00217265" w:rsidRDefault="00217265" w:rsidP="00217265">
      <w:pPr>
        <w:spacing w:line="360" w:lineRule="auto"/>
        <w:jc w:val="both"/>
        <w:rPr>
          <w:rFonts w:ascii="Times New Roman" w:hAnsi="Times New Roman"/>
          <w:sz w:val="24"/>
          <w:szCs w:val="24"/>
        </w:rPr>
      </w:pPr>
    </w:p>
    <w:p w:rsidR="00217265" w:rsidRDefault="00217265" w:rsidP="00217265">
      <w:pPr>
        <w:spacing w:line="360" w:lineRule="auto"/>
        <w:jc w:val="both"/>
        <w:rPr>
          <w:rFonts w:ascii="Times New Roman" w:hAnsi="Times New Roman"/>
          <w:sz w:val="24"/>
          <w:szCs w:val="24"/>
        </w:rPr>
      </w:pPr>
    </w:p>
    <w:p w:rsidR="00217265" w:rsidRDefault="00217265" w:rsidP="00217265">
      <w:pPr>
        <w:spacing w:line="360" w:lineRule="auto"/>
        <w:jc w:val="both"/>
        <w:rPr>
          <w:rFonts w:ascii="Times New Roman" w:hAnsi="Times New Roman"/>
          <w:sz w:val="24"/>
          <w:szCs w:val="24"/>
        </w:rPr>
      </w:pPr>
    </w:p>
    <w:p w:rsidR="00217265" w:rsidRDefault="00217265" w:rsidP="00217265">
      <w:pPr>
        <w:spacing w:line="360" w:lineRule="auto"/>
        <w:jc w:val="both"/>
        <w:rPr>
          <w:rFonts w:ascii="Times New Roman" w:hAnsi="Times New Roman"/>
          <w:sz w:val="24"/>
          <w:szCs w:val="24"/>
        </w:rPr>
      </w:pPr>
    </w:p>
    <w:p w:rsidR="00217265" w:rsidRDefault="00217265" w:rsidP="00217265">
      <w:pPr>
        <w:spacing w:line="360" w:lineRule="auto"/>
        <w:jc w:val="both"/>
        <w:rPr>
          <w:rFonts w:ascii="Times New Roman" w:hAnsi="Times New Roman"/>
          <w:sz w:val="24"/>
          <w:szCs w:val="24"/>
        </w:rPr>
      </w:pPr>
    </w:p>
    <w:p w:rsidR="00217265" w:rsidRDefault="00217265" w:rsidP="00217265">
      <w:pPr>
        <w:spacing w:line="360" w:lineRule="auto"/>
        <w:jc w:val="both"/>
        <w:rPr>
          <w:rFonts w:ascii="Times New Roman" w:hAnsi="Times New Roman"/>
          <w:sz w:val="24"/>
          <w:szCs w:val="24"/>
        </w:rPr>
      </w:pPr>
    </w:p>
    <w:p w:rsidR="00217265" w:rsidRPr="00217265" w:rsidRDefault="00217265" w:rsidP="00217265">
      <w:pPr>
        <w:spacing w:line="360" w:lineRule="auto"/>
        <w:jc w:val="both"/>
        <w:rPr>
          <w:rFonts w:ascii="Times New Roman" w:hAnsi="Times New Roman"/>
          <w:sz w:val="24"/>
          <w:szCs w:val="24"/>
        </w:rPr>
      </w:pPr>
    </w:p>
    <w:p w:rsidR="00A13CB1" w:rsidRPr="001B2907" w:rsidRDefault="006817F6" w:rsidP="006817F6">
      <w:pPr>
        <w:pStyle w:val="Heading1"/>
        <w:rPr>
          <w:rFonts w:ascii="Times New Roman" w:hAnsi="Times New Roman" w:cs="Times New Roman"/>
          <w:b/>
          <w:color w:val="FF0000"/>
        </w:rPr>
      </w:pPr>
      <w:bookmarkStart w:id="7" w:name="_RATIOS_BASED_ON"/>
      <w:bookmarkEnd w:id="7"/>
      <w:r w:rsidRPr="001B2907">
        <w:rPr>
          <w:rFonts w:ascii="Times New Roman" w:hAnsi="Times New Roman" w:cs="Times New Roman"/>
          <w:b/>
          <w:color w:val="FF0000"/>
        </w:rPr>
        <w:lastRenderedPageBreak/>
        <w:t>RATIOS BASED ON SHARE PRICE</w:t>
      </w:r>
    </w:p>
    <w:p w:rsidR="006817F6" w:rsidRPr="001B2907" w:rsidRDefault="006817F6" w:rsidP="006817F6"/>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985"/>
        <w:gridCol w:w="1088"/>
        <w:gridCol w:w="1086"/>
        <w:gridCol w:w="1245"/>
        <w:gridCol w:w="1399"/>
        <w:gridCol w:w="1156"/>
        <w:gridCol w:w="1391"/>
      </w:tblGrid>
      <w:tr w:rsidR="006817F6" w:rsidRPr="001B2907" w:rsidTr="005B1EBE">
        <w:trPr>
          <w:trHeight w:val="315"/>
        </w:trPr>
        <w:tc>
          <w:tcPr>
            <w:tcW w:w="1061" w:type="pct"/>
            <w:tcBorders>
              <w:top w:val="single" w:sz="4" w:space="0" w:color="auto"/>
              <w:left w:val="single" w:sz="4" w:space="0" w:color="auto"/>
              <w:right w:val="nil"/>
            </w:tcBorders>
            <w:shd w:val="clear" w:color="auto" w:fill="F9C6C6" w:themeFill="accent1" w:themeFillTint="33"/>
          </w:tcPr>
          <w:p w:rsidR="006817F6" w:rsidRPr="001B2907" w:rsidRDefault="006817F6" w:rsidP="00E467C0">
            <w:pPr>
              <w:spacing w:line="360" w:lineRule="auto"/>
              <w:jc w:val="center"/>
              <w:rPr>
                <w:rFonts w:ascii="Times New Roman" w:hAnsi="Times New Roman"/>
                <w:b/>
                <w:bCs/>
                <w:sz w:val="24"/>
                <w:szCs w:val="24"/>
              </w:rPr>
            </w:pPr>
          </w:p>
        </w:tc>
        <w:tc>
          <w:tcPr>
            <w:tcW w:w="3195" w:type="pct"/>
            <w:gridSpan w:val="5"/>
            <w:tcBorders>
              <w:top w:val="single" w:sz="4" w:space="0" w:color="auto"/>
              <w:left w:val="nil"/>
              <w:right w:val="nil"/>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Honeywell</w:t>
            </w:r>
          </w:p>
        </w:tc>
        <w:tc>
          <w:tcPr>
            <w:tcW w:w="744" w:type="pct"/>
            <w:tcBorders>
              <w:top w:val="single" w:sz="4" w:space="0" w:color="auto"/>
              <w:left w:val="nil"/>
              <w:right w:val="single" w:sz="4" w:space="0" w:color="auto"/>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GE</w:t>
            </w:r>
          </w:p>
        </w:tc>
      </w:tr>
      <w:tr w:rsidR="006817F6" w:rsidRPr="001B2907" w:rsidTr="005B1EBE">
        <w:trPr>
          <w:trHeight w:val="315"/>
        </w:trPr>
        <w:tc>
          <w:tcPr>
            <w:tcW w:w="1061" w:type="pct"/>
            <w:tcBorders>
              <w:left w:val="single" w:sz="4" w:space="0" w:color="auto"/>
            </w:tcBorders>
            <w:shd w:val="clear" w:color="auto" w:fill="F9C6C6" w:themeFill="accent1" w:themeFillTint="33"/>
          </w:tcPr>
          <w:p w:rsidR="006817F6" w:rsidRPr="001B2907" w:rsidRDefault="006817F6" w:rsidP="00E467C0">
            <w:pPr>
              <w:spacing w:line="360" w:lineRule="auto"/>
              <w:jc w:val="center"/>
              <w:rPr>
                <w:rFonts w:ascii="Times New Roman" w:hAnsi="Times New Roman"/>
                <w:b/>
                <w:bCs/>
                <w:sz w:val="24"/>
                <w:szCs w:val="24"/>
              </w:rPr>
            </w:pPr>
          </w:p>
        </w:tc>
        <w:tc>
          <w:tcPr>
            <w:tcW w:w="582"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rPr>
            </w:pPr>
            <w:r w:rsidRPr="001B2907">
              <w:rPr>
                <w:rFonts w:ascii="Times New Roman" w:hAnsi="Times New Roman"/>
                <w:b/>
                <w:sz w:val="24"/>
                <w:szCs w:val="24"/>
              </w:rPr>
              <w:t>2012</w:t>
            </w:r>
          </w:p>
        </w:tc>
        <w:tc>
          <w:tcPr>
            <w:tcW w:w="581"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rPr>
            </w:pPr>
            <w:r w:rsidRPr="001B2907">
              <w:rPr>
                <w:rFonts w:ascii="Times New Roman" w:hAnsi="Times New Roman"/>
                <w:b/>
                <w:sz w:val="24"/>
                <w:szCs w:val="24"/>
              </w:rPr>
              <w:t>2013</w:t>
            </w:r>
          </w:p>
        </w:tc>
        <w:tc>
          <w:tcPr>
            <w:tcW w:w="666"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rPr>
            </w:pPr>
            <w:r w:rsidRPr="001B2907">
              <w:rPr>
                <w:rFonts w:ascii="Times New Roman" w:hAnsi="Times New Roman"/>
                <w:b/>
                <w:sz w:val="24"/>
                <w:szCs w:val="24"/>
              </w:rPr>
              <w:t>2014</w:t>
            </w:r>
          </w:p>
        </w:tc>
        <w:tc>
          <w:tcPr>
            <w:tcW w:w="748"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rPr>
            </w:pPr>
            <w:r w:rsidRPr="001B2907">
              <w:rPr>
                <w:rFonts w:ascii="Times New Roman" w:hAnsi="Times New Roman"/>
                <w:b/>
                <w:sz w:val="24"/>
                <w:szCs w:val="24"/>
              </w:rPr>
              <w:t>2015</w:t>
            </w:r>
          </w:p>
        </w:tc>
        <w:tc>
          <w:tcPr>
            <w:tcW w:w="618"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rPr>
            </w:pPr>
            <w:r w:rsidRPr="001B2907">
              <w:rPr>
                <w:rFonts w:ascii="Times New Roman" w:hAnsi="Times New Roman"/>
                <w:b/>
                <w:sz w:val="24"/>
                <w:szCs w:val="24"/>
              </w:rPr>
              <w:t>2016</w:t>
            </w:r>
          </w:p>
        </w:tc>
        <w:tc>
          <w:tcPr>
            <w:tcW w:w="744" w:type="pct"/>
            <w:tcBorders>
              <w:right w:val="single" w:sz="4" w:space="0" w:color="auto"/>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bCs/>
                <w:sz w:val="24"/>
                <w:szCs w:val="24"/>
              </w:rPr>
            </w:pPr>
            <w:r w:rsidRPr="001B2907">
              <w:rPr>
                <w:rFonts w:ascii="Times New Roman" w:hAnsi="Times New Roman"/>
                <w:b/>
                <w:bCs/>
                <w:sz w:val="24"/>
                <w:szCs w:val="24"/>
              </w:rPr>
              <w:t>2016</w:t>
            </w:r>
          </w:p>
        </w:tc>
      </w:tr>
      <w:tr w:rsidR="006817F6" w:rsidRPr="001B2907" w:rsidTr="005B1EBE">
        <w:trPr>
          <w:trHeight w:val="315"/>
        </w:trPr>
        <w:tc>
          <w:tcPr>
            <w:tcW w:w="1061" w:type="pct"/>
            <w:tcBorders>
              <w:left w:val="single" w:sz="4" w:space="0" w:color="auto"/>
              <w:bottom w:val="single" w:sz="4" w:space="0" w:color="auto"/>
            </w:tcBorders>
            <w:shd w:val="clear" w:color="auto" w:fill="F9C6C6" w:themeFill="accent1" w:themeFillTint="33"/>
            <w:hideMark/>
          </w:tcPr>
          <w:p w:rsidR="006817F6" w:rsidRPr="001B2907" w:rsidRDefault="006817F6" w:rsidP="00E467C0">
            <w:pPr>
              <w:spacing w:line="360" w:lineRule="auto"/>
              <w:jc w:val="center"/>
              <w:rPr>
                <w:rFonts w:ascii="Times New Roman" w:hAnsi="Times New Roman"/>
                <w:b/>
                <w:bCs/>
                <w:color w:val="FFFFFF"/>
                <w:sz w:val="24"/>
                <w:szCs w:val="24"/>
              </w:rPr>
            </w:pPr>
            <w:r w:rsidRPr="001B2907">
              <w:rPr>
                <w:rFonts w:ascii="Times New Roman" w:hAnsi="Times New Roman"/>
                <w:b/>
                <w:bCs/>
                <w:color w:val="000000" w:themeColor="text1"/>
                <w:sz w:val="24"/>
                <w:szCs w:val="24"/>
              </w:rPr>
              <w:t>Price Earnings Ratio</w:t>
            </w:r>
          </w:p>
        </w:tc>
        <w:tc>
          <w:tcPr>
            <w:tcW w:w="582" w:type="pct"/>
            <w:tcBorders>
              <w:bottom w:val="single" w:sz="4" w:space="0" w:color="auto"/>
            </w:tcBorders>
            <w:shd w:val="clear" w:color="auto" w:fill="F9C6C6" w:themeFill="accent1" w:themeFillTint="33"/>
            <w:noWrap/>
            <w:hideMark/>
          </w:tcPr>
          <w:p w:rsidR="006817F6" w:rsidRPr="001B2907" w:rsidRDefault="006817F6" w:rsidP="00E467C0">
            <w:pPr>
              <w:spacing w:after="0" w:line="360" w:lineRule="auto"/>
              <w:jc w:val="center"/>
              <w:rPr>
                <w:rFonts w:ascii="Times New Roman" w:hAnsi="Times New Roman"/>
                <w:b/>
                <w:color w:val="000000"/>
                <w:sz w:val="24"/>
                <w:szCs w:val="24"/>
                <w:lang w:eastAsia="en-IN"/>
              </w:rPr>
            </w:pPr>
            <w:r w:rsidRPr="001B2907">
              <w:rPr>
                <w:rFonts w:ascii="Times New Roman" w:hAnsi="Times New Roman"/>
                <w:b/>
                <w:color w:val="000000"/>
                <w:sz w:val="24"/>
                <w:szCs w:val="24"/>
              </w:rPr>
              <w:t>16.87</w:t>
            </w:r>
          </w:p>
        </w:tc>
        <w:tc>
          <w:tcPr>
            <w:tcW w:w="581" w:type="pct"/>
            <w:tcBorders>
              <w:bottom w:val="single" w:sz="4" w:space="0" w:color="auto"/>
            </w:tcBorders>
            <w:shd w:val="clear" w:color="auto" w:fill="F9C6C6" w:themeFill="accent1" w:themeFillTint="33"/>
            <w:noWrap/>
            <w:hideMark/>
          </w:tcPr>
          <w:p w:rsidR="006817F6" w:rsidRPr="001B2907" w:rsidRDefault="006817F6" w:rsidP="00E467C0">
            <w:pPr>
              <w:spacing w:line="360" w:lineRule="auto"/>
              <w:jc w:val="center"/>
              <w:rPr>
                <w:rFonts w:ascii="Times New Roman" w:hAnsi="Times New Roman"/>
                <w:b/>
                <w:color w:val="000000"/>
                <w:sz w:val="24"/>
                <w:szCs w:val="24"/>
              </w:rPr>
            </w:pPr>
            <w:r w:rsidRPr="001B2907">
              <w:rPr>
                <w:rFonts w:ascii="Times New Roman" w:hAnsi="Times New Roman"/>
                <w:b/>
                <w:color w:val="000000"/>
                <w:sz w:val="24"/>
                <w:szCs w:val="24"/>
              </w:rPr>
              <w:t>18.21</w:t>
            </w:r>
          </w:p>
        </w:tc>
        <w:tc>
          <w:tcPr>
            <w:tcW w:w="666" w:type="pct"/>
            <w:tcBorders>
              <w:bottom w:val="single" w:sz="4" w:space="0" w:color="auto"/>
            </w:tcBorders>
            <w:shd w:val="clear" w:color="auto" w:fill="F9C6C6" w:themeFill="accent1" w:themeFillTint="33"/>
            <w:noWrap/>
            <w:hideMark/>
          </w:tcPr>
          <w:p w:rsidR="006817F6" w:rsidRPr="001B2907" w:rsidRDefault="006817F6" w:rsidP="00E467C0">
            <w:pPr>
              <w:spacing w:line="360" w:lineRule="auto"/>
              <w:jc w:val="center"/>
              <w:rPr>
                <w:rFonts w:ascii="Times New Roman" w:hAnsi="Times New Roman"/>
                <w:b/>
                <w:color w:val="000000"/>
                <w:sz w:val="24"/>
                <w:szCs w:val="24"/>
              </w:rPr>
            </w:pPr>
            <w:r w:rsidRPr="001B2907">
              <w:rPr>
                <w:rFonts w:ascii="Times New Roman" w:hAnsi="Times New Roman"/>
                <w:b/>
                <w:color w:val="000000"/>
                <w:sz w:val="24"/>
                <w:szCs w:val="24"/>
              </w:rPr>
              <w:t>18.40</w:t>
            </w:r>
          </w:p>
        </w:tc>
        <w:tc>
          <w:tcPr>
            <w:tcW w:w="748" w:type="pct"/>
            <w:tcBorders>
              <w:bottom w:val="single" w:sz="4" w:space="0" w:color="auto"/>
            </w:tcBorders>
            <w:shd w:val="clear" w:color="auto" w:fill="F9C6C6" w:themeFill="accent1" w:themeFillTint="33"/>
            <w:noWrap/>
            <w:hideMark/>
          </w:tcPr>
          <w:p w:rsidR="006817F6" w:rsidRPr="001B2907" w:rsidRDefault="006817F6" w:rsidP="00E467C0">
            <w:pPr>
              <w:spacing w:line="360" w:lineRule="auto"/>
              <w:jc w:val="center"/>
              <w:rPr>
                <w:rFonts w:ascii="Times New Roman" w:hAnsi="Times New Roman"/>
                <w:b/>
                <w:color w:val="000000"/>
                <w:sz w:val="24"/>
                <w:szCs w:val="24"/>
              </w:rPr>
            </w:pPr>
            <w:r w:rsidRPr="001B2907">
              <w:rPr>
                <w:rFonts w:ascii="Times New Roman" w:hAnsi="Times New Roman"/>
                <w:b/>
                <w:color w:val="000000"/>
                <w:sz w:val="24"/>
                <w:szCs w:val="24"/>
              </w:rPr>
              <w:t>17.00</w:t>
            </w:r>
          </w:p>
        </w:tc>
        <w:tc>
          <w:tcPr>
            <w:tcW w:w="618" w:type="pct"/>
            <w:tcBorders>
              <w:bottom w:val="single" w:sz="4" w:space="0" w:color="auto"/>
            </w:tcBorders>
            <w:shd w:val="clear" w:color="auto" w:fill="F9C6C6" w:themeFill="accent1" w:themeFillTint="33"/>
            <w:noWrap/>
            <w:hideMark/>
          </w:tcPr>
          <w:p w:rsidR="006817F6" w:rsidRPr="001B2907" w:rsidRDefault="006817F6" w:rsidP="00E467C0">
            <w:pPr>
              <w:spacing w:line="360" w:lineRule="auto"/>
              <w:jc w:val="center"/>
              <w:rPr>
                <w:rFonts w:ascii="Times New Roman" w:hAnsi="Times New Roman"/>
                <w:b/>
                <w:color w:val="000000"/>
                <w:sz w:val="24"/>
                <w:szCs w:val="24"/>
              </w:rPr>
            </w:pPr>
            <w:r w:rsidRPr="001B2907">
              <w:rPr>
                <w:rFonts w:ascii="Times New Roman" w:hAnsi="Times New Roman"/>
                <w:b/>
                <w:color w:val="000000"/>
                <w:sz w:val="24"/>
                <w:szCs w:val="24"/>
              </w:rPr>
              <w:t>18.42</w:t>
            </w:r>
          </w:p>
        </w:tc>
        <w:tc>
          <w:tcPr>
            <w:tcW w:w="744" w:type="pct"/>
            <w:tcBorders>
              <w:bottom w:val="single" w:sz="4" w:space="0" w:color="auto"/>
              <w:right w:val="single" w:sz="4" w:space="0" w:color="auto"/>
            </w:tcBorders>
            <w:shd w:val="clear" w:color="auto" w:fill="F9C6C6" w:themeFill="accent1" w:themeFillTint="33"/>
            <w:noWrap/>
            <w:hideMark/>
          </w:tcPr>
          <w:p w:rsidR="006817F6" w:rsidRPr="001B2907" w:rsidRDefault="006817F6" w:rsidP="00E467C0">
            <w:pPr>
              <w:spacing w:line="360" w:lineRule="auto"/>
              <w:jc w:val="center"/>
              <w:rPr>
                <w:rFonts w:ascii="Times New Roman" w:hAnsi="Times New Roman"/>
                <w:b/>
                <w:color w:val="000000"/>
                <w:sz w:val="24"/>
                <w:szCs w:val="24"/>
              </w:rPr>
            </w:pPr>
            <w:r w:rsidRPr="001B2907">
              <w:rPr>
                <w:rFonts w:ascii="Times New Roman" w:hAnsi="Times New Roman"/>
                <w:b/>
                <w:color w:val="000000"/>
                <w:sz w:val="24"/>
                <w:szCs w:val="24"/>
              </w:rPr>
              <w:t>35.22</w:t>
            </w:r>
          </w:p>
        </w:tc>
      </w:tr>
    </w:tbl>
    <w:p w:rsidR="006817F6" w:rsidRPr="001B2907" w:rsidRDefault="005B1EBE" w:rsidP="006817F6">
      <w:r w:rsidRPr="001B2907">
        <w:rPr>
          <w:noProof/>
          <w:lang w:val="en-IN" w:eastAsia="en-IN"/>
        </w:rPr>
        <w:drawing>
          <wp:inline distT="0" distB="0" distL="0" distR="0" wp14:anchorId="0B8C933A" wp14:editId="2AF8CE9F">
            <wp:extent cx="5870121" cy="2718707"/>
            <wp:effectExtent l="0" t="0" r="16510" b="571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817F6" w:rsidRPr="001B2907" w:rsidRDefault="006817F6" w:rsidP="006817F6">
      <w:pPr>
        <w:spacing w:line="360" w:lineRule="auto"/>
        <w:jc w:val="both"/>
        <w:rPr>
          <w:rFonts w:ascii="Times New Roman" w:hAnsi="Times New Roman"/>
          <w:sz w:val="24"/>
          <w:szCs w:val="24"/>
        </w:rPr>
      </w:pPr>
      <w:r w:rsidRPr="001B2907">
        <w:rPr>
          <w:rFonts w:ascii="Times New Roman" w:hAnsi="Times New Roman"/>
          <w:sz w:val="24"/>
          <w:szCs w:val="24"/>
        </w:rPr>
        <w:t>Table: Ratios of Honeywell and GE based on share price</w:t>
      </w:r>
    </w:p>
    <w:p w:rsidR="006817F6" w:rsidRPr="001B2907" w:rsidRDefault="006817F6" w:rsidP="006817F6">
      <w:pPr>
        <w:rPr>
          <w:rFonts w:ascii="Times New Roman" w:hAnsi="Times New Roman"/>
          <w:bCs/>
          <w:sz w:val="24"/>
          <w:szCs w:val="24"/>
        </w:rPr>
      </w:pPr>
      <w:r w:rsidRPr="001B2907">
        <w:rPr>
          <w:rFonts w:ascii="Times New Roman" w:hAnsi="Times New Roman"/>
          <w:sz w:val="24"/>
          <w:szCs w:val="24"/>
        </w:rPr>
        <w:t xml:space="preserve">Source: Adapted from </w:t>
      </w:r>
      <w:r w:rsidRPr="001B2907">
        <w:rPr>
          <w:rFonts w:ascii="Times New Roman" w:hAnsi="Times New Roman"/>
          <w:bCs/>
          <w:sz w:val="24"/>
          <w:szCs w:val="24"/>
        </w:rPr>
        <w:t>H</w:t>
      </w:r>
      <w:r w:rsidR="00632FB7" w:rsidRPr="001B2907">
        <w:rPr>
          <w:rFonts w:ascii="Times New Roman" w:hAnsi="Times New Roman"/>
          <w:bCs/>
          <w:sz w:val="24"/>
          <w:szCs w:val="24"/>
        </w:rPr>
        <w:t>oneywell (2014), Honeywell (2016</w:t>
      </w:r>
      <w:r w:rsidRPr="001B2907">
        <w:rPr>
          <w:rFonts w:ascii="Times New Roman" w:hAnsi="Times New Roman"/>
          <w:bCs/>
          <w:sz w:val="24"/>
          <w:szCs w:val="24"/>
        </w:rPr>
        <w:t>) and GE (2016)</w:t>
      </w:r>
    </w:p>
    <w:p w:rsidR="006817F6" w:rsidRPr="001B2907" w:rsidRDefault="006817F6" w:rsidP="006817F6">
      <w:pPr>
        <w:rPr>
          <w:rFonts w:ascii="Times New Roman" w:hAnsi="Times New Roman"/>
          <w:bCs/>
          <w:sz w:val="24"/>
          <w:szCs w:val="24"/>
        </w:rPr>
      </w:pPr>
    </w:p>
    <w:p w:rsidR="006817F6" w:rsidRPr="001B2907" w:rsidRDefault="006817F6" w:rsidP="006817F6">
      <w:pPr>
        <w:spacing w:line="360" w:lineRule="auto"/>
        <w:jc w:val="both"/>
        <w:rPr>
          <w:rFonts w:ascii="Times New Roman" w:hAnsi="Times New Roman"/>
          <w:sz w:val="24"/>
          <w:szCs w:val="24"/>
        </w:rPr>
      </w:pPr>
      <w:r w:rsidRPr="001B2907">
        <w:rPr>
          <w:rFonts w:ascii="Times New Roman" w:hAnsi="Times New Roman"/>
          <w:b/>
          <w:sz w:val="24"/>
          <w:szCs w:val="24"/>
        </w:rPr>
        <w:t xml:space="preserve">Price Earnings Ratio – </w:t>
      </w:r>
      <w:r w:rsidRPr="001B2907">
        <w:rPr>
          <w:rFonts w:ascii="Times New Roman" w:hAnsi="Times New Roman"/>
          <w:sz w:val="24"/>
          <w:szCs w:val="24"/>
        </w:rPr>
        <w:t xml:space="preserve">This ratio for Honeywell has mostly increased over the years where in 2016, it has reached 18.42. The willingness of investors to pay $18.42 for $ 1 of the earnings for the previous year of 2016. The moderate value of price </w:t>
      </w:r>
      <w:proofErr w:type="spellStart"/>
      <w:r w:rsidRPr="001B2907">
        <w:rPr>
          <w:rFonts w:ascii="Times New Roman" w:hAnsi="Times New Roman"/>
          <w:sz w:val="24"/>
          <w:szCs w:val="24"/>
        </w:rPr>
        <w:t>earning</w:t>
      </w:r>
      <w:proofErr w:type="spellEnd"/>
      <w:r w:rsidRPr="001B2907">
        <w:rPr>
          <w:rFonts w:ascii="Times New Roman" w:hAnsi="Times New Roman"/>
          <w:sz w:val="24"/>
          <w:szCs w:val="24"/>
        </w:rPr>
        <w:t xml:space="preserve"> ratio for Honeywell makes it clear that the investor expectations are being fulfilled by the company through its earnings and the firm is not being undervalued in the perception of investors. Therefore, the stocks of Honeywell are worth buying. Reasons for this scenario could be that the firm has offered proper returns for the investors above their expectations. Honeywell has been doing </w:t>
      </w:r>
      <w:proofErr w:type="gramStart"/>
      <w:r w:rsidRPr="001B2907">
        <w:rPr>
          <w:rFonts w:ascii="Times New Roman" w:hAnsi="Times New Roman"/>
          <w:sz w:val="24"/>
          <w:szCs w:val="24"/>
        </w:rPr>
        <w:t>good</w:t>
      </w:r>
      <w:proofErr w:type="gramEnd"/>
      <w:r w:rsidRPr="001B2907">
        <w:rPr>
          <w:rFonts w:ascii="Times New Roman" w:hAnsi="Times New Roman"/>
          <w:sz w:val="24"/>
          <w:szCs w:val="24"/>
        </w:rPr>
        <w:t xml:space="preserve"> in the past years with consistent earnings. </w:t>
      </w:r>
    </w:p>
    <w:p w:rsidR="006817F6" w:rsidRPr="001B2907" w:rsidRDefault="006817F6" w:rsidP="006817F6">
      <w:pPr>
        <w:spacing w:line="360" w:lineRule="auto"/>
        <w:jc w:val="both"/>
        <w:rPr>
          <w:rFonts w:ascii="Times New Roman" w:hAnsi="Times New Roman"/>
          <w:sz w:val="24"/>
          <w:szCs w:val="24"/>
        </w:rPr>
      </w:pPr>
      <w:r w:rsidRPr="001B2907">
        <w:rPr>
          <w:rFonts w:ascii="Times New Roman" w:hAnsi="Times New Roman"/>
          <w:sz w:val="24"/>
          <w:szCs w:val="24"/>
        </w:rPr>
        <w:t>Comp</w:t>
      </w:r>
      <w:r w:rsidR="00A95CDE" w:rsidRPr="001B2907">
        <w:rPr>
          <w:rFonts w:ascii="Times New Roman" w:hAnsi="Times New Roman"/>
          <w:sz w:val="24"/>
          <w:szCs w:val="24"/>
        </w:rPr>
        <w:t xml:space="preserve">aring Honeywell values of price </w:t>
      </w:r>
      <w:proofErr w:type="spellStart"/>
      <w:r w:rsidR="00A95CDE" w:rsidRPr="001B2907">
        <w:rPr>
          <w:rFonts w:ascii="Times New Roman" w:hAnsi="Times New Roman"/>
          <w:sz w:val="24"/>
          <w:szCs w:val="24"/>
        </w:rPr>
        <w:t>earning</w:t>
      </w:r>
      <w:proofErr w:type="spellEnd"/>
      <w:r w:rsidRPr="001B2907">
        <w:rPr>
          <w:rFonts w:ascii="Times New Roman" w:hAnsi="Times New Roman"/>
          <w:sz w:val="24"/>
          <w:szCs w:val="24"/>
        </w:rPr>
        <w:t xml:space="preserve"> ratio with GE, the value of 35.22 indicates a relatively higher risk for GE in projecting its stock worth. The expectations of investors on </w:t>
      </w:r>
      <w:r w:rsidRPr="001B2907">
        <w:rPr>
          <w:rFonts w:ascii="Times New Roman" w:hAnsi="Times New Roman"/>
          <w:sz w:val="24"/>
          <w:szCs w:val="24"/>
        </w:rPr>
        <w:lastRenderedPageBreak/>
        <w:t xml:space="preserve">earnings are high for the future periods and it becomes crucial for GE to satisfy their expectations in order to become more attractive. </w:t>
      </w:r>
    </w:p>
    <w:p w:rsidR="006817F6" w:rsidRDefault="006817F6" w:rsidP="006817F6"/>
    <w:p w:rsidR="00217265" w:rsidRDefault="00217265" w:rsidP="006817F6"/>
    <w:p w:rsidR="00217265" w:rsidRDefault="00217265" w:rsidP="006817F6"/>
    <w:p w:rsidR="00217265" w:rsidRPr="001B2907" w:rsidRDefault="00217265" w:rsidP="006817F6"/>
    <w:p w:rsidR="006817F6" w:rsidRPr="001B2907" w:rsidRDefault="006817F6" w:rsidP="006817F6">
      <w:pPr>
        <w:pStyle w:val="Heading1"/>
        <w:rPr>
          <w:rFonts w:ascii="Times New Roman" w:hAnsi="Times New Roman" w:cs="Times New Roman"/>
          <w:b/>
          <w:color w:val="FF0000"/>
          <w:lang w:val="en-IN"/>
        </w:rPr>
      </w:pPr>
      <w:bookmarkStart w:id="8" w:name="_SALES_&amp;_SALES"/>
      <w:bookmarkEnd w:id="8"/>
      <w:r w:rsidRPr="001B2907">
        <w:rPr>
          <w:rFonts w:ascii="Times New Roman" w:hAnsi="Times New Roman" w:cs="Times New Roman"/>
          <w:b/>
          <w:color w:val="FF0000"/>
          <w:lang w:val="en-IN"/>
        </w:rPr>
        <w:t>SALES &amp; SALES GROWTH ANALYSIS</w:t>
      </w:r>
    </w:p>
    <w:p w:rsidR="006817F6" w:rsidRPr="001B2907" w:rsidRDefault="006817F6" w:rsidP="006817F6">
      <w:pPr>
        <w:rPr>
          <w:lang w:val="en-IN"/>
        </w:rPr>
      </w:pP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985"/>
        <w:gridCol w:w="1088"/>
        <w:gridCol w:w="1086"/>
        <w:gridCol w:w="1245"/>
        <w:gridCol w:w="1399"/>
        <w:gridCol w:w="1156"/>
        <w:gridCol w:w="1391"/>
      </w:tblGrid>
      <w:tr w:rsidR="006817F6" w:rsidRPr="001B2907" w:rsidTr="005B1EBE">
        <w:trPr>
          <w:trHeight w:val="315"/>
        </w:trPr>
        <w:tc>
          <w:tcPr>
            <w:tcW w:w="1061" w:type="pct"/>
            <w:tcBorders>
              <w:top w:val="single" w:sz="4" w:space="0" w:color="auto"/>
              <w:left w:val="single" w:sz="4" w:space="0" w:color="auto"/>
              <w:right w:val="nil"/>
            </w:tcBorders>
            <w:shd w:val="clear" w:color="auto" w:fill="F9C6C6" w:themeFill="accent1" w:themeFillTint="33"/>
          </w:tcPr>
          <w:p w:rsidR="006817F6" w:rsidRPr="001B2907" w:rsidRDefault="006817F6" w:rsidP="00E467C0">
            <w:pPr>
              <w:spacing w:line="360" w:lineRule="auto"/>
              <w:jc w:val="center"/>
              <w:rPr>
                <w:rFonts w:ascii="Times New Roman" w:hAnsi="Times New Roman"/>
                <w:b/>
                <w:sz w:val="24"/>
                <w:szCs w:val="24"/>
                <w:lang w:val="en-IN"/>
              </w:rPr>
            </w:pPr>
          </w:p>
        </w:tc>
        <w:tc>
          <w:tcPr>
            <w:tcW w:w="3195" w:type="pct"/>
            <w:gridSpan w:val="5"/>
            <w:tcBorders>
              <w:top w:val="single" w:sz="4" w:space="0" w:color="auto"/>
              <w:left w:val="nil"/>
              <w:right w:val="nil"/>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Honeywell</w:t>
            </w:r>
          </w:p>
        </w:tc>
        <w:tc>
          <w:tcPr>
            <w:tcW w:w="744" w:type="pct"/>
            <w:tcBorders>
              <w:top w:val="single" w:sz="4" w:space="0" w:color="auto"/>
              <w:left w:val="nil"/>
              <w:right w:val="single" w:sz="4" w:space="0" w:color="auto"/>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GE</w:t>
            </w:r>
          </w:p>
        </w:tc>
      </w:tr>
      <w:tr w:rsidR="006817F6" w:rsidRPr="001B2907" w:rsidTr="005B1EBE">
        <w:trPr>
          <w:trHeight w:val="315"/>
        </w:trPr>
        <w:tc>
          <w:tcPr>
            <w:tcW w:w="1061" w:type="pct"/>
            <w:tcBorders>
              <w:left w:val="single" w:sz="4" w:space="0" w:color="auto"/>
            </w:tcBorders>
            <w:shd w:val="clear" w:color="auto" w:fill="F9C6C6" w:themeFill="accent1" w:themeFillTint="33"/>
          </w:tcPr>
          <w:p w:rsidR="006817F6" w:rsidRPr="001B2907" w:rsidRDefault="006817F6" w:rsidP="00E467C0">
            <w:pPr>
              <w:spacing w:line="360" w:lineRule="auto"/>
              <w:jc w:val="center"/>
              <w:rPr>
                <w:rFonts w:ascii="Times New Roman" w:hAnsi="Times New Roman"/>
                <w:b/>
                <w:sz w:val="24"/>
                <w:szCs w:val="24"/>
                <w:lang w:val="en-IN"/>
              </w:rPr>
            </w:pPr>
          </w:p>
        </w:tc>
        <w:tc>
          <w:tcPr>
            <w:tcW w:w="582"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2012</w:t>
            </w:r>
          </w:p>
        </w:tc>
        <w:tc>
          <w:tcPr>
            <w:tcW w:w="581"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2013</w:t>
            </w:r>
          </w:p>
        </w:tc>
        <w:tc>
          <w:tcPr>
            <w:tcW w:w="666"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2014</w:t>
            </w:r>
          </w:p>
        </w:tc>
        <w:tc>
          <w:tcPr>
            <w:tcW w:w="748"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2015</w:t>
            </w:r>
          </w:p>
        </w:tc>
        <w:tc>
          <w:tcPr>
            <w:tcW w:w="618" w:type="pct"/>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2016</w:t>
            </w:r>
          </w:p>
        </w:tc>
        <w:tc>
          <w:tcPr>
            <w:tcW w:w="744" w:type="pct"/>
            <w:tcBorders>
              <w:right w:val="single" w:sz="4" w:space="0" w:color="auto"/>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bCs/>
                <w:sz w:val="24"/>
                <w:szCs w:val="24"/>
                <w:lang w:val="en-IN"/>
              </w:rPr>
            </w:pPr>
            <w:r w:rsidRPr="001B2907">
              <w:rPr>
                <w:rFonts w:ascii="Times New Roman" w:hAnsi="Times New Roman"/>
                <w:b/>
                <w:bCs/>
                <w:sz w:val="24"/>
                <w:szCs w:val="24"/>
                <w:lang w:val="en-IN"/>
              </w:rPr>
              <w:t>2016</w:t>
            </w:r>
          </w:p>
        </w:tc>
      </w:tr>
      <w:tr w:rsidR="006817F6" w:rsidRPr="001B2907" w:rsidTr="005B1EBE">
        <w:trPr>
          <w:trHeight w:val="315"/>
        </w:trPr>
        <w:tc>
          <w:tcPr>
            <w:tcW w:w="1061" w:type="pct"/>
            <w:tcBorders>
              <w:left w:val="single" w:sz="4" w:space="0" w:color="auto"/>
            </w:tcBorders>
            <w:shd w:val="clear" w:color="auto" w:fill="F9C6C6" w:themeFill="accent1" w:themeFillTint="33"/>
            <w:hideMark/>
          </w:tcPr>
          <w:p w:rsidR="006817F6" w:rsidRPr="001B2907" w:rsidRDefault="006817F6" w:rsidP="00E467C0">
            <w:pPr>
              <w:spacing w:line="360" w:lineRule="auto"/>
              <w:jc w:val="center"/>
              <w:rPr>
                <w:rFonts w:ascii="Times New Roman" w:hAnsi="Times New Roman"/>
                <w:b/>
                <w:bCs/>
                <w:sz w:val="24"/>
                <w:szCs w:val="24"/>
                <w:lang w:val="en-IN"/>
              </w:rPr>
            </w:pPr>
            <w:r w:rsidRPr="001B2907">
              <w:rPr>
                <w:rFonts w:ascii="Times New Roman" w:hAnsi="Times New Roman"/>
                <w:b/>
                <w:bCs/>
                <w:sz w:val="24"/>
                <w:szCs w:val="24"/>
                <w:lang w:val="en-IN"/>
              </w:rPr>
              <w:t>Sales</w:t>
            </w:r>
          </w:p>
        </w:tc>
        <w:tc>
          <w:tcPr>
            <w:tcW w:w="582" w:type="pct"/>
            <w:shd w:val="clear" w:color="auto" w:fill="F9C6C6" w:themeFill="accent1" w:themeFillTint="33"/>
            <w:noWrap/>
            <w:hideMark/>
          </w:tcPr>
          <w:p w:rsidR="006817F6" w:rsidRPr="001B2907" w:rsidRDefault="006817F6" w:rsidP="00E467C0">
            <w:pPr>
              <w:spacing w:after="0"/>
              <w:jc w:val="center"/>
              <w:rPr>
                <w:rFonts w:ascii="Times New Roman" w:hAnsi="Times New Roman"/>
                <w:b/>
                <w:color w:val="000000"/>
                <w:sz w:val="24"/>
                <w:szCs w:val="24"/>
                <w:lang w:val="en-IN" w:eastAsia="en-IN"/>
              </w:rPr>
            </w:pPr>
            <w:r w:rsidRPr="001B2907">
              <w:rPr>
                <w:rFonts w:ascii="Times New Roman" w:hAnsi="Times New Roman"/>
                <w:b/>
                <w:color w:val="000000"/>
                <w:sz w:val="24"/>
                <w:szCs w:val="24"/>
                <w:lang w:val="en-IN"/>
              </w:rPr>
              <w:t>37665</w:t>
            </w:r>
          </w:p>
        </w:tc>
        <w:tc>
          <w:tcPr>
            <w:tcW w:w="581" w:type="pct"/>
            <w:shd w:val="clear" w:color="auto" w:fill="F9C6C6" w:themeFill="accent1" w:themeFillTint="33"/>
            <w:noWrap/>
            <w:hideMark/>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39055</w:t>
            </w:r>
          </w:p>
        </w:tc>
        <w:tc>
          <w:tcPr>
            <w:tcW w:w="666" w:type="pct"/>
            <w:shd w:val="clear" w:color="auto" w:fill="F9C6C6" w:themeFill="accent1" w:themeFillTint="33"/>
            <w:noWrap/>
            <w:hideMark/>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40306</w:t>
            </w:r>
          </w:p>
        </w:tc>
        <w:tc>
          <w:tcPr>
            <w:tcW w:w="748" w:type="pct"/>
            <w:shd w:val="clear" w:color="auto" w:fill="F9C6C6" w:themeFill="accent1" w:themeFillTint="33"/>
            <w:noWrap/>
            <w:hideMark/>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38581</w:t>
            </w:r>
          </w:p>
        </w:tc>
        <w:tc>
          <w:tcPr>
            <w:tcW w:w="618" w:type="pct"/>
            <w:shd w:val="clear" w:color="auto" w:fill="F9C6C6" w:themeFill="accent1" w:themeFillTint="33"/>
            <w:noWrap/>
            <w:hideMark/>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39302</w:t>
            </w:r>
          </w:p>
        </w:tc>
        <w:tc>
          <w:tcPr>
            <w:tcW w:w="744" w:type="pct"/>
            <w:tcBorders>
              <w:right w:val="single" w:sz="4" w:space="0" w:color="auto"/>
            </w:tcBorders>
            <w:shd w:val="clear" w:color="auto" w:fill="F9C6C6" w:themeFill="accent1" w:themeFillTint="33"/>
            <w:noWrap/>
            <w:hideMark/>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123693</w:t>
            </w:r>
          </w:p>
        </w:tc>
      </w:tr>
      <w:tr w:rsidR="006817F6" w:rsidRPr="001B2907" w:rsidTr="005B1EBE">
        <w:trPr>
          <w:trHeight w:val="315"/>
        </w:trPr>
        <w:tc>
          <w:tcPr>
            <w:tcW w:w="1061" w:type="pct"/>
            <w:tcBorders>
              <w:left w:val="single" w:sz="4" w:space="0" w:color="auto"/>
              <w:bottom w:val="single" w:sz="4" w:space="0" w:color="auto"/>
            </w:tcBorders>
            <w:shd w:val="clear" w:color="auto" w:fill="F9C6C6" w:themeFill="accent1" w:themeFillTint="33"/>
          </w:tcPr>
          <w:p w:rsidR="006817F6" w:rsidRPr="001B2907" w:rsidRDefault="006817F6" w:rsidP="00E467C0">
            <w:pPr>
              <w:spacing w:line="360" w:lineRule="auto"/>
              <w:jc w:val="center"/>
              <w:rPr>
                <w:rFonts w:ascii="Times New Roman" w:hAnsi="Times New Roman"/>
                <w:b/>
                <w:bCs/>
                <w:sz w:val="24"/>
                <w:szCs w:val="24"/>
                <w:lang w:val="en-IN"/>
              </w:rPr>
            </w:pPr>
            <w:r w:rsidRPr="001B2907">
              <w:rPr>
                <w:rFonts w:ascii="Times New Roman" w:hAnsi="Times New Roman"/>
                <w:b/>
                <w:bCs/>
                <w:sz w:val="24"/>
                <w:szCs w:val="24"/>
                <w:lang w:val="en-IN"/>
              </w:rPr>
              <w:t>Sales Growth</w:t>
            </w:r>
          </w:p>
        </w:tc>
        <w:tc>
          <w:tcPr>
            <w:tcW w:w="582" w:type="pct"/>
            <w:tcBorders>
              <w:bottom w:val="single" w:sz="4" w:space="0" w:color="auto"/>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w:t>
            </w:r>
          </w:p>
        </w:tc>
        <w:tc>
          <w:tcPr>
            <w:tcW w:w="581" w:type="pct"/>
            <w:tcBorders>
              <w:bottom w:val="single" w:sz="4" w:space="0" w:color="auto"/>
            </w:tcBorders>
            <w:shd w:val="clear" w:color="auto" w:fill="F9C6C6" w:themeFill="accent1" w:themeFillTint="33"/>
            <w:noWrap/>
          </w:tcPr>
          <w:p w:rsidR="006817F6" w:rsidRPr="001B2907" w:rsidRDefault="006817F6" w:rsidP="00E467C0">
            <w:pPr>
              <w:spacing w:after="0"/>
              <w:jc w:val="center"/>
              <w:rPr>
                <w:rFonts w:ascii="Times New Roman" w:hAnsi="Times New Roman"/>
                <w:b/>
                <w:color w:val="000000"/>
                <w:sz w:val="24"/>
                <w:szCs w:val="24"/>
                <w:lang w:val="en-IN" w:eastAsia="en-IN"/>
              </w:rPr>
            </w:pPr>
            <w:r w:rsidRPr="001B2907">
              <w:rPr>
                <w:rFonts w:ascii="Times New Roman" w:hAnsi="Times New Roman"/>
                <w:b/>
                <w:color w:val="000000"/>
                <w:sz w:val="24"/>
                <w:szCs w:val="24"/>
                <w:lang w:val="en-IN"/>
              </w:rPr>
              <w:t>4%</w:t>
            </w:r>
          </w:p>
        </w:tc>
        <w:tc>
          <w:tcPr>
            <w:tcW w:w="666" w:type="pct"/>
            <w:tcBorders>
              <w:bottom w:val="single" w:sz="4" w:space="0" w:color="auto"/>
            </w:tcBorders>
            <w:shd w:val="clear" w:color="auto" w:fill="F9C6C6" w:themeFill="accent1" w:themeFillTint="33"/>
            <w:noWrap/>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3%</w:t>
            </w:r>
          </w:p>
        </w:tc>
        <w:tc>
          <w:tcPr>
            <w:tcW w:w="748" w:type="pct"/>
            <w:tcBorders>
              <w:bottom w:val="single" w:sz="4" w:space="0" w:color="auto"/>
            </w:tcBorders>
            <w:shd w:val="clear" w:color="auto" w:fill="F9C6C6" w:themeFill="accent1" w:themeFillTint="33"/>
            <w:noWrap/>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-4%</w:t>
            </w:r>
          </w:p>
        </w:tc>
        <w:tc>
          <w:tcPr>
            <w:tcW w:w="618" w:type="pct"/>
            <w:tcBorders>
              <w:bottom w:val="single" w:sz="4" w:space="0" w:color="auto"/>
            </w:tcBorders>
            <w:shd w:val="clear" w:color="auto" w:fill="F9C6C6" w:themeFill="accent1" w:themeFillTint="33"/>
            <w:noWrap/>
          </w:tcPr>
          <w:p w:rsidR="006817F6" w:rsidRPr="001B2907" w:rsidRDefault="006817F6" w:rsidP="00E467C0">
            <w:pPr>
              <w:jc w:val="center"/>
              <w:rPr>
                <w:rFonts w:ascii="Times New Roman" w:hAnsi="Times New Roman"/>
                <w:b/>
                <w:color w:val="000000"/>
                <w:sz w:val="24"/>
                <w:szCs w:val="24"/>
                <w:lang w:val="en-IN"/>
              </w:rPr>
            </w:pPr>
            <w:r w:rsidRPr="001B2907">
              <w:rPr>
                <w:rFonts w:ascii="Times New Roman" w:hAnsi="Times New Roman"/>
                <w:b/>
                <w:color w:val="000000"/>
                <w:sz w:val="24"/>
                <w:szCs w:val="24"/>
                <w:lang w:val="en-IN"/>
              </w:rPr>
              <w:t>2%</w:t>
            </w:r>
          </w:p>
        </w:tc>
        <w:tc>
          <w:tcPr>
            <w:tcW w:w="744" w:type="pct"/>
            <w:tcBorders>
              <w:bottom w:val="single" w:sz="4" w:space="0" w:color="auto"/>
              <w:right w:val="single" w:sz="4" w:space="0" w:color="auto"/>
            </w:tcBorders>
            <w:shd w:val="clear" w:color="auto" w:fill="F9C6C6" w:themeFill="accent1" w:themeFillTint="33"/>
            <w:noWrap/>
          </w:tcPr>
          <w:p w:rsidR="006817F6" w:rsidRPr="001B2907" w:rsidRDefault="006817F6" w:rsidP="00E467C0">
            <w:pPr>
              <w:spacing w:line="360" w:lineRule="auto"/>
              <w:jc w:val="center"/>
              <w:rPr>
                <w:rFonts w:ascii="Times New Roman" w:hAnsi="Times New Roman"/>
                <w:b/>
                <w:sz w:val="24"/>
                <w:szCs w:val="24"/>
                <w:lang w:val="en-IN"/>
              </w:rPr>
            </w:pPr>
            <w:r w:rsidRPr="001B2907">
              <w:rPr>
                <w:rFonts w:ascii="Times New Roman" w:hAnsi="Times New Roman"/>
                <w:b/>
                <w:sz w:val="24"/>
                <w:szCs w:val="24"/>
                <w:lang w:val="en-IN"/>
              </w:rPr>
              <w:t>-</w:t>
            </w:r>
          </w:p>
        </w:tc>
      </w:tr>
    </w:tbl>
    <w:p w:rsidR="006817F6" w:rsidRPr="001B2907" w:rsidRDefault="005B1EBE" w:rsidP="006817F6">
      <w:pPr>
        <w:rPr>
          <w:lang w:val="en-IN"/>
        </w:rPr>
      </w:pPr>
      <w:r w:rsidRPr="001B2907">
        <w:rPr>
          <w:noProof/>
          <w:lang w:val="en-IN" w:eastAsia="en-IN"/>
        </w:rPr>
        <w:drawing>
          <wp:inline distT="0" distB="0" distL="0" distR="0" wp14:anchorId="47105709" wp14:editId="58E7DBE5">
            <wp:extent cx="5870121" cy="2833007"/>
            <wp:effectExtent l="0" t="0" r="16510" b="57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817F6" w:rsidRPr="001B2907" w:rsidRDefault="006817F6" w:rsidP="006817F6">
      <w:pPr>
        <w:spacing w:line="360" w:lineRule="auto"/>
        <w:jc w:val="both"/>
        <w:rPr>
          <w:rFonts w:ascii="Times New Roman" w:hAnsi="Times New Roman"/>
          <w:sz w:val="24"/>
          <w:szCs w:val="24"/>
          <w:lang w:val="en-IN"/>
        </w:rPr>
      </w:pPr>
      <w:r w:rsidRPr="001B2907">
        <w:rPr>
          <w:rFonts w:ascii="Times New Roman" w:hAnsi="Times New Roman"/>
          <w:sz w:val="24"/>
          <w:szCs w:val="24"/>
          <w:lang w:val="en-IN"/>
        </w:rPr>
        <w:t xml:space="preserve">Table: Sales and sales growth of Honeywell and GE </w:t>
      </w:r>
    </w:p>
    <w:p w:rsidR="006817F6" w:rsidRPr="001B2907" w:rsidRDefault="006817F6" w:rsidP="006817F6">
      <w:pPr>
        <w:spacing w:line="360" w:lineRule="auto"/>
        <w:jc w:val="both"/>
        <w:rPr>
          <w:rFonts w:ascii="Times New Roman" w:hAnsi="Times New Roman"/>
          <w:bCs/>
          <w:sz w:val="24"/>
          <w:szCs w:val="24"/>
          <w:lang w:val="en-IN"/>
        </w:rPr>
      </w:pPr>
      <w:r w:rsidRPr="001B2907">
        <w:rPr>
          <w:rFonts w:ascii="Times New Roman" w:hAnsi="Times New Roman"/>
          <w:sz w:val="24"/>
          <w:szCs w:val="24"/>
          <w:lang w:val="en-IN"/>
        </w:rPr>
        <w:t xml:space="preserve">Source: Adapted from </w:t>
      </w:r>
      <w:r w:rsidRPr="001B2907">
        <w:rPr>
          <w:rFonts w:ascii="Times New Roman" w:hAnsi="Times New Roman"/>
          <w:bCs/>
          <w:sz w:val="24"/>
          <w:szCs w:val="24"/>
          <w:lang w:val="en-IN"/>
        </w:rPr>
        <w:t>H</w:t>
      </w:r>
      <w:r w:rsidR="00632FB7" w:rsidRPr="001B2907">
        <w:rPr>
          <w:rFonts w:ascii="Times New Roman" w:hAnsi="Times New Roman"/>
          <w:bCs/>
          <w:sz w:val="24"/>
          <w:szCs w:val="24"/>
          <w:lang w:val="en-IN"/>
        </w:rPr>
        <w:t>oneywell (2014), Honeywell (2016</w:t>
      </w:r>
      <w:r w:rsidRPr="001B2907">
        <w:rPr>
          <w:rFonts w:ascii="Times New Roman" w:hAnsi="Times New Roman"/>
          <w:bCs/>
          <w:sz w:val="24"/>
          <w:szCs w:val="24"/>
          <w:lang w:val="en-IN"/>
        </w:rPr>
        <w:t>) and GE (2016)</w:t>
      </w:r>
    </w:p>
    <w:p w:rsidR="00B13D4F" w:rsidRPr="001B2907" w:rsidRDefault="00B13D4F" w:rsidP="006817F6">
      <w:pPr>
        <w:spacing w:line="360" w:lineRule="auto"/>
        <w:jc w:val="both"/>
        <w:rPr>
          <w:rFonts w:ascii="Times New Roman" w:hAnsi="Times New Roman"/>
          <w:sz w:val="24"/>
          <w:szCs w:val="24"/>
          <w:lang w:val="en-IN"/>
        </w:rPr>
      </w:pPr>
    </w:p>
    <w:p w:rsidR="00B13D4F" w:rsidRPr="001B2907" w:rsidRDefault="00B13D4F" w:rsidP="00B13D4F">
      <w:pPr>
        <w:spacing w:line="360" w:lineRule="auto"/>
        <w:jc w:val="both"/>
        <w:rPr>
          <w:rFonts w:ascii="Times New Roman" w:hAnsi="Times New Roman"/>
          <w:b/>
          <w:sz w:val="24"/>
          <w:szCs w:val="24"/>
          <w:lang w:val="en-IN"/>
        </w:rPr>
      </w:pPr>
      <w:r w:rsidRPr="001B2907">
        <w:rPr>
          <w:rFonts w:ascii="Times New Roman" w:hAnsi="Times New Roman"/>
          <w:b/>
          <w:sz w:val="24"/>
          <w:szCs w:val="24"/>
          <w:lang w:val="en-IN"/>
        </w:rPr>
        <w:t xml:space="preserve">Sales – </w:t>
      </w:r>
      <w:bookmarkStart w:id="9" w:name="_Hlk502332513"/>
      <w:r w:rsidRPr="001B2907">
        <w:rPr>
          <w:rFonts w:ascii="Times New Roman" w:hAnsi="Times New Roman"/>
          <w:sz w:val="24"/>
          <w:szCs w:val="24"/>
          <w:lang w:val="en-IN"/>
        </w:rPr>
        <w:t xml:space="preserve">The sales of </w:t>
      </w:r>
      <w:r w:rsidRPr="001B2907">
        <w:rPr>
          <w:rFonts w:ascii="Times New Roman" w:hAnsi="Times New Roman"/>
          <w:bCs/>
          <w:sz w:val="24"/>
          <w:szCs w:val="24"/>
          <w:lang w:val="en-IN"/>
        </w:rPr>
        <w:t>Honeywell</w:t>
      </w:r>
      <w:bookmarkEnd w:id="9"/>
      <w:r w:rsidRPr="001B2907">
        <w:rPr>
          <w:rFonts w:ascii="Times New Roman" w:hAnsi="Times New Roman"/>
          <w:bCs/>
          <w:sz w:val="24"/>
          <w:szCs w:val="24"/>
          <w:lang w:val="en-IN"/>
        </w:rPr>
        <w:t xml:space="preserve"> was increasingly rapidly till 2014 and then it reduced in 2015. However, it has increased in 2016. </w:t>
      </w:r>
    </w:p>
    <w:p w:rsidR="00B13D4F" w:rsidRPr="001B2907" w:rsidRDefault="00B13D4F" w:rsidP="00B13D4F">
      <w:pPr>
        <w:spacing w:line="360" w:lineRule="auto"/>
        <w:jc w:val="both"/>
        <w:rPr>
          <w:rFonts w:ascii="Times New Roman" w:hAnsi="Times New Roman"/>
          <w:bCs/>
          <w:sz w:val="24"/>
          <w:szCs w:val="24"/>
          <w:lang w:val="en-IN"/>
        </w:rPr>
      </w:pPr>
      <w:r w:rsidRPr="001B2907">
        <w:rPr>
          <w:rFonts w:ascii="Times New Roman" w:hAnsi="Times New Roman"/>
          <w:b/>
          <w:sz w:val="24"/>
          <w:szCs w:val="24"/>
          <w:lang w:val="en-IN"/>
        </w:rPr>
        <w:lastRenderedPageBreak/>
        <w:t xml:space="preserve">Sales growth - </w:t>
      </w:r>
      <w:r w:rsidRPr="001B2907">
        <w:rPr>
          <w:rFonts w:ascii="Times New Roman" w:hAnsi="Times New Roman"/>
          <w:sz w:val="24"/>
          <w:szCs w:val="24"/>
          <w:lang w:val="en-IN"/>
        </w:rPr>
        <w:t xml:space="preserve">The sales growth of </w:t>
      </w:r>
      <w:r w:rsidRPr="001B2907">
        <w:rPr>
          <w:rFonts w:ascii="Times New Roman" w:hAnsi="Times New Roman"/>
          <w:bCs/>
          <w:sz w:val="24"/>
          <w:szCs w:val="24"/>
          <w:lang w:val="en-IN"/>
        </w:rPr>
        <w:t xml:space="preserve">Honeywell has been around 2% to 4% from 2012. However, there was a decline in 2015 when sales fell by over 4% compared to the previous years. </w:t>
      </w:r>
    </w:p>
    <w:p w:rsidR="00B13D4F" w:rsidRPr="001B2907" w:rsidRDefault="00B13D4F" w:rsidP="00B13D4F">
      <w:pPr>
        <w:spacing w:line="360" w:lineRule="auto"/>
        <w:jc w:val="both"/>
        <w:rPr>
          <w:rFonts w:ascii="Times New Roman" w:hAnsi="Times New Roman"/>
          <w:b/>
          <w:sz w:val="24"/>
          <w:szCs w:val="24"/>
          <w:lang w:val="en-IN"/>
        </w:rPr>
      </w:pPr>
    </w:p>
    <w:p w:rsidR="00B13D4F" w:rsidRPr="001B2907" w:rsidRDefault="00B13D4F" w:rsidP="00B13D4F">
      <w:pPr>
        <w:pStyle w:val="Heading1"/>
        <w:rPr>
          <w:rFonts w:ascii="Times New Roman" w:hAnsi="Times New Roman" w:cs="Times New Roman"/>
          <w:b/>
        </w:rPr>
      </w:pPr>
      <w:bookmarkStart w:id="10" w:name="_PROJECTION_ABOUT_FUTURE"/>
      <w:bookmarkEnd w:id="10"/>
      <w:r w:rsidRPr="001B2907">
        <w:rPr>
          <w:rFonts w:ascii="Times New Roman" w:hAnsi="Times New Roman" w:cs="Times New Roman"/>
          <w:b/>
          <w:color w:val="FF0000"/>
        </w:rPr>
        <w:t>PROJECTION ABOUT FUTURE PERFORMANCE OF HONEYWELL</w:t>
      </w:r>
      <w:r w:rsidRPr="001B2907">
        <w:rPr>
          <w:rFonts w:ascii="Times New Roman" w:hAnsi="Times New Roman" w:cs="Times New Roman"/>
          <w:b/>
        </w:rPr>
        <w:t xml:space="preserve"> </w:t>
      </w:r>
    </w:p>
    <w:p w:rsidR="00B13D4F" w:rsidRPr="001B2907" w:rsidRDefault="00B13D4F" w:rsidP="00B13D4F"/>
    <w:p w:rsidR="00A95CDE" w:rsidRPr="001B2907" w:rsidRDefault="00B13D4F" w:rsidP="00A95CDE">
      <w:pPr>
        <w:spacing w:line="360" w:lineRule="auto"/>
        <w:jc w:val="both"/>
        <w:rPr>
          <w:rFonts w:ascii="Times New Roman" w:hAnsi="Times New Roman"/>
          <w:sz w:val="24"/>
          <w:szCs w:val="24"/>
        </w:rPr>
      </w:pPr>
      <w:r w:rsidRPr="001B2907">
        <w:rPr>
          <w:rFonts w:ascii="Times New Roman" w:hAnsi="Times New Roman"/>
          <w:sz w:val="24"/>
          <w:szCs w:val="24"/>
        </w:rPr>
        <w:t xml:space="preserve">From the analysis of financial ratios, useful insights were derived on their profitability, efficiency and financial stability depending upon which its future status can be projected. </w:t>
      </w:r>
      <w:proofErr w:type="spellStart"/>
      <w:r w:rsidRPr="001B2907">
        <w:rPr>
          <w:rFonts w:ascii="Times New Roman" w:hAnsi="Times New Roman"/>
          <w:sz w:val="24"/>
          <w:szCs w:val="24"/>
        </w:rPr>
        <w:t>Favourable</w:t>
      </w:r>
      <w:proofErr w:type="spellEnd"/>
      <w:r w:rsidRPr="001B2907">
        <w:rPr>
          <w:rFonts w:ascii="Times New Roman" w:hAnsi="Times New Roman"/>
          <w:sz w:val="24"/>
          <w:szCs w:val="24"/>
        </w:rPr>
        <w:t xml:space="preserve"> level of profits produced by Honeywell can offer stability for the firm to manage its future conditions. The net income can be useful for Honeywell to perform useful investments in the upcoming period to expand its subsidiaries or to extend its product portfolios. In 2017, the firm is expected to offer solid financial performance with good returns and profit margins. This can also aid in increasing the returns for its shareholders and the valuation of company can go high in future years. However, the asset management could be more controlled and the firm can suffer from increasing expenses in m</w:t>
      </w:r>
      <w:r w:rsidR="00A95CDE" w:rsidRPr="001B2907">
        <w:rPr>
          <w:rFonts w:ascii="Times New Roman" w:hAnsi="Times New Roman"/>
          <w:sz w:val="24"/>
          <w:szCs w:val="24"/>
        </w:rPr>
        <w:t xml:space="preserve">aintaining the unwanted assets. </w:t>
      </w:r>
      <w:r w:rsidR="00A95CDE" w:rsidRPr="001B2907">
        <w:rPr>
          <w:rFonts w:ascii="Times New Roman" w:hAnsi="Times New Roman"/>
          <w:sz w:val="24"/>
          <w:szCs w:val="24"/>
          <w:lang w:val="en-GB"/>
        </w:rPr>
        <w:t>It must also protect itself from risks arising from currency fluctuations and enhance its cash levels.</w:t>
      </w:r>
    </w:p>
    <w:p w:rsidR="00B13D4F" w:rsidRPr="001B2907" w:rsidRDefault="00B13D4F" w:rsidP="00B13D4F">
      <w:pPr>
        <w:spacing w:line="360" w:lineRule="auto"/>
        <w:jc w:val="both"/>
        <w:rPr>
          <w:rFonts w:ascii="Times New Roman" w:hAnsi="Times New Roman"/>
          <w:sz w:val="24"/>
          <w:szCs w:val="24"/>
        </w:rPr>
      </w:pPr>
      <w:r w:rsidRPr="001B2907">
        <w:rPr>
          <w:rFonts w:ascii="Times New Roman" w:hAnsi="Times New Roman"/>
          <w:sz w:val="24"/>
          <w:szCs w:val="24"/>
        </w:rPr>
        <w:t>With good level of dividends, the valuation of Honeywell is fair and projects a high quality business for the investors and public. The significance of Honeywell has increased when compared to other players in the industry due to the results of 2016 which has been tremendous despite the turbulent market conditions and sluggish global economic growth. Chinese economy is faltering, prices in crude oil have suffered volatility and the business jets have declining demand. Industry projections for the year 2017 indicate that earnings can amount from $6.85-$7.10 for each share as the earnings per share in the last quarter of 2016 was $1.74 (</w:t>
      </w:r>
      <w:proofErr w:type="spellStart"/>
      <w:r w:rsidRPr="001B2907">
        <w:rPr>
          <w:rFonts w:ascii="Times New Roman" w:hAnsi="Times New Roman"/>
          <w:sz w:val="24"/>
          <w:szCs w:val="24"/>
        </w:rPr>
        <w:t>Zacks</w:t>
      </w:r>
      <w:proofErr w:type="spellEnd"/>
      <w:r w:rsidRPr="001B2907">
        <w:rPr>
          <w:rFonts w:ascii="Times New Roman" w:hAnsi="Times New Roman"/>
          <w:sz w:val="24"/>
          <w:szCs w:val="24"/>
        </w:rPr>
        <w:t xml:space="preserve">, 2017). It could be noted that the economic and demand conditions could induce challenges for Honeywell to sustain its high growth in 2017. The restructuring of business and alteration of operating segments could bring out </w:t>
      </w:r>
      <w:proofErr w:type="spellStart"/>
      <w:r w:rsidRPr="001B2907">
        <w:rPr>
          <w:rFonts w:ascii="Times New Roman" w:hAnsi="Times New Roman"/>
          <w:sz w:val="24"/>
          <w:szCs w:val="24"/>
        </w:rPr>
        <w:t>favourable</w:t>
      </w:r>
      <w:proofErr w:type="spellEnd"/>
      <w:r w:rsidRPr="001B2907">
        <w:rPr>
          <w:rFonts w:ascii="Times New Roman" w:hAnsi="Times New Roman"/>
          <w:sz w:val="24"/>
          <w:szCs w:val="24"/>
        </w:rPr>
        <w:t xml:space="preserve"> results as expected. The leadership changes in management of Honeywell shall induce changes in internal operations and strategies where they can also place certain pressure on the financial results of the firm. </w:t>
      </w:r>
    </w:p>
    <w:p w:rsidR="00B13D4F" w:rsidRPr="001B2907" w:rsidRDefault="00B13D4F" w:rsidP="00B13D4F">
      <w:pPr>
        <w:spacing w:line="360" w:lineRule="auto"/>
        <w:jc w:val="both"/>
        <w:rPr>
          <w:rFonts w:ascii="Times New Roman" w:hAnsi="Times New Roman"/>
          <w:sz w:val="24"/>
          <w:szCs w:val="24"/>
        </w:rPr>
      </w:pPr>
      <w:r w:rsidRPr="001B2907">
        <w:rPr>
          <w:rFonts w:ascii="Times New Roman" w:hAnsi="Times New Roman"/>
          <w:sz w:val="24"/>
          <w:szCs w:val="24"/>
        </w:rPr>
        <w:t xml:space="preserve">Stock investments in Honeywell are found to have shining opportunities due to its positive valuation and the credibility it has amidst the investors. Cash flow generation is the major aspect that is looked into while buying a stock that influences the debt pay off abilities and improves </w:t>
      </w:r>
      <w:r w:rsidRPr="001B2907">
        <w:rPr>
          <w:rFonts w:ascii="Times New Roman" w:hAnsi="Times New Roman"/>
          <w:sz w:val="24"/>
          <w:szCs w:val="24"/>
        </w:rPr>
        <w:lastRenderedPageBreak/>
        <w:t>the dividends. The buy back shares increases returns and aid the firm in having acquisitions that can add further value (</w:t>
      </w:r>
      <w:proofErr w:type="spellStart"/>
      <w:proofErr w:type="gramStart"/>
      <w:r w:rsidRPr="001B2907">
        <w:rPr>
          <w:rFonts w:ascii="Times New Roman" w:hAnsi="Times New Roman"/>
          <w:sz w:val="24"/>
          <w:szCs w:val="24"/>
        </w:rPr>
        <w:t>Samaha</w:t>
      </w:r>
      <w:proofErr w:type="spellEnd"/>
      <w:r w:rsidRPr="001B2907">
        <w:rPr>
          <w:rFonts w:ascii="Times New Roman" w:hAnsi="Times New Roman"/>
          <w:sz w:val="24"/>
          <w:szCs w:val="24"/>
        </w:rPr>
        <w:t>.,</w:t>
      </w:r>
      <w:proofErr w:type="gramEnd"/>
      <w:r w:rsidRPr="001B2907">
        <w:rPr>
          <w:rFonts w:ascii="Times New Roman" w:hAnsi="Times New Roman"/>
          <w:sz w:val="24"/>
          <w:szCs w:val="24"/>
        </w:rPr>
        <w:t xml:space="preserve"> 2016). From the track record of Honeywell, it could be known that cash flow generation is strong when compared to its competitors. The Dividend yield of Honeywell also affirms the same to ensure their attractiveness levels where the price </w:t>
      </w:r>
      <w:proofErr w:type="spellStart"/>
      <w:r w:rsidRPr="001B2907">
        <w:rPr>
          <w:rFonts w:ascii="Times New Roman" w:hAnsi="Times New Roman"/>
          <w:sz w:val="24"/>
          <w:szCs w:val="24"/>
        </w:rPr>
        <w:t>earning</w:t>
      </w:r>
      <w:proofErr w:type="spellEnd"/>
      <w:r w:rsidRPr="001B2907">
        <w:rPr>
          <w:rFonts w:ascii="Times New Roman" w:hAnsi="Times New Roman"/>
          <w:sz w:val="24"/>
          <w:szCs w:val="24"/>
        </w:rPr>
        <w:t xml:space="preserve"> ratio has temporary setbacks due to future growth investments made by the firm. Expenditures have been marginally increasing for the firm and could be balanced with the earnings that are projected to result in double digit values in future. </w:t>
      </w:r>
    </w:p>
    <w:p w:rsidR="00B13D4F" w:rsidRPr="001B2907" w:rsidRDefault="00B13D4F" w:rsidP="00B13D4F">
      <w:pPr>
        <w:spacing w:line="360" w:lineRule="auto"/>
        <w:jc w:val="both"/>
        <w:rPr>
          <w:rFonts w:ascii="Times New Roman" w:hAnsi="Times New Roman"/>
          <w:sz w:val="24"/>
          <w:szCs w:val="24"/>
        </w:rPr>
      </w:pPr>
      <w:r w:rsidRPr="001B2907">
        <w:rPr>
          <w:rFonts w:ascii="Times New Roman" w:hAnsi="Times New Roman"/>
          <w:sz w:val="24"/>
          <w:szCs w:val="24"/>
        </w:rPr>
        <w:t xml:space="preserve">The jet aviation industry has been undergoing challenges due to political and economic conditions to result in a moderate pace of growth. It is to be noted that the aircraft market is highly competitive and there can be deliveries </w:t>
      </w:r>
      <w:proofErr w:type="spellStart"/>
      <w:r w:rsidRPr="001B2907">
        <w:rPr>
          <w:rFonts w:ascii="Times New Roman" w:hAnsi="Times New Roman"/>
          <w:sz w:val="24"/>
          <w:szCs w:val="24"/>
        </w:rPr>
        <w:t>upto</w:t>
      </w:r>
      <w:proofErr w:type="spellEnd"/>
      <w:r w:rsidRPr="001B2907">
        <w:rPr>
          <w:rFonts w:ascii="Times New Roman" w:hAnsi="Times New Roman"/>
          <w:sz w:val="24"/>
          <w:szCs w:val="24"/>
        </w:rPr>
        <w:t xml:space="preserve"> $249 billion within next decade. This is lesser than the previous decade by 2-3%. The aircraft and commodity prices are declining to make the scenario to get worsen further. Therefore, it could be seen that the order rates can become slower from 2017 where the mature models could gradually decline. New models in aircraft could have increased significance (</w:t>
      </w:r>
      <w:proofErr w:type="gramStart"/>
      <w:r w:rsidRPr="001B2907">
        <w:rPr>
          <w:rFonts w:ascii="Times New Roman" w:hAnsi="Times New Roman"/>
          <w:sz w:val="24"/>
          <w:szCs w:val="24"/>
        </w:rPr>
        <w:t>Honeywell.,</w:t>
      </w:r>
      <w:proofErr w:type="gramEnd"/>
      <w:r w:rsidRPr="001B2907">
        <w:rPr>
          <w:rFonts w:ascii="Times New Roman" w:hAnsi="Times New Roman"/>
          <w:sz w:val="24"/>
          <w:szCs w:val="24"/>
        </w:rPr>
        <w:t xml:space="preserve"> 2017). Despite the industry conditions are competitive and challenging, Honeywell has the ability to handle its debts or other financial pressures that are likely to occur in future as known by the solvency ratio results. Hence, it could be noted that producing new models of aircraft could aid Honeywell to improve their orders and survive the complications in business growth. </w:t>
      </w:r>
    </w:p>
    <w:p w:rsidR="00B13D4F" w:rsidRDefault="00B13D4F" w:rsidP="00B13D4F">
      <w:pPr>
        <w:spacing w:line="360" w:lineRule="auto"/>
        <w:jc w:val="both"/>
        <w:rPr>
          <w:rFonts w:ascii="Times New Roman" w:hAnsi="Times New Roman"/>
          <w:sz w:val="24"/>
          <w:szCs w:val="24"/>
        </w:rPr>
      </w:pPr>
      <w:r w:rsidRPr="001B2907">
        <w:rPr>
          <w:rFonts w:ascii="Times New Roman" w:hAnsi="Times New Roman"/>
          <w:sz w:val="24"/>
          <w:szCs w:val="24"/>
        </w:rPr>
        <w:t xml:space="preserve">Therefore, it could be projected that the spectacular performance of Honeywell are likely to continue in future. However, there can be uncertainties due to the market related factors and external forces for the business. To overcome the less growth opportunities in the business environment, Honeywell needs to achieve more profits by diversifying its product portfolio. Also, it needs to perform cost cutting measures to reduce its expenses and liquidate its unwanted assets to improve the profitability levels. Depreciation value of those assets has to be considered while acquiring them. Strategic divestments and acquisitions could be done as per the opportunities in hand.  </w:t>
      </w:r>
    </w:p>
    <w:p w:rsidR="00217265" w:rsidRPr="001B2907" w:rsidRDefault="00217265" w:rsidP="00B13D4F">
      <w:pPr>
        <w:spacing w:line="360" w:lineRule="auto"/>
        <w:jc w:val="both"/>
        <w:rPr>
          <w:rFonts w:ascii="Times New Roman" w:hAnsi="Times New Roman"/>
          <w:sz w:val="24"/>
          <w:szCs w:val="24"/>
        </w:rPr>
      </w:pPr>
    </w:p>
    <w:p w:rsidR="00B13D4F" w:rsidRPr="001B2907" w:rsidRDefault="00B13D4F" w:rsidP="00B13D4F">
      <w:pPr>
        <w:pStyle w:val="Heading1"/>
        <w:rPr>
          <w:rFonts w:ascii="Times New Roman" w:hAnsi="Times New Roman" w:cs="Times New Roman"/>
          <w:b/>
          <w:color w:val="FF0000"/>
        </w:rPr>
      </w:pPr>
      <w:bookmarkStart w:id="11" w:name="_PRO_AND_CONS"/>
      <w:bookmarkEnd w:id="11"/>
      <w:r w:rsidRPr="001B2907">
        <w:rPr>
          <w:rFonts w:ascii="Times New Roman" w:hAnsi="Times New Roman" w:cs="Times New Roman"/>
          <w:b/>
          <w:color w:val="FF0000"/>
        </w:rPr>
        <w:lastRenderedPageBreak/>
        <w:t xml:space="preserve">PRO AND CONS OF RATIO ANALYSIS  </w:t>
      </w:r>
    </w:p>
    <w:p w:rsidR="00C03D0D" w:rsidRPr="001B2907" w:rsidRDefault="00C03D0D" w:rsidP="00C03D0D">
      <w:pPr>
        <w:pStyle w:val="m588518632957843215gmail-msonormal"/>
        <w:spacing w:line="360" w:lineRule="auto"/>
        <w:jc w:val="both"/>
        <w:rPr>
          <w:color w:val="222222"/>
        </w:rPr>
      </w:pPr>
      <w:r w:rsidRPr="001B2907">
        <w:rPr>
          <w:b/>
          <w:color w:val="222222"/>
        </w:rPr>
        <w:t>Pros of ratio analysis</w:t>
      </w:r>
      <w:r w:rsidRPr="001B2907">
        <w:rPr>
          <w:color w:val="222222"/>
        </w:rPr>
        <w:t xml:space="preserve"> - Financial ratios are highly effective in offering valuable insights on financial position of a business where it is more advantageous for large organisations to infer major information about their performance levels. These ratios are highly simplistic and do not require complex information, software or procedures for their completion. There are automated software available for generation of financial ratios (Collier, 2015). Using benchmarking process, the firms could be able to create historical records on their performance levels over years and can review them later depending upon the need. It aids an organisation to measure the operating activities, capital structure and profitability using past performance thereby aiding in forecasting the future conditions. The ratio analysis also aids in decision making of activities and strategies (Dyson, 2010). Therefore, it could be seen that ratio analysis is highly useful and advantageous in measuring the financial performance of a firm. </w:t>
      </w:r>
    </w:p>
    <w:p w:rsidR="00B13D4F" w:rsidRPr="001B2907" w:rsidRDefault="00C03D0D" w:rsidP="00C03D0D">
      <w:pPr>
        <w:pStyle w:val="m588518632957843215gmail-msonormal"/>
        <w:spacing w:line="360" w:lineRule="auto"/>
        <w:jc w:val="both"/>
        <w:rPr>
          <w:color w:val="222222"/>
        </w:rPr>
      </w:pPr>
      <w:r w:rsidRPr="001B2907">
        <w:rPr>
          <w:b/>
          <w:color w:val="222222"/>
        </w:rPr>
        <w:t>Cons of Ratio analysis</w:t>
      </w:r>
      <w:r w:rsidRPr="001B2907">
        <w:rPr>
          <w:color w:val="222222"/>
        </w:rPr>
        <w:t xml:space="preserve"> - One of the main limitations of the ratio analysis is that the calculation is done with the values of the previous years. The values are taken from the financial statements of the organisations’ previous year’s annual performance. It was identified that the financial statements in the annual reports have various flaws and the ratios that are being calculated based on these financial statements are not accurate as well (</w:t>
      </w:r>
      <w:proofErr w:type="spellStart"/>
      <w:r w:rsidRPr="001B2907">
        <w:rPr>
          <w:color w:val="222222"/>
        </w:rPr>
        <w:t>Atrill</w:t>
      </w:r>
      <w:proofErr w:type="spellEnd"/>
      <w:r w:rsidRPr="001B2907">
        <w:rPr>
          <w:color w:val="222222"/>
        </w:rPr>
        <w:t>, 2014). Also financial ratios cannot be useful on their own where they need to be compared with industry or any competitors of the particular firm to be analysed. Finding equivalent competitors might be a critical task for small business firms. Company performance is alone reviewed through financial ratios however they do not offer any idea on the internal operations of the business and their effectiveness (</w:t>
      </w:r>
      <w:proofErr w:type="spellStart"/>
      <w:r w:rsidRPr="001B2907">
        <w:rPr>
          <w:color w:val="222222"/>
        </w:rPr>
        <w:t>McLaney</w:t>
      </w:r>
      <w:proofErr w:type="spellEnd"/>
      <w:r w:rsidRPr="001B2907">
        <w:rPr>
          <w:color w:val="222222"/>
        </w:rPr>
        <w:t xml:space="preserve">, 2014). Hence, it could be noted that the drawbacks of ratio analysis could be overcome due to its usefulness in analysing the ratios with simplicity. </w:t>
      </w:r>
    </w:p>
    <w:p w:rsidR="00B13D4F" w:rsidRPr="001B2907" w:rsidRDefault="00B13D4F" w:rsidP="00B13D4F">
      <w:pPr>
        <w:pStyle w:val="Heading1"/>
        <w:spacing w:line="360" w:lineRule="auto"/>
        <w:rPr>
          <w:rFonts w:ascii="Times New Roman" w:hAnsi="Times New Roman" w:cs="Times New Roman"/>
          <w:b/>
          <w:color w:val="FF0000"/>
        </w:rPr>
      </w:pPr>
      <w:bookmarkStart w:id="12" w:name="_CONCLUSION"/>
      <w:bookmarkStart w:id="13" w:name="_Toc502333125"/>
      <w:bookmarkEnd w:id="12"/>
      <w:r w:rsidRPr="001B2907">
        <w:rPr>
          <w:rFonts w:ascii="Times New Roman" w:hAnsi="Times New Roman" w:cs="Times New Roman"/>
          <w:b/>
          <w:color w:val="FF0000"/>
        </w:rPr>
        <w:t>CONCLUSION</w:t>
      </w:r>
      <w:bookmarkEnd w:id="13"/>
    </w:p>
    <w:p w:rsidR="00E35F54" w:rsidRDefault="00B13D4F" w:rsidP="00DD273C">
      <w:pPr>
        <w:spacing w:line="360" w:lineRule="auto"/>
        <w:jc w:val="both"/>
        <w:rPr>
          <w:rFonts w:ascii="Times New Roman" w:hAnsi="Times New Roman"/>
          <w:sz w:val="24"/>
          <w:szCs w:val="24"/>
        </w:rPr>
      </w:pPr>
      <w:r w:rsidRPr="001B2907">
        <w:rPr>
          <w:rFonts w:ascii="Times New Roman" w:hAnsi="Times New Roman"/>
          <w:sz w:val="24"/>
          <w:szCs w:val="24"/>
        </w:rPr>
        <w:t xml:space="preserve">It could be concluded that the financial performance of Honeywell </w:t>
      </w:r>
      <w:proofErr w:type="spellStart"/>
      <w:r w:rsidRPr="001B2907">
        <w:rPr>
          <w:rFonts w:ascii="Times New Roman" w:hAnsi="Times New Roman"/>
          <w:sz w:val="24"/>
          <w:szCs w:val="24"/>
        </w:rPr>
        <w:t>analysed</w:t>
      </w:r>
      <w:proofErr w:type="spellEnd"/>
      <w:r w:rsidRPr="001B2907">
        <w:rPr>
          <w:rFonts w:ascii="Times New Roman" w:hAnsi="Times New Roman"/>
          <w:sz w:val="24"/>
          <w:szCs w:val="24"/>
        </w:rPr>
        <w:t xml:space="preserve"> using ratio analysis has indicated a </w:t>
      </w:r>
      <w:proofErr w:type="spellStart"/>
      <w:r w:rsidRPr="001B2907">
        <w:rPr>
          <w:rFonts w:ascii="Times New Roman" w:hAnsi="Times New Roman"/>
          <w:sz w:val="24"/>
          <w:szCs w:val="24"/>
        </w:rPr>
        <w:t>favourable</w:t>
      </w:r>
      <w:proofErr w:type="spellEnd"/>
      <w:r w:rsidRPr="001B2907">
        <w:rPr>
          <w:rFonts w:ascii="Times New Roman" w:hAnsi="Times New Roman"/>
          <w:sz w:val="24"/>
          <w:szCs w:val="24"/>
        </w:rPr>
        <w:t xml:space="preserve"> status for the firm at present with high levels of profitability, efficiency and investments. Future projections are much positive for the firm to have high growth provided that the industry conditions have to be </w:t>
      </w:r>
      <w:proofErr w:type="spellStart"/>
      <w:r w:rsidRPr="001B2907">
        <w:rPr>
          <w:rFonts w:ascii="Times New Roman" w:hAnsi="Times New Roman"/>
          <w:sz w:val="24"/>
          <w:szCs w:val="24"/>
        </w:rPr>
        <w:t>favourable</w:t>
      </w:r>
      <w:proofErr w:type="spellEnd"/>
      <w:r w:rsidRPr="001B2907">
        <w:rPr>
          <w:rFonts w:ascii="Times New Roman" w:hAnsi="Times New Roman"/>
          <w:sz w:val="24"/>
          <w:szCs w:val="24"/>
        </w:rPr>
        <w:t>.</w:t>
      </w:r>
    </w:p>
    <w:p w:rsidR="00E35F54" w:rsidRPr="001B2907" w:rsidRDefault="00E35F54" w:rsidP="00E35F54">
      <w:pPr>
        <w:pStyle w:val="Heading1"/>
        <w:spacing w:line="360" w:lineRule="auto"/>
        <w:ind w:left="0"/>
        <w:rPr>
          <w:rFonts w:ascii="Times New Roman" w:hAnsi="Times New Roman" w:cs="Times New Roman"/>
          <w:b/>
          <w:color w:val="FF0000"/>
        </w:rPr>
      </w:pPr>
      <w:bookmarkStart w:id="14" w:name="_References"/>
      <w:bookmarkEnd w:id="14"/>
      <w:r w:rsidRPr="001B2907">
        <w:rPr>
          <w:rFonts w:ascii="Times New Roman" w:hAnsi="Times New Roman" w:cs="Times New Roman"/>
          <w:b/>
          <w:color w:val="FF0000"/>
        </w:rPr>
        <w:lastRenderedPageBreak/>
        <w:t>References</w:t>
      </w:r>
    </w:p>
    <w:p w:rsidR="00267FEE" w:rsidRPr="001B2907" w:rsidRDefault="00267FEE" w:rsidP="00267FEE">
      <w:pPr>
        <w:spacing w:line="360" w:lineRule="auto"/>
        <w:ind w:left="0"/>
        <w:jc w:val="both"/>
        <w:rPr>
          <w:rFonts w:ascii="Times New Roman" w:hAnsi="Times New Roman"/>
          <w:sz w:val="24"/>
          <w:szCs w:val="24"/>
          <w:lang w:val="en-IN"/>
        </w:rPr>
      </w:pPr>
    </w:p>
    <w:p w:rsidR="00E35F54" w:rsidRPr="001B2907" w:rsidRDefault="00267FEE" w:rsidP="00267FEE">
      <w:pPr>
        <w:spacing w:line="360" w:lineRule="auto"/>
        <w:ind w:left="0"/>
        <w:jc w:val="both"/>
        <w:rPr>
          <w:rFonts w:ascii="Times New Roman" w:hAnsi="Times New Roman"/>
          <w:sz w:val="24"/>
          <w:szCs w:val="24"/>
          <w:lang w:val="en-IN"/>
        </w:rPr>
      </w:pPr>
      <w:proofErr w:type="spellStart"/>
      <w:r w:rsidRPr="001B2907">
        <w:rPr>
          <w:rFonts w:ascii="Times New Roman" w:hAnsi="Times New Roman"/>
          <w:sz w:val="24"/>
          <w:szCs w:val="24"/>
          <w:lang w:val="en-IN"/>
        </w:rPr>
        <w:t>Atrill</w:t>
      </w:r>
      <w:proofErr w:type="spellEnd"/>
      <w:r w:rsidRPr="001B2907">
        <w:rPr>
          <w:rFonts w:ascii="Times New Roman" w:hAnsi="Times New Roman"/>
          <w:sz w:val="24"/>
          <w:szCs w:val="24"/>
          <w:lang w:val="en-IN"/>
        </w:rPr>
        <w:t>, P. (2014). Financial Management for Decision Makers. Harlow: Ft Prentice Hall.</w:t>
      </w:r>
    </w:p>
    <w:p w:rsidR="00E35F54" w:rsidRPr="001B2907" w:rsidRDefault="00E35F54" w:rsidP="00E35F54">
      <w:pPr>
        <w:spacing w:line="360" w:lineRule="auto"/>
        <w:ind w:left="0"/>
        <w:jc w:val="both"/>
        <w:rPr>
          <w:rFonts w:ascii="Times New Roman" w:hAnsi="Times New Roman"/>
          <w:sz w:val="24"/>
          <w:szCs w:val="24"/>
        </w:rPr>
      </w:pPr>
      <w:r w:rsidRPr="001B2907">
        <w:rPr>
          <w:rFonts w:ascii="Times New Roman" w:hAnsi="Times New Roman"/>
          <w:sz w:val="24"/>
          <w:szCs w:val="24"/>
          <w:lang w:val="en-IN"/>
        </w:rPr>
        <w:t xml:space="preserve">Collier, P. (2015). </w:t>
      </w:r>
      <w:r w:rsidRPr="001B2907">
        <w:rPr>
          <w:rFonts w:ascii="Times New Roman" w:hAnsi="Times New Roman"/>
          <w:i/>
          <w:sz w:val="24"/>
          <w:szCs w:val="24"/>
          <w:lang w:val="en-IN"/>
        </w:rPr>
        <w:t>Accounting for Managers, 5th Ed.,</w:t>
      </w:r>
      <w:r w:rsidRPr="001B2907">
        <w:rPr>
          <w:rFonts w:ascii="Times New Roman" w:hAnsi="Times New Roman"/>
          <w:sz w:val="24"/>
          <w:szCs w:val="24"/>
          <w:lang w:val="en-IN"/>
        </w:rPr>
        <w:t xml:space="preserve"> </w:t>
      </w:r>
      <w:proofErr w:type="gramStart"/>
      <w:r w:rsidRPr="001B2907">
        <w:rPr>
          <w:rFonts w:ascii="Times New Roman" w:hAnsi="Times New Roman"/>
          <w:sz w:val="24"/>
          <w:szCs w:val="24"/>
          <w:lang w:val="en-IN"/>
        </w:rPr>
        <w:t>Chichester</w:t>
      </w:r>
      <w:proofErr w:type="gramEnd"/>
      <w:r w:rsidRPr="001B2907">
        <w:rPr>
          <w:rFonts w:ascii="Times New Roman" w:hAnsi="Times New Roman"/>
          <w:sz w:val="24"/>
          <w:szCs w:val="24"/>
          <w:lang w:val="en-IN"/>
        </w:rPr>
        <w:t>: Wiley.</w:t>
      </w:r>
      <w:r w:rsidR="00267FEE" w:rsidRPr="001B2907">
        <w:rPr>
          <w:rFonts w:ascii="Times New Roman" w:hAnsi="Times New Roman"/>
          <w:sz w:val="24"/>
          <w:szCs w:val="24"/>
        </w:rPr>
        <w:t xml:space="preserve"> </w:t>
      </w:r>
      <w:r w:rsidRPr="001B2907">
        <w:rPr>
          <w:rFonts w:ascii="Times New Roman" w:hAnsi="Times New Roman"/>
          <w:sz w:val="24"/>
          <w:szCs w:val="24"/>
        </w:rPr>
        <w:t xml:space="preserve">2Dyson, R. (2010). </w:t>
      </w:r>
      <w:r w:rsidRPr="001B2907">
        <w:rPr>
          <w:rFonts w:ascii="Times New Roman" w:hAnsi="Times New Roman"/>
          <w:i/>
          <w:sz w:val="24"/>
          <w:szCs w:val="24"/>
        </w:rPr>
        <w:t>Accounting for Non-Accounting Students</w:t>
      </w:r>
      <w:r w:rsidRPr="001B2907">
        <w:rPr>
          <w:rFonts w:ascii="Times New Roman" w:hAnsi="Times New Roman"/>
          <w:sz w:val="24"/>
          <w:szCs w:val="24"/>
        </w:rPr>
        <w:t>. Harlow: Pearson.</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r w:rsidRPr="001B2907">
        <w:rPr>
          <w:rFonts w:ascii="Times New Roman" w:eastAsia="Calibri" w:hAnsi="Times New Roman"/>
          <w:color w:val="000000"/>
          <w:kern w:val="0"/>
          <w:sz w:val="24"/>
          <w:szCs w:val="24"/>
          <w:lang w:eastAsia="en-US"/>
        </w:rPr>
        <w:t>GE. (2016). </w:t>
      </w:r>
      <w:r w:rsidRPr="001B2907">
        <w:rPr>
          <w:rFonts w:ascii="Times New Roman" w:eastAsia="Calibri" w:hAnsi="Times New Roman"/>
          <w:i/>
          <w:iCs/>
          <w:color w:val="000000"/>
          <w:kern w:val="0"/>
          <w:sz w:val="24"/>
          <w:szCs w:val="24"/>
          <w:lang w:eastAsia="en-US"/>
        </w:rPr>
        <w:t>GE Annual Report 2016</w:t>
      </w:r>
      <w:r w:rsidRPr="001B2907">
        <w:rPr>
          <w:rFonts w:ascii="Times New Roman" w:eastAsia="Calibri" w:hAnsi="Times New Roman"/>
          <w:color w:val="000000"/>
          <w:kern w:val="0"/>
          <w:sz w:val="24"/>
          <w:szCs w:val="24"/>
          <w:lang w:eastAsia="en-US"/>
        </w:rPr>
        <w:t>.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Available at: https://www.ge.co</w:t>
      </w:r>
      <w:r w:rsidR="00C660DE">
        <w:rPr>
          <w:rFonts w:ascii="Times New Roman" w:eastAsia="Calibri" w:hAnsi="Times New Roman"/>
          <w:color w:val="000000"/>
          <w:kern w:val="0"/>
          <w:sz w:val="24"/>
          <w:szCs w:val="24"/>
          <w:lang w:eastAsia="en-US"/>
        </w:rPr>
        <w:t>m/ar2016/downloads/ [Accessed 20</w:t>
      </w:r>
      <w:r w:rsidRPr="001B2907">
        <w:rPr>
          <w:rFonts w:ascii="Times New Roman" w:eastAsia="Calibri" w:hAnsi="Times New Roman"/>
          <w:color w:val="000000"/>
          <w:kern w:val="0"/>
          <w:sz w:val="24"/>
          <w:szCs w:val="24"/>
          <w:lang w:eastAsia="en-US"/>
        </w:rPr>
        <w:t xml:space="preserve"> Dec. 2017].</w:t>
      </w:r>
    </w:p>
    <w:p w:rsidR="00E35F54" w:rsidRPr="001B2907" w:rsidRDefault="00E35F54" w:rsidP="00E35F54">
      <w:pPr>
        <w:spacing w:after="200" w:line="360" w:lineRule="auto"/>
        <w:ind w:left="0" w:right="0"/>
        <w:jc w:val="both"/>
        <w:rPr>
          <w:rFonts w:ascii="Times New Roman" w:hAnsi="Times New Roman"/>
          <w:bCs/>
          <w:color w:val="000000"/>
          <w:kern w:val="36"/>
          <w:sz w:val="24"/>
          <w:szCs w:val="24"/>
          <w:lang w:eastAsia="en-IN"/>
        </w:rPr>
      </w:pPr>
      <w:r w:rsidRPr="001B2907">
        <w:rPr>
          <w:rFonts w:ascii="Times New Roman" w:hAnsi="Times New Roman"/>
          <w:bCs/>
          <w:color w:val="000000"/>
          <w:kern w:val="36"/>
          <w:sz w:val="24"/>
          <w:szCs w:val="24"/>
          <w:lang w:eastAsia="en-IN"/>
        </w:rPr>
        <w:t xml:space="preserve">Gibson, C. (2012). </w:t>
      </w:r>
      <w:r w:rsidRPr="001B2907">
        <w:rPr>
          <w:rFonts w:ascii="Times New Roman" w:hAnsi="Times New Roman"/>
          <w:bCs/>
          <w:i/>
          <w:color w:val="000000"/>
          <w:kern w:val="36"/>
          <w:sz w:val="24"/>
          <w:szCs w:val="24"/>
          <w:lang w:eastAsia="en-IN"/>
        </w:rPr>
        <w:t>Financial Reporting and Analysis</w:t>
      </w:r>
      <w:r w:rsidRPr="001B2907">
        <w:rPr>
          <w:rFonts w:ascii="Times New Roman" w:hAnsi="Times New Roman"/>
          <w:bCs/>
          <w:color w:val="000000"/>
          <w:kern w:val="36"/>
          <w:sz w:val="24"/>
          <w:szCs w:val="24"/>
          <w:lang w:eastAsia="en-IN"/>
        </w:rPr>
        <w:t xml:space="preserve">. London: Cengage learning. </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r w:rsidRPr="001B2907">
        <w:rPr>
          <w:rFonts w:ascii="Times New Roman" w:eastAsia="Calibri" w:hAnsi="Times New Roman"/>
          <w:color w:val="000000"/>
          <w:kern w:val="0"/>
          <w:sz w:val="24"/>
          <w:szCs w:val="24"/>
          <w:lang w:eastAsia="en-US"/>
        </w:rPr>
        <w:t>Honeywell (2017). Honeywell History.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Honeywell. Available at: https://www.honeywell.com/who-we-are/our-history [Accessed 29 Dec. 2017].</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r w:rsidRPr="001B2907">
        <w:rPr>
          <w:rFonts w:ascii="Times New Roman" w:eastAsia="Calibri" w:hAnsi="Times New Roman"/>
          <w:color w:val="000000"/>
          <w:kern w:val="0"/>
          <w:sz w:val="24"/>
          <w:szCs w:val="24"/>
          <w:lang w:eastAsia="en-US"/>
        </w:rPr>
        <w:t>Honeywell (2017). Honeywell's Business Jet Aviation Forecast Projects 8,300 Deliveries Valued At $249 Billion Through 2027.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Honeywell. Available at: https://www.honeywell.com/newsroom/pressreleases/2017/10/honeywells-business-jet-aviation-forecast-projects-8300-deliveries-valued-at-249-billion-through-2027 [Accessed 29 Dec. 2017].</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r w:rsidRPr="001B2907">
        <w:rPr>
          <w:rFonts w:ascii="Times New Roman" w:eastAsia="Calibri" w:hAnsi="Times New Roman"/>
          <w:color w:val="000000"/>
          <w:kern w:val="0"/>
          <w:sz w:val="24"/>
          <w:szCs w:val="24"/>
          <w:lang w:eastAsia="en-US"/>
        </w:rPr>
        <w:t>Honeywell. (2014). </w:t>
      </w:r>
      <w:r w:rsidRPr="001B2907">
        <w:rPr>
          <w:rFonts w:ascii="Times New Roman" w:eastAsia="Calibri" w:hAnsi="Times New Roman"/>
          <w:i/>
          <w:iCs/>
          <w:color w:val="000000"/>
          <w:kern w:val="0"/>
          <w:sz w:val="24"/>
          <w:szCs w:val="24"/>
          <w:lang w:eastAsia="en-US"/>
        </w:rPr>
        <w:t>Honeywell - Annual Report 2014</w:t>
      </w:r>
      <w:r w:rsidRPr="001B2907">
        <w:rPr>
          <w:rFonts w:ascii="Times New Roman" w:eastAsia="Calibri" w:hAnsi="Times New Roman"/>
          <w:color w:val="000000"/>
          <w:kern w:val="0"/>
          <w:sz w:val="24"/>
          <w:szCs w:val="24"/>
          <w:lang w:eastAsia="en-US"/>
        </w:rPr>
        <w:t>.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Available at: http://www.annualreports.com/HostedData/AnnualReportArchive/</w:t>
      </w:r>
      <w:r w:rsidR="00C660DE">
        <w:rPr>
          <w:rFonts w:ascii="Times New Roman" w:eastAsia="Calibri" w:hAnsi="Times New Roman"/>
          <w:color w:val="000000"/>
          <w:kern w:val="0"/>
          <w:sz w:val="24"/>
          <w:szCs w:val="24"/>
          <w:lang w:eastAsia="en-US"/>
        </w:rPr>
        <w:t>h/NYSE_HON_2014.pdf [Accessed 20</w:t>
      </w:r>
      <w:r w:rsidRPr="001B2907">
        <w:rPr>
          <w:rFonts w:ascii="Times New Roman" w:eastAsia="Calibri" w:hAnsi="Times New Roman"/>
          <w:color w:val="000000"/>
          <w:kern w:val="0"/>
          <w:sz w:val="24"/>
          <w:szCs w:val="24"/>
          <w:lang w:eastAsia="en-US"/>
        </w:rPr>
        <w:t xml:space="preserve"> Dec. 2017].</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r w:rsidRPr="001B2907">
        <w:rPr>
          <w:rFonts w:ascii="Times New Roman" w:eastAsia="Calibri" w:hAnsi="Times New Roman"/>
          <w:color w:val="000000"/>
          <w:kern w:val="0"/>
          <w:sz w:val="24"/>
          <w:szCs w:val="24"/>
          <w:lang w:eastAsia="en-US"/>
        </w:rPr>
        <w:t>Honeywell. (2016). </w:t>
      </w:r>
      <w:r w:rsidRPr="001B2907">
        <w:rPr>
          <w:rFonts w:ascii="Times New Roman" w:eastAsia="Calibri" w:hAnsi="Times New Roman"/>
          <w:i/>
          <w:iCs/>
          <w:color w:val="000000"/>
          <w:kern w:val="0"/>
          <w:sz w:val="24"/>
          <w:szCs w:val="24"/>
          <w:lang w:eastAsia="en-US"/>
        </w:rPr>
        <w:t>Honeywell - Annual Report 2016</w:t>
      </w:r>
      <w:r w:rsidRPr="001B2907">
        <w:rPr>
          <w:rFonts w:ascii="Times New Roman" w:eastAsia="Calibri" w:hAnsi="Times New Roman"/>
          <w:color w:val="000000"/>
          <w:kern w:val="0"/>
          <w:sz w:val="24"/>
          <w:szCs w:val="24"/>
          <w:lang w:eastAsia="en-US"/>
        </w:rPr>
        <w:t>.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Available at: http://www.annualreports.com/HostedData/AnnualReports/PD</w:t>
      </w:r>
      <w:r w:rsidR="00C660DE">
        <w:rPr>
          <w:rFonts w:ascii="Times New Roman" w:eastAsia="Calibri" w:hAnsi="Times New Roman"/>
          <w:color w:val="000000"/>
          <w:kern w:val="0"/>
          <w:sz w:val="24"/>
          <w:szCs w:val="24"/>
          <w:lang w:eastAsia="en-US"/>
        </w:rPr>
        <w:t>F/NYSE_HON_2016.pdf [Accessed 20</w:t>
      </w:r>
      <w:r w:rsidRPr="001B2907">
        <w:rPr>
          <w:rFonts w:ascii="Times New Roman" w:eastAsia="Calibri" w:hAnsi="Times New Roman"/>
          <w:color w:val="000000"/>
          <w:kern w:val="0"/>
          <w:sz w:val="24"/>
          <w:szCs w:val="24"/>
          <w:lang w:eastAsia="en-US"/>
        </w:rPr>
        <w:t xml:space="preserve"> Dec. 2017].</w:t>
      </w:r>
    </w:p>
    <w:p w:rsidR="00E35F54" w:rsidRPr="001B2907" w:rsidRDefault="00E35F54" w:rsidP="00E35F54">
      <w:pPr>
        <w:spacing w:after="200" w:line="360" w:lineRule="auto"/>
        <w:ind w:left="0" w:right="0"/>
        <w:jc w:val="both"/>
        <w:rPr>
          <w:rFonts w:ascii="Times New Roman" w:hAnsi="Times New Roman"/>
          <w:kern w:val="0"/>
          <w:sz w:val="24"/>
          <w:szCs w:val="24"/>
          <w:shd w:val="clear" w:color="auto" w:fill="FFFFFF"/>
          <w:lang w:eastAsia="en-US"/>
        </w:rPr>
      </w:pPr>
      <w:r w:rsidRPr="001B2907">
        <w:rPr>
          <w:rFonts w:ascii="Times New Roman" w:hAnsi="Times New Roman"/>
          <w:kern w:val="0"/>
          <w:sz w:val="24"/>
          <w:szCs w:val="24"/>
          <w:shd w:val="clear" w:color="auto" w:fill="FFFFFF"/>
          <w:lang w:eastAsia="en-US"/>
        </w:rPr>
        <w:t>Lee, A., Lee, J. and Lee, C. (2009). </w:t>
      </w:r>
      <w:r w:rsidRPr="001B2907">
        <w:rPr>
          <w:rFonts w:ascii="Times New Roman" w:hAnsi="Times New Roman"/>
          <w:i/>
          <w:iCs/>
          <w:kern w:val="0"/>
          <w:sz w:val="24"/>
          <w:szCs w:val="24"/>
          <w:shd w:val="clear" w:color="auto" w:fill="FFFFFF"/>
          <w:lang w:eastAsia="en-US"/>
        </w:rPr>
        <w:t>Financial Analysis, Planning &amp; Forecasting: Theory and Application</w:t>
      </w:r>
      <w:r w:rsidRPr="001B2907">
        <w:rPr>
          <w:rFonts w:ascii="Times New Roman" w:hAnsi="Times New Roman"/>
          <w:kern w:val="0"/>
          <w:sz w:val="24"/>
          <w:szCs w:val="24"/>
          <w:shd w:val="clear" w:color="auto" w:fill="FFFFFF"/>
          <w:lang w:eastAsia="en-US"/>
        </w:rPr>
        <w:t xml:space="preserve">. 1st </w:t>
      </w:r>
      <w:proofErr w:type="gramStart"/>
      <w:r w:rsidRPr="001B2907">
        <w:rPr>
          <w:rFonts w:ascii="Times New Roman" w:hAnsi="Times New Roman"/>
          <w:kern w:val="0"/>
          <w:sz w:val="24"/>
          <w:szCs w:val="24"/>
          <w:shd w:val="clear" w:color="auto" w:fill="FFFFFF"/>
          <w:lang w:eastAsia="en-US"/>
        </w:rPr>
        <w:t>ed</w:t>
      </w:r>
      <w:proofErr w:type="gramEnd"/>
      <w:r w:rsidRPr="001B2907">
        <w:rPr>
          <w:rFonts w:ascii="Times New Roman" w:hAnsi="Times New Roman"/>
          <w:kern w:val="0"/>
          <w:sz w:val="24"/>
          <w:szCs w:val="24"/>
          <w:shd w:val="clear" w:color="auto" w:fill="FFFFFF"/>
          <w:lang w:eastAsia="en-US"/>
        </w:rPr>
        <w:t>. New Jersey: World Scientific.</w:t>
      </w:r>
    </w:p>
    <w:p w:rsidR="00E35F54" w:rsidRPr="001B2907" w:rsidRDefault="00E35F54" w:rsidP="00C660DE">
      <w:pPr>
        <w:spacing w:line="360" w:lineRule="auto"/>
        <w:ind w:left="0"/>
        <w:jc w:val="both"/>
        <w:rPr>
          <w:rFonts w:ascii="Times New Roman" w:hAnsi="Times New Roman"/>
          <w:sz w:val="24"/>
          <w:szCs w:val="24"/>
        </w:rPr>
      </w:pPr>
      <w:proofErr w:type="spellStart"/>
      <w:r w:rsidRPr="001B2907">
        <w:rPr>
          <w:rFonts w:ascii="Times New Roman" w:hAnsi="Times New Roman"/>
          <w:sz w:val="24"/>
          <w:szCs w:val="24"/>
        </w:rPr>
        <w:t>McLaney</w:t>
      </w:r>
      <w:proofErr w:type="spellEnd"/>
      <w:r w:rsidRPr="001B2907">
        <w:rPr>
          <w:rFonts w:ascii="Times New Roman" w:hAnsi="Times New Roman"/>
          <w:sz w:val="24"/>
          <w:szCs w:val="24"/>
        </w:rPr>
        <w:t xml:space="preserve">, J. (2014). </w:t>
      </w:r>
      <w:r w:rsidRPr="001B2907">
        <w:rPr>
          <w:rFonts w:ascii="Times New Roman" w:hAnsi="Times New Roman"/>
          <w:i/>
          <w:sz w:val="24"/>
          <w:szCs w:val="24"/>
        </w:rPr>
        <w:t>Business Finance: Theory and Practice</w:t>
      </w:r>
      <w:r w:rsidRPr="001B2907">
        <w:rPr>
          <w:rFonts w:ascii="Times New Roman" w:hAnsi="Times New Roman"/>
          <w:sz w:val="24"/>
          <w:szCs w:val="24"/>
        </w:rPr>
        <w:t>. Harlow: Prentice Hall.</w:t>
      </w:r>
    </w:p>
    <w:p w:rsidR="00E35F54" w:rsidRPr="001B2907" w:rsidRDefault="00E35F54" w:rsidP="00C660DE">
      <w:pPr>
        <w:spacing w:after="200" w:line="360" w:lineRule="auto"/>
        <w:ind w:left="0" w:right="0"/>
        <w:jc w:val="both"/>
        <w:rPr>
          <w:rFonts w:ascii="Times New Roman" w:hAnsi="Times New Roman"/>
          <w:kern w:val="0"/>
          <w:sz w:val="24"/>
          <w:szCs w:val="24"/>
          <w:shd w:val="clear" w:color="auto" w:fill="FFFFFF"/>
          <w:lang w:eastAsia="en-US"/>
        </w:rPr>
      </w:pPr>
      <w:r w:rsidRPr="001B2907">
        <w:rPr>
          <w:rFonts w:ascii="Times New Roman" w:hAnsi="Times New Roman"/>
          <w:kern w:val="0"/>
          <w:sz w:val="24"/>
          <w:szCs w:val="24"/>
          <w:shd w:val="clear" w:color="auto" w:fill="FFFFFF"/>
          <w:lang w:eastAsia="en-US"/>
        </w:rPr>
        <w:t>Ogilvie, J. (2008). </w:t>
      </w:r>
      <w:r w:rsidRPr="001B2907">
        <w:rPr>
          <w:rFonts w:ascii="Times New Roman" w:hAnsi="Times New Roman"/>
          <w:i/>
          <w:iCs/>
          <w:kern w:val="0"/>
          <w:sz w:val="24"/>
          <w:szCs w:val="24"/>
          <w:shd w:val="clear" w:color="auto" w:fill="FFFFFF"/>
          <w:lang w:eastAsia="en-US"/>
        </w:rPr>
        <w:t>CIMA Official Learning System Management Accounting Financial Strategy</w:t>
      </w:r>
      <w:r w:rsidRPr="001B2907">
        <w:rPr>
          <w:rFonts w:ascii="Times New Roman" w:hAnsi="Times New Roman"/>
          <w:kern w:val="0"/>
          <w:sz w:val="24"/>
          <w:szCs w:val="24"/>
          <w:shd w:val="clear" w:color="auto" w:fill="FFFFFF"/>
          <w:lang w:eastAsia="en-US"/>
        </w:rPr>
        <w:t xml:space="preserve">. 1st ed. </w:t>
      </w:r>
      <w:proofErr w:type="spellStart"/>
      <w:r w:rsidRPr="001B2907">
        <w:rPr>
          <w:rFonts w:ascii="Times New Roman" w:hAnsi="Times New Roman"/>
          <w:kern w:val="0"/>
          <w:sz w:val="24"/>
          <w:szCs w:val="24"/>
          <w:shd w:val="clear" w:color="auto" w:fill="FFFFFF"/>
          <w:lang w:eastAsia="en-US"/>
        </w:rPr>
        <w:t>Amesterdam</w:t>
      </w:r>
      <w:proofErr w:type="spellEnd"/>
      <w:r w:rsidRPr="001B2907">
        <w:rPr>
          <w:rFonts w:ascii="Times New Roman" w:hAnsi="Times New Roman"/>
          <w:kern w:val="0"/>
          <w:sz w:val="24"/>
          <w:szCs w:val="24"/>
          <w:shd w:val="clear" w:color="auto" w:fill="FFFFFF"/>
          <w:lang w:eastAsia="en-US"/>
        </w:rPr>
        <w:t>: Elsevier.</w:t>
      </w:r>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shd w:val="clear" w:color="auto" w:fill="FFFFFF"/>
          <w:lang w:eastAsia="en-US"/>
        </w:rPr>
        <w:lastRenderedPageBreak/>
        <w:t>Pinson, L. (2008). </w:t>
      </w:r>
      <w:r w:rsidRPr="001B2907">
        <w:rPr>
          <w:rFonts w:ascii="Times New Roman" w:hAnsi="Times New Roman"/>
          <w:i/>
          <w:iCs/>
          <w:kern w:val="0"/>
          <w:sz w:val="24"/>
          <w:szCs w:val="24"/>
          <w:shd w:val="clear" w:color="auto" w:fill="FFFFFF"/>
          <w:lang w:eastAsia="en-US"/>
        </w:rPr>
        <w:t>Anatomy of a Business Plan: A Step-by-step Guide to Building the Business and Securing Your Company's Future</w:t>
      </w:r>
      <w:r w:rsidRPr="001B2907">
        <w:rPr>
          <w:rFonts w:ascii="Times New Roman" w:hAnsi="Times New Roman"/>
          <w:kern w:val="0"/>
          <w:sz w:val="24"/>
          <w:szCs w:val="24"/>
          <w:shd w:val="clear" w:color="auto" w:fill="FFFFFF"/>
          <w:lang w:eastAsia="en-US"/>
        </w:rPr>
        <w:t xml:space="preserve">. 1st </w:t>
      </w:r>
      <w:proofErr w:type="gramStart"/>
      <w:r w:rsidRPr="001B2907">
        <w:rPr>
          <w:rFonts w:ascii="Times New Roman" w:hAnsi="Times New Roman"/>
          <w:kern w:val="0"/>
          <w:sz w:val="24"/>
          <w:szCs w:val="24"/>
          <w:shd w:val="clear" w:color="auto" w:fill="FFFFFF"/>
          <w:lang w:eastAsia="en-US"/>
        </w:rPr>
        <w:t>ed</w:t>
      </w:r>
      <w:proofErr w:type="gramEnd"/>
      <w:r w:rsidRPr="001B2907">
        <w:rPr>
          <w:rFonts w:ascii="Times New Roman" w:hAnsi="Times New Roman"/>
          <w:kern w:val="0"/>
          <w:sz w:val="24"/>
          <w:szCs w:val="24"/>
          <w:shd w:val="clear" w:color="auto" w:fill="FFFFFF"/>
          <w:lang w:eastAsia="en-US"/>
        </w:rPr>
        <w:t>. New York: Aka Associates.</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r w:rsidRPr="001B2907">
        <w:rPr>
          <w:rFonts w:ascii="Times New Roman" w:eastAsia="Calibri" w:hAnsi="Times New Roman"/>
          <w:color w:val="000000"/>
          <w:kern w:val="0"/>
          <w:sz w:val="24"/>
          <w:szCs w:val="24"/>
          <w:lang w:eastAsia="en-US"/>
        </w:rPr>
        <w:t>Reuters (2017). Company Profi</w:t>
      </w:r>
      <w:r w:rsidR="00217265">
        <w:rPr>
          <w:rFonts w:ascii="Times New Roman" w:eastAsia="Calibri" w:hAnsi="Times New Roman"/>
          <w:color w:val="000000"/>
          <w:kern w:val="0"/>
          <w:sz w:val="24"/>
          <w:szCs w:val="24"/>
          <w:lang w:eastAsia="en-US"/>
        </w:rPr>
        <w:t xml:space="preserve">le for </w:t>
      </w:r>
      <w:r w:rsidR="00217265" w:rsidRPr="00217265">
        <w:rPr>
          <w:rFonts w:ascii="Times New Roman" w:eastAsia="Calibri" w:hAnsi="Times New Roman"/>
          <w:color w:val="000000"/>
          <w:kern w:val="0"/>
          <w:sz w:val="24"/>
          <w:szCs w:val="24"/>
          <w:lang w:eastAsia="en-US"/>
        </w:rPr>
        <w:t>Honeywell International Inc</w:t>
      </w:r>
      <w:r w:rsidRPr="001B2907">
        <w:rPr>
          <w:rFonts w:ascii="Times New Roman" w:eastAsia="Calibri" w:hAnsi="Times New Roman"/>
          <w:color w:val="000000"/>
          <w:kern w:val="0"/>
          <w:sz w:val="24"/>
          <w:szCs w:val="24"/>
          <w:lang w:eastAsia="en-US"/>
        </w:rPr>
        <w:t>. [online] IN. Available at: https://in.reuters.com/finance/stocks/company-profile/HON.N [Accessed 29 Dec. 2017].</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proofErr w:type="spellStart"/>
      <w:r w:rsidRPr="001B2907">
        <w:rPr>
          <w:rFonts w:ascii="Times New Roman" w:eastAsia="Calibri" w:hAnsi="Times New Roman"/>
          <w:color w:val="000000"/>
          <w:kern w:val="0"/>
          <w:sz w:val="24"/>
          <w:szCs w:val="24"/>
          <w:lang w:eastAsia="en-US"/>
        </w:rPr>
        <w:t>Samaha</w:t>
      </w:r>
      <w:proofErr w:type="spellEnd"/>
      <w:r w:rsidRPr="001B2907">
        <w:rPr>
          <w:rFonts w:ascii="Times New Roman" w:eastAsia="Calibri" w:hAnsi="Times New Roman"/>
          <w:color w:val="000000"/>
          <w:kern w:val="0"/>
          <w:sz w:val="24"/>
          <w:szCs w:val="24"/>
          <w:lang w:eastAsia="en-US"/>
        </w:rPr>
        <w:t>, L. (2017). The Case for Buying Honeywell International Inc. Stock.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The Motley Fool. Available at: https://www.fool.com/investing/2016/12/21/the-case-for-buying-honeywell-international-stock.aspx [Accessed 29 Dec. 2017].</w:t>
      </w:r>
    </w:p>
    <w:p w:rsidR="00E35F54" w:rsidRPr="001B2907" w:rsidRDefault="00E35F54" w:rsidP="00E35F54">
      <w:pPr>
        <w:spacing w:after="200" w:line="360" w:lineRule="auto"/>
        <w:ind w:left="0" w:right="0"/>
        <w:jc w:val="both"/>
        <w:rPr>
          <w:rFonts w:ascii="Times New Roman" w:eastAsia="Calibri" w:hAnsi="Times New Roman"/>
          <w:color w:val="000000"/>
          <w:kern w:val="0"/>
          <w:sz w:val="24"/>
          <w:szCs w:val="24"/>
          <w:lang w:eastAsia="en-US"/>
        </w:rPr>
      </w:pPr>
      <w:r w:rsidRPr="001B2907">
        <w:rPr>
          <w:rFonts w:ascii="Times New Roman" w:eastAsia="Calibri" w:hAnsi="Times New Roman"/>
          <w:color w:val="000000"/>
          <w:kern w:val="0"/>
          <w:sz w:val="24"/>
          <w:szCs w:val="24"/>
          <w:lang w:eastAsia="en-US"/>
        </w:rPr>
        <w:t xml:space="preserve">Success story (2017). Honeywell International Profile, History, Founder, Founded, </w:t>
      </w:r>
      <w:proofErr w:type="spellStart"/>
      <w:r w:rsidRPr="001B2907">
        <w:rPr>
          <w:rFonts w:ascii="Times New Roman" w:eastAsia="Calibri" w:hAnsi="Times New Roman"/>
          <w:color w:val="000000"/>
          <w:kern w:val="0"/>
          <w:sz w:val="24"/>
          <w:szCs w:val="24"/>
          <w:lang w:eastAsia="en-US"/>
        </w:rPr>
        <w:t>Ceo</w:t>
      </w:r>
      <w:proofErr w:type="spellEnd"/>
      <w:r w:rsidRPr="001B2907">
        <w:rPr>
          <w:rFonts w:ascii="Times New Roman" w:eastAsia="Calibri" w:hAnsi="Times New Roman"/>
          <w:color w:val="000000"/>
          <w:kern w:val="0"/>
          <w:sz w:val="24"/>
          <w:szCs w:val="24"/>
          <w:lang w:eastAsia="en-US"/>
        </w:rPr>
        <w:t xml:space="preserve"> | Manufacturing Companies | </w:t>
      </w:r>
      <w:proofErr w:type="spellStart"/>
      <w:r w:rsidRPr="001B2907">
        <w:rPr>
          <w:rFonts w:ascii="Times New Roman" w:eastAsia="Calibri" w:hAnsi="Times New Roman"/>
          <w:color w:val="000000"/>
          <w:kern w:val="0"/>
          <w:sz w:val="24"/>
          <w:szCs w:val="24"/>
          <w:lang w:eastAsia="en-US"/>
        </w:rPr>
        <w:t>SuccessStory</w:t>
      </w:r>
      <w:proofErr w:type="spellEnd"/>
      <w:r w:rsidRPr="001B2907">
        <w:rPr>
          <w:rFonts w:ascii="Times New Roman" w:eastAsia="Calibri" w:hAnsi="Times New Roman"/>
          <w:color w:val="000000"/>
          <w:kern w:val="0"/>
          <w:sz w:val="24"/>
          <w:szCs w:val="24"/>
          <w:lang w:eastAsia="en-US"/>
        </w:rPr>
        <w:t>.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Successstory.com. Available at: https://successstory.com/companies/honeywell-international [Accessed 29 Dec. 2017].</w:t>
      </w:r>
    </w:p>
    <w:p w:rsidR="00E35F54" w:rsidRPr="001B2907" w:rsidRDefault="00E35F54" w:rsidP="00E35F54">
      <w:pPr>
        <w:spacing w:line="360" w:lineRule="auto"/>
        <w:ind w:left="0"/>
        <w:jc w:val="both"/>
        <w:rPr>
          <w:rFonts w:ascii="Times New Roman" w:eastAsia="Calibri" w:hAnsi="Times New Roman"/>
          <w:color w:val="000000"/>
          <w:kern w:val="0"/>
          <w:sz w:val="24"/>
          <w:szCs w:val="24"/>
          <w:lang w:eastAsia="en-US"/>
        </w:rPr>
      </w:pPr>
      <w:proofErr w:type="spellStart"/>
      <w:r w:rsidRPr="001B2907">
        <w:rPr>
          <w:rFonts w:ascii="Times New Roman" w:eastAsia="Calibri" w:hAnsi="Times New Roman"/>
          <w:color w:val="000000"/>
          <w:kern w:val="0"/>
          <w:sz w:val="24"/>
          <w:szCs w:val="24"/>
          <w:lang w:eastAsia="en-US"/>
        </w:rPr>
        <w:t>Zacks</w:t>
      </w:r>
      <w:proofErr w:type="spellEnd"/>
      <w:r w:rsidRPr="001B2907">
        <w:rPr>
          <w:rFonts w:ascii="Times New Roman" w:eastAsia="Calibri" w:hAnsi="Times New Roman"/>
          <w:color w:val="000000"/>
          <w:kern w:val="0"/>
          <w:sz w:val="24"/>
          <w:szCs w:val="24"/>
          <w:lang w:eastAsia="en-US"/>
        </w:rPr>
        <w:t xml:space="preserve">, (2016). How Honeywell International </w:t>
      </w:r>
      <w:proofErr w:type="spellStart"/>
      <w:r w:rsidRPr="001B2907">
        <w:rPr>
          <w:rFonts w:ascii="Times New Roman" w:eastAsia="Calibri" w:hAnsi="Times New Roman"/>
          <w:color w:val="000000"/>
          <w:kern w:val="0"/>
          <w:sz w:val="24"/>
          <w:szCs w:val="24"/>
          <w:lang w:eastAsia="en-US"/>
        </w:rPr>
        <w:t>Inc</w:t>
      </w:r>
      <w:proofErr w:type="spellEnd"/>
      <w:r w:rsidRPr="001B2907">
        <w:rPr>
          <w:rFonts w:ascii="Times New Roman" w:eastAsia="Calibri" w:hAnsi="Times New Roman"/>
          <w:color w:val="000000"/>
          <w:kern w:val="0"/>
          <w:sz w:val="24"/>
          <w:szCs w:val="24"/>
          <w:lang w:eastAsia="en-US"/>
        </w:rPr>
        <w:t xml:space="preserve"> Can Boost '17 Performance (HON) | </w:t>
      </w:r>
      <w:proofErr w:type="spellStart"/>
      <w:r w:rsidRPr="001B2907">
        <w:rPr>
          <w:rFonts w:ascii="Times New Roman" w:eastAsia="Calibri" w:hAnsi="Times New Roman"/>
          <w:color w:val="000000"/>
          <w:kern w:val="0"/>
          <w:sz w:val="24"/>
          <w:szCs w:val="24"/>
          <w:lang w:eastAsia="en-US"/>
        </w:rPr>
        <w:t>InvestorPlace</w:t>
      </w:r>
      <w:proofErr w:type="spellEnd"/>
      <w:r w:rsidRPr="001B2907">
        <w:rPr>
          <w:rFonts w:ascii="Times New Roman" w:eastAsia="Calibri" w:hAnsi="Times New Roman"/>
          <w:color w:val="000000"/>
          <w:kern w:val="0"/>
          <w:sz w:val="24"/>
          <w:szCs w:val="24"/>
          <w:lang w:eastAsia="en-US"/>
        </w:rPr>
        <w:t>. [</w:t>
      </w:r>
      <w:proofErr w:type="gramStart"/>
      <w:r w:rsidRPr="001B2907">
        <w:rPr>
          <w:rFonts w:ascii="Times New Roman" w:eastAsia="Calibri" w:hAnsi="Times New Roman"/>
          <w:color w:val="000000"/>
          <w:kern w:val="0"/>
          <w:sz w:val="24"/>
          <w:szCs w:val="24"/>
          <w:lang w:eastAsia="en-US"/>
        </w:rPr>
        <w:t>online</w:t>
      </w:r>
      <w:proofErr w:type="gramEnd"/>
      <w:r w:rsidRPr="001B2907">
        <w:rPr>
          <w:rFonts w:ascii="Times New Roman" w:eastAsia="Calibri" w:hAnsi="Times New Roman"/>
          <w:color w:val="000000"/>
          <w:kern w:val="0"/>
          <w:sz w:val="24"/>
          <w:szCs w:val="24"/>
          <w:lang w:eastAsia="en-US"/>
        </w:rPr>
        <w:t xml:space="preserve">] </w:t>
      </w:r>
      <w:proofErr w:type="spellStart"/>
      <w:r w:rsidRPr="001B2907">
        <w:rPr>
          <w:rFonts w:ascii="Times New Roman" w:eastAsia="Calibri" w:hAnsi="Times New Roman"/>
          <w:color w:val="000000"/>
          <w:kern w:val="0"/>
          <w:sz w:val="24"/>
          <w:szCs w:val="24"/>
          <w:lang w:eastAsia="en-US"/>
        </w:rPr>
        <w:t>InvestorPlace</w:t>
      </w:r>
      <w:proofErr w:type="spellEnd"/>
      <w:r w:rsidRPr="001B2907">
        <w:rPr>
          <w:rFonts w:ascii="Times New Roman" w:eastAsia="Calibri" w:hAnsi="Times New Roman"/>
          <w:color w:val="000000"/>
          <w:kern w:val="0"/>
          <w:sz w:val="24"/>
          <w:szCs w:val="24"/>
          <w:lang w:eastAsia="en-US"/>
        </w:rPr>
        <w:t>. Available at: https://investorplace.com/2017/01/can-honeywell-boost-17-performance-with-unique-products/#.WkYaBUxuLmQ [Accessed 29 Dec. 2017].</w:t>
      </w:r>
    </w:p>
    <w:p w:rsidR="00E35F54" w:rsidRPr="001B2907" w:rsidRDefault="00E35F54">
      <w:pPr>
        <w:spacing w:after="240" w:line="252" w:lineRule="auto"/>
        <w:ind w:left="0" w:right="0"/>
        <w:rPr>
          <w:rFonts w:ascii="Times New Roman" w:hAnsi="Times New Roman"/>
          <w:sz w:val="24"/>
          <w:szCs w:val="24"/>
        </w:rPr>
      </w:pPr>
    </w:p>
    <w:p w:rsidR="00E35F54" w:rsidRPr="001B2907" w:rsidRDefault="00E35F54" w:rsidP="00DD273C">
      <w:pPr>
        <w:spacing w:line="360" w:lineRule="auto"/>
        <w:jc w:val="both"/>
        <w:rPr>
          <w:rFonts w:ascii="Times New Roman" w:hAnsi="Times New Roman"/>
          <w:b/>
          <w:sz w:val="24"/>
          <w:szCs w:val="24"/>
        </w:rPr>
      </w:pPr>
    </w:p>
    <w:p w:rsidR="00E35F54" w:rsidRPr="001B2907" w:rsidRDefault="00E35F54">
      <w:pPr>
        <w:spacing w:after="240" w:line="252" w:lineRule="auto"/>
        <w:ind w:left="0" w:right="0"/>
        <w:rPr>
          <w:rFonts w:ascii="Times New Roman" w:hAnsi="Times New Roman"/>
          <w:b/>
          <w:sz w:val="24"/>
          <w:szCs w:val="24"/>
        </w:rPr>
      </w:pPr>
      <w:r w:rsidRPr="001B2907">
        <w:rPr>
          <w:rFonts w:ascii="Times New Roman" w:hAnsi="Times New Roman"/>
          <w:b/>
          <w:sz w:val="24"/>
          <w:szCs w:val="24"/>
        </w:rPr>
        <w:br w:type="page"/>
      </w:r>
    </w:p>
    <w:p w:rsidR="00E35F54" w:rsidRPr="00217265" w:rsidRDefault="00E35F54" w:rsidP="00217265">
      <w:pPr>
        <w:pStyle w:val="Heading1"/>
        <w:ind w:left="0"/>
        <w:rPr>
          <w:rFonts w:ascii="Times New Roman" w:eastAsia="Calibri" w:hAnsi="Times New Roman" w:cs="Times New Roman"/>
          <w:b/>
          <w:kern w:val="0"/>
          <w:lang w:eastAsia="en-US"/>
        </w:rPr>
      </w:pPr>
      <w:bookmarkStart w:id="15" w:name="_APPENDIX:_FORMULAS_USED"/>
      <w:bookmarkStart w:id="16" w:name="_Toc502409775"/>
      <w:bookmarkStart w:id="17" w:name="_Toc502678460"/>
      <w:bookmarkEnd w:id="15"/>
      <w:r w:rsidRPr="00217265">
        <w:rPr>
          <w:rFonts w:ascii="Times New Roman" w:hAnsi="Times New Roman" w:cs="Times New Roman"/>
          <w:b/>
          <w:color w:val="FF0000"/>
        </w:rPr>
        <w:lastRenderedPageBreak/>
        <w:t>APPENDIX: FORMULAS USED FOR RATIO ANALYSIS</w:t>
      </w:r>
      <w:bookmarkEnd w:id="16"/>
      <w:bookmarkEnd w:id="17"/>
    </w:p>
    <w:p w:rsidR="00E35F54" w:rsidRPr="001B2907" w:rsidRDefault="00E35F54" w:rsidP="00E35F54">
      <w:pPr>
        <w:spacing w:after="200" w:line="360" w:lineRule="auto"/>
        <w:ind w:left="0" w:right="0"/>
        <w:jc w:val="both"/>
        <w:rPr>
          <w:rFonts w:ascii="Times New Roman" w:hAnsi="Times New Roman"/>
          <w:b/>
          <w:kern w:val="0"/>
          <w:sz w:val="24"/>
          <w:szCs w:val="24"/>
          <w:lang w:eastAsia="en-US"/>
        </w:rPr>
      </w:pPr>
    </w:p>
    <w:p w:rsidR="00E35F54" w:rsidRPr="001B2907" w:rsidRDefault="00E35F54" w:rsidP="00E35F54">
      <w:pPr>
        <w:spacing w:after="200" w:line="360" w:lineRule="auto"/>
        <w:ind w:left="0" w:right="0"/>
        <w:jc w:val="both"/>
        <w:rPr>
          <w:rFonts w:ascii="Times New Roman" w:hAnsi="Times New Roman"/>
          <w:b/>
          <w:kern w:val="0"/>
          <w:sz w:val="24"/>
          <w:szCs w:val="24"/>
          <w:lang w:eastAsia="en-US"/>
        </w:rPr>
      </w:pPr>
      <w:r w:rsidRPr="001B2907">
        <w:rPr>
          <w:rFonts w:ascii="Times New Roman" w:hAnsi="Times New Roman"/>
          <w:b/>
          <w:kern w:val="0"/>
          <w:sz w:val="24"/>
          <w:szCs w:val="24"/>
          <w:lang w:eastAsia="en-US"/>
        </w:rPr>
        <w:t>1. Liquidity Ratios</w:t>
      </w:r>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Current ratio = </w:t>
      </w:r>
      <m:oMath>
        <m:f>
          <m:fPr>
            <m:ctrlPr>
              <w:rPr>
                <w:rFonts w:ascii="Cambria Math" w:eastAsia="Times New Roman" w:hAnsi="Cambria Math"/>
                <w:i/>
                <w:sz w:val="24"/>
                <w:szCs w:val="24"/>
              </w:rPr>
            </m:ctrlPr>
          </m:fPr>
          <m:num>
            <m:r>
              <w:rPr>
                <w:rFonts w:ascii="Cambria Math" w:eastAsia="Times New Roman" w:hAnsi="Cambria Math"/>
                <w:sz w:val="24"/>
                <w:szCs w:val="24"/>
              </w:rPr>
              <m:t>Current Assets</m:t>
            </m:r>
          </m:num>
          <m:den>
            <m:r>
              <w:rPr>
                <w:rFonts w:ascii="Cambria Math" w:eastAsia="Times New Roman" w:hAnsi="Cambria Math"/>
                <w:sz w:val="24"/>
                <w:szCs w:val="24"/>
              </w:rPr>
              <m:t>Current Liabilities</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Quick ratio = </w:t>
      </w:r>
      <m:oMath>
        <m:f>
          <m:fPr>
            <m:ctrlPr>
              <w:rPr>
                <w:rFonts w:ascii="Cambria Math" w:eastAsia="Times New Roman" w:hAnsi="Cambria Math"/>
                <w:i/>
                <w:sz w:val="24"/>
                <w:szCs w:val="24"/>
              </w:rPr>
            </m:ctrlPr>
          </m:fPr>
          <m:num>
            <m:r>
              <w:rPr>
                <w:rFonts w:ascii="Cambria Math" w:eastAsia="Times New Roman" w:hAnsi="Cambria Math"/>
                <w:sz w:val="24"/>
                <w:szCs w:val="24"/>
              </w:rPr>
              <m:t>Current Assets-Inventory</m:t>
            </m:r>
          </m:num>
          <m:den>
            <m:r>
              <w:rPr>
                <w:rFonts w:ascii="Cambria Math" w:eastAsia="Times New Roman" w:hAnsi="Cambria Math"/>
                <w:sz w:val="24"/>
                <w:szCs w:val="24"/>
              </w:rPr>
              <m:t xml:space="preserve">Current Liabilities </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Cash ratio = </w:t>
      </w:r>
      <m:oMath>
        <m:f>
          <m:fPr>
            <m:ctrlPr>
              <w:rPr>
                <w:rFonts w:ascii="Cambria Math" w:eastAsia="Times New Roman" w:hAnsi="Cambria Math"/>
                <w:i/>
                <w:sz w:val="24"/>
                <w:szCs w:val="24"/>
              </w:rPr>
            </m:ctrlPr>
          </m:fPr>
          <m:num>
            <m:r>
              <w:rPr>
                <w:rFonts w:ascii="Cambria Math" w:eastAsia="Times New Roman" w:hAnsi="Cambria Math"/>
                <w:sz w:val="24"/>
                <w:szCs w:val="24"/>
              </w:rPr>
              <m:t>Cash</m:t>
            </m:r>
          </m:num>
          <m:den>
            <m:r>
              <w:rPr>
                <w:rFonts w:ascii="Cambria Math" w:eastAsia="Times New Roman" w:hAnsi="Cambria Math"/>
                <w:sz w:val="24"/>
                <w:szCs w:val="24"/>
              </w:rPr>
              <m:t xml:space="preserve">Current Liabilities </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b/>
          <w:kern w:val="0"/>
          <w:sz w:val="24"/>
          <w:szCs w:val="24"/>
          <w:lang w:eastAsia="en-US"/>
        </w:rPr>
        <w:t>Source:</w:t>
      </w:r>
      <w:r w:rsidRPr="001B2907">
        <w:rPr>
          <w:rFonts w:ascii="Times New Roman" w:hAnsi="Times New Roman"/>
          <w:kern w:val="0"/>
          <w:sz w:val="24"/>
          <w:szCs w:val="24"/>
          <w:lang w:eastAsia="en-US"/>
        </w:rPr>
        <w:t xml:space="preserve"> Lee, Lee and Lee (2009)</w:t>
      </w:r>
    </w:p>
    <w:p w:rsidR="00E35F54" w:rsidRPr="001B2907" w:rsidRDefault="00E35F54" w:rsidP="00E35F54">
      <w:pPr>
        <w:spacing w:after="200" w:line="360" w:lineRule="auto"/>
        <w:ind w:left="0" w:right="0"/>
        <w:jc w:val="both"/>
        <w:rPr>
          <w:rFonts w:ascii="Times New Roman" w:hAnsi="Times New Roman"/>
          <w:b/>
          <w:kern w:val="0"/>
          <w:sz w:val="24"/>
          <w:szCs w:val="24"/>
          <w:lang w:eastAsia="en-US"/>
        </w:rPr>
      </w:pPr>
      <w:r w:rsidRPr="001B2907">
        <w:rPr>
          <w:rFonts w:ascii="Times New Roman" w:hAnsi="Times New Roman"/>
          <w:b/>
          <w:kern w:val="0"/>
          <w:sz w:val="24"/>
          <w:szCs w:val="24"/>
          <w:lang w:eastAsia="en-US"/>
        </w:rPr>
        <w:t>2. Profitability Ratios</w:t>
      </w:r>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Gross Profit margin = </w:t>
      </w:r>
      <m:oMath>
        <m:f>
          <m:fPr>
            <m:ctrlPr>
              <w:rPr>
                <w:rFonts w:ascii="Cambria Math" w:eastAsia="Times New Roman" w:hAnsi="Cambria Math"/>
                <w:i/>
                <w:sz w:val="24"/>
                <w:szCs w:val="24"/>
              </w:rPr>
            </m:ctrlPr>
          </m:fPr>
          <m:num>
            <m:r>
              <w:rPr>
                <w:rFonts w:ascii="Cambria Math" w:eastAsia="Times New Roman" w:hAnsi="Cambria Math"/>
                <w:sz w:val="24"/>
                <w:szCs w:val="24"/>
              </w:rPr>
              <m:t>Sales-Cost of Sales</m:t>
            </m:r>
          </m:num>
          <m:den>
            <m:r>
              <w:rPr>
                <w:rFonts w:ascii="Cambria Math" w:eastAsia="Times New Roman" w:hAnsi="Cambria Math"/>
                <w:sz w:val="24"/>
                <w:szCs w:val="24"/>
              </w:rPr>
              <m:t>Sales</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Net Margin = </w:t>
      </w:r>
      <m:oMath>
        <m:f>
          <m:fPr>
            <m:ctrlPr>
              <w:rPr>
                <w:rFonts w:ascii="Cambria Math" w:eastAsia="Times New Roman" w:hAnsi="Cambria Math"/>
                <w:i/>
                <w:sz w:val="24"/>
                <w:szCs w:val="24"/>
              </w:rPr>
            </m:ctrlPr>
          </m:fPr>
          <m:num>
            <m:r>
              <w:rPr>
                <w:rFonts w:ascii="Cambria Math" w:eastAsia="Times New Roman" w:hAnsi="Cambria Math"/>
                <w:sz w:val="24"/>
                <w:szCs w:val="24"/>
              </w:rPr>
              <m:t>Net Profit Margin</m:t>
            </m:r>
          </m:num>
          <m:den>
            <m:r>
              <w:rPr>
                <w:rFonts w:ascii="Cambria Math" w:eastAsia="Times New Roman" w:hAnsi="Cambria Math"/>
                <w:sz w:val="24"/>
                <w:szCs w:val="24"/>
              </w:rPr>
              <m:t>Sales</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Operating Profit Margin = </w:t>
      </w:r>
      <m:oMath>
        <m:f>
          <m:fPr>
            <m:ctrlPr>
              <w:rPr>
                <w:rFonts w:ascii="Cambria Math" w:eastAsia="Times New Roman" w:hAnsi="Cambria Math"/>
                <w:i/>
                <w:sz w:val="24"/>
                <w:szCs w:val="24"/>
              </w:rPr>
            </m:ctrlPr>
          </m:fPr>
          <m:num>
            <m:r>
              <w:rPr>
                <w:rFonts w:ascii="Cambria Math" w:eastAsia="Times New Roman" w:hAnsi="Cambria Math"/>
                <w:sz w:val="24"/>
                <w:szCs w:val="24"/>
              </w:rPr>
              <m:t>Gross Profit-Operating Expenses</m:t>
            </m:r>
          </m:num>
          <m:den>
            <m:r>
              <w:rPr>
                <w:rFonts w:ascii="Cambria Math" w:eastAsia="Times New Roman" w:hAnsi="Cambria Math"/>
                <w:sz w:val="24"/>
                <w:szCs w:val="24"/>
              </w:rPr>
              <m:t>Sales</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b/>
          <w:kern w:val="0"/>
          <w:sz w:val="24"/>
          <w:szCs w:val="24"/>
          <w:lang w:eastAsia="en-US"/>
        </w:rPr>
        <w:t xml:space="preserve">Source: </w:t>
      </w:r>
      <w:r w:rsidRPr="001B2907">
        <w:rPr>
          <w:rFonts w:ascii="Times New Roman" w:hAnsi="Times New Roman"/>
          <w:kern w:val="0"/>
          <w:sz w:val="24"/>
          <w:szCs w:val="24"/>
          <w:lang w:eastAsia="en-US"/>
        </w:rPr>
        <w:t>Pinson (2008)</w:t>
      </w:r>
    </w:p>
    <w:p w:rsidR="00E35F54" w:rsidRPr="001B2907" w:rsidRDefault="00E35F54" w:rsidP="00E35F54">
      <w:pPr>
        <w:spacing w:after="200" w:line="360" w:lineRule="auto"/>
        <w:ind w:left="0" w:right="0"/>
        <w:jc w:val="both"/>
        <w:rPr>
          <w:rFonts w:ascii="Times New Roman" w:hAnsi="Times New Roman"/>
          <w:b/>
          <w:kern w:val="0"/>
          <w:sz w:val="24"/>
          <w:szCs w:val="24"/>
          <w:lang w:eastAsia="en-US"/>
        </w:rPr>
      </w:pPr>
      <w:r w:rsidRPr="001B2907">
        <w:rPr>
          <w:rFonts w:ascii="Times New Roman" w:hAnsi="Times New Roman"/>
          <w:b/>
          <w:kern w:val="0"/>
          <w:sz w:val="24"/>
          <w:szCs w:val="24"/>
          <w:lang w:eastAsia="en-US"/>
        </w:rPr>
        <w:t>3. Efficiency Ratios</w:t>
      </w:r>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Inventory/stock = </w:t>
      </w:r>
      <m:oMath>
        <m:f>
          <m:fPr>
            <m:ctrlPr>
              <w:rPr>
                <w:rFonts w:ascii="Cambria Math" w:eastAsia="Times New Roman" w:hAnsi="Cambria Math"/>
                <w:i/>
                <w:sz w:val="24"/>
                <w:szCs w:val="24"/>
              </w:rPr>
            </m:ctrlPr>
          </m:fPr>
          <m:num>
            <m:r>
              <w:rPr>
                <w:rFonts w:ascii="Cambria Math" w:eastAsia="Times New Roman" w:hAnsi="Cambria Math"/>
                <w:sz w:val="24"/>
                <w:szCs w:val="24"/>
              </w:rPr>
              <m:t>Cost of Good Sold</m:t>
            </m:r>
          </m:num>
          <m:den>
            <m:r>
              <w:rPr>
                <w:rFonts w:ascii="Cambria Math" w:eastAsia="Times New Roman" w:hAnsi="Cambria Math"/>
                <w:sz w:val="24"/>
                <w:szCs w:val="24"/>
              </w:rPr>
              <m:t>Avg Inventory</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Account Receivable Turnover = </w:t>
      </w:r>
      <m:oMath>
        <m:f>
          <m:fPr>
            <m:ctrlPr>
              <w:rPr>
                <w:rFonts w:ascii="Cambria Math" w:eastAsia="Times New Roman" w:hAnsi="Cambria Math"/>
                <w:i/>
                <w:sz w:val="24"/>
                <w:szCs w:val="24"/>
              </w:rPr>
            </m:ctrlPr>
          </m:fPr>
          <m:num>
            <m:r>
              <w:rPr>
                <w:rFonts w:ascii="Cambria Math" w:eastAsia="Times New Roman" w:hAnsi="Cambria Math"/>
                <w:sz w:val="24"/>
                <w:szCs w:val="24"/>
              </w:rPr>
              <m:t>Sales</m:t>
            </m:r>
          </m:num>
          <m:den>
            <m:r>
              <w:rPr>
                <w:rFonts w:ascii="Cambria Math" w:eastAsia="Times New Roman" w:hAnsi="Cambria Math"/>
                <w:sz w:val="24"/>
                <w:szCs w:val="24"/>
              </w:rPr>
              <m:t>Avg.acct receivables</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Asset Turnover = </w:t>
      </w:r>
      <m:oMath>
        <m:f>
          <m:fPr>
            <m:ctrlPr>
              <w:rPr>
                <w:rFonts w:ascii="Cambria Math" w:eastAsia="Times New Roman" w:hAnsi="Cambria Math"/>
                <w:i/>
                <w:sz w:val="24"/>
                <w:szCs w:val="24"/>
              </w:rPr>
            </m:ctrlPr>
          </m:fPr>
          <m:num>
            <m:r>
              <w:rPr>
                <w:rFonts w:ascii="Cambria Math" w:eastAsia="Times New Roman" w:hAnsi="Cambria Math"/>
                <w:sz w:val="24"/>
                <w:szCs w:val="24"/>
              </w:rPr>
              <m:t>Sales</m:t>
            </m:r>
          </m:num>
          <m:den>
            <m:r>
              <w:rPr>
                <w:rFonts w:ascii="Cambria Math" w:eastAsia="Times New Roman" w:hAnsi="Cambria Math"/>
                <w:sz w:val="24"/>
                <w:szCs w:val="24"/>
              </w:rPr>
              <m:t>Total Assets</m:t>
            </m:r>
          </m:den>
        </m:f>
      </m:oMath>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b/>
          <w:kern w:val="0"/>
          <w:sz w:val="24"/>
          <w:szCs w:val="24"/>
          <w:lang w:eastAsia="en-US"/>
        </w:rPr>
        <w:t>Source:</w:t>
      </w:r>
      <w:r w:rsidRPr="001B2907">
        <w:rPr>
          <w:rFonts w:ascii="Times New Roman" w:hAnsi="Times New Roman"/>
          <w:kern w:val="0"/>
          <w:sz w:val="24"/>
          <w:szCs w:val="24"/>
          <w:lang w:eastAsia="en-US"/>
        </w:rPr>
        <w:t xml:space="preserve"> Lee, Lee and Lee (2009)</w:t>
      </w:r>
    </w:p>
    <w:p w:rsidR="00E35F54" w:rsidRPr="001B2907" w:rsidRDefault="006F6269" w:rsidP="00E35F54">
      <w:pPr>
        <w:spacing w:after="200" w:line="360" w:lineRule="auto"/>
        <w:ind w:left="0" w:right="0"/>
        <w:jc w:val="both"/>
        <w:rPr>
          <w:rFonts w:ascii="Times New Roman" w:hAnsi="Times New Roman"/>
          <w:b/>
          <w:kern w:val="0"/>
          <w:sz w:val="24"/>
          <w:szCs w:val="24"/>
          <w:lang w:eastAsia="en-US"/>
        </w:rPr>
      </w:pPr>
      <w:r>
        <w:rPr>
          <w:rFonts w:ascii="Times New Roman" w:hAnsi="Times New Roman"/>
          <w:b/>
          <w:kern w:val="0"/>
          <w:sz w:val="24"/>
          <w:szCs w:val="24"/>
          <w:lang w:eastAsia="en-US"/>
        </w:rPr>
        <w:t>4. Gearing Ratio</w:t>
      </w:r>
    </w:p>
    <w:p w:rsidR="00E35F54" w:rsidRPr="001B2907" w:rsidRDefault="006F6269" w:rsidP="00E35F54">
      <w:pPr>
        <w:spacing w:after="200" w:line="360" w:lineRule="auto"/>
        <w:ind w:left="0" w:right="0"/>
        <w:jc w:val="both"/>
        <w:rPr>
          <w:rFonts w:ascii="Times New Roman" w:hAnsi="Times New Roman"/>
          <w:kern w:val="0"/>
          <w:sz w:val="24"/>
          <w:szCs w:val="24"/>
          <w:lang w:eastAsia="en-US"/>
        </w:rPr>
      </w:pPr>
      <w:r>
        <w:rPr>
          <w:rFonts w:ascii="Times New Roman" w:hAnsi="Times New Roman"/>
          <w:kern w:val="0"/>
          <w:sz w:val="24"/>
          <w:szCs w:val="24"/>
          <w:lang w:eastAsia="en-US"/>
        </w:rPr>
        <w:t>Debt-Equity Ratio</w:t>
      </w:r>
      <w:r w:rsidR="00E35F54" w:rsidRPr="001B2907">
        <w:rPr>
          <w:rFonts w:ascii="Times New Roman" w:hAnsi="Times New Roman"/>
          <w:kern w:val="0"/>
          <w:sz w:val="24"/>
          <w:szCs w:val="24"/>
          <w:lang w:eastAsia="en-US"/>
        </w:rPr>
        <w:t xml:space="preserve"> = </w:t>
      </w:r>
      <m:oMath>
        <m:f>
          <m:fPr>
            <m:ctrlPr>
              <w:rPr>
                <w:rFonts w:ascii="Cambria Math" w:eastAsia="Times New Roman" w:hAnsi="Cambria Math"/>
                <w:i/>
                <w:sz w:val="24"/>
                <w:szCs w:val="24"/>
              </w:rPr>
            </m:ctrlPr>
          </m:fPr>
          <m:num>
            <m:r>
              <w:rPr>
                <w:rFonts w:ascii="Cambria Math" w:eastAsia="Times New Roman" w:hAnsi="Cambria Math"/>
                <w:sz w:val="24"/>
                <w:szCs w:val="24"/>
              </w:rPr>
              <m:t>Long term debt</m:t>
            </m:r>
          </m:num>
          <m:den>
            <m:r>
              <w:rPr>
                <w:rFonts w:ascii="Cambria Math" w:eastAsia="Times New Roman" w:hAnsi="Cambria Math"/>
                <w:sz w:val="24"/>
                <w:szCs w:val="24"/>
              </w:rPr>
              <m:t>Shareholders equity</m:t>
            </m:r>
          </m:den>
        </m:f>
      </m:oMath>
    </w:p>
    <w:p w:rsidR="00E35F54" w:rsidRPr="001B2907" w:rsidRDefault="00E35F54" w:rsidP="00E35F54">
      <w:pPr>
        <w:spacing w:after="200" w:line="360" w:lineRule="auto"/>
        <w:ind w:left="0" w:right="0"/>
        <w:jc w:val="both"/>
        <w:rPr>
          <w:rFonts w:ascii="Times New Roman" w:hAnsi="Times New Roman"/>
          <w:b/>
          <w:kern w:val="0"/>
          <w:sz w:val="24"/>
          <w:szCs w:val="24"/>
          <w:lang w:eastAsia="en-US"/>
        </w:rPr>
      </w:pPr>
      <w:r w:rsidRPr="001B2907">
        <w:rPr>
          <w:rFonts w:ascii="Times New Roman" w:hAnsi="Times New Roman"/>
          <w:b/>
          <w:kern w:val="0"/>
          <w:sz w:val="24"/>
          <w:szCs w:val="24"/>
          <w:lang w:eastAsia="en-US"/>
        </w:rPr>
        <w:lastRenderedPageBreak/>
        <w:t xml:space="preserve">Source: </w:t>
      </w:r>
      <w:r w:rsidRPr="001B2907">
        <w:rPr>
          <w:rFonts w:ascii="Times New Roman" w:hAnsi="Times New Roman"/>
          <w:kern w:val="0"/>
          <w:sz w:val="24"/>
          <w:szCs w:val="24"/>
          <w:lang w:eastAsia="en-US"/>
        </w:rPr>
        <w:t>Ogilvie (2008)</w:t>
      </w:r>
      <w:bookmarkStart w:id="18" w:name="_GoBack"/>
      <w:bookmarkEnd w:id="18"/>
    </w:p>
    <w:p w:rsidR="00E35F54" w:rsidRPr="001B2907" w:rsidRDefault="00E35F54" w:rsidP="00E35F54">
      <w:pPr>
        <w:spacing w:after="200" w:line="360" w:lineRule="auto"/>
        <w:ind w:left="0" w:right="0"/>
        <w:jc w:val="both"/>
        <w:rPr>
          <w:rFonts w:ascii="Times New Roman" w:hAnsi="Times New Roman"/>
          <w:b/>
          <w:kern w:val="0"/>
          <w:sz w:val="24"/>
          <w:szCs w:val="24"/>
          <w:lang w:eastAsia="en-US"/>
        </w:rPr>
      </w:pPr>
      <w:r w:rsidRPr="001B2907">
        <w:rPr>
          <w:rFonts w:ascii="Times New Roman" w:hAnsi="Times New Roman"/>
          <w:b/>
          <w:kern w:val="0"/>
          <w:sz w:val="24"/>
          <w:szCs w:val="24"/>
          <w:lang w:eastAsia="en-US"/>
        </w:rPr>
        <w:t>5. Ratios Based on Share Price</w:t>
      </w:r>
    </w:p>
    <w:p w:rsidR="00E35F54" w:rsidRPr="001B2907"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kern w:val="0"/>
          <w:sz w:val="24"/>
          <w:szCs w:val="24"/>
          <w:lang w:eastAsia="en-US"/>
        </w:rPr>
        <w:t xml:space="preserve">P/E = </w:t>
      </w:r>
      <m:oMath>
        <m:f>
          <m:fPr>
            <m:ctrlPr>
              <w:rPr>
                <w:rFonts w:ascii="Cambria Math" w:eastAsia="Times New Roman" w:hAnsi="Cambria Math"/>
                <w:i/>
                <w:sz w:val="24"/>
                <w:szCs w:val="24"/>
              </w:rPr>
            </m:ctrlPr>
          </m:fPr>
          <m:num>
            <m:r>
              <w:rPr>
                <w:rFonts w:ascii="Cambria Math" w:eastAsia="Times New Roman" w:hAnsi="Cambria Math"/>
                <w:sz w:val="24"/>
                <w:szCs w:val="24"/>
              </w:rPr>
              <m:t>Market Value per Share</m:t>
            </m:r>
          </m:num>
          <m:den>
            <m:r>
              <w:rPr>
                <w:rFonts w:ascii="Cambria Math" w:eastAsia="Times New Roman" w:hAnsi="Cambria Math"/>
                <w:sz w:val="24"/>
                <w:szCs w:val="24"/>
              </w:rPr>
              <m:t>Earning Per Share</m:t>
            </m:r>
          </m:den>
        </m:f>
      </m:oMath>
    </w:p>
    <w:p w:rsidR="00E35F54" w:rsidRPr="002E749A" w:rsidRDefault="00E35F54" w:rsidP="00E35F54">
      <w:pPr>
        <w:spacing w:after="200" w:line="360" w:lineRule="auto"/>
        <w:ind w:left="0" w:right="0"/>
        <w:jc w:val="both"/>
        <w:rPr>
          <w:rFonts w:ascii="Times New Roman" w:hAnsi="Times New Roman"/>
          <w:kern w:val="0"/>
          <w:sz w:val="24"/>
          <w:szCs w:val="24"/>
          <w:lang w:eastAsia="en-US"/>
        </w:rPr>
      </w:pPr>
      <w:r w:rsidRPr="001B2907">
        <w:rPr>
          <w:rFonts w:ascii="Times New Roman" w:hAnsi="Times New Roman"/>
          <w:b/>
          <w:kern w:val="0"/>
          <w:sz w:val="24"/>
          <w:szCs w:val="24"/>
          <w:lang w:eastAsia="en-US"/>
        </w:rPr>
        <w:t>Source:</w:t>
      </w:r>
      <w:r w:rsidRPr="001B2907">
        <w:rPr>
          <w:rFonts w:ascii="Times New Roman" w:hAnsi="Times New Roman"/>
          <w:kern w:val="0"/>
          <w:sz w:val="24"/>
          <w:szCs w:val="24"/>
          <w:lang w:eastAsia="en-US"/>
        </w:rPr>
        <w:t xml:space="preserve"> Lee, Lee and Lee (2009)</w:t>
      </w:r>
    </w:p>
    <w:p w:rsidR="006817F6" w:rsidRPr="00DD273C" w:rsidRDefault="006817F6" w:rsidP="00DD273C">
      <w:pPr>
        <w:spacing w:line="360" w:lineRule="auto"/>
        <w:jc w:val="both"/>
        <w:rPr>
          <w:rFonts w:ascii="Times New Roman" w:hAnsi="Times New Roman"/>
          <w:b/>
          <w:sz w:val="24"/>
          <w:szCs w:val="24"/>
        </w:rPr>
      </w:pPr>
    </w:p>
    <w:sectPr w:rsidR="006817F6" w:rsidRPr="00DD273C">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8FC" w:rsidRDefault="00C078FC">
      <w:r>
        <w:separator/>
      </w:r>
    </w:p>
    <w:p w:rsidR="00C078FC" w:rsidRDefault="00C078FC"/>
  </w:endnote>
  <w:endnote w:type="continuationSeparator" w:id="0">
    <w:p w:rsidR="00C078FC" w:rsidRDefault="00C078FC">
      <w:r>
        <w:continuationSeparator/>
      </w:r>
    </w:p>
    <w:p w:rsidR="00C078FC" w:rsidRDefault="00C078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73C" w:rsidRDefault="00DD27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Description w:val="Footer table"/>
    </w:tblPr>
    <w:tblGrid>
      <w:gridCol w:w="1404"/>
      <w:gridCol w:w="6552"/>
      <w:gridCol w:w="1404"/>
    </w:tblGrid>
    <w:tr w:rsidR="00C96ADB">
      <w:tc>
        <w:tcPr>
          <w:tcW w:w="750" w:type="pct"/>
        </w:tcPr>
        <w:p w:rsidR="00C96ADB" w:rsidRDefault="00C96ADB">
          <w:pPr>
            <w:pStyle w:val="Footer"/>
          </w:pPr>
        </w:p>
      </w:tc>
      <w:sdt>
        <w:sdtPr>
          <w:alias w:val="Title"/>
          <w:tag w:val=""/>
          <w:id w:val="1374816167"/>
          <w:dataBinding w:prefixMappings="xmlns:ns0='http://purl.org/dc/elements/1.1/' xmlns:ns1='http://schemas.openxmlformats.org/package/2006/metadata/core-properties' " w:xpath="/ns1:coreProperties[1]/ns0:title[1]" w:storeItemID="{6C3C8BC8-F283-45AE-878A-BAB7291924A1}"/>
          <w:text/>
        </w:sdtPr>
        <w:sdtEndPr/>
        <w:sdtContent>
          <w:tc>
            <w:tcPr>
              <w:tcW w:w="3500" w:type="pct"/>
            </w:tcPr>
            <w:p w:rsidR="00C96ADB" w:rsidRDefault="001D11AD">
              <w:pPr>
                <w:pStyle w:val="Footer"/>
                <w:jc w:val="center"/>
              </w:pPr>
              <w:r>
                <w:t>FINANCIAL MANAGEMENT</w:t>
              </w:r>
            </w:p>
          </w:tc>
        </w:sdtContent>
      </w:sdt>
      <w:tc>
        <w:tcPr>
          <w:tcW w:w="750" w:type="pct"/>
        </w:tcPr>
        <w:p w:rsidR="00C96ADB" w:rsidRDefault="003F796C">
          <w:pPr>
            <w:pStyle w:val="Footer"/>
            <w:jc w:val="right"/>
          </w:pPr>
          <w:r>
            <w:fldChar w:fldCharType="begin"/>
          </w:r>
          <w:r>
            <w:instrText xml:space="preserve"> PAGE  \* Arabic </w:instrText>
          </w:r>
          <w:r>
            <w:fldChar w:fldCharType="separate"/>
          </w:r>
          <w:r w:rsidR="00310462">
            <w:rPr>
              <w:noProof/>
            </w:rPr>
            <w:t>8</w:t>
          </w:r>
          <w:r>
            <w:fldChar w:fldCharType="end"/>
          </w:r>
        </w:p>
      </w:tc>
    </w:tr>
  </w:tbl>
  <w:p w:rsidR="00C96ADB" w:rsidRDefault="00C96A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73C" w:rsidRDefault="00DD27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8FC" w:rsidRDefault="00C078FC">
      <w:r>
        <w:separator/>
      </w:r>
    </w:p>
    <w:p w:rsidR="00C078FC" w:rsidRDefault="00C078FC"/>
  </w:footnote>
  <w:footnote w:type="continuationSeparator" w:id="0">
    <w:p w:rsidR="00C078FC" w:rsidRDefault="00C078FC">
      <w:r>
        <w:continuationSeparator/>
      </w:r>
    </w:p>
    <w:p w:rsidR="00C078FC" w:rsidRDefault="00C078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73C" w:rsidRDefault="00DD27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77A" w:rsidRPr="0088577A" w:rsidRDefault="0088577A" w:rsidP="0088577A">
    <w:pPr>
      <w:pStyle w:val="Header"/>
      <w:rPr>
        <w:b/>
        <w:lang w:val="en-IN"/>
      </w:rPr>
    </w:pPr>
    <w:r w:rsidRPr="0088577A">
      <w:rPr>
        <w:b/>
        <w:noProof/>
        <w:lang w:val="en-IN" w:eastAsia="en-IN"/>
      </w:rPr>
      <w:drawing>
        <wp:anchor distT="0" distB="0" distL="114300" distR="114300" simplePos="0" relativeHeight="251658240" behindDoc="0" locked="0" layoutInCell="1" allowOverlap="1" wp14:anchorId="5F89BE33" wp14:editId="42529693">
          <wp:simplePos x="0" y="0"/>
          <wp:positionH relativeFrom="page">
            <wp:align>right</wp:align>
          </wp:positionH>
          <wp:positionV relativeFrom="paragraph">
            <wp:posOffset>-457200</wp:posOffset>
          </wp:positionV>
          <wp:extent cx="817880" cy="908050"/>
          <wp:effectExtent l="0" t="0" r="1270" b="6350"/>
          <wp:wrapThrough wrapText="bothSides">
            <wp:wrapPolygon edited="0">
              <wp:start x="9056" y="0"/>
              <wp:lineTo x="4528" y="2719"/>
              <wp:lineTo x="3522" y="6797"/>
              <wp:lineTo x="1006" y="9063"/>
              <wp:lineTo x="0" y="10422"/>
              <wp:lineTo x="0" y="19938"/>
              <wp:lineTo x="9056" y="21298"/>
              <wp:lineTo x="12075" y="21298"/>
              <wp:lineTo x="21130" y="19938"/>
              <wp:lineTo x="21130" y="8610"/>
              <wp:lineTo x="18112" y="5891"/>
              <wp:lineTo x="14087" y="453"/>
              <wp:lineTo x="12578" y="0"/>
              <wp:lineTo x="9056"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_of_TSD.png"/>
                  <pic:cNvPicPr/>
                </pic:nvPicPr>
                <pic:blipFill>
                  <a:blip r:embed="rId1">
                    <a:extLst>
                      <a:ext uri="{28A0092B-C50C-407E-A947-70E740481C1C}">
                        <a14:useLocalDpi xmlns:a14="http://schemas.microsoft.com/office/drawing/2010/main" val="0"/>
                      </a:ext>
                    </a:extLst>
                  </a:blip>
                  <a:stretch>
                    <a:fillRect/>
                  </a:stretch>
                </pic:blipFill>
                <pic:spPr>
                  <a:xfrm>
                    <a:off x="0" y="0"/>
                    <a:ext cx="817880" cy="908050"/>
                  </a:xfrm>
                  <a:prstGeom prst="rect">
                    <a:avLst/>
                  </a:prstGeom>
                </pic:spPr>
              </pic:pic>
            </a:graphicData>
          </a:graphic>
          <wp14:sizeRelH relativeFrom="margin">
            <wp14:pctWidth>0</wp14:pctWidth>
          </wp14:sizeRelH>
          <wp14:sizeRelV relativeFrom="margin">
            <wp14:pctHeight>0</wp14:pctHeight>
          </wp14:sizeRelV>
        </wp:anchor>
      </w:drawing>
    </w:r>
    <w:r w:rsidRPr="0088577A">
      <w:rPr>
        <w:b/>
        <w:lang w:val="en-IN"/>
      </w:rPr>
      <w:t>University of Wales Trinity Saint David</w:t>
    </w:r>
    <w:r w:rsidR="006E27FC">
      <w:rPr>
        <w:b/>
        <w:lang w:val="en-IN"/>
      </w:rPr>
      <w:br/>
      <w:t>London Campus</w:t>
    </w:r>
  </w:p>
  <w:p w:rsidR="00C96ADB" w:rsidRPr="0088577A" w:rsidRDefault="00C96ADB" w:rsidP="0088577A">
    <w:pPr>
      <w:rPr>
        <w:lang w:val="en-I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73C" w:rsidRDefault="00DD27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D20"/>
      </v:shape>
    </w:pict>
  </w:numPicBullet>
  <w:abstractNum w:abstractNumId="0" w15:restartNumberingAfterBreak="0">
    <w:nsid w:val="FFFFFF89"/>
    <w:multiLevelType w:val="singleLevel"/>
    <w:tmpl w:val="FDA8B19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56D6D20"/>
    <w:multiLevelType w:val="hybridMultilevel"/>
    <w:tmpl w:val="B4DE4594"/>
    <w:lvl w:ilvl="0" w:tplc="A8B0EC6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FE21E8"/>
    <w:multiLevelType w:val="hybridMultilevel"/>
    <w:tmpl w:val="5A22500E"/>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B5B7E95"/>
    <w:multiLevelType w:val="hybridMultilevel"/>
    <w:tmpl w:val="ED3CB59A"/>
    <w:lvl w:ilvl="0" w:tplc="40090001">
      <w:start w:val="1"/>
      <w:numFmt w:val="bullet"/>
      <w:lvlText w:val=""/>
      <w:lvlJc w:val="left"/>
      <w:pPr>
        <w:ind w:left="792" w:hanging="360"/>
      </w:pPr>
      <w:rPr>
        <w:rFonts w:ascii="Symbol" w:hAnsi="Symbol" w:hint="default"/>
      </w:rPr>
    </w:lvl>
    <w:lvl w:ilvl="1" w:tplc="40090003" w:tentative="1">
      <w:start w:val="1"/>
      <w:numFmt w:val="bullet"/>
      <w:lvlText w:val="o"/>
      <w:lvlJc w:val="left"/>
      <w:pPr>
        <w:ind w:left="1512" w:hanging="360"/>
      </w:pPr>
      <w:rPr>
        <w:rFonts w:ascii="Courier New" w:hAnsi="Courier New" w:cs="Courier New" w:hint="default"/>
      </w:rPr>
    </w:lvl>
    <w:lvl w:ilvl="2" w:tplc="40090005" w:tentative="1">
      <w:start w:val="1"/>
      <w:numFmt w:val="bullet"/>
      <w:lvlText w:val=""/>
      <w:lvlJc w:val="left"/>
      <w:pPr>
        <w:ind w:left="2232" w:hanging="360"/>
      </w:pPr>
      <w:rPr>
        <w:rFonts w:ascii="Wingdings" w:hAnsi="Wingdings" w:hint="default"/>
      </w:rPr>
    </w:lvl>
    <w:lvl w:ilvl="3" w:tplc="40090001" w:tentative="1">
      <w:start w:val="1"/>
      <w:numFmt w:val="bullet"/>
      <w:lvlText w:val=""/>
      <w:lvlJc w:val="left"/>
      <w:pPr>
        <w:ind w:left="2952" w:hanging="360"/>
      </w:pPr>
      <w:rPr>
        <w:rFonts w:ascii="Symbol" w:hAnsi="Symbol" w:hint="default"/>
      </w:rPr>
    </w:lvl>
    <w:lvl w:ilvl="4" w:tplc="40090003" w:tentative="1">
      <w:start w:val="1"/>
      <w:numFmt w:val="bullet"/>
      <w:lvlText w:val="o"/>
      <w:lvlJc w:val="left"/>
      <w:pPr>
        <w:ind w:left="3672" w:hanging="360"/>
      </w:pPr>
      <w:rPr>
        <w:rFonts w:ascii="Courier New" w:hAnsi="Courier New" w:cs="Courier New" w:hint="default"/>
      </w:rPr>
    </w:lvl>
    <w:lvl w:ilvl="5" w:tplc="40090005" w:tentative="1">
      <w:start w:val="1"/>
      <w:numFmt w:val="bullet"/>
      <w:lvlText w:val=""/>
      <w:lvlJc w:val="left"/>
      <w:pPr>
        <w:ind w:left="4392" w:hanging="360"/>
      </w:pPr>
      <w:rPr>
        <w:rFonts w:ascii="Wingdings" w:hAnsi="Wingdings" w:hint="default"/>
      </w:rPr>
    </w:lvl>
    <w:lvl w:ilvl="6" w:tplc="40090001" w:tentative="1">
      <w:start w:val="1"/>
      <w:numFmt w:val="bullet"/>
      <w:lvlText w:val=""/>
      <w:lvlJc w:val="left"/>
      <w:pPr>
        <w:ind w:left="5112" w:hanging="360"/>
      </w:pPr>
      <w:rPr>
        <w:rFonts w:ascii="Symbol" w:hAnsi="Symbol" w:hint="default"/>
      </w:rPr>
    </w:lvl>
    <w:lvl w:ilvl="7" w:tplc="40090003" w:tentative="1">
      <w:start w:val="1"/>
      <w:numFmt w:val="bullet"/>
      <w:lvlText w:val="o"/>
      <w:lvlJc w:val="left"/>
      <w:pPr>
        <w:ind w:left="5832" w:hanging="360"/>
      </w:pPr>
      <w:rPr>
        <w:rFonts w:ascii="Courier New" w:hAnsi="Courier New" w:cs="Courier New" w:hint="default"/>
      </w:rPr>
    </w:lvl>
    <w:lvl w:ilvl="8" w:tplc="40090005" w:tentative="1">
      <w:start w:val="1"/>
      <w:numFmt w:val="bullet"/>
      <w:lvlText w:val=""/>
      <w:lvlJc w:val="left"/>
      <w:pPr>
        <w:ind w:left="6552" w:hanging="360"/>
      </w:pPr>
      <w:rPr>
        <w:rFonts w:ascii="Wingdings" w:hAnsi="Wingdings" w:hint="default"/>
      </w:rPr>
    </w:lvl>
  </w:abstractNum>
  <w:abstractNum w:abstractNumId="4" w15:restartNumberingAfterBreak="0">
    <w:nsid w:val="48A23259"/>
    <w:multiLevelType w:val="hybridMultilevel"/>
    <w:tmpl w:val="9B904A80"/>
    <w:lvl w:ilvl="0" w:tplc="4009000F">
      <w:start w:val="1"/>
      <w:numFmt w:val="decimal"/>
      <w:lvlText w:val="%1."/>
      <w:lvlJc w:val="left"/>
      <w:pPr>
        <w:ind w:left="792" w:hanging="360"/>
      </w:pPr>
    </w:lvl>
    <w:lvl w:ilvl="1" w:tplc="40090019" w:tentative="1">
      <w:start w:val="1"/>
      <w:numFmt w:val="lowerLetter"/>
      <w:lvlText w:val="%2."/>
      <w:lvlJc w:val="left"/>
      <w:pPr>
        <w:ind w:left="1512" w:hanging="360"/>
      </w:pPr>
    </w:lvl>
    <w:lvl w:ilvl="2" w:tplc="4009001B" w:tentative="1">
      <w:start w:val="1"/>
      <w:numFmt w:val="lowerRoman"/>
      <w:lvlText w:val="%3."/>
      <w:lvlJc w:val="right"/>
      <w:pPr>
        <w:ind w:left="2232" w:hanging="180"/>
      </w:pPr>
    </w:lvl>
    <w:lvl w:ilvl="3" w:tplc="4009000F" w:tentative="1">
      <w:start w:val="1"/>
      <w:numFmt w:val="decimal"/>
      <w:lvlText w:val="%4."/>
      <w:lvlJc w:val="left"/>
      <w:pPr>
        <w:ind w:left="2952" w:hanging="360"/>
      </w:pPr>
    </w:lvl>
    <w:lvl w:ilvl="4" w:tplc="40090019" w:tentative="1">
      <w:start w:val="1"/>
      <w:numFmt w:val="lowerLetter"/>
      <w:lvlText w:val="%5."/>
      <w:lvlJc w:val="left"/>
      <w:pPr>
        <w:ind w:left="3672" w:hanging="360"/>
      </w:pPr>
    </w:lvl>
    <w:lvl w:ilvl="5" w:tplc="4009001B" w:tentative="1">
      <w:start w:val="1"/>
      <w:numFmt w:val="lowerRoman"/>
      <w:lvlText w:val="%6."/>
      <w:lvlJc w:val="right"/>
      <w:pPr>
        <w:ind w:left="4392" w:hanging="180"/>
      </w:pPr>
    </w:lvl>
    <w:lvl w:ilvl="6" w:tplc="4009000F" w:tentative="1">
      <w:start w:val="1"/>
      <w:numFmt w:val="decimal"/>
      <w:lvlText w:val="%7."/>
      <w:lvlJc w:val="left"/>
      <w:pPr>
        <w:ind w:left="5112" w:hanging="360"/>
      </w:pPr>
    </w:lvl>
    <w:lvl w:ilvl="7" w:tplc="40090019" w:tentative="1">
      <w:start w:val="1"/>
      <w:numFmt w:val="lowerLetter"/>
      <w:lvlText w:val="%8."/>
      <w:lvlJc w:val="left"/>
      <w:pPr>
        <w:ind w:left="5832" w:hanging="360"/>
      </w:pPr>
    </w:lvl>
    <w:lvl w:ilvl="8" w:tplc="4009001B" w:tentative="1">
      <w:start w:val="1"/>
      <w:numFmt w:val="lowerRoman"/>
      <w:lvlText w:val="%9."/>
      <w:lvlJc w:val="right"/>
      <w:pPr>
        <w:ind w:left="6552" w:hanging="180"/>
      </w:pPr>
    </w:lvl>
  </w:abstractNum>
  <w:abstractNum w:abstractNumId="5" w15:restartNumberingAfterBreak="0">
    <w:nsid w:val="50080AD3"/>
    <w:multiLevelType w:val="hybridMultilevel"/>
    <w:tmpl w:val="C8AAD9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CC226F6"/>
    <w:multiLevelType w:val="hybridMultilevel"/>
    <w:tmpl w:val="A600E94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77A"/>
    <w:rsid w:val="00037AEF"/>
    <w:rsid w:val="00141B44"/>
    <w:rsid w:val="001B28B5"/>
    <w:rsid w:val="001B2907"/>
    <w:rsid w:val="001D11AD"/>
    <w:rsid w:val="00217265"/>
    <w:rsid w:val="00231CE0"/>
    <w:rsid w:val="00267FEE"/>
    <w:rsid w:val="002A7137"/>
    <w:rsid w:val="00310462"/>
    <w:rsid w:val="003B5C71"/>
    <w:rsid w:val="003D1353"/>
    <w:rsid w:val="003F796C"/>
    <w:rsid w:val="00407C4F"/>
    <w:rsid w:val="00415A7D"/>
    <w:rsid w:val="00426C10"/>
    <w:rsid w:val="004876F6"/>
    <w:rsid w:val="004B6602"/>
    <w:rsid w:val="004E12AF"/>
    <w:rsid w:val="005B1EBE"/>
    <w:rsid w:val="00632FB7"/>
    <w:rsid w:val="006817F6"/>
    <w:rsid w:val="006D39E0"/>
    <w:rsid w:val="006D48AC"/>
    <w:rsid w:val="006E27FC"/>
    <w:rsid w:val="006E2E2C"/>
    <w:rsid w:val="006F513D"/>
    <w:rsid w:val="006F6269"/>
    <w:rsid w:val="00771AF2"/>
    <w:rsid w:val="007A2D90"/>
    <w:rsid w:val="007A633C"/>
    <w:rsid w:val="00871FB7"/>
    <w:rsid w:val="0088577A"/>
    <w:rsid w:val="009A7232"/>
    <w:rsid w:val="00A13CB1"/>
    <w:rsid w:val="00A95CDE"/>
    <w:rsid w:val="00AC2FEF"/>
    <w:rsid w:val="00AC490E"/>
    <w:rsid w:val="00B115F2"/>
    <w:rsid w:val="00B13D4F"/>
    <w:rsid w:val="00B3201B"/>
    <w:rsid w:val="00BC7804"/>
    <w:rsid w:val="00C03D0D"/>
    <w:rsid w:val="00C078FC"/>
    <w:rsid w:val="00C1545A"/>
    <w:rsid w:val="00C5131C"/>
    <w:rsid w:val="00C5545F"/>
    <w:rsid w:val="00C660DE"/>
    <w:rsid w:val="00C82E87"/>
    <w:rsid w:val="00C96ADB"/>
    <w:rsid w:val="00D62FC9"/>
    <w:rsid w:val="00DA0D62"/>
    <w:rsid w:val="00DD273C"/>
    <w:rsid w:val="00E35F54"/>
    <w:rsid w:val="00E43177"/>
    <w:rsid w:val="00F63013"/>
    <w:rsid w:val="00F85A86"/>
    <w:rsid w:val="00FA6D71"/>
    <w:rsid w:val="00FE6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B2529239-4F1B-44D0-A38B-F852EBE9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240" w:lineRule="auto"/>
      <w:ind w:left="72" w:right="72"/>
    </w:pPr>
  </w:style>
  <w:style w:type="paragraph" w:styleId="Heading1">
    <w:name w:val="heading 1"/>
    <w:basedOn w:val="Normal"/>
    <w:next w:val="Normal"/>
    <w:link w:val="Heading1Char"/>
    <w:uiPriority w:val="1"/>
    <w:qFormat/>
    <w:pPr>
      <w:keepNext/>
      <w:keepLines/>
      <w:spacing w:after="40"/>
      <w:outlineLvl w:val="0"/>
    </w:pPr>
    <w:rPr>
      <w:rFonts w:asciiTheme="majorHAnsi" w:eastAsiaTheme="majorEastAsia" w:hAnsiTheme="majorHAnsi" w:cstheme="majorBidi"/>
      <w:caps/>
      <w:color w:val="B01513" w:themeColor="accent1"/>
      <w:sz w:val="28"/>
      <w:szCs w:val="28"/>
    </w:rPr>
  </w:style>
  <w:style w:type="paragraph" w:styleId="Heading2">
    <w:name w:val="heading 2"/>
    <w:basedOn w:val="Normal"/>
    <w:next w:val="Normal"/>
    <w:link w:val="Heading2Char"/>
    <w:uiPriority w:val="1"/>
    <w:qFormat/>
    <w:pPr>
      <w:keepNext/>
      <w:keepLines/>
      <w:spacing w:before="120"/>
      <w:outlineLvl w:val="1"/>
    </w:pPr>
    <w:rPr>
      <w:rFonts w:asciiTheme="majorHAnsi" w:eastAsiaTheme="majorEastAsia" w:hAnsiTheme="majorHAnsi" w:cstheme="majorBidi"/>
      <w:caps/>
      <w:color w:val="EA6312" w:themeColor="accent2"/>
      <w:sz w:val="24"/>
      <w:szCs w:val="24"/>
    </w:rPr>
  </w:style>
  <w:style w:type="paragraph" w:styleId="Heading3">
    <w:name w:val="heading 3"/>
    <w:basedOn w:val="Normal"/>
    <w:next w:val="Normal"/>
    <w:link w:val="Heading3Char"/>
    <w:uiPriority w:val="1"/>
    <w:qFormat/>
    <w:pPr>
      <w:keepNext/>
      <w:keepLines/>
      <w:spacing w:before="120"/>
      <w:outlineLvl w:val="2"/>
    </w:pPr>
    <w:rPr>
      <w:rFonts w:asciiTheme="majorHAnsi" w:eastAsiaTheme="majorEastAsia" w:hAnsiTheme="majorHAnsi" w:cstheme="majorBidi"/>
      <w:caps/>
      <w:color w:val="B58D15" w:themeColor="accent3" w:themeShade="BF"/>
    </w:rPr>
  </w:style>
  <w:style w:type="paragraph" w:styleId="Heading4">
    <w:name w:val="heading 4"/>
    <w:basedOn w:val="Normal"/>
    <w:next w:val="Normal"/>
    <w:link w:val="Heading4Char"/>
    <w:uiPriority w:val="9"/>
    <w:semiHidden/>
    <w:unhideWhenUsed/>
    <w:pPr>
      <w:keepNext/>
      <w:keepLines/>
      <w:spacing w:before="120" w:after="0"/>
      <w:outlineLvl w:val="3"/>
    </w:pPr>
    <w:rPr>
      <w:rFonts w:asciiTheme="majorHAnsi" w:eastAsiaTheme="majorEastAsia" w:hAnsiTheme="majorHAnsi" w:cstheme="majorBidi"/>
      <w:caps/>
      <w:sz w:val="24"/>
      <w:szCs w:val="24"/>
    </w:rPr>
  </w:style>
  <w:style w:type="paragraph" w:styleId="Heading5">
    <w:name w:val="heading 5"/>
    <w:basedOn w:val="Normal"/>
    <w:next w:val="Normal"/>
    <w:link w:val="Heading5Char"/>
    <w:uiPriority w:val="9"/>
    <w:semiHidden/>
    <w:unhideWhenUsed/>
    <w:qFormat/>
    <w:pPr>
      <w:keepNext/>
      <w:keepLines/>
      <w:spacing w:before="120" w:after="0"/>
      <w:outlineLvl w:val="4"/>
    </w:pPr>
    <w:rPr>
      <w:rFonts w:asciiTheme="majorHAnsi" w:eastAsiaTheme="majorEastAsia" w:hAnsiTheme="majorHAnsi" w:cstheme="majorBidi"/>
      <w:i/>
      <w:iCs/>
      <w:caps/>
      <w:sz w:val="24"/>
      <w:szCs w:val="24"/>
    </w:rPr>
  </w:style>
  <w:style w:type="paragraph" w:styleId="Heading6">
    <w:name w:val="heading 6"/>
    <w:basedOn w:val="Normal"/>
    <w:next w:val="Normal"/>
    <w:link w:val="Heading6Char"/>
    <w:uiPriority w:val="9"/>
    <w:semiHidden/>
    <w:unhideWhenUsed/>
    <w:qFormat/>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aps/>
      <w:color w:val="B01513" w:themeColor="accent1"/>
      <w:sz w:val="28"/>
      <w:szCs w:val="28"/>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EA6312" w:themeColor="accent2"/>
      <w:sz w:val="24"/>
      <w:szCs w:val="24"/>
    </w:rPr>
  </w:style>
  <w:style w:type="character" w:customStyle="1" w:styleId="Heading3Char">
    <w:name w:val="Heading 3 Char"/>
    <w:basedOn w:val="DefaultParagraphFont"/>
    <w:link w:val="Heading3"/>
    <w:uiPriority w:val="1"/>
    <w:rPr>
      <w:rFonts w:asciiTheme="majorHAnsi" w:eastAsiaTheme="majorEastAsia" w:hAnsiTheme="majorHAnsi" w:cstheme="majorBidi"/>
      <w:caps/>
      <w:color w:val="B58D15" w:themeColor="accent3" w:themeShade="BF"/>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aps/>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Pr>
      <w:b/>
      <w:bCs/>
      <w:smallCaps/>
      <w:color w:val="595959" w:themeColor="text1" w:themeTint="A6"/>
    </w:rPr>
  </w:style>
  <w:style w:type="paragraph" w:styleId="Title">
    <w:name w:val="Title"/>
    <w:basedOn w:val="Normal"/>
    <w:next w:val="Normal"/>
    <w:link w:val="TitleChar"/>
    <w:uiPriority w:val="1"/>
    <w:qFormat/>
    <w:pPr>
      <w:spacing w:after="0"/>
      <w:jc w:val="right"/>
    </w:pPr>
    <w:rPr>
      <w:rFonts w:asciiTheme="majorHAnsi" w:eastAsiaTheme="majorEastAsia" w:hAnsiTheme="majorHAnsi" w:cstheme="majorBidi"/>
      <w:caps/>
      <w:color w:val="EA6312" w:themeColor="accent2"/>
      <w:sz w:val="52"/>
      <w:szCs w:val="52"/>
    </w:rPr>
  </w:style>
  <w:style w:type="character" w:customStyle="1" w:styleId="TitleChar">
    <w:name w:val="Title Char"/>
    <w:basedOn w:val="DefaultParagraphFont"/>
    <w:link w:val="Title"/>
    <w:uiPriority w:val="1"/>
    <w:rPr>
      <w:rFonts w:asciiTheme="majorHAnsi" w:eastAsiaTheme="majorEastAsia" w:hAnsiTheme="majorHAnsi" w:cstheme="majorBidi"/>
      <w:caps/>
      <w:color w:val="EA6312" w:themeColor="accent2"/>
      <w:sz w:val="52"/>
      <w:szCs w:val="52"/>
    </w:rPr>
  </w:style>
  <w:style w:type="paragraph" w:styleId="Subtitle">
    <w:name w:val="Subtitle"/>
    <w:basedOn w:val="Normal"/>
    <w:next w:val="Normal"/>
    <w:link w:val="SubtitleChar"/>
    <w:uiPriority w:val="1"/>
    <w:qFormat/>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Pr>
      <w:rFonts w:asciiTheme="majorHAnsi" w:eastAsiaTheme="majorEastAsia" w:hAnsiTheme="majorHAnsi" w:cstheme="majorBidi"/>
      <w:caps/>
      <w:sz w:val="28"/>
      <w:szCs w:val="2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styleId="ListTable7Colorful-Accent1">
    <w:name w:val="List Table 7 Colorful Accent 1"/>
    <w:basedOn w:val="TableNormal"/>
    <w:uiPriority w:val="52"/>
    <w:pPr>
      <w:spacing w:after="0" w:line="240" w:lineRule="auto"/>
    </w:pPr>
    <w:rPr>
      <w:color w:val="830F0E"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B0151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0151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151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01513" w:themeColor="accent1"/>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F9C6C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0151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0151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0151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01513" w:themeFill="accent1"/>
      </w:tcPr>
    </w:tblStylePr>
    <w:tblStylePr w:type="band1Vert">
      <w:tblPr/>
      <w:tcPr>
        <w:shd w:val="clear" w:color="auto" w:fill="F28E8D" w:themeFill="accent1" w:themeFillTint="66"/>
      </w:tcPr>
    </w:tblStylePr>
    <w:tblStylePr w:type="band1Horz">
      <w:tblPr/>
      <w:tcPr>
        <w:shd w:val="clear" w:color="auto" w:fill="F28E8D" w:themeFill="accent1" w:themeFillTint="66"/>
      </w:tcPr>
    </w:tblStylePr>
  </w:style>
  <w:style w:type="table" w:styleId="GridTable4-Accent6">
    <w:name w:val="Grid Table 4 Accent 6"/>
    <w:basedOn w:val="TableNormal"/>
    <w:uiPriority w:val="49"/>
    <w:pPr>
      <w:spacing w:after="0" w:line="240" w:lineRule="auto"/>
    </w:pPr>
    <w:tblPr>
      <w:tblStyleRowBandSize w:val="1"/>
      <w:tblStyleColBandSize w:val="1"/>
      <w:tblBorders>
        <w:top w:val="single" w:sz="4" w:space="0" w:color="C59DC3" w:themeColor="accent6" w:themeTint="99"/>
        <w:left w:val="single" w:sz="4" w:space="0" w:color="C59DC3" w:themeColor="accent6" w:themeTint="99"/>
        <w:bottom w:val="single" w:sz="4" w:space="0" w:color="C59DC3" w:themeColor="accent6" w:themeTint="99"/>
        <w:right w:val="single" w:sz="4" w:space="0" w:color="C59DC3" w:themeColor="accent6" w:themeTint="99"/>
        <w:insideH w:val="single" w:sz="4" w:space="0" w:color="C59DC3" w:themeColor="accent6" w:themeTint="99"/>
        <w:insideV w:val="single" w:sz="4" w:space="0" w:color="C59DC3" w:themeColor="accent6" w:themeTint="99"/>
      </w:tblBorders>
      <w:tblCellMar>
        <w:top w:w="29" w:type="dxa"/>
        <w:bottom w:w="29" w:type="dxa"/>
      </w:tblCellMar>
    </w:tblPr>
    <w:tblStylePr w:type="firstRow">
      <w:rPr>
        <w:b/>
        <w:bCs/>
        <w:color w:val="FFFFFF" w:themeColor="background1"/>
      </w:rPr>
      <w:tblPr/>
      <w:tcPr>
        <w:tcBorders>
          <w:top w:val="single" w:sz="4" w:space="0" w:color="9E5E9B" w:themeColor="accent6"/>
          <w:left w:val="single" w:sz="4" w:space="0" w:color="9E5E9B" w:themeColor="accent6"/>
          <w:bottom w:val="single" w:sz="4" w:space="0" w:color="9E5E9B" w:themeColor="accent6"/>
          <w:right w:val="single" w:sz="4" w:space="0" w:color="9E5E9B" w:themeColor="accent6"/>
          <w:insideH w:val="nil"/>
          <w:insideV w:val="nil"/>
        </w:tcBorders>
        <w:shd w:val="clear" w:color="auto" w:fill="9E5E9B" w:themeFill="accent6"/>
      </w:tcPr>
    </w:tblStylePr>
    <w:tblStylePr w:type="lastRow">
      <w:rPr>
        <w:b/>
        <w:bCs/>
      </w:rPr>
      <w:tblPr/>
      <w:tcPr>
        <w:tcBorders>
          <w:top w:val="double" w:sz="4" w:space="0" w:color="9E5E9B" w:themeColor="accent6"/>
        </w:tcBorders>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EC5654" w:themeColor="accent1" w:themeTint="99"/>
        <w:bottom w:val="single" w:sz="4" w:space="0" w:color="EC5654" w:themeColor="accent1" w:themeTint="99"/>
        <w:insideH w:val="single" w:sz="4" w:space="0" w:color="EC5654"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ListTable1Light-Accent2">
    <w:name w:val="List Table 1 Light Accent 2"/>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F4A06F" w:themeColor="accent2" w:themeTint="99"/>
        </w:tcBorders>
      </w:tcPr>
    </w:tblStylePr>
    <w:tblStylePr w:type="lastRow">
      <w:rPr>
        <w:b/>
        <w:bCs/>
      </w:rPr>
      <w:tblPr/>
      <w:tcPr>
        <w:tcBorders>
          <w:top w:val="sing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character" w:styleId="PlaceholderText">
    <w:name w:val="Placeholder Text"/>
    <w:basedOn w:val="DefaultParagraphFont"/>
    <w:uiPriority w:val="99"/>
    <w:semiHidden/>
    <w:rPr>
      <w:color w:val="80808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CellMar>
        <w:top w:w="29" w:type="dxa"/>
        <w:bottom w:w="29" w:type="dxa"/>
      </w:tblCellMar>
    </w:tblPr>
    <w:tblStylePr w:type="firstRow">
      <w:rPr>
        <w:b/>
        <w:bCs/>
        <w:color w:val="FFFFFF" w:themeColor="background1"/>
      </w:rPr>
      <w:tblPr/>
      <w:tcPr>
        <w:tcBorders>
          <w:top w:val="single" w:sz="4" w:space="0" w:color="B01513" w:themeColor="accent1"/>
          <w:left w:val="single" w:sz="4" w:space="0" w:color="B01513" w:themeColor="accent1"/>
          <w:bottom w:val="single" w:sz="4" w:space="0" w:color="B01513" w:themeColor="accent1"/>
          <w:right w:val="single" w:sz="4" w:space="0" w:color="B01513" w:themeColor="accent1"/>
          <w:insideH w:val="nil"/>
          <w:insideV w:val="nil"/>
        </w:tcBorders>
        <w:shd w:val="clear" w:color="auto" w:fill="B01513" w:themeFill="accent1"/>
      </w:tcPr>
    </w:tblStylePr>
    <w:tblStylePr w:type="lastRow">
      <w:rPr>
        <w:b/>
        <w:bCs/>
      </w:rPr>
      <w:tblPr/>
      <w:tcPr>
        <w:tcBorders>
          <w:top w:val="double" w:sz="4" w:space="0" w:color="B01513" w:themeColor="accent1"/>
        </w:tcBorders>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CellMar>
        <w:top w:w="29" w:type="dxa"/>
        <w:bottom w:w="29" w:type="dxa"/>
      </w:tblCellMar>
    </w:tblPr>
    <w:tblStylePr w:type="firstRow">
      <w:rPr>
        <w:b/>
        <w:bCs/>
        <w:color w:val="FFFFFF" w:themeColor="background1"/>
      </w:rPr>
      <w:tblPr/>
      <w:tcPr>
        <w:tcBorders>
          <w:top w:val="single" w:sz="4" w:space="0" w:color="EA6312" w:themeColor="accent2"/>
          <w:left w:val="single" w:sz="4" w:space="0" w:color="EA6312" w:themeColor="accent2"/>
          <w:bottom w:val="single" w:sz="4" w:space="0" w:color="EA6312" w:themeColor="accent2"/>
          <w:right w:val="single" w:sz="4" w:space="0" w:color="EA6312" w:themeColor="accent2"/>
          <w:insideH w:val="nil"/>
          <w:insideV w:val="nil"/>
        </w:tcBorders>
        <w:shd w:val="clear" w:color="auto" w:fill="EA6312" w:themeFill="accent2"/>
      </w:tcPr>
    </w:tblStylePr>
    <w:tblStylePr w:type="lastRow">
      <w:rPr>
        <w:b/>
        <w:bCs/>
      </w:rPr>
      <w:tblPr/>
      <w:tcPr>
        <w:tcBorders>
          <w:top w:val="double" w:sz="4" w:space="0" w:color="EA6312" w:themeColor="accent2"/>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PlainTable4">
    <w:name w:val="Plain Table 4"/>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D8BED7" w:themeColor="accent6" w:themeTint="66"/>
        <w:left w:val="single" w:sz="4" w:space="0" w:color="D8BED7" w:themeColor="accent6" w:themeTint="66"/>
        <w:bottom w:val="single" w:sz="4" w:space="0" w:color="D8BED7" w:themeColor="accent6" w:themeTint="66"/>
        <w:right w:val="single" w:sz="4" w:space="0" w:color="D8BED7" w:themeColor="accent6" w:themeTint="66"/>
        <w:insideH w:val="single" w:sz="4" w:space="0" w:color="D8BED7" w:themeColor="accent6" w:themeTint="66"/>
        <w:insideV w:val="single" w:sz="4" w:space="0" w:color="D8BED7" w:themeColor="accent6" w:themeTint="66"/>
      </w:tblBorders>
      <w:tblCellMar>
        <w:top w:w="29" w:type="dxa"/>
        <w:bottom w:w="29" w:type="dxa"/>
      </w:tblCellMar>
    </w:tblPr>
    <w:tblStylePr w:type="firstRow">
      <w:rPr>
        <w:b/>
        <w:bCs/>
      </w:rPr>
      <w:tblPr/>
      <w:tcPr>
        <w:tcBorders>
          <w:bottom w:val="single" w:sz="12" w:space="0" w:color="C59DC3" w:themeColor="accent6" w:themeTint="99"/>
        </w:tcBorders>
      </w:tcPr>
    </w:tblStylePr>
    <w:tblStylePr w:type="lastRow">
      <w:rPr>
        <w:b/>
        <w:bCs/>
      </w:rPr>
      <w:tblPr/>
      <w:tcPr>
        <w:tcBorders>
          <w:top w:val="double" w:sz="2" w:space="0" w:color="C59DC3" w:themeColor="accent6" w:themeTint="99"/>
        </w:tcBorders>
      </w:tcPr>
    </w:tblStylePr>
    <w:tblStylePr w:type="firstCol">
      <w:rPr>
        <w:b/>
        <w:bCs/>
      </w:rPr>
    </w:tblStylePr>
    <w:tblStylePr w:type="lastCol">
      <w:rPr>
        <w:b/>
        <w:bCs/>
      </w:rPr>
    </w:tblStylePr>
  </w:style>
  <w:style w:type="table" w:styleId="ListTable1Light-Accent6">
    <w:name w:val="List Table 1 Light Accent 6"/>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C59DC3" w:themeColor="accent6" w:themeTint="99"/>
        </w:tcBorders>
      </w:tcPr>
    </w:tblStylePr>
    <w:tblStylePr w:type="lastRow">
      <w:rPr>
        <w:b/>
        <w:bCs/>
      </w:rPr>
      <w:tblPr/>
      <w:tcPr>
        <w:tcBorders>
          <w:top w:val="single" w:sz="4" w:space="0" w:color="C59DC3" w:themeColor="accent6" w:themeTint="99"/>
        </w:tcBorders>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paragraph" w:styleId="Header">
    <w:name w:val="header"/>
    <w:basedOn w:val="Normal"/>
    <w:link w:val="HeaderChar"/>
    <w:uiPriority w:val="2"/>
    <w:unhideWhenUsed/>
    <w:pPr>
      <w:spacing w:after="0"/>
      <w:jc w:val="right"/>
    </w:pPr>
  </w:style>
  <w:style w:type="character" w:customStyle="1" w:styleId="HeaderChar">
    <w:name w:val="Header Char"/>
    <w:basedOn w:val="DefaultParagraphFont"/>
    <w:link w:val="Header"/>
    <w:uiPriority w:val="2"/>
  </w:style>
  <w:style w:type="paragraph" w:styleId="Footer">
    <w:name w:val="footer"/>
    <w:basedOn w:val="Normal"/>
    <w:link w:val="FooterChar"/>
    <w:uiPriority w:val="2"/>
    <w:unhideWhenUsed/>
    <w:pPr>
      <w:spacing w:after="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styleId="GridTable1Light-Accent1">
    <w:name w:val="Grid Table 1 Light Accent 1"/>
    <w:aliases w:val="Sample questionnaires table"/>
    <w:basedOn w:val="TableNormal"/>
    <w:uiPriority w:val="46"/>
    <w:pPr>
      <w:spacing w:after="0" w:line="240" w:lineRule="auto"/>
    </w:pPr>
    <w:tblPr>
      <w:tblStyleRowBandSize w:val="1"/>
      <w:tblStyleColBandSize w:val="1"/>
      <w:tblBorders>
        <w:insideH w:val="single" w:sz="4" w:space="0" w:color="B01513" w:themeColor="accent1"/>
      </w:tblBorders>
      <w:tblCellMar>
        <w:top w:w="29" w:type="dxa"/>
        <w:bottom w:w="29" w:type="dxa"/>
      </w:tblCellMar>
    </w:tblPr>
    <w:tblStylePr w:type="firstRow">
      <w:rPr>
        <w:b w:val="0"/>
        <w:bCs/>
      </w:rPr>
      <w:tblPr/>
      <w:tcPr>
        <w:tcBorders>
          <w:top w:val="nil"/>
          <w:left w:val="nil"/>
          <w:bottom w:val="single" w:sz="12" w:space="0" w:color="B01513" w:themeColor="accent1"/>
          <w:right w:val="nil"/>
          <w:insideH w:val="nil"/>
          <w:insideV w:val="nil"/>
          <w:tl2br w:val="nil"/>
          <w:tr2bl w:val="nil"/>
        </w:tcBorders>
      </w:tcPr>
    </w:tblStylePr>
    <w:tblStylePr w:type="lastRow">
      <w:rPr>
        <w:b/>
        <w:bCs/>
      </w:rPr>
      <w:tblPr/>
      <w:tcPr>
        <w:tcBorders>
          <w:top w:val="double" w:sz="2" w:space="0" w:color="EC5654" w:themeColor="accent1" w:themeTint="99"/>
        </w:tcBorders>
      </w:tcPr>
    </w:tblStylePr>
    <w:tblStylePr w:type="firstCol">
      <w:rPr>
        <w:b w:val="0"/>
        <w:bCs/>
      </w:rPr>
    </w:tblStylePr>
    <w:tblStylePr w:type="lastCol">
      <w:rPr>
        <w:b w:val="0"/>
        <w:bCs/>
      </w:rPr>
    </w:tblStyle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CellMar>
        <w:top w:w="29" w:type="dxa"/>
        <w:bottom w:w="29" w:type="dxa"/>
      </w:tblCellMar>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Logo">
    <w:name w:val="Logo"/>
    <w:basedOn w:val="Normal"/>
    <w:uiPriority w:val="1"/>
    <w:qFormat/>
    <w:pPr>
      <w:spacing w:after="1440"/>
      <w:jc w:val="right"/>
    </w:pPr>
    <w:rPr>
      <w:noProof/>
      <w:color w:val="163C3F"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qFormat/>
    <w:pPr>
      <w:spacing w:after="0"/>
      <w:jc w:val="right"/>
    </w:pPr>
    <w:rPr>
      <w:caps/>
    </w:r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F0D37E" w:themeColor="accent3" w:themeTint="99"/>
        <w:left w:val="single" w:sz="4" w:space="0" w:color="F0D37E" w:themeColor="accent3" w:themeTint="99"/>
        <w:bottom w:val="single" w:sz="4" w:space="0" w:color="F0D37E" w:themeColor="accent3" w:themeTint="99"/>
        <w:right w:val="single" w:sz="4" w:space="0" w:color="F0D37E" w:themeColor="accent3" w:themeTint="99"/>
        <w:insideH w:val="single" w:sz="4" w:space="0" w:color="F0D37E" w:themeColor="accent3" w:themeTint="99"/>
        <w:insideV w:val="single" w:sz="4" w:space="0" w:color="F0D3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0D4" w:themeFill="accent3" w:themeFillTint="33"/>
      </w:tcPr>
    </w:tblStylePr>
    <w:tblStylePr w:type="band1Horz">
      <w:tblPr/>
      <w:tcPr>
        <w:shd w:val="clear" w:color="auto" w:fill="FAF0D4" w:themeFill="accent3" w:themeFillTint="33"/>
      </w:tcPr>
    </w:tblStylePr>
    <w:tblStylePr w:type="neCell">
      <w:tblPr/>
      <w:tcPr>
        <w:tcBorders>
          <w:bottom w:val="single" w:sz="4" w:space="0" w:color="F0D37E" w:themeColor="accent3" w:themeTint="99"/>
        </w:tcBorders>
      </w:tcPr>
    </w:tblStylePr>
    <w:tblStylePr w:type="nwCell">
      <w:tblPr/>
      <w:tcPr>
        <w:tcBorders>
          <w:bottom w:val="single" w:sz="4" w:space="0" w:color="F0D37E" w:themeColor="accent3" w:themeTint="99"/>
        </w:tcBorders>
      </w:tcPr>
    </w:tblStylePr>
    <w:tblStylePr w:type="seCell">
      <w:tblPr/>
      <w:tcPr>
        <w:tcBorders>
          <w:top w:val="single" w:sz="4" w:space="0" w:color="F0D37E" w:themeColor="accent3" w:themeTint="99"/>
        </w:tcBorders>
      </w:tcPr>
    </w:tblStylePr>
    <w:tblStylePr w:type="swCell">
      <w:tblPr/>
      <w:tcPr>
        <w:tcBorders>
          <w:top w:val="single" w:sz="4" w:space="0" w:color="F0D37E" w:themeColor="accent3" w:themeTint="99"/>
        </w:tcBorders>
      </w:tc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0D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B72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B72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B72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B729" w:themeFill="accent3"/>
      </w:tcPr>
    </w:tblStylePr>
    <w:tblStylePr w:type="band1Vert">
      <w:tblPr/>
      <w:tcPr>
        <w:shd w:val="clear" w:color="auto" w:fill="F5E2A9" w:themeFill="accent3" w:themeFillTint="66"/>
      </w:tcPr>
    </w:tblStylePr>
    <w:tblStylePr w:type="band1Horz">
      <w:tblPr/>
      <w:tcPr>
        <w:shd w:val="clear" w:color="auto" w:fill="F5E2A9" w:themeFill="accent3" w:themeFillTint="66"/>
      </w:tcPr>
    </w:tblStyle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F5E2A9" w:themeColor="accent3" w:themeTint="66"/>
        <w:left w:val="single" w:sz="4" w:space="0" w:color="F5E2A9" w:themeColor="accent3" w:themeTint="66"/>
        <w:bottom w:val="single" w:sz="4" w:space="0" w:color="F5E2A9" w:themeColor="accent3" w:themeTint="66"/>
        <w:right w:val="single" w:sz="4" w:space="0" w:color="F5E2A9" w:themeColor="accent3" w:themeTint="66"/>
        <w:insideH w:val="single" w:sz="4" w:space="0" w:color="F5E2A9" w:themeColor="accent3" w:themeTint="66"/>
        <w:insideV w:val="single" w:sz="4" w:space="0" w:color="F5E2A9" w:themeColor="accent3" w:themeTint="66"/>
      </w:tblBorders>
    </w:tblPr>
    <w:tblStylePr w:type="firstRow">
      <w:rPr>
        <w:b/>
        <w:bCs/>
      </w:rPr>
      <w:tblPr/>
      <w:tcPr>
        <w:tcBorders>
          <w:bottom w:val="single" w:sz="12" w:space="0" w:color="F0D37E" w:themeColor="accent3" w:themeTint="99"/>
        </w:tcBorders>
      </w:tcPr>
    </w:tblStylePr>
    <w:tblStylePr w:type="lastRow">
      <w:rPr>
        <w:b/>
        <w:bCs/>
      </w:rPr>
      <w:tblPr/>
      <w:tcPr>
        <w:tcBorders>
          <w:top w:val="double" w:sz="2" w:space="0" w:color="F0D37E"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1"/>
    <w:qFormat/>
    <w:rPr>
      <w:b/>
      <w:bCs/>
    </w:rPr>
  </w:style>
  <w:style w:type="paragraph" w:customStyle="1" w:styleId="Tabletext">
    <w:name w:val="Table text"/>
    <w:basedOn w:val="Normal"/>
    <w:uiPriority w:val="1"/>
    <w:qFormat/>
    <w:pPr>
      <w:spacing w:before="120" w:after="0"/>
    </w:pPr>
  </w:style>
  <w:style w:type="table" w:styleId="ListTable6Colorful-Accent2">
    <w:name w:val="List Table 6 Colorful Accent 2"/>
    <w:basedOn w:val="TableNormal"/>
    <w:uiPriority w:val="51"/>
    <w:pPr>
      <w:spacing w:after="0" w:line="240" w:lineRule="auto"/>
    </w:pPr>
    <w:rPr>
      <w:color w:val="AF490D" w:themeColor="accent2" w:themeShade="BF"/>
    </w:rPr>
    <w:tblPr>
      <w:tblStyleRowBandSize w:val="1"/>
      <w:tblStyleColBandSize w:val="1"/>
      <w:tblBorders>
        <w:top w:val="single" w:sz="4" w:space="0" w:color="EA6312" w:themeColor="accent2"/>
        <w:bottom w:val="single" w:sz="4" w:space="0" w:color="EA6312" w:themeColor="accent2"/>
      </w:tblBorders>
    </w:tblPr>
    <w:tblStylePr w:type="firstRow">
      <w:rPr>
        <w:b/>
        <w:bCs/>
      </w:rPr>
      <w:tblPr/>
      <w:tcPr>
        <w:tcBorders>
          <w:bottom w:val="single" w:sz="4" w:space="0" w:color="EA6312" w:themeColor="accent2"/>
        </w:tcBorders>
      </w:tcPr>
    </w:tblStylePr>
    <w:tblStylePr w:type="lastRow">
      <w:rPr>
        <w:b/>
        <w:bCs/>
      </w:rPr>
      <w:tblPr/>
      <w:tcPr>
        <w:tcBorders>
          <w:top w:val="double" w:sz="4" w:space="0" w:color="EA6312" w:themeColor="accent2"/>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7C09F" w:themeColor="accent2" w:themeTint="66"/>
        <w:left w:val="single" w:sz="4" w:space="0" w:color="F7C09F" w:themeColor="accent2" w:themeTint="66"/>
        <w:bottom w:val="single" w:sz="4" w:space="0" w:color="F7C09F" w:themeColor="accent2" w:themeTint="66"/>
        <w:right w:val="single" w:sz="4" w:space="0" w:color="F7C09F" w:themeColor="accent2" w:themeTint="66"/>
        <w:insideH w:val="single" w:sz="4" w:space="0" w:color="F7C09F" w:themeColor="accent2" w:themeTint="66"/>
        <w:insideV w:val="single" w:sz="4" w:space="0" w:color="F7C09F" w:themeColor="accent2" w:themeTint="66"/>
      </w:tblBorders>
    </w:tblPr>
    <w:tblStylePr w:type="firstRow">
      <w:rPr>
        <w:b/>
        <w:bCs/>
      </w:rPr>
      <w:tblPr/>
      <w:tcPr>
        <w:tcBorders>
          <w:bottom w:val="single" w:sz="12" w:space="0" w:color="F4A06F" w:themeColor="accent2" w:themeTint="99"/>
        </w:tcBorders>
      </w:tcPr>
    </w:tblStylePr>
    <w:tblStylePr w:type="lastRow">
      <w:rPr>
        <w:b/>
        <w:bCs/>
      </w:rPr>
      <w:tblPr/>
      <w:tcPr>
        <w:tcBorders>
          <w:top w:val="double" w:sz="2" w:space="0" w:color="F4A06F" w:themeColor="accent2" w:themeTint="99"/>
        </w:tcBorders>
      </w:tcPr>
    </w:tblStylePr>
    <w:tblStylePr w:type="firstCol">
      <w:rPr>
        <w:b/>
        <w:bCs/>
      </w:rPr>
    </w:tblStylePr>
    <w:tblStylePr w:type="lastCol">
      <w:rPr>
        <w:b/>
        <w:bCs/>
      </w:rPr>
    </w:tblStylePr>
  </w:style>
  <w:style w:type="paragraph" w:styleId="ListBullet">
    <w:name w:val="List Bullet"/>
    <w:basedOn w:val="Normal"/>
    <w:uiPriority w:val="1"/>
    <w:unhideWhenUsed/>
    <w:pPr>
      <w:numPr>
        <w:numId w:val="2"/>
      </w:numPr>
    </w:pPr>
  </w:style>
  <w:style w:type="character" w:customStyle="1" w:styleId="selectable">
    <w:name w:val="selectable"/>
    <w:basedOn w:val="DefaultParagraphFont"/>
    <w:rsid w:val="0088577A"/>
  </w:style>
  <w:style w:type="paragraph" w:customStyle="1" w:styleId="Default">
    <w:name w:val="Default"/>
    <w:rsid w:val="0088577A"/>
    <w:pPr>
      <w:autoSpaceDE w:val="0"/>
      <w:autoSpaceDN w:val="0"/>
      <w:adjustRightInd w:val="0"/>
      <w:spacing w:after="0" w:line="240" w:lineRule="auto"/>
    </w:pPr>
    <w:rPr>
      <w:rFonts w:ascii="Times New Roman" w:eastAsia="Calibri" w:hAnsi="Times New Roman" w:cs="Times New Roman"/>
      <w:color w:val="000000"/>
      <w:kern w:val="0"/>
      <w:sz w:val="24"/>
      <w:szCs w:val="24"/>
      <w:lang w:val="en-IN" w:eastAsia="en-IN"/>
      <w14:ligatures w14:val="none"/>
    </w:rPr>
  </w:style>
  <w:style w:type="paragraph" w:styleId="TOC1">
    <w:name w:val="toc 1"/>
    <w:basedOn w:val="Normal"/>
    <w:next w:val="Normal"/>
    <w:autoRedefine/>
    <w:uiPriority w:val="39"/>
    <w:unhideWhenUsed/>
    <w:rsid w:val="00217265"/>
    <w:pPr>
      <w:tabs>
        <w:tab w:val="right" w:leader="dot" w:pos="9016"/>
      </w:tabs>
      <w:spacing w:after="200" w:line="276" w:lineRule="auto"/>
      <w:ind w:left="0" w:right="0"/>
    </w:pPr>
    <w:rPr>
      <w:rFonts w:ascii="Times New Roman" w:eastAsia="Calibri" w:hAnsi="Times New Roman" w:cs="Times New Roman"/>
      <w:noProof/>
      <w:kern w:val="0"/>
      <w:sz w:val="24"/>
      <w:szCs w:val="24"/>
      <w:lang w:eastAsia="en-US"/>
      <w14:ligatures w14:val="none"/>
    </w:rPr>
  </w:style>
  <w:style w:type="character" w:styleId="Hyperlink">
    <w:name w:val="Hyperlink"/>
    <w:basedOn w:val="DefaultParagraphFont"/>
    <w:uiPriority w:val="99"/>
    <w:unhideWhenUsed/>
    <w:rsid w:val="0088577A"/>
    <w:rPr>
      <w:color w:val="0000FF"/>
      <w:u w:val="single"/>
    </w:rPr>
  </w:style>
  <w:style w:type="character" w:styleId="FollowedHyperlink">
    <w:name w:val="FollowedHyperlink"/>
    <w:basedOn w:val="DefaultParagraphFont"/>
    <w:uiPriority w:val="99"/>
    <w:semiHidden/>
    <w:unhideWhenUsed/>
    <w:rsid w:val="001D11AD"/>
    <w:rPr>
      <w:color w:val="9DFFCB" w:themeColor="followedHyperlink"/>
      <w:u w:val="single"/>
    </w:rPr>
  </w:style>
  <w:style w:type="paragraph" w:styleId="ListParagraph">
    <w:name w:val="List Paragraph"/>
    <w:basedOn w:val="Normal"/>
    <w:uiPriority w:val="34"/>
    <w:unhideWhenUsed/>
    <w:qFormat/>
    <w:rsid w:val="004876F6"/>
    <w:pPr>
      <w:ind w:left="720"/>
      <w:contextualSpacing/>
    </w:pPr>
  </w:style>
  <w:style w:type="paragraph" w:styleId="BalloonText">
    <w:name w:val="Balloon Text"/>
    <w:basedOn w:val="Normal"/>
    <w:link w:val="BalloonTextChar"/>
    <w:uiPriority w:val="99"/>
    <w:semiHidden/>
    <w:unhideWhenUsed/>
    <w:rsid w:val="00F85A8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A86"/>
    <w:rPr>
      <w:rFonts w:ascii="Segoe UI" w:hAnsi="Segoe UI" w:cs="Segoe UI"/>
      <w:sz w:val="18"/>
      <w:szCs w:val="18"/>
    </w:rPr>
  </w:style>
  <w:style w:type="paragraph" w:customStyle="1" w:styleId="m588518632957843215gmail-msonormal">
    <w:name w:val="m_588518632957843215gmail-msonormal"/>
    <w:basedOn w:val="Normal"/>
    <w:rsid w:val="00B13D4F"/>
    <w:pPr>
      <w:spacing w:before="100" w:beforeAutospacing="1" w:after="100" w:afterAutospacing="1"/>
      <w:ind w:left="0" w:right="0"/>
    </w:pPr>
    <w:rPr>
      <w:rFonts w:ascii="Times New Roman" w:eastAsia="Times New Roman" w:hAnsi="Times New Roman" w:cs="Times New Roman"/>
      <w:kern w:val="0"/>
      <w:sz w:val="24"/>
      <w:szCs w:val="24"/>
      <w:lang w:val="en-GB" w:eastAsia="en-IN"/>
      <w14:ligatures w14:val="none"/>
    </w:rPr>
  </w:style>
  <w:style w:type="character" w:customStyle="1" w:styleId="fn">
    <w:name w:val="fn"/>
    <w:basedOn w:val="DefaultParagraphFont"/>
    <w:rsid w:val="00B13D4F"/>
  </w:style>
  <w:style w:type="character" w:styleId="CommentReference">
    <w:name w:val="annotation reference"/>
    <w:basedOn w:val="DefaultParagraphFont"/>
    <w:uiPriority w:val="99"/>
    <w:semiHidden/>
    <w:unhideWhenUsed/>
    <w:rsid w:val="007A633C"/>
    <w:rPr>
      <w:sz w:val="16"/>
      <w:szCs w:val="16"/>
    </w:rPr>
  </w:style>
  <w:style w:type="paragraph" w:styleId="CommentText">
    <w:name w:val="annotation text"/>
    <w:basedOn w:val="Normal"/>
    <w:link w:val="CommentTextChar"/>
    <w:uiPriority w:val="99"/>
    <w:semiHidden/>
    <w:unhideWhenUsed/>
    <w:rsid w:val="007A633C"/>
    <w:rPr>
      <w:sz w:val="20"/>
      <w:szCs w:val="20"/>
    </w:rPr>
  </w:style>
  <w:style w:type="character" w:customStyle="1" w:styleId="CommentTextChar">
    <w:name w:val="Comment Text Char"/>
    <w:basedOn w:val="DefaultParagraphFont"/>
    <w:link w:val="CommentText"/>
    <w:uiPriority w:val="99"/>
    <w:semiHidden/>
    <w:rsid w:val="007A633C"/>
    <w:rPr>
      <w:sz w:val="20"/>
      <w:szCs w:val="20"/>
    </w:rPr>
  </w:style>
  <w:style w:type="paragraph" w:styleId="CommentSubject">
    <w:name w:val="annotation subject"/>
    <w:basedOn w:val="CommentText"/>
    <w:next w:val="CommentText"/>
    <w:link w:val="CommentSubjectChar"/>
    <w:uiPriority w:val="99"/>
    <w:semiHidden/>
    <w:unhideWhenUsed/>
    <w:rsid w:val="007A633C"/>
    <w:rPr>
      <w:b/>
      <w:bCs/>
    </w:rPr>
  </w:style>
  <w:style w:type="character" w:customStyle="1" w:styleId="CommentSubjectChar">
    <w:name w:val="Comment Subject Char"/>
    <w:basedOn w:val="CommentTextChar"/>
    <w:link w:val="CommentSubject"/>
    <w:uiPriority w:val="99"/>
    <w:semiHidden/>
    <w:rsid w:val="007A63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hart" Target="charts/chart5.xml"/><Relationship Id="rId23"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4.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brahim%20Tasira\AppData\Roaming\Microsoft\Templates\Project%20communication%20pla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Ibrahim%20Tasira\Desktop\COMPLETED_IBRAHIM_RATIO_ANALYSIS_29.12.17_6.10p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brahim%20Tasira\Desktop\COMPLETED_IBRAHIM_RATIO_ANALYSIS_29.12.17_6.10p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brahim%20Tasira\Desktop\COMPLETED_IBRAHIM_RATIO_ANALYSIS_29.12.17_6.10pm.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brahim%20Tasira\Desktop\COMPLETED_IBRAHIM_RATIO_ANALYSIS_29.12.17_6.10pm.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brahim%20Tasira\Desktop\COMPLETED_IBRAHIM_RATIO_ANALYSIS_29.12.17_6.10pm.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[COMPLETED_IBRAHIM_RATIO_ANALYSIS_29.12.17_6.10pm.xlsx]Sheet3!$A$3</c:f>
              <c:strCache>
                <c:ptCount val="1"/>
                <c:pt idx="0">
                  <c:v>Gross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[COMPLETED_IBRAHIM_RATIO_ANALYSIS_29.12.17_6.10pm.xlsx]Sheet3!$B$1:$G$2</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[COMPLETED_IBRAHIM_RATIO_ANALYSIS_29.12.17_6.10pm.xlsx]Sheet3!$B$3:$G$3</c:f>
              <c:numCache>
                <c:formatCode>0%</c:formatCode>
                <c:ptCount val="6"/>
                <c:pt idx="0">
                  <c:v>0.25</c:v>
                </c:pt>
                <c:pt idx="1">
                  <c:v>0.27</c:v>
                </c:pt>
                <c:pt idx="2">
                  <c:v>0.28000000000000003</c:v>
                </c:pt>
                <c:pt idx="3">
                  <c:v>0.31</c:v>
                </c:pt>
                <c:pt idx="4">
                  <c:v>0.31</c:v>
                </c:pt>
                <c:pt idx="5">
                  <c:v>0.27</c:v>
                </c:pt>
              </c:numCache>
            </c:numRef>
          </c:val>
        </c:ser>
        <c:ser>
          <c:idx val="1"/>
          <c:order val="1"/>
          <c:tx>
            <c:strRef>
              <c:f>[COMPLETED_IBRAHIM_RATIO_ANALYSIS_29.12.17_6.10pm.xlsx]Sheet3!$A$4</c:f>
              <c:strCache>
                <c:ptCount val="1"/>
                <c:pt idx="0">
                  <c:v>Net Profit Margin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[COMPLETED_IBRAHIM_RATIO_ANALYSIS_29.12.17_6.10pm.xlsx]Sheet3!$B$1:$G$2</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[COMPLETED_IBRAHIM_RATIO_ANALYSIS_29.12.17_6.10pm.xlsx]Sheet3!$B$4:$G$4</c:f>
              <c:numCache>
                <c:formatCode>0%</c:formatCode>
                <c:ptCount val="6"/>
                <c:pt idx="0">
                  <c:v>0.08</c:v>
                </c:pt>
                <c:pt idx="1">
                  <c:v>0.16</c:v>
                </c:pt>
                <c:pt idx="2">
                  <c:v>0.05</c:v>
                </c:pt>
                <c:pt idx="3">
                  <c:v>0.1</c:v>
                </c:pt>
                <c:pt idx="4">
                  <c:v>0.12</c:v>
                </c:pt>
                <c:pt idx="5">
                  <c:v>7.0000000000000007E-2</c:v>
                </c:pt>
              </c:numCache>
            </c:numRef>
          </c:val>
        </c:ser>
        <c:ser>
          <c:idx val="2"/>
          <c:order val="2"/>
          <c:tx>
            <c:strRef>
              <c:f>[COMPLETED_IBRAHIM_RATIO_ANALYSIS_29.12.17_6.10pm.xlsx]Sheet3!$A$5</c:f>
              <c:strCache>
                <c:ptCount val="1"/>
                <c:pt idx="0">
                  <c:v>Operating Profit Margin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[COMPLETED_IBRAHIM_RATIO_ANALYSIS_29.12.17_6.10pm.xlsx]Sheet3!$B$1:$G$2</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[COMPLETED_IBRAHIM_RATIO_ANALYSIS_29.12.17_6.10pm.xlsx]Sheet3!$B$5:$G$5</c:f>
              <c:numCache>
                <c:formatCode>0%</c:formatCode>
                <c:ptCount val="6"/>
                <c:pt idx="0">
                  <c:v>0.11</c:v>
                </c:pt>
                <c:pt idx="1">
                  <c:v>0.14000000000000001</c:v>
                </c:pt>
                <c:pt idx="2">
                  <c:v>0.14000000000000001</c:v>
                </c:pt>
                <c:pt idx="3">
                  <c:v>0.18</c:v>
                </c:pt>
                <c:pt idx="4">
                  <c:v>0.17</c:v>
                </c:pt>
                <c:pt idx="5">
                  <c:v>0.12</c:v>
                </c:pt>
              </c:numCache>
            </c:numRef>
          </c:val>
        </c:ser>
        <c:dLbls>
          <c:dLblPos val="outEnd"/>
          <c:showLegendKey val="0"/>
          <c:showVal val="1"/>
          <c:showCatName val="0"/>
          <c:showSerName val="0"/>
          <c:showPercent val="0"/>
          <c:showBubbleSize val="0"/>
        </c:dLbls>
        <c:gapWidth val="219"/>
        <c:overlap val="-27"/>
        <c:axId val="914625488"/>
        <c:axId val="914627664"/>
      </c:barChart>
      <c:catAx>
        <c:axId val="914625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627664"/>
        <c:crosses val="autoZero"/>
        <c:auto val="1"/>
        <c:lblAlgn val="ctr"/>
        <c:lblOffset val="100"/>
        <c:noMultiLvlLbl val="0"/>
      </c:catAx>
      <c:valAx>
        <c:axId val="914627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625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Sheet2!$A$3</c:f>
              <c:strCache>
                <c:ptCount val="1"/>
                <c:pt idx="0">
                  <c:v>Current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Sheet2!$B$1:$G$2</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Sheet2!$B$3:$G$3</c:f>
              <c:numCache>
                <c:formatCode>General</c:formatCode>
                <c:ptCount val="6"/>
                <c:pt idx="0">
                  <c:v>1.35</c:v>
                </c:pt>
                <c:pt idx="1">
                  <c:v>1.49</c:v>
                </c:pt>
                <c:pt idx="2">
                  <c:v>1.5</c:v>
                </c:pt>
                <c:pt idx="3">
                  <c:v>1.25</c:v>
                </c:pt>
                <c:pt idx="4">
                  <c:v>1.41</c:v>
                </c:pt>
                <c:pt idx="5">
                  <c:v>1.85</c:v>
                </c:pt>
              </c:numCache>
            </c:numRef>
          </c:val>
        </c:ser>
        <c:ser>
          <c:idx val="1"/>
          <c:order val="1"/>
          <c:tx>
            <c:strRef>
              <c:f>Sheet2!$A$4</c:f>
              <c:strCache>
                <c:ptCount val="1"/>
                <c:pt idx="0">
                  <c:v>Quick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Sheet2!$B$1:$G$2</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Sheet2!$B$4:$G$4</c:f>
              <c:numCache>
                <c:formatCode>General</c:formatCode>
                <c:ptCount val="6"/>
                <c:pt idx="0">
                  <c:v>1.02</c:v>
                </c:pt>
                <c:pt idx="1">
                  <c:v>1.19</c:v>
                </c:pt>
                <c:pt idx="2">
                  <c:v>1.2</c:v>
                </c:pt>
                <c:pt idx="3">
                  <c:v>1.01</c:v>
                </c:pt>
                <c:pt idx="4">
                  <c:v>1.1399999999999999</c:v>
                </c:pt>
                <c:pt idx="5">
                  <c:v>1.58</c:v>
                </c:pt>
              </c:numCache>
            </c:numRef>
          </c:val>
        </c:ser>
        <c:ser>
          <c:idx val="2"/>
          <c:order val="2"/>
          <c:tx>
            <c:strRef>
              <c:f>Sheet2!$A$5</c:f>
              <c:strCache>
                <c:ptCount val="1"/>
                <c:pt idx="0">
                  <c:v>Cash Ratio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Sheet2!$B$1:$G$2</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Sheet2!$B$5:$G$5</c:f>
              <c:numCache>
                <c:formatCode>General</c:formatCode>
                <c:ptCount val="6"/>
                <c:pt idx="0">
                  <c:v>0.36</c:v>
                </c:pt>
                <c:pt idx="1">
                  <c:v>0.45</c:v>
                </c:pt>
                <c:pt idx="2">
                  <c:v>0.47</c:v>
                </c:pt>
                <c:pt idx="3">
                  <c:v>0.3</c:v>
                </c:pt>
                <c:pt idx="4">
                  <c:v>0.48</c:v>
                </c:pt>
                <c:pt idx="5">
                  <c:v>0.59</c:v>
                </c:pt>
              </c:numCache>
            </c:numRef>
          </c:val>
        </c:ser>
        <c:dLbls>
          <c:dLblPos val="outEnd"/>
          <c:showLegendKey val="0"/>
          <c:showVal val="1"/>
          <c:showCatName val="0"/>
          <c:showSerName val="0"/>
          <c:showPercent val="0"/>
          <c:showBubbleSize val="0"/>
        </c:dLbls>
        <c:gapWidth val="219"/>
        <c:overlap val="-27"/>
        <c:axId val="1042403616"/>
        <c:axId val="1042407424"/>
      </c:barChart>
      <c:catAx>
        <c:axId val="104240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407424"/>
        <c:crosses val="autoZero"/>
        <c:auto val="1"/>
        <c:lblAlgn val="ctr"/>
        <c:lblOffset val="100"/>
        <c:noMultiLvlLbl val="0"/>
      </c:catAx>
      <c:valAx>
        <c:axId val="1042407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403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[COMPLETED_IBRAHIM_RATIO_ANALYSIS_29.12.17_6.10pm.xlsx]Sheet3!$A$14</c:f>
              <c:strCache>
                <c:ptCount val="1"/>
                <c:pt idx="0">
                  <c:v>Inventory – stock Turnover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[COMPLETED_IBRAHIM_RATIO_ANALYSIS_29.12.17_6.10pm.xlsx]Sheet3!$B$12:$G$13</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[COMPLETED_IBRAHIM_RATIO_ANALYSIS_29.12.17_6.10pm.xlsx]Sheet3!$B$14:$G$14</c:f>
              <c:numCache>
                <c:formatCode>General</c:formatCode>
                <c:ptCount val="6"/>
                <c:pt idx="0">
                  <c:v>6.68</c:v>
                </c:pt>
                <c:pt idx="1">
                  <c:v>6.61</c:v>
                </c:pt>
                <c:pt idx="2">
                  <c:v>6.57</c:v>
                </c:pt>
                <c:pt idx="3">
                  <c:v>6.05</c:v>
                </c:pt>
                <c:pt idx="4">
                  <c:v>6.22</c:v>
                </c:pt>
                <c:pt idx="5">
                  <c:v>4.04</c:v>
                </c:pt>
              </c:numCache>
            </c:numRef>
          </c:val>
        </c:ser>
        <c:ser>
          <c:idx val="1"/>
          <c:order val="1"/>
          <c:tx>
            <c:strRef>
              <c:f>[COMPLETED_IBRAHIM_RATIO_ANALYSIS_29.12.17_6.10pm.xlsx]Sheet3!$A$15</c:f>
              <c:strCache>
                <c:ptCount val="1"/>
                <c:pt idx="0">
                  <c:v>Asset Turnover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[COMPLETED_IBRAHIM_RATIO_ANALYSIS_29.12.17_6.10pm.xlsx]Sheet3!$B$12:$G$13</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[COMPLETED_IBRAHIM_RATIO_ANALYSIS_29.12.17_6.10pm.xlsx]Sheet3!$B$15:$G$15</c:f>
              <c:numCache>
                <c:formatCode>General</c:formatCode>
                <c:ptCount val="6"/>
                <c:pt idx="0">
                  <c:v>0.9</c:v>
                </c:pt>
                <c:pt idx="1">
                  <c:v>0.86</c:v>
                </c:pt>
                <c:pt idx="2">
                  <c:v>0.89</c:v>
                </c:pt>
                <c:pt idx="3">
                  <c:v>0.78</c:v>
                </c:pt>
                <c:pt idx="4">
                  <c:v>0.73</c:v>
                </c:pt>
                <c:pt idx="5">
                  <c:v>0.34</c:v>
                </c:pt>
              </c:numCache>
            </c:numRef>
          </c:val>
        </c:ser>
        <c:ser>
          <c:idx val="2"/>
          <c:order val="2"/>
          <c:tx>
            <c:strRef>
              <c:f>[COMPLETED_IBRAHIM_RATIO_ANALYSIS_29.12.17_6.10pm.xlsx]Sheet3!$A$16</c:f>
              <c:strCache>
                <c:ptCount val="1"/>
                <c:pt idx="0">
                  <c:v>Accounts Receivable Turnover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[COMPLETED_IBRAHIM_RATIO_ANALYSIS_29.12.17_6.10pm.xlsx]Sheet3!$B$12:$G$13</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[COMPLETED_IBRAHIM_RATIO_ANALYSIS_29.12.17_6.10pm.xlsx]Sheet3!$B$16:$G$16</c:f>
              <c:numCache>
                <c:formatCode>General</c:formatCode>
                <c:ptCount val="6"/>
                <c:pt idx="0">
                  <c:v>5.07</c:v>
                </c:pt>
                <c:pt idx="1">
                  <c:v>4.93</c:v>
                </c:pt>
                <c:pt idx="2">
                  <c:v>5.0599999999999996</c:v>
                </c:pt>
                <c:pt idx="3">
                  <c:v>4.78</c:v>
                </c:pt>
                <c:pt idx="4">
                  <c:v>4.46</c:v>
                </c:pt>
                <c:pt idx="5">
                  <c:v>6.8</c:v>
                </c:pt>
              </c:numCache>
            </c:numRef>
          </c:val>
        </c:ser>
        <c:dLbls>
          <c:dLblPos val="outEnd"/>
          <c:showLegendKey val="0"/>
          <c:showVal val="1"/>
          <c:showCatName val="0"/>
          <c:showSerName val="0"/>
          <c:showPercent val="0"/>
          <c:showBubbleSize val="0"/>
        </c:dLbls>
        <c:gapWidth val="219"/>
        <c:overlap val="-27"/>
        <c:axId val="1523985744"/>
        <c:axId val="912870496"/>
      </c:barChart>
      <c:catAx>
        <c:axId val="1523985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2870496"/>
        <c:crosses val="autoZero"/>
        <c:auto val="1"/>
        <c:lblAlgn val="ctr"/>
        <c:lblOffset val="100"/>
        <c:noMultiLvlLbl val="0"/>
      </c:catAx>
      <c:valAx>
        <c:axId val="912870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3985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[COMPLETED_IBRAHIM_RATIO_ANALYSIS_29.12.17_6.10pm.xlsx]Sheet3!$A$25</c:f>
              <c:strCache>
                <c:ptCount val="1"/>
                <c:pt idx="0">
                  <c:v>Price Earnings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[COMPLETED_IBRAHIM_RATIO_ANALYSIS_29.12.17_6.10pm.xlsx]Sheet3!$B$23:$G$24</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[COMPLETED_IBRAHIM_RATIO_ANALYSIS_29.12.17_6.10pm.xlsx]Sheet3!$B$25:$G$25</c:f>
              <c:numCache>
                <c:formatCode>General</c:formatCode>
                <c:ptCount val="6"/>
                <c:pt idx="0">
                  <c:v>16.87</c:v>
                </c:pt>
                <c:pt idx="1">
                  <c:v>18.21</c:v>
                </c:pt>
                <c:pt idx="2">
                  <c:v>18.399999999999999</c:v>
                </c:pt>
                <c:pt idx="3">
                  <c:v>17</c:v>
                </c:pt>
                <c:pt idx="4">
                  <c:v>18.420000000000002</c:v>
                </c:pt>
                <c:pt idx="5">
                  <c:v>35.22</c:v>
                </c:pt>
              </c:numCache>
            </c:numRef>
          </c:val>
        </c:ser>
        <c:dLbls>
          <c:dLblPos val="outEnd"/>
          <c:showLegendKey val="0"/>
          <c:showVal val="1"/>
          <c:showCatName val="0"/>
          <c:showSerName val="0"/>
          <c:showPercent val="0"/>
          <c:showBubbleSize val="0"/>
        </c:dLbls>
        <c:gapWidth val="219"/>
        <c:overlap val="-27"/>
        <c:axId val="1585758304"/>
        <c:axId val="1585761024"/>
      </c:barChart>
      <c:catAx>
        <c:axId val="1585758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5761024"/>
        <c:crosses val="autoZero"/>
        <c:auto val="1"/>
        <c:lblAlgn val="ctr"/>
        <c:lblOffset val="100"/>
        <c:noMultiLvlLbl val="0"/>
      </c:catAx>
      <c:valAx>
        <c:axId val="1585761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5758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[COMPLETED_IBRAHIM_RATIO_ANALYSIS_29.12.17_6.10pm.xlsx]Sheet3!$A$29</c:f>
              <c:strCache>
                <c:ptCount val="1"/>
                <c:pt idx="0">
                  <c:v>Sales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[COMPLETED_IBRAHIM_RATIO_ANALYSIS_29.12.17_6.10pm.xlsx]Sheet3!$B$27:$G$28</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[COMPLETED_IBRAHIM_RATIO_ANALYSIS_29.12.17_6.10pm.xlsx]Sheet3!$B$29:$G$29</c:f>
              <c:numCache>
                <c:formatCode>General</c:formatCode>
                <c:ptCount val="6"/>
                <c:pt idx="0">
                  <c:v>37665</c:v>
                </c:pt>
                <c:pt idx="1">
                  <c:v>39055</c:v>
                </c:pt>
                <c:pt idx="2">
                  <c:v>40306</c:v>
                </c:pt>
                <c:pt idx="3">
                  <c:v>38581</c:v>
                </c:pt>
                <c:pt idx="4">
                  <c:v>39302</c:v>
                </c:pt>
                <c:pt idx="5">
                  <c:v>123693</c:v>
                </c:pt>
              </c:numCache>
            </c:numRef>
          </c:val>
        </c:ser>
        <c:ser>
          <c:idx val="1"/>
          <c:order val="1"/>
          <c:tx>
            <c:strRef>
              <c:f>[COMPLETED_IBRAHIM_RATIO_ANALYSIS_29.12.17_6.10pm.xlsx]Sheet3!$A$30</c:f>
              <c:strCache>
                <c:ptCount val="1"/>
                <c:pt idx="0">
                  <c:v>Sales Growth</c:v>
                </c:pt>
              </c:strCache>
            </c:strRef>
          </c:tx>
          <c:spPr>
            <a:solidFill>
              <a:schemeClr val="accent2"/>
            </a:solidFill>
            <a:ln>
              <a:noFill/>
            </a:ln>
            <a:effectLst/>
          </c:spPr>
          <c:invertIfNegative val="0"/>
          <c:dLbls>
            <c:dLbl>
              <c:idx val="3"/>
              <c:layout>
                <c:manualLayout>
                  <c:x val="1.2981393336218087E-2"/>
                  <c:y val="9.4149999911746066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[COMPLETED_IBRAHIM_RATIO_ANALYSIS_29.12.17_6.10pm.xlsx]Sheet3!$B$27:$G$28</c:f>
              <c:multiLvlStrCache>
                <c:ptCount val="6"/>
                <c:lvl>
                  <c:pt idx="0">
                    <c:v>2012</c:v>
                  </c:pt>
                  <c:pt idx="1">
                    <c:v>2013</c:v>
                  </c:pt>
                  <c:pt idx="2">
                    <c:v>2014</c:v>
                  </c:pt>
                  <c:pt idx="3">
                    <c:v>2015</c:v>
                  </c:pt>
                  <c:pt idx="4">
                    <c:v>2016</c:v>
                  </c:pt>
                  <c:pt idx="5">
                    <c:v>2016</c:v>
                  </c:pt>
                </c:lvl>
                <c:lvl>
                  <c:pt idx="0">
                    <c:v>Honeywell</c:v>
                  </c:pt>
                  <c:pt idx="5">
                    <c:v>GE</c:v>
                  </c:pt>
                </c:lvl>
              </c:multiLvlStrCache>
            </c:multiLvlStrRef>
          </c:cat>
          <c:val>
            <c:numRef>
              <c:f>[COMPLETED_IBRAHIM_RATIO_ANALYSIS_29.12.17_6.10pm.xlsx]Sheet3!$B$30:$G$30</c:f>
              <c:numCache>
                <c:formatCode>0%</c:formatCode>
                <c:ptCount val="6"/>
                <c:pt idx="0" formatCode="General">
                  <c:v>0</c:v>
                </c:pt>
                <c:pt idx="1">
                  <c:v>0.04</c:v>
                </c:pt>
                <c:pt idx="2">
                  <c:v>0.03</c:v>
                </c:pt>
                <c:pt idx="3">
                  <c:v>-0.04</c:v>
                </c:pt>
                <c:pt idx="4">
                  <c:v>0.02</c:v>
                </c:pt>
                <c:pt idx="5" formatCode="General">
                  <c:v>0</c:v>
                </c:pt>
              </c:numCache>
            </c:numRef>
          </c:val>
        </c:ser>
        <c:dLbls>
          <c:dLblPos val="outEnd"/>
          <c:showLegendKey val="0"/>
          <c:showVal val="1"/>
          <c:showCatName val="0"/>
          <c:showSerName val="0"/>
          <c:showPercent val="0"/>
          <c:showBubbleSize val="0"/>
        </c:dLbls>
        <c:gapWidth val="219"/>
        <c:overlap val="-27"/>
        <c:axId val="1585758848"/>
        <c:axId val="1585762112"/>
      </c:barChart>
      <c:catAx>
        <c:axId val="1585758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5762112"/>
        <c:crosses val="autoZero"/>
        <c:auto val="1"/>
        <c:lblAlgn val="ctr"/>
        <c:lblOffset val="100"/>
        <c:noMultiLvlLbl val="0"/>
      </c:catAx>
      <c:valAx>
        <c:axId val="1585762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5758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68DE084186C435FB77E5AEFDAA6048E"/>
        <w:category>
          <w:name w:val="General"/>
          <w:gallery w:val="placeholder"/>
        </w:category>
        <w:types>
          <w:type w:val="bbPlcHdr"/>
        </w:types>
        <w:behaviors>
          <w:behavior w:val="content"/>
        </w:behaviors>
        <w:guid w:val="{DBF2E346-C97B-4926-BAB2-3AF40AE9885F}"/>
      </w:docPartPr>
      <w:docPartBody>
        <w:p w:rsidR="00210FD2" w:rsidRDefault="00DD6DC9">
          <w:pPr>
            <w:pStyle w:val="F68DE084186C435FB77E5AEFDAA6048E"/>
          </w:pPr>
          <w:r>
            <w:t>[company name]</w:t>
          </w:r>
        </w:p>
      </w:docPartBody>
    </w:docPart>
    <w:docPart>
      <w:docPartPr>
        <w:name w:val="E54EE5EB97104F329FDE7F5A91E648AC"/>
        <w:category>
          <w:name w:val="General"/>
          <w:gallery w:val="placeholder"/>
        </w:category>
        <w:types>
          <w:type w:val="bbPlcHdr"/>
        </w:types>
        <w:behaviors>
          <w:behavior w:val="content"/>
        </w:behaviors>
        <w:guid w:val="{BA8FFBE3-46D6-4915-8A89-A708CAFFCCB7}"/>
      </w:docPartPr>
      <w:docPartBody>
        <w:p w:rsidR="00210FD2" w:rsidRDefault="00DD6DC9">
          <w:pPr>
            <w:pStyle w:val="E54EE5EB97104F329FDE7F5A91E648AC"/>
          </w:pPr>
          <w: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DC9"/>
    <w:rsid w:val="00210FD2"/>
    <w:rsid w:val="0021114A"/>
    <w:rsid w:val="003107E0"/>
    <w:rsid w:val="0078490E"/>
    <w:rsid w:val="0086725B"/>
    <w:rsid w:val="008F703C"/>
    <w:rsid w:val="00B75345"/>
    <w:rsid w:val="00B848BA"/>
    <w:rsid w:val="00D27C3B"/>
    <w:rsid w:val="00DD6D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ABE000785A468695BAD92469547543">
    <w:name w:val="8AABE000785A468695BAD92469547543"/>
  </w:style>
  <w:style w:type="paragraph" w:customStyle="1" w:styleId="DEA43A37739F495B92A1CA29C17CC168">
    <w:name w:val="DEA43A37739F495B92A1CA29C17CC168"/>
  </w:style>
  <w:style w:type="paragraph" w:customStyle="1" w:styleId="F623D86635BD48B4BCF868B69F4A7268">
    <w:name w:val="F623D86635BD48B4BCF868B69F4A7268"/>
  </w:style>
  <w:style w:type="paragraph" w:customStyle="1" w:styleId="B088D6CA9D684CB0804ED36192F95975">
    <w:name w:val="B088D6CA9D684CB0804ED36192F95975"/>
  </w:style>
  <w:style w:type="character" w:styleId="Strong">
    <w:name w:val="Strong"/>
    <w:basedOn w:val="DefaultParagraphFont"/>
    <w:uiPriority w:val="1"/>
    <w:qFormat/>
    <w:rPr>
      <w:b/>
      <w:bCs/>
    </w:rPr>
  </w:style>
  <w:style w:type="paragraph" w:customStyle="1" w:styleId="3E1E94CEB2A3478080529B32B5C26FC3">
    <w:name w:val="3E1E94CEB2A3478080529B32B5C26FC3"/>
  </w:style>
  <w:style w:type="paragraph" w:customStyle="1" w:styleId="D17B51DE895E48619C6C8098A4D6A4DB">
    <w:name w:val="D17B51DE895E48619C6C8098A4D6A4DB"/>
  </w:style>
  <w:style w:type="paragraph" w:customStyle="1" w:styleId="2E38A70BC3A442748D266F7B481EFA83">
    <w:name w:val="2E38A70BC3A442748D266F7B481EFA83"/>
  </w:style>
  <w:style w:type="paragraph" w:customStyle="1" w:styleId="2C30153150444538BDDD50683E517697">
    <w:name w:val="2C30153150444538BDDD50683E517697"/>
  </w:style>
  <w:style w:type="paragraph" w:customStyle="1" w:styleId="0C9356B6A34B408F9267CB66F95F5E98">
    <w:name w:val="0C9356B6A34B408F9267CB66F95F5E98"/>
  </w:style>
  <w:style w:type="paragraph" w:customStyle="1" w:styleId="B8D258DBD452427CA3F262689B542EE3">
    <w:name w:val="B8D258DBD452427CA3F262689B542EE3"/>
  </w:style>
  <w:style w:type="paragraph" w:customStyle="1" w:styleId="CBA4C5886BCC40C2A119B75E9088B931">
    <w:name w:val="CBA4C5886BCC40C2A119B75E9088B931"/>
  </w:style>
  <w:style w:type="paragraph" w:customStyle="1" w:styleId="5FA86A87191A4296B634C25BCE2C1F9F">
    <w:name w:val="5FA86A87191A4296B634C25BCE2C1F9F"/>
  </w:style>
  <w:style w:type="paragraph" w:customStyle="1" w:styleId="F68DE084186C435FB77E5AEFDAA6048E">
    <w:name w:val="F68DE084186C435FB77E5AEFDAA6048E"/>
  </w:style>
  <w:style w:type="paragraph" w:customStyle="1" w:styleId="E54EE5EB97104F329FDE7F5A91E648AC">
    <w:name w:val="E54EE5EB97104F329FDE7F5A91E648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2017-11-29T00:00:00</PublishDate>
  <Abstract/>
  <CompanyAddress>lecturer: JIA MIAO</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F29840-ED91-4B8B-89A3-204E03A550ED}">
  <ds:schemaRefs>
    <ds:schemaRef ds:uri="http://schemas.microsoft.com/sharepoint/v3/contenttype/forms"/>
  </ds:schemaRefs>
</ds:datastoreItem>
</file>

<file path=customXml/itemProps3.xml><?xml version="1.0" encoding="utf-8"?>
<ds:datastoreItem xmlns:ds="http://schemas.openxmlformats.org/officeDocument/2006/customXml" ds:itemID="{263068DD-0446-4D5E-A096-C2F1D1C1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communication plan</Template>
  <TotalTime>257</TotalTime>
  <Pages>22</Pages>
  <Words>5073</Words>
  <Characters>28922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FINANCIAL MANAGEMENT</vt:lpstr>
    </vt:vector>
  </TitlesOfParts>
  <Company>roll number: 1705750</Company>
  <LinksUpToDate>false</LinksUpToDate>
  <CharactersWithSpaces>33928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subject>assessment 1</dc:subject>
  <dc:creator>Ibrahim tasira</dc:creator>
  <cp:keywords/>
  <cp:lastModifiedBy>ibrahim tasira</cp:lastModifiedBy>
  <cp:revision>10</cp:revision>
  <dcterms:created xsi:type="dcterms:W3CDTF">2017-12-31T17:40:00Z</dcterms:created>
  <dcterms:modified xsi:type="dcterms:W3CDTF">2018-01-09T13:40:00Z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TC039920449991</vt:lpwstr>
  </property>
</Properties>
</file>