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EAD17A" w14:textId="1B0773D1" w:rsidR="00230936" w:rsidRPr="004A3685" w:rsidRDefault="00230936" w:rsidP="00230936">
      <w:pPr>
        <w:jc w:val="center"/>
        <w:rPr>
          <w:rFonts w:cs="Arial"/>
          <w:b/>
          <w:bCs/>
          <w:lang w:val=""/>
        </w:rPr>
      </w:pPr>
      <w:bookmarkStart w:id="0" w:name="_Hlk191136703"/>
    </w:p>
    <w:p w14:paraId="38149A56" w14:textId="77777777" w:rsidR="00230936" w:rsidRPr="004A3685" w:rsidRDefault="00230936" w:rsidP="00230936">
      <w:pPr>
        <w:jc w:val="center"/>
        <w:rPr>
          <w:rFonts w:cs="Arial"/>
          <w:b/>
          <w:bCs/>
          <w:lang w:val=""/>
        </w:rPr>
      </w:pPr>
    </w:p>
    <w:p w14:paraId="03B33279" w14:textId="03C6E1B0" w:rsidR="00230936" w:rsidRPr="004A3685" w:rsidRDefault="00230936" w:rsidP="00230936">
      <w:pPr>
        <w:spacing w:line="360" w:lineRule="auto"/>
        <w:jc w:val="center"/>
        <w:rPr>
          <w:rFonts w:cs="Arial"/>
          <w:lang w:val=""/>
        </w:rPr>
      </w:pPr>
      <w:r w:rsidRPr="004A3685">
        <w:rPr>
          <w:rFonts w:cs="Arial"/>
          <w:lang w:val=""/>
        </w:rPr>
        <w:t>Assignment Ty</w:t>
      </w:r>
      <w:r w:rsidR="00DD10ED">
        <w:rPr>
          <w:rFonts w:cs="Arial"/>
          <w:lang w:val=""/>
        </w:rPr>
        <w:t>p</w:t>
      </w:r>
      <w:r w:rsidRPr="004A3685">
        <w:rPr>
          <w:rFonts w:cs="Arial"/>
          <w:lang w:val=""/>
        </w:rPr>
        <w:t>e: Report</w:t>
      </w:r>
    </w:p>
    <w:p w14:paraId="20DD81B9" w14:textId="7B6579F2" w:rsidR="00230936" w:rsidRPr="004A3685" w:rsidRDefault="00230936" w:rsidP="00230936">
      <w:pPr>
        <w:spacing w:line="360" w:lineRule="auto"/>
        <w:jc w:val="center"/>
        <w:rPr>
          <w:rFonts w:cs="Arial"/>
          <w:lang w:val=""/>
        </w:rPr>
      </w:pPr>
      <w:r w:rsidRPr="004A3685">
        <w:rPr>
          <w:rFonts w:cs="Arial"/>
          <w:lang w:val=""/>
        </w:rPr>
        <w:t>Report Title: Sustainable Transport in the Automotive Industry</w:t>
      </w:r>
    </w:p>
    <w:p w14:paraId="57726AFD" w14:textId="77777777" w:rsidR="00230936" w:rsidRPr="004A3685" w:rsidRDefault="00230936" w:rsidP="00230936">
      <w:pPr>
        <w:spacing w:line="360" w:lineRule="auto"/>
        <w:jc w:val="center"/>
        <w:rPr>
          <w:rFonts w:cs="Arial"/>
          <w:lang w:val=""/>
        </w:rPr>
      </w:pPr>
      <w:r w:rsidRPr="004A3685">
        <w:rPr>
          <w:rFonts w:cs="Arial"/>
          <w:lang w:val=""/>
        </w:rPr>
        <w:t>Programme: BA (Hons) International Hotel Management</w:t>
      </w:r>
    </w:p>
    <w:p w14:paraId="7F0441E1" w14:textId="1B420058" w:rsidR="00230936" w:rsidRPr="004A3685" w:rsidRDefault="00230936" w:rsidP="00230936">
      <w:pPr>
        <w:spacing w:line="360" w:lineRule="auto"/>
        <w:jc w:val="center"/>
        <w:rPr>
          <w:rFonts w:cs="Arial"/>
          <w:lang w:val=""/>
        </w:rPr>
      </w:pPr>
      <w:r w:rsidRPr="004A3685">
        <w:rPr>
          <w:rFonts w:cs="Arial"/>
          <w:lang w:val=""/>
        </w:rPr>
        <w:t>Module Code: BMIH5006</w:t>
      </w:r>
    </w:p>
    <w:p w14:paraId="14E61BA7" w14:textId="43C1D8BE" w:rsidR="00230936" w:rsidRPr="004A3685" w:rsidRDefault="00230936" w:rsidP="00230936">
      <w:pPr>
        <w:spacing w:line="360" w:lineRule="auto"/>
        <w:jc w:val="center"/>
      </w:pPr>
      <w:r w:rsidRPr="004A3685">
        <w:rPr>
          <w:rFonts w:cs="Arial"/>
          <w:lang w:val=""/>
        </w:rPr>
        <w:t xml:space="preserve">Lecturer: </w:t>
      </w:r>
      <w:r w:rsidRPr="004A3685">
        <w:t xml:space="preserve"> Kathryn Roberts</w:t>
      </w:r>
    </w:p>
    <w:p w14:paraId="1B315011" w14:textId="64D30C00" w:rsidR="00230936" w:rsidRDefault="00230936" w:rsidP="00230936">
      <w:pPr>
        <w:spacing w:line="360" w:lineRule="auto"/>
        <w:jc w:val="center"/>
      </w:pPr>
      <w:r w:rsidRPr="004A3685">
        <w:rPr>
          <w:rFonts w:cs="Arial"/>
          <w:lang w:val=""/>
        </w:rPr>
        <w:t xml:space="preserve">Internal Verifier: </w:t>
      </w:r>
      <w:r w:rsidRPr="004A3685">
        <w:t>Daniel Payne</w:t>
      </w:r>
    </w:p>
    <w:p w14:paraId="0F805935" w14:textId="76BA2F49" w:rsidR="00FD713A" w:rsidRDefault="00FD713A" w:rsidP="00230936">
      <w:pPr>
        <w:spacing w:line="360" w:lineRule="auto"/>
        <w:jc w:val="center"/>
      </w:pPr>
      <w:r>
        <w:t xml:space="preserve">Student Name: </w:t>
      </w:r>
      <w:r w:rsidRPr="00FD713A">
        <w:t xml:space="preserve">Saima </w:t>
      </w:r>
      <w:r>
        <w:t>J</w:t>
      </w:r>
      <w:r w:rsidRPr="00FD713A">
        <w:t>abeen</w:t>
      </w:r>
    </w:p>
    <w:p w14:paraId="534EC6ED" w14:textId="499344B6" w:rsidR="00FD713A" w:rsidRPr="004A3685" w:rsidRDefault="00FD713A" w:rsidP="00230936">
      <w:pPr>
        <w:spacing w:line="360" w:lineRule="auto"/>
        <w:jc w:val="center"/>
        <w:rPr>
          <w:rFonts w:cs="Arial"/>
          <w:lang w:val=""/>
        </w:rPr>
      </w:pPr>
      <w:r>
        <w:rPr>
          <w:rFonts w:cs="Arial"/>
          <w:lang w:val=""/>
        </w:rPr>
        <w:t xml:space="preserve">Student ID: </w:t>
      </w:r>
      <w:r w:rsidRPr="00FD713A">
        <w:rPr>
          <w:rFonts w:cs="Arial"/>
          <w:lang w:val=""/>
        </w:rPr>
        <w:t>2241265</w:t>
      </w:r>
    </w:p>
    <w:p w14:paraId="47C4B799" w14:textId="12757CE9" w:rsidR="00230936" w:rsidRPr="004A3685" w:rsidRDefault="00430C2A" w:rsidP="00230936">
      <w:pPr>
        <w:spacing w:line="360" w:lineRule="auto"/>
        <w:rPr>
          <w:rFonts w:cs="Arial"/>
          <w:lang w:val=""/>
        </w:rPr>
      </w:pPr>
      <w:r>
        <w:rPr>
          <w:rFonts w:cs="Arial"/>
          <w:lang w:val=""/>
        </w:rPr>
        <w:t xml:space="preserve">                                                        Date : 07-03-2025</w:t>
      </w:r>
    </w:p>
    <w:p w14:paraId="27E9CB63" w14:textId="77777777" w:rsidR="00FD713A" w:rsidRDefault="00FD713A" w:rsidP="00230936">
      <w:pPr>
        <w:spacing w:line="360" w:lineRule="auto"/>
        <w:jc w:val="center"/>
        <w:rPr>
          <w:rFonts w:cs="Arial"/>
          <w:b/>
          <w:bCs/>
          <w:u w:val="single"/>
          <w:lang w:val=""/>
        </w:rPr>
      </w:pPr>
    </w:p>
    <w:p w14:paraId="715403AD" w14:textId="77777777" w:rsidR="00FD713A" w:rsidRDefault="00FD713A" w:rsidP="00230936">
      <w:pPr>
        <w:spacing w:line="360" w:lineRule="auto"/>
        <w:jc w:val="center"/>
        <w:rPr>
          <w:rFonts w:cs="Arial"/>
          <w:b/>
          <w:bCs/>
          <w:u w:val="single"/>
          <w:lang w:val=""/>
        </w:rPr>
      </w:pPr>
    </w:p>
    <w:p w14:paraId="7C6625B6" w14:textId="77777777" w:rsidR="00FD713A" w:rsidRDefault="00FD713A" w:rsidP="00230936">
      <w:pPr>
        <w:spacing w:line="360" w:lineRule="auto"/>
        <w:jc w:val="center"/>
        <w:rPr>
          <w:rFonts w:cs="Arial"/>
          <w:b/>
          <w:bCs/>
          <w:u w:val="single"/>
          <w:lang w:val=""/>
        </w:rPr>
      </w:pPr>
    </w:p>
    <w:p w14:paraId="23F0331F" w14:textId="77777777" w:rsidR="00FD713A" w:rsidRDefault="00FD713A" w:rsidP="00230936">
      <w:pPr>
        <w:spacing w:line="360" w:lineRule="auto"/>
        <w:jc w:val="center"/>
        <w:rPr>
          <w:rFonts w:cs="Arial"/>
          <w:b/>
          <w:bCs/>
          <w:u w:val="single"/>
          <w:lang w:val=""/>
        </w:rPr>
      </w:pPr>
    </w:p>
    <w:p w14:paraId="20600955" w14:textId="77777777" w:rsidR="00FD713A" w:rsidRDefault="00FD713A" w:rsidP="00230936">
      <w:pPr>
        <w:spacing w:line="360" w:lineRule="auto"/>
        <w:jc w:val="center"/>
        <w:rPr>
          <w:rFonts w:cs="Arial"/>
          <w:b/>
          <w:bCs/>
          <w:u w:val="single"/>
          <w:lang w:val=""/>
        </w:rPr>
      </w:pPr>
    </w:p>
    <w:p w14:paraId="4365F155" w14:textId="77777777" w:rsidR="00FD713A" w:rsidRDefault="00FD713A" w:rsidP="00230936">
      <w:pPr>
        <w:spacing w:line="360" w:lineRule="auto"/>
        <w:jc w:val="center"/>
        <w:rPr>
          <w:rFonts w:cs="Arial"/>
          <w:b/>
          <w:bCs/>
          <w:u w:val="single"/>
          <w:lang w:val=""/>
        </w:rPr>
      </w:pPr>
    </w:p>
    <w:p w14:paraId="3E9D8546" w14:textId="77777777" w:rsidR="00FD713A" w:rsidRDefault="00FD713A" w:rsidP="00230936">
      <w:pPr>
        <w:spacing w:line="360" w:lineRule="auto"/>
        <w:jc w:val="center"/>
        <w:rPr>
          <w:rFonts w:cs="Arial"/>
          <w:b/>
          <w:bCs/>
          <w:u w:val="single"/>
          <w:lang w:val=""/>
        </w:rPr>
      </w:pPr>
    </w:p>
    <w:p w14:paraId="168B9113" w14:textId="77777777" w:rsidR="00FD713A" w:rsidRDefault="00FD713A" w:rsidP="00230936">
      <w:pPr>
        <w:spacing w:line="360" w:lineRule="auto"/>
        <w:jc w:val="center"/>
        <w:rPr>
          <w:rFonts w:cs="Arial"/>
          <w:b/>
          <w:bCs/>
          <w:u w:val="single"/>
          <w:lang w:val=""/>
        </w:rPr>
      </w:pPr>
    </w:p>
    <w:p w14:paraId="6CC654FF" w14:textId="03493363" w:rsidR="00230936" w:rsidRDefault="00230936" w:rsidP="00230936">
      <w:pPr>
        <w:spacing w:line="360" w:lineRule="auto"/>
        <w:jc w:val="center"/>
        <w:rPr>
          <w:rFonts w:cs="Arial"/>
          <w:b/>
          <w:bCs/>
          <w:u w:val="single"/>
          <w:lang w:val=""/>
        </w:rPr>
      </w:pPr>
      <w:r w:rsidRPr="004A3685">
        <w:rPr>
          <w:rFonts w:cs="Arial"/>
          <w:b/>
          <w:bCs/>
          <w:u w:val="single"/>
          <w:lang w:val=""/>
        </w:rPr>
        <w:t>AI Declaration</w:t>
      </w:r>
    </w:p>
    <w:p w14:paraId="08AF3FF6" w14:textId="0EF10AC7" w:rsidR="000A1C5F" w:rsidRPr="000A1C5F" w:rsidRDefault="000A1C5F" w:rsidP="00230936">
      <w:pPr>
        <w:spacing w:line="360" w:lineRule="auto"/>
        <w:jc w:val="center"/>
        <w:rPr>
          <w:rFonts w:cs="Arial"/>
          <w:lang w:val=""/>
        </w:rPr>
      </w:pPr>
      <w:r>
        <w:rPr>
          <w:rFonts w:cs="Arial"/>
          <w:lang w:val=""/>
        </w:rPr>
        <w:t>I confirm that i have not used any AI tools in the research and creation of this assignment.i confirm that i have not presented any AI generated materials as my  own work.i confirm i have copies of my drafts,notes,and other resources i used,which i may be asked to provide in evidence.</w:t>
      </w:r>
    </w:p>
    <w:p w14:paraId="73D5C334" w14:textId="36FB3497" w:rsidR="003B0B01" w:rsidRPr="004A3685" w:rsidRDefault="001E2852" w:rsidP="000E6F85">
      <w:pPr>
        <w:pStyle w:val="Heading1"/>
        <w:spacing w:before="0" w:after="240" w:line="360" w:lineRule="auto"/>
        <w:jc w:val="center"/>
        <w:rPr>
          <w:rStyle w:val="Strong"/>
          <w:b/>
          <w:bCs w:val="0"/>
        </w:rPr>
      </w:pPr>
      <w:bookmarkStart w:id="1" w:name="_Toc191299270"/>
      <w:r w:rsidRPr="004A3685">
        <w:rPr>
          <w:rStyle w:val="Strong"/>
          <w:b/>
          <w:bCs w:val="0"/>
        </w:rPr>
        <w:lastRenderedPageBreak/>
        <w:t>Executive Summary</w:t>
      </w:r>
      <w:bookmarkEnd w:id="1"/>
    </w:p>
    <w:p w14:paraId="6AAEA6F6" w14:textId="2CF78431" w:rsidR="00B472A4" w:rsidRPr="004A3685" w:rsidRDefault="00702077" w:rsidP="000E6F85">
      <w:pPr>
        <w:spacing w:after="240" w:line="360" w:lineRule="auto"/>
        <w:jc w:val="both"/>
        <w:rPr>
          <w:rStyle w:val="Strong"/>
          <w:rFonts w:cs="Arial"/>
          <w:b w:val="0"/>
          <w:bCs w:val="0"/>
          <w:color w:val="404040"/>
          <w:szCs w:val="24"/>
        </w:rPr>
      </w:pPr>
      <w:r w:rsidRPr="004A3685">
        <w:rPr>
          <w:rStyle w:val="Strong"/>
          <w:rFonts w:cs="Arial"/>
          <w:b w:val="0"/>
          <w:bCs w:val="0"/>
          <w:color w:val="404040"/>
          <w:szCs w:val="24"/>
        </w:rPr>
        <w:t>Road transport accounts for</w:t>
      </w:r>
      <w:r w:rsidR="00230936" w:rsidRPr="004A3685">
        <w:rPr>
          <w:rStyle w:val="Strong"/>
          <w:rFonts w:cs="Arial"/>
          <w:b w:val="0"/>
          <w:bCs w:val="0"/>
          <w:color w:val="404040"/>
          <w:szCs w:val="24"/>
        </w:rPr>
        <w:t xml:space="preserve"> major </w:t>
      </w:r>
      <w:r w:rsidRPr="004A3685">
        <w:rPr>
          <w:rStyle w:val="Strong"/>
          <w:rFonts w:cs="Arial"/>
          <w:b w:val="0"/>
          <w:bCs w:val="0"/>
          <w:color w:val="404040"/>
          <w:szCs w:val="24"/>
        </w:rPr>
        <w:t xml:space="preserve">worldwide vehicle sales, and fossil fuel-burning internal combustion engines (ICEs) are the primary source of carbon emissions, air pollution, and resource depletion. </w:t>
      </w:r>
      <w:r w:rsidR="00230936" w:rsidRPr="004A3685">
        <w:rPr>
          <w:rStyle w:val="Strong"/>
          <w:rFonts w:cs="Arial"/>
          <w:b w:val="0"/>
          <w:bCs w:val="0"/>
          <w:color w:val="404040"/>
          <w:szCs w:val="24"/>
        </w:rPr>
        <w:t>This report analyses the impact of road transport on the environment of the automotive industry and provides solutions to mitigate such impacts. In addition</w:t>
      </w:r>
      <w:r w:rsidR="001E2852" w:rsidRPr="004A3685">
        <w:rPr>
          <w:rStyle w:val="Strong"/>
          <w:rFonts w:cs="Arial"/>
          <w:b w:val="0"/>
          <w:bCs w:val="0"/>
          <w:color w:val="404040"/>
          <w:szCs w:val="24"/>
        </w:rPr>
        <w:t xml:space="preserve">, </w:t>
      </w:r>
      <w:r w:rsidRPr="004A3685">
        <w:rPr>
          <w:rStyle w:val="Strong"/>
          <w:rFonts w:cs="Arial"/>
          <w:b w:val="0"/>
          <w:bCs w:val="0"/>
          <w:color w:val="404040"/>
          <w:szCs w:val="24"/>
        </w:rPr>
        <w:t xml:space="preserve">the following report </w:t>
      </w:r>
      <w:r w:rsidR="001E2852" w:rsidRPr="004A3685">
        <w:rPr>
          <w:rStyle w:val="Strong"/>
          <w:rFonts w:cs="Arial"/>
          <w:b w:val="0"/>
          <w:bCs w:val="0"/>
          <w:color w:val="404040"/>
          <w:szCs w:val="24"/>
        </w:rPr>
        <w:t>proposes ways to address these problems, such as alternative fuel solutions like biofuels and hydrogen, and fuel-efficient technologies and lightweight materials. It concludes that investment and supportive government policies are required to accelerate a faster force into a road transport environment of sustainability</w:t>
      </w:r>
      <w:r w:rsidRPr="004A3685">
        <w:rPr>
          <w:rStyle w:val="Strong"/>
          <w:rFonts w:cs="Arial"/>
          <w:b w:val="0"/>
          <w:bCs w:val="0"/>
          <w:color w:val="404040"/>
          <w:szCs w:val="24"/>
        </w:rPr>
        <w:t xml:space="preserve"> and </w:t>
      </w:r>
      <w:r w:rsidR="001E2852" w:rsidRPr="004A3685">
        <w:rPr>
          <w:rStyle w:val="Strong"/>
          <w:rFonts w:cs="Arial"/>
          <w:b w:val="0"/>
          <w:bCs w:val="0"/>
          <w:color w:val="404040"/>
          <w:szCs w:val="24"/>
        </w:rPr>
        <w:t xml:space="preserve">technological innovation. </w:t>
      </w:r>
    </w:p>
    <w:p w14:paraId="40D46852" w14:textId="77777777" w:rsidR="00B472A4" w:rsidRPr="004A3685" w:rsidRDefault="00B472A4" w:rsidP="000E6F85">
      <w:pPr>
        <w:spacing w:line="360" w:lineRule="auto"/>
        <w:rPr>
          <w:rStyle w:val="Strong"/>
          <w:rFonts w:cs="Arial"/>
          <w:b w:val="0"/>
          <w:bCs w:val="0"/>
          <w:color w:val="404040"/>
          <w:szCs w:val="24"/>
        </w:rPr>
      </w:pPr>
      <w:r w:rsidRPr="004A3685">
        <w:rPr>
          <w:rStyle w:val="Strong"/>
          <w:rFonts w:cs="Arial"/>
          <w:b w:val="0"/>
          <w:bCs w:val="0"/>
          <w:color w:val="404040"/>
          <w:szCs w:val="24"/>
        </w:rPr>
        <w:br w:type="page"/>
      </w:r>
    </w:p>
    <w:sdt>
      <w:sdtPr>
        <w:rPr>
          <w:rFonts w:ascii="Arial" w:eastAsiaTheme="minorHAnsi" w:hAnsi="Arial" w:cstheme="minorBidi"/>
          <w:color w:val="000000" w:themeColor="text1"/>
          <w:sz w:val="24"/>
          <w:szCs w:val="22"/>
          <w:lang w:val="en-GB"/>
        </w:rPr>
        <w:id w:val="1255398347"/>
        <w:docPartObj>
          <w:docPartGallery w:val="Table of Contents"/>
          <w:docPartUnique/>
        </w:docPartObj>
      </w:sdtPr>
      <w:sdtEndPr>
        <w:rPr>
          <w:b/>
          <w:bCs/>
          <w:noProof/>
        </w:rPr>
      </w:sdtEndPr>
      <w:sdtContent>
        <w:p w14:paraId="57A8E5A6" w14:textId="3DCE10DE" w:rsidR="00B472A4" w:rsidRPr="004A3685" w:rsidRDefault="00B472A4" w:rsidP="00D95FB7">
          <w:pPr>
            <w:pStyle w:val="TOCHeading"/>
            <w:spacing w:before="0" w:after="240" w:line="360" w:lineRule="auto"/>
            <w:jc w:val="center"/>
            <w:rPr>
              <w:rFonts w:ascii="Arial" w:hAnsi="Arial" w:cs="Arial"/>
              <w:b/>
              <w:bCs/>
              <w:color w:val="000000" w:themeColor="text1"/>
            </w:rPr>
          </w:pPr>
          <w:r w:rsidRPr="004A3685">
            <w:rPr>
              <w:rFonts w:ascii="Arial" w:hAnsi="Arial" w:cs="Arial"/>
              <w:b/>
              <w:bCs/>
              <w:color w:val="000000" w:themeColor="text1"/>
            </w:rPr>
            <w:t>Table of Contents</w:t>
          </w:r>
        </w:p>
        <w:p w14:paraId="721C751C" w14:textId="7382F4E2" w:rsidR="00D95FB7" w:rsidRPr="004A3685" w:rsidRDefault="00B472A4" w:rsidP="00D95FB7">
          <w:pPr>
            <w:pStyle w:val="TOC1"/>
            <w:tabs>
              <w:tab w:val="right" w:leader="dot" w:pos="9350"/>
            </w:tabs>
            <w:spacing w:line="360" w:lineRule="auto"/>
            <w:rPr>
              <w:rFonts w:asciiTheme="minorHAnsi" w:eastAsiaTheme="minorEastAsia" w:hAnsiTheme="minorHAnsi"/>
              <w:noProof/>
              <w:color w:val="auto"/>
              <w:sz w:val="22"/>
              <w:lang w:eastAsia="en-GB"/>
            </w:rPr>
          </w:pPr>
          <w:r w:rsidRPr="004A3685">
            <w:fldChar w:fldCharType="begin"/>
          </w:r>
          <w:r w:rsidRPr="004A3685">
            <w:instrText xml:space="preserve"> TOC \o "1-3" \h \z \u </w:instrText>
          </w:r>
          <w:r w:rsidRPr="004A3685">
            <w:fldChar w:fldCharType="separate"/>
          </w:r>
          <w:hyperlink w:anchor="_Toc191299270" w:history="1">
            <w:r w:rsidR="00D95FB7" w:rsidRPr="004A3685">
              <w:rPr>
                <w:rStyle w:val="Hyperlink"/>
                <w:noProof/>
              </w:rPr>
              <w:t>Executive Summary</w:t>
            </w:r>
            <w:r w:rsidR="00D95FB7" w:rsidRPr="004A3685">
              <w:rPr>
                <w:noProof/>
                <w:webHidden/>
              </w:rPr>
              <w:tab/>
            </w:r>
            <w:r w:rsidR="00D95FB7" w:rsidRPr="004A3685">
              <w:rPr>
                <w:noProof/>
                <w:webHidden/>
              </w:rPr>
              <w:fldChar w:fldCharType="begin"/>
            </w:r>
            <w:r w:rsidR="00D95FB7" w:rsidRPr="004A3685">
              <w:rPr>
                <w:noProof/>
                <w:webHidden/>
              </w:rPr>
              <w:instrText xml:space="preserve"> PAGEREF _Toc191299270 \h </w:instrText>
            </w:r>
            <w:r w:rsidR="00D95FB7" w:rsidRPr="004A3685">
              <w:rPr>
                <w:noProof/>
                <w:webHidden/>
              </w:rPr>
            </w:r>
            <w:r w:rsidR="00D95FB7" w:rsidRPr="004A3685">
              <w:rPr>
                <w:noProof/>
                <w:webHidden/>
              </w:rPr>
              <w:fldChar w:fldCharType="separate"/>
            </w:r>
            <w:r w:rsidR="00D95FB7" w:rsidRPr="004A3685">
              <w:rPr>
                <w:noProof/>
                <w:webHidden/>
              </w:rPr>
              <w:t>2</w:t>
            </w:r>
            <w:r w:rsidR="00D95FB7" w:rsidRPr="004A3685">
              <w:rPr>
                <w:noProof/>
                <w:webHidden/>
              </w:rPr>
              <w:fldChar w:fldCharType="end"/>
            </w:r>
          </w:hyperlink>
        </w:p>
        <w:p w14:paraId="48C5B087" w14:textId="7B73749B" w:rsidR="00D95FB7" w:rsidRPr="004A3685" w:rsidRDefault="00D95FB7" w:rsidP="00D95FB7">
          <w:pPr>
            <w:pStyle w:val="TOC1"/>
            <w:tabs>
              <w:tab w:val="right" w:leader="dot" w:pos="9350"/>
            </w:tabs>
            <w:spacing w:line="360" w:lineRule="auto"/>
            <w:rPr>
              <w:rFonts w:asciiTheme="minorHAnsi" w:eastAsiaTheme="minorEastAsia" w:hAnsiTheme="minorHAnsi"/>
              <w:noProof/>
              <w:color w:val="auto"/>
              <w:sz w:val="22"/>
              <w:lang w:eastAsia="en-GB"/>
            </w:rPr>
          </w:pPr>
          <w:hyperlink w:anchor="_Toc191299271" w:history="1">
            <w:r w:rsidRPr="004A3685">
              <w:rPr>
                <w:rStyle w:val="Hyperlink"/>
                <w:noProof/>
              </w:rPr>
              <w:t>Introduction</w:t>
            </w:r>
            <w:r w:rsidRPr="004A3685">
              <w:rPr>
                <w:noProof/>
                <w:webHidden/>
              </w:rPr>
              <w:tab/>
            </w:r>
            <w:r w:rsidRPr="004A3685">
              <w:rPr>
                <w:noProof/>
                <w:webHidden/>
              </w:rPr>
              <w:fldChar w:fldCharType="begin"/>
            </w:r>
            <w:r w:rsidRPr="004A3685">
              <w:rPr>
                <w:noProof/>
                <w:webHidden/>
              </w:rPr>
              <w:instrText xml:space="preserve"> PAGEREF _Toc191299271 \h </w:instrText>
            </w:r>
            <w:r w:rsidRPr="004A3685">
              <w:rPr>
                <w:noProof/>
                <w:webHidden/>
              </w:rPr>
            </w:r>
            <w:r w:rsidRPr="004A3685">
              <w:rPr>
                <w:noProof/>
                <w:webHidden/>
              </w:rPr>
              <w:fldChar w:fldCharType="separate"/>
            </w:r>
            <w:r w:rsidRPr="004A3685">
              <w:rPr>
                <w:noProof/>
                <w:webHidden/>
              </w:rPr>
              <w:t>4</w:t>
            </w:r>
            <w:r w:rsidRPr="004A3685">
              <w:rPr>
                <w:noProof/>
                <w:webHidden/>
              </w:rPr>
              <w:fldChar w:fldCharType="end"/>
            </w:r>
          </w:hyperlink>
        </w:p>
        <w:p w14:paraId="63120089" w14:textId="2EB4BA6A" w:rsidR="00D95FB7" w:rsidRPr="004A3685" w:rsidRDefault="00D95FB7" w:rsidP="00D95FB7">
          <w:pPr>
            <w:pStyle w:val="TOC1"/>
            <w:tabs>
              <w:tab w:val="right" w:leader="dot" w:pos="9350"/>
            </w:tabs>
            <w:spacing w:line="360" w:lineRule="auto"/>
            <w:rPr>
              <w:rFonts w:asciiTheme="minorHAnsi" w:eastAsiaTheme="minorEastAsia" w:hAnsiTheme="minorHAnsi"/>
              <w:noProof/>
              <w:color w:val="auto"/>
              <w:sz w:val="22"/>
              <w:lang w:eastAsia="en-GB"/>
            </w:rPr>
          </w:pPr>
          <w:hyperlink w:anchor="_Toc191299272" w:history="1">
            <w:r w:rsidRPr="004A3685">
              <w:rPr>
                <w:rStyle w:val="Hyperlink"/>
                <w:noProof/>
              </w:rPr>
              <w:t>2.1. Automotive in Hospitality Industry</w:t>
            </w:r>
            <w:r w:rsidRPr="004A3685">
              <w:rPr>
                <w:noProof/>
                <w:webHidden/>
              </w:rPr>
              <w:tab/>
            </w:r>
            <w:r w:rsidRPr="004A3685">
              <w:rPr>
                <w:noProof/>
                <w:webHidden/>
              </w:rPr>
              <w:fldChar w:fldCharType="begin"/>
            </w:r>
            <w:r w:rsidRPr="004A3685">
              <w:rPr>
                <w:noProof/>
                <w:webHidden/>
              </w:rPr>
              <w:instrText xml:space="preserve"> PAGEREF _Toc191299272 \h </w:instrText>
            </w:r>
            <w:r w:rsidRPr="004A3685">
              <w:rPr>
                <w:noProof/>
                <w:webHidden/>
              </w:rPr>
            </w:r>
            <w:r w:rsidRPr="004A3685">
              <w:rPr>
                <w:noProof/>
                <w:webHidden/>
              </w:rPr>
              <w:fldChar w:fldCharType="separate"/>
            </w:r>
            <w:r w:rsidRPr="004A3685">
              <w:rPr>
                <w:noProof/>
                <w:webHidden/>
              </w:rPr>
              <w:t>4</w:t>
            </w:r>
            <w:r w:rsidRPr="004A3685">
              <w:rPr>
                <w:noProof/>
                <w:webHidden/>
              </w:rPr>
              <w:fldChar w:fldCharType="end"/>
            </w:r>
          </w:hyperlink>
        </w:p>
        <w:p w14:paraId="44AB6B46" w14:textId="0E31C29B" w:rsidR="00D95FB7" w:rsidRPr="004A3685" w:rsidRDefault="00D95FB7" w:rsidP="00D95FB7">
          <w:pPr>
            <w:pStyle w:val="TOC1"/>
            <w:tabs>
              <w:tab w:val="right" w:leader="dot" w:pos="9350"/>
            </w:tabs>
            <w:spacing w:line="360" w:lineRule="auto"/>
            <w:rPr>
              <w:rFonts w:asciiTheme="minorHAnsi" w:eastAsiaTheme="minorEastAsia" w:hAnsiTheme="minorHAnsi"/>
              <w:noProof/>
              <w:color w:val="auto"/>
              <w:sz w:val="22"/>
              <w:lang w:eastAsia="en-GB"/>
            </w:rPr>
          </w:pPr>
          <w:hyperlink w:anchor="_Toc191299273" w:history="1">
            <w:r w:rsidRPr="004A3685">
              <w:rPr>
                <w:rStyle w:val="Hyperlink"/>
                <w:noProof/>
              </w:rPr>
              <w:t>2.2. Environmental Impact of Road Transport</w:t>
            </w:r>
            <w:r w:rsidRPr="004A3685">
              <w:rPr>
                <w:noProof/>
                <w:webHidden/>
              </w:rPr>
              <w:tab/>
            </w:r>
            <w:r w:rsidRPr="004A3685">
              <w:rPr>
                <w:noProof/>
                <w:webHidden/>
              </w:rPr>
              <w:fldChar w:fldCharType="begin"/>
            </w:r>
            <w:r w:rsidRPr="004A3685">
              <w:rPr>
                <w:noProof/>
                <w:webHidden/>
              </w:rPr>
              <w:instrText xml:space="preserve"> PAGEREF _Toc191299273 \h </w:instrText>
            </w:r>
            <w:r w:rsidRPr="004A3685">
              <w:rPr>
                <w:noProof/>
                <w:webHidden/>
              </w:rPr>
            </w:r>
            <w:r w:rsidRPr="004A3685">
              <w:rPr>
                <w:noProof/>
                <w:webHidden/>
              </w:rPr>
              <w:fldChar w:fldCharType="separate"/>
            </w:r>
            <w:r w:rsidRPr="004A3685">
              <w:rPr>
                <w:noProof/>
                <w:webHidden/>
              </w:rPr>
              <w:t>5</w:t>
            </w:r>
            <w:r w:rsidRPr="004A3685">
              <w:rPr>
                <w:noProof/>
                <w:webHidden/>
              </w:rPr>
              <w:fldChar w:fldCharType="end"/>
            </w:r>
          </w:hyperlink>
        </w:p>
        <w:p w14:paraId="7F3F3EA8" w14:textId="6CC5632E" w:rsidR="00D95FB7" w:rsidRPr="004A3685" w:rsidRDefault="00D95FB7" w:rsidP="00D95FB7">
          <w:pPr>
            <w:pStyle w:val="TOC1"/>
            <w:tabs>
              <w:tab w:val="right" w:leader="dot" w:pos="9350"/>
            </w:tabs>
            <w:spacing w:line="360" w:lineRule="auto"/>
            <w:rPr>
              <w:rFonts w:asciiTheme="minorHAnsi" w:eastAsiaTheme="minorEastAsia" w:hAnsiTheme="minorHAnsi"/>
              <w:noProof/>
              <w:color w:val="auto"/>
              <w:sz w:val="22"/>
              <w:lang w:eastAsia="en-GB"/>
            </w:rPr>
          </w:pPr>
          <w:hyperlink w:anchor="_Toc191299274" w:history="1">
            <w:r w:rsidRPr="004A3685">
              <w:rPr>
                <w:rStyle w:val="Hyperlink"/>
                <w:noProof/>
              </w:rPr>
              <w:t>2.3. Damage Caused by Automotive Industry</w:t>
            </w:r>
            <w:r w:rsidRPr="004A3685">
              <w:rPr>
                <w:noProof/>
                <w:webHidden/>
              </w:rPr>
              <w:tab/>
            </w:r>
            <w:r w:rsidRPr="004A3685">
              <w:rPr>
                <w:noProof/>
                <w:webHidden/>
              </w:rPr>
              <w:fldChar w:fldCharType="begin"/>
            </w:r>
            <w:r w:rsidRPr="004A3685">
              <w:rPr>
                <w:noProof/>
                <w:webHidden/>
              </w:rPr>
              <w:instrText xml:space="preserve"> PAGEREF _Toc191299274 \h </w:instrText>
            </w:r>
            <w:r w:rsidRPr="004A3685">
              <w:rPr>
                <w:noProof/>
                <w:webHidden/>
              </w:rPr>
            </w:r>
            <w:r w:rsidRPr="004A3685">
              <w:rPr>
                <w:noProof/>
                <w:webHidden/>
              </w:rPr>
              <w:fldChar w:fldCharType="separate"/>
            </w:r>
            <w:r w:rsidRPr="004A3685">
              <w:rPr>
                <w:noProof/>
                <w:webHidden/>
              </w:rPr>
              <w:t>7</w:t>
            </w:r>
            <w:r w:rsidRPr="004A3685">
              <w:rPr>
                <w:noProof/>
                <w:webHidden/>
              </w:rPr>
              <w:fldChar w:fldCharType="end"/>
            </w:r>
          </w:hyperlink>
        </w:p>
        <w:p w14:paraId="3853B841" w14:textId="7CF85263" w:rsidR="00D95FB7" w:rsidRPr="004A3685" w:rsidRDefault="00D95FB7" w:rsidP="00D95FB7">
          <w:pPr>
            <w:pStyle w:val="TOC2"/>
            <w:tabs>
              <w:tab w:val="right" w:leader="dot" w:pos="9350"/>
            </w:tabs>
            <w:spacing w:line="360" w:lineRule="auto"/>
            <w:rPr>
              <w:rFonts w:asciiTheme="minorHAnsi" w:eastAsiaTheme="minorEastAsia" w:hAnsiTheme="minorHAnsi"/>
              <w:noProof/>
              <w:color w:val="auto"/>
              <w:sz w:val="22"/>
              <w:lang w:eastAsia="en-GB"/>
            </w:rPr>
          </w:pPr>
          <w:hyperlink w:anchor="_Toc191299275" w:history="1">
            <w:r w:rsidRPr="004A3685">
              <w:rPr>
                <w:rStyle w:val="Hyperlink"/>
                <w:noProof/>
              </w:rPr>
              <w:t>2.3.1. Industry Examples of Successful Implementation</w:t>
            </w:r>
            <w:r w:rsidRPr="004A3685">
              <w:rPr>
                <w:noProof/>
                <w:webHidden/>
              </w:rPr>
              <w:tab/>
            </w:r>
            <w:r w:rsidRPr="004A3685">
              <w:rPr>
                <w:noProof/>
                <w:webHidden/>
              </w:rPr>
              <w:fldChar w:fldCharType="begin"/>
            </w:r>
            <w:r w:rsidRPr="004A3685">
              <w:rPr>
                <w:noProof/>
                <w:webHidden/>
              </w:rPr>
              <w:instrText xml:space="preserve"> PAGEREF _Toc191299275 \h </w:instrText>
            </w:r>
            <w:r w:rsidRPr="004A3685">
              <w:rPr>
                <w:noProof/>
                <w:webHidden/>
              </w:rPr>
            </w:r>
            <w:r w:rsidRPr="004A3685">
              <w:rPr>
                <w:noProof/>
                <w:webHidden/>
              </w:rPr>
              <w:fldChar w:fldCharType="separate"/>
            </w:r>
            <w:r w:rsidRPr="004A3685">
              <w:rPr>
                <w:noProof/>
                <w:webHidden/>
              </w:rPr>
              <w:t>8</w:t>
            </w:r>
            <w:r w:rsidRPr="004A3685">
              <w:rPr>
                <w:noProof/>
                <w:webHidden/>
              </w:rPr>
              <w:fldChar w:fldCharType="end"/>
            </w:r>
          </w:hyperlink>
        </w:p>
        <w:p w14:paraId="7ED06DF3" w14:textId="7915B96B" w:rsidR="00D95FB7" w:rsidRPr="004A3685" w:rsidRDefault="00D95FB7" w:rsidP="00D95FB7">
          <w:pPr>
            <w:pStyle w:val="TOC3"/>
            <w:tabs>
              <w:tab w:val="right" w:leader="dot" w:pos="9350"/>
            </w:tabs>
            <w:spacing w:line="360" w:lineRule="auto"/>
            <w:rPr>
              <w:noProof/>
            </w:rPr>
          </w:pPr>
          <w:hyperlink w:anchor="_Toc191299276" w:history="1">
            <w:r w:rsidRPr="004A3685">
              <w:rPr>
                <w:rStyle w:val="Hyperlink"/>
                <w:noProof/>
              </w:rPr>
              <w:t>2.3.1.1. Case Study 1: Tesla’s Transition to a Fully Electric Vehicle Lineup</w:t>
            </w:r>
            <w:r w:rsidRPr="004A3685">
              <w:rPr>
                <w:noProof/>
                <w:webHidden/>
              </w:rPr>
              <w:tab/>
            </w:r>
            <w:r w:rsidRPr="004A3685">
              <w:rPr>
                <w:noProof/>
                <w:webHidden/>
              </w:rPr>
              <w:fldChar w:fldCharType="begin"/>
            </w:r>
            <w:r w:rsidRPr="004A3685">
              <w:rPr>
                <w:noProof/>
                <w:webHidden/>
              </w:rPr>
              <w:instrText xml:space="preserve"> PAGEREF _Toc191299276 \h </w:instrText>
            </w:r>
            <w:r w:rsidRPr="004A3685">
              <w:rPr>
                <w:noProof/>
                <w:webHidden/>
              </w:rPr>
            </w:r>
            <w:r w:rsidRPr="004A3685">
              <w:rPr>
                <w:noProof/>
                <w:webHidden/>
              </w:rPr>
              <w:fldChar w:fldCharType="separate"/>
            </w:r>
            <w:r w:rsidRPr="004A3685">
              <w:rPr>
                <w:noProof/>
                <w:webHidden/>
              </w:rPr>
              <w:t>8</w:t>
            </w:r>
            <w:r w:rsidRPr="004A3685">
              <w:rPr>
                <w:noProof/>
                <w:webHidden/>
              </w:rPr>
              <w:fldChar w:fldCharType="end"/>
            </w:r>
          </w:hyperlink>
        </w:p>
        <w:p w14:paraId="1D170967" w14:textId="5A469B6B" w:rsidR="00D95FB7" w:rsidRPr="004A3685" w:rsidRDefault="00D95FB7" w:rsidP="00D95FB7">
          <w:pPr>
            <w:pStyle w:val="TOC3"/>
            <w:tabs>
              <w:tab w:val="right" w:leader="dot" w:pos="9350"/>
            </w:tabs>
            <w:spacing w:line="360" w:lineRule="auto"/>
            <w:rPr>
              <w:noProof/>
            </w:rPr>
          </w:pPr>
          <w:hyperlink w:anchor="_Toc191299277" w:history="1">
            <w:r w:rsidRPr="004A3685">
              <w:rPr>
                <w:rStyle w:val="Hyperlink"/>
                <w:noProof/>
              </w:rPr>
              <w:t>2.3.2.2. Case Study 2: Toyota’s Use of Hydrogen-Powered Vehicles</w:t>
            </w:r>
            <w:r w:rsidRPr="004A3685">
              <w:rPr>
                <w:noProof/>
                <w:webHidden/>
              </w:rPr>
              <w:tab/>
            </w:r>
            <w:r w:rsidRPr="004A3685">
              <w:rPr>
                <w:noProof/>
                <w:webHidden/>
              </w:rPr>
              <w:fldChar w:fldCharType="begin"/>
            </w:r>
            <w:r w:rsidRPr="004A3685">
              <w:rPr>
                <w:noProof/>
                <w:webHidden/>
              </w:rPr>
              <w:instrText xml:space="preserve"> PAGEREF _Toc191299277 \h </w:instrText>
            </w:r>
            <w:r w:rsidRPr="004A3685">
              <w:rPr>
                <w:noProof/>
                <w:webHidden/>
              </w:rPr>
            </w:r>
            <w:r w:rsidRPr="004A3685">
              <w:rPr>
                <w:noProof/>
                <w:webHidden/>
              </w:rPr>
              <w:fldChar w:fldCharType="separate"/>
            </w:r>
            <w:r w:rsidRPr="004A3685">
              <w:rPr>
                <w:noProof/>
                <w:webHidden/>
              </w:rPr>
              <w:t>9</w:t>
            </w:r>
            <w:r w:rsidRPr="004A3685">
              <w:rPr>
                <w:noProof/>
                <w:webHidden/>
              </w:rPr>
              <w:fldChar w:fldCharType="end"/>
            </w:r>
          </w:hyperlink>
        </w:p>
        <w:p w14:paraId="17D06D4B" w14:textId="4662A1E2" w:rsidR="00D95FB7" w:rsidRPr="004A3685" w:rsidRDefault="00D95FB7" w:rsidP="00D95FB7">
          <w:pPr>
            <w:pStyle w:val="TOC1"/>
            <w:tabs>
              <w:tab w:val="right" w:leader="dot" w:pos="9350"/>
            </w:tabs>
            <w:spacing w:line="360" w:lineRule="auto"/>
            <w:rPr>
              <w:rFonts w:asciiTheme="minorHAnsi" w:eastAsiaTheme="minorEastAsia" w:hAnsiTheme="minorHAnsi"/>
              <w:noProof/>
              <w:color w:val="auto"/>
              <w:sz w:val="22"/>
              <w:lang w:eastAsia="en-GB"/>
            </w:rPr>
          </w:pPr>
          <w:hyperlink w:anchor="_Toc191299278" w:history="1">
            <w:r w:rsidRPr="004A3685">
              <w:rPr>
                <w:rStyle w:val="Hyperlink"/>
                <w:noProof/>
              </w:rPr>
              <w:t>2.4. Proposed Solutions</w:t>
            </w:r>
            <w:r w:rsidRPr="004A3685">
              <w:rPr>
                <w:noProof/>
                <w:webHidden/>
              </w:rPr>
              <w:tab/>
            </w:r>
            <w:r w:rsidRPr="004A3685">
              <w:rPr>
                <w:noProof/>
                <w:webHidden/>
              </w:rPr>
              <w:fldChar w:fldCharType="begin"/>
            </w:r>
            <w:r w:rsidRPr="004A3685">
              <w:rPr>
                <w:noProof/>
                <w:webHidden/>
              </w:rPr>
              <w:instrText xml:space="preserve"> PAGEREF _Toc191299278 \h </w:instrText>
            </w:r>
            <w:r w:rsidRPr="004A3685">
              <w:rPr>
                <w:noProof/>
                <w:webHidden/>
              </w:rPr>
            </w:r>
            <w:r w:rsidRPr="004A3685">
              <w:rPr>
                <w:noProof/>
                <w:webHidden/>
              </w:rPr>
              <w:fldChar w:fldCharType="separate"/>
            </w:r>
            <w:r w:rsidRPr="004A3685">
              <w:rPr>
                <w:noProof/>
                <w:webHidden/>
              </w:rPr>
              <w:t>9</w:t>
            </w:r>
            <w:r w:rsidRPr="004A3685">
              <w:rPr>
                <w:noProof/>
                <w:webHidden/>
              </w:rPr>
              <w:fldChar w:fldCharType="end"/>
            </w:r>
          </w:hyperlink>
        </w:p>
        <w:p w14:paraId="31FD848E" w14:textId="004E0015" w:rsidR="00D95FB7" w:rsidRPr="004A3685" w:rsidRDefault="00D95FB7" w:rsidP="00D95FB7">
          <w:pPr>
            <w:pStyle w:val="TOC1"/>
            <w:tabs>
              <w:tab w:val="right" w:leader="dot" w:pos="9350"/>
            </w:tabs>
            <w:spacing w:line="360" w:lineRule="auto"/>
            <w:rPr>
              <w:rFonts w:asciiTheme="minorHAnsi" w:eastAsiaTheme="minorEastAsia" w:hAnsiTheme="minorHAnsi"/>
              <w:noProof/>
              <w:color w:val="auto"/>
              <w:sz w:val="22"/>
              <w:lang w:eastAsia="en-GB"/>
            </w:rPr>
          </w:pPr>
          <w:hyperlink w:anchor="_Toc191299279" w:history="1">
            <w:r w:rsidRPr="004A3685">
              <w:rPr>
                <w:rStyle w:val="Hyperlink"/>
                <w:noProof/>
              </w:rPr>
              <w:t>Conclusion/Recommendations</w:t>
            </w:r>
            <w:r w:rsidRPr="004A3685">
              <w:rPr>
                <w:noProof/>
                <w:webHidden/>
              </w:rPr>
              <w:tab/>
            </w:r>
            <w:r w:rsidRPr="004A3685">
              <w:rPr>
                <w:noProof/>
                <w:webHidden/>
              </w:rPr>
              <w:fldChar w:fldCharType="begin"/>
            </w:r>
            <w:r w:rsidRPr="004A3685">
              <w:rPr>
                <w:noProof/>
                <w:webHidden/>
              </w:rPr>
              <w:instrText xml:space="preserve"> PAGEREF _Toc191299279 \h </w:instrText>
            </w:r>
            <w:r w:rsidRPr="004A3685">
              <w:rPr>
                <w:noProof/>
                <w:webHidden/>
              </w:rPr>
            </w:r>
            <w:r w:rsidRPr="004A3685">
              <w:rPr>
                <w:noProof/>
                <w:webHidden/>
              </w:rPr>
              <w:fldChar w:fldCharType="separate"/>
            </w:r>
            <w:r w:rsidRPr="004A3685">
              <w:rPr>
                <w:noProof/>
                <w:webHidden/>
              </w:rPr>
              <w:t>11</w:t>
            </w:r>
            <w:r w:rsidRPr="004A3685">
              <w:rPr>
                <w:noProof/>
                <w:webHidden/>
              </w:rPr>
              <w:fldChar w:fldCharType="end"/>
            </w:r>
          </w:hyperlink>
        </w:p>
        <w:p w14:paraId="65D2F8CD" w14:textId="6F0B9FEA" w:rsidR="00D95FB7" w:rsidRPr="004A3685" w:rsidRDefault="00D95FB7" w:rsidP="00D95FB7">
          <w:pPr>
            <w:pStyle w:val="TOC1"/>
            <w:tabs>
              <w:tab w:val="right" w:leader="dot" w:pos="9350"/>
            </w:tabs>
            <w:spacing w:line="360" w:lineRule="auto"/>
            <w:rPr>
              <w:rFonts w:asciiTheme="minorHAnsi" w:eastAsiaTheme="minorEastAsia" w:hAnsiTheme="minorHAnsi"/>
              <w:noProof/>
              <w:color w:val="auto"/>
              <w:sz w:val="22"/>
              <w:lang w:eastAsia="en-GB"/>
            </w:rPr>
          </w:pPr>
          <w:hyperlink w:anchor="_Toc191299280" w:history="1">
            <w:r w:rsidRPr="004A3685">
              <w:rPr>
                <w:rStyle w:val="Hyperlink"/>
                <w:noProof/>
              </w:rPr>
              <w:t>References</w:t>
            </w:r>
            <w:r w:rsidRPr="004A3685">
              <w:rPr>
                <w:noProof/>
                <w:webHidden/>
              </w:rPr>
              <w:tab/>
            </w:r>
            <w:r w:rsidRPr="004A3685">
              <w:rPr>
                <w:noProof/>
                <w:webHidden/>
              </w:rPr>
              <w:fldChar w:fldCharType="begin"/>
            </w:r>
            <w:r w:rsidRPr="004A3685">
              <w:rPr>
                <w:noProof/>
                <w:webHidden/>
              </w:rPr>
              <w:instrText xml:space="preserve"> PAGEREF _Toc191299280 \h </w:instrText>
            </w:r>
            <w:r w:rsidRPr="004A3685">
              <w:rPr>
                <w:noProof/>
                <w:webHidden/>
              </w:rPr>
            </w:r>
            <w:r w:rsidRPr="004A3685">
              <w:rPr>
                <w:noProof/>
                <w:webHidden/>
              </w:rPr>
              <w:fldChar w:fldCharType="separate"/>
            </w:r>
            <w:r w:rsidRPr="004A3685">
              <w:rPr>
                <w:noProof/>
                <w:webHidden/>
              </w:rPr>
              <w:t>12</w:t>
            </w:r>
            <w:r w:rsidRPr="004A3685">
              <w:rPr>
                <w:noProof/>
                <w:webHidden/>
              </w:rPr>
              <w:fldChar w:fldCharType="end"/>
            </w:r>
          </w:hyperlink>
        </w:p>
        <w:p w14:paraId="057EED65" w14:textId="699FB9AB" w:rsidR="00B472A4" w:rsidRPr="004A3685" w:rsidRDefault="00B472A4" w:rsidP="00D95FB7">
          <w:pPr>
            <w:spacing w:after="240" w:line="360" w:lineRule="auto"/>
          </w:pPr>
          <w:r w:rsidRPr="004A3685">
            <w:rPr>
              <w:b/>
              <w:bCs/>
              <w:noProof/>
            </w:rPr>
            <w:fldChar w:fldCharType="end"/>
          </w:r>
        </w:p>
      </w:sdtContent>
    </w:sdt>
    <w:p w14:paraId="7D253D06" w14:textId="77777777" w:rsidR="003B0B01" w:rsidRPr="004A3685" w:rsidRDefault="003B0B01" w:rsidP="000E6F85">
      <w:pPr>
        <w:spacing w:after="240" w:line="360" w:lineRule="auto"/>
        <w:jc w:val="both"/>
        <w:rPr>
          <w:rStyle w:val="Strong"/>
          <w:rFonts w:cs="Arial"/>
          <w:b w:val="0"/>
          <w:bCs w:val="0"/>
          <w:color w:val="404040"/>
          <w:szCs w:val="24"/>
        </w:rPr>
      </w:pPr>
    </w:p>
    <w:p w14:paraId="6C133827" w14:textId="77777777" w:rsidR="00702077" w:rsidRPr="004A3685" w:rsidRDefault="00702077" w:rsidP="000E6F85">
      <w:pPr>
        <w:spacing w:after="240" w:line="360" w:lineRule="auto"/>
        <w:rPr>
          <w:rStyle w:val="Strong"/>
          <w:rFonts w:cs="Arial"/>
          <w:b w:val="0"/>
          <w:bCs w:val="0"/>
          <w:color w:val="404040"/>
          <w:szCs w:val="24"/>
        </w:rPr>
      </w:pPr>
      <w:r w:rsidRPr="004A3685">
        <w:rPr>
          <w:rStyle w:val="Strong"/>
          <w:rFonts w:cs="Arial"/>
          <w:b w:val="0"/>
          <w:bCs w:val="0"/>
          <w:color w:val="404040"/>
          <w:szCs w:val="24"/>
        </w:rPr>
        <w:br w:type="page"/>
      </w:r>
    </w:p>
    <w:p w14:paraId="49481BFC" w14:textId="4EE96D4E" w:rsidR="008415BA" w:rsidRPr="004A3685" w:rsidRDefault="001E2852" w:rsidP="000E6F85">
      <w:pPr>
        <w:pStyle w:val="Heading1"/>
        <w:spacing w:before="0" w:after="240" w:line="360" w:lineRule="auto"/>
      </w:pPr>
      <w:bookmarkStart w:id="2" w:name="_Toc191299271"/>
      <w:r w:rsidRPr="004A3685">
        <w:rPr>
          <w:rStyle w:val="Strong"/>
          <w:b/>
          <w:bCs w:val="0"/>
        </w:rPr>
        <w:lastRenderedPageBreak/>
        <w:t>Introduction</w:t>
      </w:r>
      <w:bookmarkEnd w:id="2"/>
    </w:p>
    <w:p w14:paraId="6E666C9C" w14:textId="2474B95A" w:rsidR="008415BA" w:rsidRPr="004A3685" w:rsidRDefault="002C651A" w:rsidP="000E6F85">
      <w:pPr>
        <w:spacing w:after="240" w:line="360" w:lineRule="auto"/>
        <w:jc w:val="both"/>
        <w:rPr>
          <w:rFonts w:cs="Arial"/>
          <w:color w:val="404040"/>
          <w:szCs w:val="24"/>
        </w:rPr>
      </w:pPr>
      <w:r w:rsidRPr="004A3685">
        <w:rPr>
          <w:rFonts w:cs="Arial"/>
          <w:color w:val="404040"/>
          <w:szCs w:val="24"/>
        </w:rPr>
        <w:t>Road transport provides dependable and adaptable services at affordable prices, making it an essential component of the global transport sector. The road transport system's direct delivery service effectively manages various product kinds, meeting the demands of the manufacturing and retail sectors (</w:t>
      </w:r>
      <w:r w:rsidRPr="004A3685">
        <w:rPr>
          <w:rFonts w:cs="Arial"/>
          <w:szCs w:val="24"/>
        </w:rPr>
        <w:t>Kaiser and Barstow, 2022)</w:t>
      </w:r>
      <w:r w:rsidRPr="004A3685">
        <w:rPr>
          <w:rFonts w:cs="Arial"/>
          <w:color w:val="404040"/>
          <w:szCs w:val="24"/>
        </w:rPr>
        <w:t xml:space="preserve">. </w:t>
      </w:r>
      <w:r w:rsidR="00971A64" w:rsidRPr="004A3685">
        <w:rPr>
          <w:rFonts w:cs="Arial"/>
          <w:color w:val="404040"/>
          <w:szCs w:val="24"/>
        </w:rPr>
        <w:t xml:space="preserve">The automotive industry is closely linked with the road transport sector, as </w:t>
      </w:r>
      <w:r w:rsidR="00474CC8" w:rsidRPr="004A3685">
        <w:rPr>
          <w:rFonts w:cs="Arial"/>
          <w:color w:val="404040"/>
          <w:szCs w:val="24"/>
        </w:rPr>
        <w:t>80</w:t>
      </w:r>
      <w:r w:rsidR="00B472A4" w:rsidRPr="004A3685">
        <w:rPr>
          <w:rFonts w:cs="Arial"/>
          <w:color w:val="404040"/>
          <w:szCs w:val="24"/>
        </w:rPr>
        <w:t>%</w:t>
      </w:r>
      <w:r w:rsidR="00971A64" w:rsidRPr="004A3685">
        <w:rPr>
          <w:rFonts w:cs="Arial"/>
          <w:color w:val="404040"/>
          <w:szCs w:val="24"/>
        </w:rPr>
        <w:t xml:space="preserve"> of global transport energy consumption is still from internal combustion (ICE) vehicles (IEA, 202</w:t>
      </w:r>
      <w:r w:rsidR="00474CC8" w:rsidRPr="004A3685">
        <w:rPr>
          <w:rFonts w:cs="Arial"/>
          <w:color w:val="404040"/>
          <w:szCs w:val="24"/>
        </w:rPr>
        <w:t>4</w:t>
      </w:r>
      <w:r w:rsidR="00971A64" w:rsidRPr="004A3685">
        <w:rPr>
          <w:rFonts w:cs="Arial"/>
          <w:color w:val="404040"/>
          <w:szCs w:val="24"/>
        </w:rPr>
        <w:t xml:space="preserve">). This report is critical in the exploration of the ways to reduce the environmental externalities of road transport from the automotive industry, namely carbon intensity, particulate pollution and depletion of resources. </w:t>
      </w:r>
      <w:r w:rsidR="00474CC8" w:rsidRPr="004A3685">
        <w:rPr>
          <w:rFonts w:cs="Arial"/>
          <w:color w:val="404040"/>
          <w:szCs w:val="24"/>
        </w:rPr>
        <w:t>The primary challenge is evaluating sustainable initiatives' infrastructural and economic viability, such as operational optimisation</w:t>
      </w:r>
      <w:r w:rsidR="00165CEF" w:rsidRPr="004A3685">
        <w:rPr>
          <w:rFonts w:cs="Arial"/>
          <w:color w:val="404040"/>
          <w:szCs w:val="24"/>
        </w:rPr>
        <w:t xml:space="preserve"> and </w:t>
      </w:r>
      <w:r w:rsidR="00474CC8" w:rsidRPr="004A3685">
        <w:rPr>
          <w:rFonts w:cs="Arial"/>
          <w:color w:val="404040"/>
          <w:szCs w:val="24"/>
        </w:rPr>
        <w:t>alternative fuels</w:t>
      </w:r>
      <w:r w:rsidR="00165CEF" w:rsidRPr="004A3685">
        <w:rPr>
          <w:rFonts w:cs="Arial"/>
          <w:color w:val="404040"/>
          <w:szCs w:val="24"/>
        </w:rPr>
        <w:t xml:space="preserve">. </w:t>
      </w:r>
      <w:r w:rsidR="00603050" w:rsidRPr="004A3685">
        <w:rPr>
          <w:rFonts w:cs="Arial"/>
          <w:color w:val="404040"/>
          <w:szCs w:val="24"/>
        </w:rPr>
        <w:t>Hence, c</w:t>
      </w:r>
      <w:r w:rsidR="00474CC8" w:rsidRPr="004A3685">
        <w:rPr>
          <w:rFonts w:cs="Arial"/>
          <w:color w:val="404040"/>
          <w:szCs w:val="24"/>
        </w:rPr>
        <w:t>urrent mitigation initiatives are separated by the conceptual presumptions of such scalable solutions and hurdles to market uptake.</w:t>
      </w:r>
    </w:p>
    <w:p w14:paraId="54C9BEF4" w14:textId="22A8944A" w:rsidR="00C92BDF" w:rsidRPr="004A3685" w:rsidRDefault="00F65038" w:rsidP="000E6F85">
      <w:pPr>
        <w:pStyle w:val="Heading1"/>
        <w:spacing w:before="0" w:after="240" w:line="360" w:lineRule="auto"/>
      </w:pPr>
      <w:bookmarkStart w:id="3" w:name="_Toc191299272"/>
      <w:r w:rsidRPr="004A3685">
        <w:t xml:space="preserve">2.1. </w:t>
      </w:r>
      <w:r w:rsidR="00B10883" w:rsidRPr="004A3685">
        <w:t>Automotive in Hospitality Industry</w:t>
      </w:r>
      <w:bookmarkEnd w:id="3"/>
    </w:p>
    <w:p w14:paraId="5894C7A9" w14:textId="2464B336" w:rsidR="00C92BDF" w:rsidRPr="004A3685" w:rsidRDefault="00C92BDF" w:rsidP="000E6F85">
      <w:pPr>
        <w:spacing w:after="240" w:line="360" w:lineRule="auto"/>
        <w:jc w:val="both"/>
        <w:rPr>
          <w:rFonts w:cs="Arial"/>
          <w:color w:val="404040"/>
          <w:szCs w:val="24"/>
        </w:rPr>
      </w:pPr>
      <w:r w:rsidRPr="004A3685">
        <w:rPr>
          <w:rFonts w:cs="Arial"/>
          <w:color w:val="404040"/>
          <w:szCs w:val="24"/>
        </w:rPr>
        <w:t xml:space="preserve">Hospitality transport, which is one area of the hospitality sector, is not widely seen as </w:t>
      </w:r>
      <w:r w:rsidR="00F65038" w:rsidRPr="004A3685">
        <w:rPr>
          <w:rFonts w:cs="Arial"/>
          <w:color w:val="404040"/>
          <w:szCs w:val="24"/>
        </w:rPr>
        <w:t>an essential</w:t>
      </w:r>
      <w:r w:rsidRPr="004A3685">
        <w:rPr>
          <w:rFonts w:cs="Arial"/>
          <w:color w:val="404040"/>
          <w:szCs w:val="24"/>
        </w:rPr>
        <w:t xml:space="preserve"> component of delivering a hospitable service experience, which is the movement of guests, employees, and items to maintain a hospitable service experience for visitors (</w:t>
      </w:r>
      <w:r w:rsidRPr="004A3685">
        <w:rPr>
          <w:rFonts w:cs="Arial"/>
          <w:szCs w:val="24"/>
        </w:rPr>
        <w:t>Zarezadeh et al., 2022)</w:t>
      </w:r>
      <w:r w:rsidRPr="004A3685">
        <w:rPr>
          <w:rFonts w:cs="Arial"/>
          <w:color w:val="404040"/>
          <w:szCs w:val="24"/>
        </w:rPr>
        <w:t xml:space="preserve">. </w:t>
      </w:r>
      <w:r w:rsidR="00F65038" w:rsidRPr="004A3685">
        <w:rPr>
          <w:rFonts w:cs="Arial"/>
          <w:color w:val="404040"/>
          <w:szCs w:val="24"/>
        </w:rPr>
        <w:t>However,</w:t>
      </w:r>
      <w:r w:rsidRPr="004A3685">
        <w:rPr>
          <w:rFonts w:cs="Arial"/>
          <w:color w:val="404040"/>
          <w:szCs w:val="24"/>
        </w:rPr>
        <w:t xml:space="preserve"> these operations are critical to the industry’s operations, but at the same time, they are also an intense source of environmental degradation, resource use and operational inefficiency. </w:t>
      </w:r>
    </w:p>
    <w:p w14:paraId="47D58DFA" w14:textId="050E5C76" w:rsidR="0014543E" w:rsidRPr="004A3685" w:rsidRDefault="00C92BDF" w:rsidP="000E6F85">
      <w:pPr>
        <w:spacing w:after="240" w:line="360" w:lineRule="auto"/>
        <w:jc w:val="both"/>
        <w:rPr>
          <w:rFonts w:cs="Arial"/>
          <w:color w:val="404040"/>
          <w:szCs w:val="24"/>
        </w:rPr>
      </w:pPr>
      <w:r w:rsidRPr="004A3685">
        <w:rPr>
          <w:rFonts w:cs="Arial"/>
          <w:color w:val="404040"/>
          <w:szCs w:val="24"/>
        </w:rPr>
        <w:t xml:space="preserve">Furthermore, the </w:t>
      </w:r>
      <w:r w:rsidR="00B10883" w:rsidRPr="004A3685">
        <w:rPr>
          <w:rFonts w:cs="Arial"/>
          <w:color w:val="404040"/>
          <w:szCs w:val="24"/>
        </w:rPr>
        <w:t>automotive</w:t>
      </w:r>
      <w:r w:rsidR="00F65038" w:rsidRPr="004A3685">
        <w:rPr>
          <w:rFonts w:cs="Arial"/>
          <w:color w:val="404040"/>
          <w:szCs w:val="24"/>
        </w:rPr>
        <w:t xml:space="preserve"> transport segment has a more significant environmental impact because it</w:t>
      </w:r>
      <w:r w:rsidR="0014543E" w:rsidRPr="004A3685">
        <w:rPr>
          <w:rFonts w:cs="Arial"/>
          <w:color w:val="404040"/>
          <w:szCs w:val="24"/>
        </w:rPr>
        <w:t xml:space="preserve"> acts inefficiently, for instance,</w:t>
      </w:r>
      <w:r w:rsidRPr="004A3685">
        <w:rPr>
          <w:rFonts w:cs="Arial"/>
          <w:color w:val="404040"/>
          <w:szCs w:val="24"/>
        </w:rPr>
        <w:t xml:space="preserve"> because of </w:t>
      </w:r>
      <w:r w:rsidR="00F65038" w:rsidRPr="004A3685">
        <w:rPr>
          <w:rFonts w:cs="Arial"/>
          <w:color w:val="404040"/>
          <w:szCs w:val="24"/>
        </w:rPr>
        <w:t>lousy</w:t>
      </w:r>
      <w:r w:rsidRPr="004A3685">
        <w:rPr>
          <w:rFonts w:cs="Arial"/>
          <w:color w:val="404040"/>
          <w:szCs w:val="24"/>
        </w:rPr>
        <w:t xml:space="preserve"> route </w:t>
      </w:r>
      <w:r w:rsidR="00F65038" w:rsidRPr="004A3685">
        <w:rPr>
          <w:rFonts w:cs="Arial"/>
          <w:color w:val="404040"/>
          <w:szCs w:val="24"/>
        </w:rPr>
        <w:t>optimisation</w:t>
      </w:r>
      <w:r w:rsidRPr="004A3685">
        <w:rPr>
          <w:rFonts w:cs="Arial"/>
          <w:color w:val="404040"/>
          <w:szCs w:val="24"/>
        </w:rPr>
        <w:t xml:space="preserve"> or </w:t>
      </w:r>
      <w:r w:rsidR="00F65038" w:rsidRPr="004A3685">
        <w:rPr>
          <w:rFonts w:cs="Arial"/>
          <w:color w:val="404040"/>
          <w:szCs w:val="24"/>
        </w:rPr>
        <w:t>insufficient</w:t>
      </w:r>
      <w:r w:rsidRPr="004A3685">
        <w:rPr>
          <w:rFonts w:cs="Arial"/>
          <w:color w:val="404040"/>
          <w:szCs w:val="24"/>
        </w:rPr>
        <w:t xml:space="preserve"> capacity utilisation. </w:t>
      </w:r>
      <w:r w:rsidR="0014543E" w:rsidRPr="004A3685">
        <w:rPr>
          <w:rFonts w:cs="Arial"/>
          <w:color w:val="404040"/>
          <w:szCs w:val="24"/>
        </w:rPr>
        <w:t xml:space="preserve">The </w:t>
      </w:r>
      <w:r w:rsidR="00F65038" w:rsidRPr="004A3685">
        <w:rPr>
          <w:rFonts w:cs="Arial"/>
          <w:color w:val="404040"/>
          <w:szCs w:val="24"/>
        </w:rPr>
        <w:t>primary</w:t>
      </w:r>
      <w:r w:rsidR="0014543E" w:rsidRPr="004A3685">
        <w:rPr>
          <w:rFonts w:cs="Arial"/>
          <w:color w:val="404040"/>
          <w:szCs w:val="24"/>
        </w:rPr>
        <w:t xml:space="preserve"> sources of carbon emission, air pollution and fossil fuel dependency in hospitality transport are traditional fuel-based vehicles such as diesel-powered shuttles and delivery vans (Caban et al., 2023). Depending on the year and scenario, passenger transport is responsible for about </w:t>
      </w:r>
      <w:r w:rsidR="00F65038" w:rsidRPr="004A3685">
        <w:rPr>
          <w:rFonts w:cs="Arial"/>
          <w:color w:val="404040"/>
          <w:szCs w:val="24"/>
        </w:rPr>
        <w:t>one-third</w:t>
      </w:r>
      <w:r w:rsidR="0014543E" w:rsidRPr="004A3685">
        <w:rPr>
          <w:rFonts w:cs="Arial"/>
          <w:color w:val="404040"/>
          <w:szCs w:val="24"/>
        </w:rPr>
        <w:t xml:space="preserve"> of urban transport activity (see Figure 1), with the number of emissions arising. Compared to Current Ambition, Emissions </w:t>
      </w:r>
      <w:r w:rsidR="00F65038" w:rsidRPr="004A3685">
        <w:rPr>
          <w:rFonts w:cs="Arial"/>
          <w:color w:val="404040"/>
          <w:szCs w:val="24"/>
        </w:rPr>
        <w:t>declined</w:t>
      </w:r>
      <w:r w:rsidR="0014543E" w:rsidRPr="004A3685">
        <w:rPr>
          <w:rFonts w:cs="Arial"/>
          <w:color w:val="404040"/>
          <w:szCs w:val="24"/>
        </w:rPr>
        <w:t xml:space="preserve"> by 190 trillion tonnes of </w:t>
      </w:r>
      <m:oMath>
        <m:sSub>
          <m:sSubPr>
            <m:ctrlPr>
              <w:rPr>
                <w:rFonts w:ascii="Cambria Math" w:hAnsi="Cambria Math" w:cs="Arial"/>
                <w:szCs w:val="24"/>
              </w:rPr>
            </m:ctrlPr>
          </m:sSubPr>
          <m:e>
            <m:r>
              <m:rPr>
                <m:sty m:val="p"/>
              </m:rPr>
              <w:rPr>
                <w:rFonts w:ascii="Cambria Math" w:hAnsi="Cambria Math" w:cs="Arial"/>
                <w:szCs w:val="24"/>
              </w:rPr>
              <m:t>CO</m:t>
            </m:r>
          </m:e>
          <m:sub>
            <m:r>
              <m:rPr>
                <m:sty m:val="p"/>
              </m:rPr>
              <w:rPr>
                <w:rFonts w:ascii="Cambria Math" w:hAnsi="Cambria Math" w:cs="Arial"/>
                <w:szCs w:val="24"/>
              </w:rPr>
              <m:t>2</m:t>
            </m:r>
          </m:sub>
        </m:sSub>
      </m:oMath>
      <w:r w:rsidR="0079091F" w:rsidRPr="004A3685">
        <w:rPr>
          <w:rFonts w:cs="Arial"/>
          <w:szCs w:val="24"/>
        </w:rPr>
        <w:t xml:space="preserve"> </w:t>
      </w:r>
      <w:r w:rsidR="0014543E" w:rsidRPr="004A3685">
        <w:rPr>
          <w:rFonts w:cs="Arial"/>
          <w:color w:val="404040"/>
          <w:szCs w:val="24"/>
        </w:rPr>
        <w:t xml:space="preserve">between 2019 and 2050 under </w:t>
      </w:r>
      <w:r w:rsidR="0014543E" w:rsidRPr="004A3685">
        <w:rPr>
          <w:rFonts w:cs="Arial"/>
          <w:color w:val="404040"/>
          <w:szCs w:val="24"/>
        </w:rPr>
        <w:lastRenderedPageBreak/>
        <w:t xml:space="preserve">High Ambition. </w:t>
      </w:r>
      <w:r w:rsidR="00F65038" w:rsidRPr="004A3685">
        <w:rPr>
          <w:rFonts w:cs="Arial"/>
          <w:color w:val="404040"/>
          <w:szCs w:val="24"/>
        </w:rPr>
        <w:t>In both scenarios, emissions in regional trips in high-income countries will fall, resulting in a decrease in</w:t>
      </w:r>
      <w:r w:rsidR="0014543E" w:rsidRPr="004A3685">
        <w:rPr>
          <w:rFonts w:cs="Arial"/>
          <w:color w:val="404040"/>
          <w:szCs w:val="24"/>
        </w:rPr>
        <w:t xml:space="preserve"> non-urban passenger emissions. </w:t>
      </w:r>
    </w:p>
    <w:p w14:paraId="7E1160E2" w14:textId="77777777" w:rsidR="0014543E" w:rsidRPr="004A3685" w:rsidRDefault="0014543E" w:rsidP="008F7927">
      <w:pPr>
        <w:keepNext/>
        <w:spacing w:after="240" w:line="360" w:lineRule="auto"/>
        <w:jc w:val="center"/>
      </w:pPr>
      <w:r w:rsidRPr="004A3685">
        <w:rPr>
          <w:rFonts w:cs="Arial"/>
          <w:noProof/>
          <w:color w:val="404040"/>
          <w:szCs w:val="24"/>
        </w:rPr>
        <w:drawing>
          <wp:inline distT="0" distB="0" distL="0" distR="0" wp14:anchorId="488E0BDF" wp14:editId="3A0456BF">
            <wp:extent cx="5943600" cy="25355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535555"/>
                    </a:xfrm>
                    <a:prstGeom prst="rect">
                      <a:avLst/>
                    </a:prstGeom>
                  </pic:spPr>
                </pic:pic>
              </a:graphicData>
            </a:graphic>
          </wp:inline>
        </w:drawing>
      </w:r>
    </w:p>
    <w:p w14:paraId="4518BECE" w14:textId="3D2E8EB5" w:rsidR="0014543E" w:rsidRPr="004A3685" w:rsidRDefault="0014543E" w:rsidP="000E6F85">
      <w:pPr>
        <w:pStyle w:val="Caption"/>
        <w:spacing w:line="360" w:lineRule="auto"/>
        <w:jc w:val="center"/>
        <w:rPr>
          <w:rFonts w:cs="Arial"/>
          <w:b/>
          <w:bCs/>
          <w:i w:val="0"/>
          <w:iCs w:val="0"/>
          <w:color w:val="000000" w:themeColor="text1"/>
          <w:sz w:val="20"/>
          <w:szCs w:val="28"/>
        </w:rPr>
      </w:pPr>
      <w:r w:rsidRPr="004A3685">
        <w:rPr>
          <w:b/>
          <w:bCs/>
          <w:i w:val="0"/>
          <w:iCs w:val="0"/>
          <w:color w:val="000000" w:themeColor="text1"/>
          <w:sz w:val="20"/>
          <w:szCs w:val="20"/>
        </w:rPr>
        <w:t xml:space="preserve">Figure </w:t>
      </w:r>
      <w:r w:rsidRPr="004A3685">
        <w:rPr>
          <w:b/>
          <w:bCs/>
          <w:i w:val="0"/>
          <w:iCs w:val="0"/>
          <w:color w:val="000000" w:themeColor="text1"/>
          <w:sz w:val="20"/>
          <w:szCs w:val="20"/>
        </w:rPr>
        <w:fldChar w:fldCharType="begin"/>
      </w:r>
      <w:r w:rsidRPr="004A3685">
        <w:rPr>
          <w:b/>
          <w:bCs/>
          <w:i w:val="0"/>
          <w:iCs w:val="0"/>
          <w:color w:val="000000" w:themeColor="text1"/>
          <w:sz w:val="20"/>
          <w:szCs w:val="20"/>
        </w:rPr>
        <w:instrText xml:space="preserve"> SEQ Figure \* ARABIC </w:instrText>
      </w:r>
      <w:r w:rsidRPr="004A3685">
        <w:rPr>
          <w:b/>
          <w:bCs/>
          <w:i w:val="0"/>
          <w:iCs w:val="0"/>
          <w:color w:val="000000" w:themeColor="text1"/>
          <w:sz w:val="20"/>
          <w:szCs w:val="20"/>
        </w:rPr>
        <w:fldChar w:fldCharType="separate"/>
      </w:r>
      <w:r w:rsidR="0001563C" w:rsidRPr="004A3685">
        <w:rPr>
          <w:b/>
          <w:bCs/>
          <w:i w:val="0"/>
          <w:iCs w:val="0"/>
          <w:noProof/>
          <w:color w:val="000000" w:themeColor="text1"/>
          <w:sz w:val="20"/>
          <w:szCs w:val="20"/>
        </w:rPr>
        <w:t>1</w:t>
      </w:r>
      <w:r w:rsidRPr="004A3685">
        <w:rPr>
          <w:b/>
          <w:bCs/>
          <w:i w:val="0"/>
          <w:iCs w:val="0"/>
          <w:color w:val="000000" w:themeColor="text1"/>
          <w:sz w:val="20"/>
          <w:szCs w:val="20"/>
        </w:rPr>
        <w:fldChar w:fldCharType="end"/>
      </w:r>
      <w:r w:rsidRPr="004A3685">
        <w:rPr>
          <w:b/>
          <w:bCs/>
          <w:i w:val="0"/>
          <w:iCs w:val="0"/>
          <w:color w:val="000000" w:themeColor="text1"/>
          <w:sz w:val="20"/>
          <w:szCs w:val="20"/>
        </w:rPr>
        <w:t xml:space="preserve">: </w:t>
      </w:r>
      <w:r w:rsidRPr="004A3685">
        <w:rPr>
          <w:i w:val="0"/>
          <w:iCs w:val="0"/>
          <w:color w:val="000000" w:themeColor="text1"/>
          <w:sz w:val="20"/>
          <w:szCs w:val="20"/>
        </w:rPr>
        <w:t>Total passenger transport emissions, 2019-50, under the Current Ambition and High. (Source: ITF, 2023)</w:t>
      </w:r>
    </w:p>
    <w:p w14:paraId="5C45290C" w14:textId="406A0083" w:rsidR="00C92BDF" w:rsidRPr="004A3685" w:rsidRDefault="00C92BDF" w:rsidP="000E6F85">
      <w:pPr>
        <w:spacing w:after="240" w:line="360" w:lineRule="auto"/>
        <w:jc w:val="both"/>
        <w:rPr>
          <w:rFonts w:cs="Arial"/>
          <w:color w:val="404040"/>
          <w:szCs w:val="24"/>
        </w:rPr>
      </w:pPr>
      <w:r w:rsidRPr="004A3685">
        <w:rPr>
          <w:rFonts w:cs="Arial"/>
          <w:color w:val="404040"/>
          <w:szCs w:val="24"/>
        </w:rPr>
        <w:t xml:space="preserve">Furthermore, in </w:t>
      </w:r>
      <w:r w:rsidR="0014543E" w:rsidRPr="004A3685">
        <w:rPr>
          <w:rFonts w:cs="Arial"/>
          <w:color w:val="404040"/>
          <w:szCs w:val="24"/>
        </w:rPr>
        <w:t>areas with poor public transport infrastructure, the industry relies heavily on private vehicles for guest transportation, which increases traffic congestion</w:t>
      </w:r>
      <w:r w:rsidRPr="004A3685">
        <w:rPr>
          <w:rFonts w:cs="Arial"/>
          <w:color w:val="404040"/>
          <w:szCs w:val="24"/>
        </w:rPr>
        <w:t xml:space="preserve"> and carbon emissions</w:t>
      </w:r>
      <w:r w:rsidR="00AF4F21" w:rsidRPr="004A3685">
        <w:rPr>
          <w:rFonts w:cs="Arial"/>
          <w:color w:val="404040"/>
          <w:szCs w:val="24"/>
        </w:rPr>
        <w:t xml:space="preserve"> (Gao and Zhu, 2022)</w:t>
      </w:r>
      <w:r w:rsidRPr="004A3685">
        <w:rPr>
          <w:rFonts w:cs="Arial"/>
          <w:color w:val="404040"/>
          <w:szCs w:val="24"/>
        </w:rPr>
        <w:t>.</w:t>
      </w:r>
      <w:r w:rsidR="000E6F85" w:rsidRPr="004A3685">
        <w:rPr>
          <w:rFonts w:cs="Arial"/>
          <w:color w:val="404040"/>
          <w:szCs w:val="24"/>
        </w:rPr>
        <w:t xml:space="preserve"> </w:t>
      </w:r>
      <w:r w:rsidR="00F65038" w:rsidRPr="004A3685">
        <w:rPr>
          <w:rFonts w:cs="Arial"/>
          <w:color w:val="404040"/>
          <w:szCs w:val="24"/>
        </w:rPr>
        <w:t>Global tourism and the consumers’ demand for convenience toned up the demand for sustainable transport solutions</w:t>
      </w:r>
      <w:r w:rsidR="00D95FB7" w:rsidRPr="004A3685">
        <w:rPr>
          <w:rFonts w:cs="Arial"/>
          <w:color w:val="404040"/>
          <w:szCs w:val="24"/>
        </w:rPr>
        <w:t xml:space="preserve"> </w:t>
      </w:r>
      <w:r w:rsidR="00580412" w:rsidRPr="004A3685">
        <w:rPr>
          <w:rFonts w:cs="Arial"/>
          <w:color w:val="404040"/>
          <w:szCs w:val="24"/>
        </w:rPr>
        <w:t>(Jauhari et al., 2021)</w:t>
      </w:r>
      <w:r w:rsidRPr="004A3685">
        <w:rPr>
          <w:rFonts w:cs="Arial"/>
          <w:color w:val="404040"/>
          <w:szCs w:val="24"/>
        </w:rPr>
        <w:t xml:space="preserve">. </w:t>
      </w:r>
      <w:r w:rsidR="00F65038" w:rsidRPr="004A3685">
        <w:rPr>
          <w:rFonts w:cs="Arial"/>
          <w:color w:val="404040"/>
          <w:szCs w:val="24"/>
        </w:rPr>
        <w:t>However</w:t>
      </w:r>
      <w:r w:rsidRPr="004A3685">
        <w:rPr>
          <w:rFonts w:cs="Arial"/>
          <w:color w:val="404040"/>
          <w:szCs w:val="24"/>
        </w:rPr>
        <w:t xml:space="preserve">, </w:t>
      </w:r>
      <w:r w:rsidR="000E6F85" w:rsidRPr="004A3685">
        <w:rPr>
          <w:rFonts w:cs="Arial"/>
          <w:color w:val="404040"/>
          <w:szCs w:val="24"/>
        </w:rPr>
        <w:t>adopting</w:t>
      </w:r>
      <w:r w:rsidRPr="004A3685">
        <w:rPr>
          <w:rFonts w:cs="Arial"/>
          <w:color w:val="404040"/>
          <w:szCs w:val="24"/>
        </w:rPr>
        <w:t xml:space="preserve"> these solutions is </w:t>
      </w:r>
      <w:r w:rsidR="00F65038" w:rsidRPr="004A3685">
        <w:rPr>
          <w:rFonts w:cs="Arial"/>
          <w:color w:val="404040"/>
          <w:szCs w:val="24"/>
        </w:rPr>
        <w:t>difficult for industry members because of the high upfront cost of charging electric vehicles (EVs), poor chargers,</w:t>
      </w:r>
      <w:r w:rsidRPr="004A3685">
        <w:rPr>
          <w:rFonts w:cs="Arial"/>
          <w:color w:val="404040"/>
          <w:szCs w:val="24"/>
        </w:rPr>
        <w:t xml:space="preserve"> and consumers’ inability to change. For instance, while EVs can be a good substitute </w:t>
      </w:r>
      <w:r w:rsidR="00F65038" w:rsidRPr="004A3685">
        <w:rPr>
          <w:rFonts w:cs="Arial"/>
          <w:color w:val="404040"/>
          <w:szCs w:val="24"/>
        </w:rPr>
        <w:t>for traditional fuel-based cars, EVs are not yet very popular in the hospitality industry because the upfront cost of an EV is 20</w:t>
      </w:r>
      <w:r w:rsidR="000E6F85" w:rsidRPr="004A3685">
        <w:rPr>
          <w:rFonts w:cs="Arial"/>
          <w:color w:val="404040"/>
          <w:szCs w:val="24"/>
        </w:rPr>
        <w:t>%</w:t>
      </w:r>
      <w:r w:rsidRPr="004A3685">
        <w:rPr>
          <w:rFonts w:cs="Arial"/>
          <w:color w:val="404040"/>
          <w:szCs w:val="24"/>
        </w:rPr>
        <w:t xml:space="preserve"> higher than </w:t>
      </w:r>
      <w:r w:rsidR="00F65038" w:rsidRPr="004A3685">
        <w:rPr>
          <w:rFonts w:cs="Arial"/>
          <w:color w:val="404040"/>
          <w:szCs w:val="24"/>
        </w:rPr>
        <w:t xml:space="preserve">that of </w:t>
      </w:r>
      <w:r w:rsidRPr="004A3685">
        <w:rPr>
          <w:rFonts w:cs="Arial"/>
          <w:color w:val="404040"/>
          <w:szCs w:val="24"/>
        </w:rPr>
        <w:t>an internal combustion engine (ICE) vehicle</w:t>
      </w:r>
      <w:r w:rsidR="008F7927" w:rsidRPr="004A3685">
        <w:rPr>
          <w:rFonts w:cs="Arial"/>
          <w:color w:val="404040"/>
          <w:szCs w:val="24"/>
        </w:rPr>
        <w:t xml:space="preserve"> (Deloitte, 2023)</w:t>
      </w:r>
      <w:r w:rsidRPr="004A3685">
        <w:rPr>
          <w:rFonts w:cs="Arial"/>
          <w:color w:val="404040"/>
          <w:szCs w:val="24"/>
        </w:rPr>
        <w:t xml:space="preserve">. Furthermore, due to the absence of standardised policies and incentives in different regions, global hospitality chains </w:t>
      </w:r>
      <w:r w:rsidR="00F65038" w:rsidRPr="004A3685">
        <w:rPr>
          <w:rFonts w:cs="Arial"/>
          <w:color w:val="404040"/>
          <w:szCs w:val="24"/>
        </w:rPr>
        <w:t>cannot</w:t>
      </w:r>
      <w:r w:rsidRPr="004A3685">
        <w:rPr>
          <w:rFonts w:cs="Arial"/>
          <w:color w:val="404040"/>
          <w:szCs w:val="24"/>
        </w:rPr>
        <w:t xml:space="preserve"> adopt sustainable transport </w:t>
      </w:r>
      <w:r w:rsidR="00F65038" w:rsidRPr="004A3685">
        <w:rPr>
          <w:rFonts w:cs="Arial"/>
          <w:color w:val="404040"/>
          <w:szCs w:val="24"/>
        </w:rPr>
        <w:t>practices</w:t>
      </w:r>
      <w:r w:rsidRPr="004A3685">
        <w:rPr>
          <w:rFonts w:cs="Arial"/>
          <w:color w:val="404040"/>
          <w:szCs w:val="24"/>
        </w:rPr>
        <w:t>.</w:t>
      </w:r>
    </w:p>
    <w:p w14:paraId="39F4FB5A" w14:textId="18523897" w:rsidR="00E042A6" w:rsidRPr="004A3685" w:rsidRDefault="00C92BDF" w:rsidP="000E6F85">
      <w:pPr>
        <w:pStyle w:val="Heading1"/>
        <w:spacing w:before="0" w:after="240" w:line="360" w:lineRule="auto"/>
      </w:pPr>
      <w:bookmarkStart w:id="4" w:name="_Toc191299273"/>
      <w:r w:rsidRPr="004A3685">
        <w:t>2.</w:t>
      </w:r>
      <w:r w:rsidR="00F65038" w:rsidRPr="004A3685">
        <w:t>2</w:t>
      </w:r>
      <w:r w:rsidRPr="004A3685">
        <w:t xml:space="preserve">. </w:t>
      </w:r>
      <w:r w:rsidR="001E2852" w:rsidRPr="004A3685">
        <w:t>Environmental Impact of Road Transport</w:t>
      </w:r>
      <w:bookmarkEnd w:id="4"/>
      <w:r w:rsidR="001E2852" w:rsidRPr="004A3685">
        <w:t xml:space="preserve"> </w:t>
      </w:r>
    </w:p>
    <w:p w14:paraId="7263540A" w14:textId="4BB2B4DB" w:rsidR="000E6F85" w:rsidRPr="004A3685" w:rsidRDefault="00603050" w:rsidP="000E6F85">
      <w:pPr>
        <w:spacing w:after="240" w:line="360" w:lineRule="auto"/>
        <w:jc w:val="both"/>
        <w:rPr>
          <w:rFonts w:cs="Arial"/>
          <w:szCs w:val="24"/>
        </w:rPr>
      </w:pPr>
      <w:r w:rsidRPr="004A3685">
        <w:rPr>
          <w:rFonts w:cs="Arial"/>
          <w:szCs w:val="24"/>
        </w:rPr>
        <w:t xml:space="preserve">The automotive sector, responsible for over </w:t>
      </w:r>
      <w:r w:rsidR="00AF4F21" w:rsidRPr="004A3685">
        <w:rPr>
          <w:rFonts w:cs="Arial"/>
          <w:szCs w:val="24"/>
        </w:rPr>
        <w:t>10</w:t>
      </w:r>
      <w:r w:rsidRPr="004A3685">
        <w:rPr>
          <w:rFonts w:cs="Arial"/>
          <w:szCs w:val="24"/>
        </w:rPr>
        <w:t xml:space="preserve">% of worldwide </w:t>
      </w:r>
      <m:oMath>
        <m:sSub>
          <m:sSubPr>
            <m:ctrlPr>
              <w:rPr>
                <w:rFonts w:ascii="Cambria Math" w:hAnsi="Cambria Math" w:cs="Arial"/>
                <w:szCs w:val="24"/>
              </w:rPr>
            </m:ctrlPr>
          </m:sSubPr>
          <m:e>
            <m:r>
              <m:rPr>
                <m:sty m:val="p"/>
              </m:rPr>
              <w:rPr>
                <w:rFonts w:ascii="Cambria Math" w:hAnsi="Cambria Math" w:cs="Arial"/>
                <w:szCs w:val="24"/>
              </w:rPr>
              <m:t>CO</m:t>
            </m:r>
          </m:e>
          <m:sub>
            <m:r>
              <m:rPr>
                <m:sty m:val="p"/>
              </m:rPr>
              <w:rPr>
                <w:rFonts w:ascii="Cambria Math" w:hAnsi="Cambria Math" w:cs="Arial"/>
                <w:szCs w:val="24"/>
              </w:rPr>
              <m:t>2</m:t>
            </m:r>
          </m:sub>
        </m:sSub>
      </m:oMath>
      <w:r w:rsidRPr="004A3685">
        <w:rPr>
          <w:rFonts w:cs="Arial"/>
          <w:szCs w:val="24"/>
        </w:rPr>
        <w:t xml:space="preserve"> emissions in 2022, is a significant source of </w:t>
      </w:r>
      <m:oMath>
        <m:sSub>
          <m:sSubPr>
            <m:ctrlPr>
              <w:rPr>
                <w:rFonts w:ascii="Cambria Math" w:hAnsi="Cambria Math" w:cs="Arial"/>
                <w:szCs w:val="24"/>
              </w:rPr>
            </m:ctrlPr>
          </m:sSubPr>
          <m:e>
            <m:r>
              <m:rPr>
                <m:sty m:val="p"/>
              </m:rPr>
              <w:rPr>
                <w:rFonts w:ascii="Cambria Math" w:hAnsi="Cambria Math" w:cs="Arial"/>
                <w:szCs w:val="24"/>
              </w:rPr>
              <m:t>CO</m:t>
            </m:r>
          </m:e>
          <m:sub>
            <m:r>
              <m:rPr>
                <m:sty m:val="p"/>
              </m:rPr>
              <w:rPr>
                <w:rFonts w:ascii="Cambria Math" w:hAnsi="Cambria Math" w:cs="Arial"/>
                <w:szCs w:val="24"/>
              </w:rPr>
              <m:t>2</m:t>
            </m:r>
          </m:sub>
        </m:sSub>
      </m:oMath>
      <w:r w:rsidRPr="004A3685">
        <w:rPr>
          <w:rFonts w:cs="Arial"/>
          <w:szCs w:val="24"/>
        </w:rPr>
        <w:t xml:space="preserve"> emissions from road transport (IEA, 2023). According to Halder et al. (2024), passenger cars account for 45.1% of transport-related emissions, while </w:t>
      </w:r>
      <w:r w:rsidRPr="004A3685">
        <w:rPr>
          <w:rFonts w:cs="Arial"/>
          <w:szCs w:val="24"/>
        </w:rPr>
        <w:lastRenderedPageBreak/>
        <w:t>commercial vehicles, such as trucks and delivery vans, account for 29.4%.</w:t>
      </w:r>
      <w:r w:rsidR="001E2852" w:rsidRPr="004A3685">
        <w:rPr>
          <w:rFonts w:cs="Arial"/>
          <w:szCs w:val="24"/>
        </w:rPr>
        <w:t xml:space="preserve"> The main drivers of these emissions are ICE-fueled vehicles. For example, 6</w:t>
      </w:r>
      <w:r w:rsidR="00E15D74" w:rsidRPr="004A3685">
        <w:rPr>
          <w:rFonts w:cs="Arial"/>
          <w:szCs w:val="24"/>
        </w:rPr>
        <w:t>1</w:t>
      </w:r>
      <w:r w:rsidRPr="004A3685">
        <w:rPr>
          <w:rFonts w:cs="Arial"/>
          <w:szCs w:val="24"/>
        </w:rPr>
        <w:t>%</w:t>
      </w:r>
      <w:r w:rsidR="001E2852" w:rsidRPr="004A3685">
        <w:rPr>
          <w:rFonts w:cs="Arial"/>
          <w:szCs w:val="24"/>
        </w:rPr>
        <w:t xml:space="preserve"> of transport emissions in the case of the European Union are linked to passenger cars, and the two main contributors are diesel and petrol vehicles (European</w:t>
      </w:r>
      <w:r w:rsidR="00E15D74" w:rsidRPr="004A3685">
        <w:rPr>
          <w:rFonts w:cs="Arial"/>
          <w:szCs w:val="24"/>
        </w:rPr>
        <w:t xml:space="preserve"> Parliament, 2024)</w:t>
      </w:r>
      <w:r w:rsidR="000E6F85" w:rsidRPr="004A3685">
        <w:rPr>
          <w:rFonts w:cs="Arial"/>
          <w:szCs w:val="24"/>
        </w:rPr>
        <w:t xml:space="preserve"> </w:t>
      </w:r>
    </w:p>
    <w:p w14:paraId="2A4F738C" w14:textId="0061D58E" w:rsidR="006C3659" w:rsidRPr="004A3685" w:rsidRDefault="001E2852" w:rsidP="000E6F85">
      <w:pPr>
        <w:spacing w:after="240" w:line="360" w:lineRule="auto"/>
        <w:jc w:val="both"/>
        <w:rPr>
          <w:rFonts w:cs="Arial"/>
          <w:szCs w:val="24"/>
        </w:rPr>
      </w:pPr>
      <w:r w:rsidRPr="004A3685">
        <w:rPr>
          <w:rFonts w:cs="Arial"/>
          <w:szCs w:val="24"/>
        </w:rPr>
        <w:t xml:space="preserve">Road transport is the largest </w:t>
      </w:r>
      <w:r w:rsidRPr="004A3685">
        <w:t xml:space="preserve">source of </w:t>
      </w:r>
      <m:oMath>
        <m:sSub>
          <m:sSubPr>
            <m:ctrlPr>
              <w:rPr>
                <w:rFonts w:ascii="Cambria Math" w:hAnsi="Cambria Math"/>
              </w:rPr>
            </m:ctrlPr>
          </m:sSubPr>
          <m:e>
            <m:r>
              <m:rPr>
                <m:sty m:val="p"/>
              </m:rPr>
              <w:rPr>
                <w:rFonts w:ascii="Cambria Math" w:hAnsi="Cambria Math"/>
              </w:rPr>
              <m:t>CO</m:t>
            </m:r>
          </m:e>
          <m:sub>
            <m:r>
              <m:rPr>
                <m:sty m:val="p"/>
              </m:rPr>
              <w:rPr>
                <w:rFonts w:ascii="Cambria Math" w:hAnsi="Cambria Math"/>
              </w:rPr>
              <m:t>2</m:t>
            </m:r>
          </m:sub>
        </m:sSub>
      </m:oMath>
      <w:r w:rsidR="0079091F" w:rsidRPr="004A3685">
        <w:t xml:space="preserve"> </w:t>
      </w:r>
      <w:r w:rsidR="006C3659" w:rsidRPr="004A3685">
        <w:t xml:space="preserve">, </w:t>
      </w:r>
      <m:oMath>
        <m:sSub>
          <m:sSubPr>
            <m:ctrlPr>
              <w:rPr>
                <w:rFonts w:ascii="Cambria Math" w:hAnsi="Cambria Math"/>
              </w:rPr>
            </m:ctrlPr>
          </m:sSubPr>
          <m:e>
            <m:r>
              <m:rPr>
                <m:sty m:val="p"/>
              </m:rPr>
              <w:rPr>
                <w:rFonts w:ascii="Cambria Math" w:hAnsi="Cambria Math"/>
              </w:rPr>
              <m:t>NO</m:t>
            </m:r>
          </m:e>
          <m:sub>
            <m:r>
              <m:rPr>
                <m:sty m:val="p"/>
              </m:rPr>
              <w:rPr>
                <w:rFonts w:ascii="Cambria Math" w:hAnsi="Cambria Math"/>
              </w:rPr>
              <m:t>X</m:t>
            </m:r>
          </m:sub>
        </m:sSub>
      </m:oMath>
      <w:r w:rsidR="0079091F" w:rsidRPr="004A3685">
        <w:t xml:space="preserve">, </w:t>
      </w:r>
      <w:r w:rsidR="00963F29" w:rsidRPr="004A3685">
        <w:t>and PM2.5 e</w:t>
      </w:r>
      <w:r w:rsidR="00963F29" w:rsidRPr="004A3685">
        <w:rPr>
          <w:rFonts w:cs="Arial"/>
          <w:szCs w:val="24"/>
        </w:rPr>
        <w:t xml:space="preserve">missions in urban areas (Li and Yue, 2024). The air quality standard in most cities remained unmet due to severe particulate matter pollution, with a particular emphasis on </w:t>
      </w:r>
      <w:r w:rsidR="00F65038" w:rsidRPr="004A3685">
        <w:rPr>
          <w:rFonts w:cs="Arial"/>
          <w:szCs w:val="24"/>
        </w:rPr>
        <w:t>delicate</w:t>
      </w:r>
      <w:r w:rsidR="00963F29" w:rsidRPr="004A3685">
        <w:rPr>
          <w:rFonts w:cs="Arial"/>
          <w:szCs w:val="24"/>
        </w:rPr>
        <w:t xml:space="preserve"> particulate matter. The contribution of motor vehicle emissions towards particulate matter stands at 20–30% (Wang et al., 2022). </w:t>
      </w:r>
    </w:p>
    <w:p w14:paraId="381AD9D3" w14:textId="77777777" w:rsidR="006C3659" w:rsidRPr="004A3685" w:rsidRDefault="006C3659" w:rsidP="000E6F85">
      <w:pPr>
        <w:keepNext/>
        <w:spacing w:after="240" w:line="360" w:lineRule="auto"/>
        <w:jc w:val="center"/>
      </w:pPr>
      <w:r w:rsidRPr="004A3685">
        <w:rPr>
          <w:noProof/>
        </w:rPr>
        <w:drawing>
          <wp:inline distT="0" distB="0" distL="0" distR="0" wp14:anchorId="7D834091" wp14:editId="4137729F">
            <wp:extent cx="4894580" cy="3447713"/>
            <wp:effectExtent l="0" t="0" r="127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12925" cy="3460635"/>
                    </a:xfrm>
                    <a:prstGeom prst="rect">
                      <a:avLst/>
                    </a:prstGeom>
                    <a:noFill/>
                    <a:ln>
                      <a:noFill/>
                    </a:ln>
                  </pic:spPr>
                </pic:pic>
              </a:graphicData>
            </a:graphic>
          </wp:inline>
        </w:drawing>
      </w:r>
    </w:p>
    <w:p w14:paraId="25ED7956" w14:textId="22ECEEC5" w:rsidR="006C3659" w:rsidRPr="004A3685" w:rsidRDefault="006C3659" w:rsidP="000E6F85">
      <w:pPr>
        <w:pStyle w:val="Caption"/>
        <w:spacing w:line="360" w:lineRule="auto"/>
        <w:jc w:val="center"/>
        <w:rPr>
          <w:i w:val="0"/>
          <w:iCs w:val="0"/>
          <w:color w:val="000000" w:themeColor="text1"/>
          <w:sz w:val="20"/>
          <w:szCs w:val="20"/>
        </w:rPr>
      </w:pPr>
      <w:r w:rsidRPr="004A3685">
        <w:rPr>
          <w:b/>
          <w:bCs/>
          <w:i w:val="0"/>
          <w:iCs w:val="0"/>
          <w:color w:val="000000" w:themeColor="text1"/>
          <w:sz w:val="20"/>
          <w:szCs w:val="20"/>
        </w:rPr>
        <w:t xml:space="preserve">Figure </w:t>
      </w:r>
      <w:r w:rsidRPr="004A3685">
        <w:rPr>
          <w:b/>
          <w:bCs/>
          <w:i w:val="0"/>
          <w:iCs w:val="0"/>
          <w:color w:val="000000" w:themeColor="text1"/>
          <w:sz w:val="20"/>
          <w:szCs w:val="20"/>
        </w:rPr>
        <w:fldChar w:fldCharType="begin"/>
      </w:r>
      <w:r w:rsidRPr="004A3685">
        <w:rPr>
          <w:b/>
          <w:bCs/>
          <w:i w:val="0"/>
          <w:iCs w:val="0"/>
          <w:color w:val="000000" w:themeColor="text1"/>
          <w:sz w:val="20"/>
          <w:szCs w:val="20"/>
        </w:rPr>
        <w:instrText xml:space="preserve"> SEQ Figure \* ARABIC </w:instrText>
      </w:r>
      <w:r w:rsidRPr="004A3685">
        <w:rPr>
          <w:b/>
          <w:bCs/>
          <w:i w:val="0"/>
          <w:iCs w:val="0"/>
          <w:color w:val="000000" w:themeColor="text1"/>
          <w:sz w:val="20"/>
          <w:szCs w:val="20"/>
        </w:rPr>
        <w:fldChar w:fldCharType="separate"/>
      </w:r>
      <w:r w:rsidR="0001563C" w:rsidRPr="004A3685">
        <w:rPr>
          <w:b/>
          <w:bCs/>
          <w:i w:val="0"/>
          <w:iCs w:val="0"/>
          <w:noProof/>
          <w:color w:val="000000" w:themeColor="text1"/>
          <w:sz w:val="20"/>
          <w:szCs w:val="20"/>
        </w:rPr>
        <w:t>2</w:t>
      </w:r>
      <w:r w:rsidRPr="004A3685">
        <w:rPr>
          <w:b/>
          <w:bCs/>
          <w:i w:val="0"/>
          <w:iCs w:val="0"/>
          <w:color w:val="000000" w:themeColor="text1"/>
          <w:sz w:val="20"/>
          <w:szCs w:val="20"/>
        </w:rPr>
        <w:fldChar w:fldCharType="end"/>
      </w:r>
      <w:r w:rsidRPr="004A3685">
        <w:rPr>
          <w:b/>
          <w:bCs/>
          <w:i w:val="0"/>
          <w:iCs w:val="0"/>
          <w:color w:val="000000" w:themeColor="text1"/>
          <w:sz w:val="20"/>
          <w:szCs w:val="20"/>
        </w:rPr>
        <w:t xml:space="preserve">:  </w:t>
      </w:r>
      <w:r w:rsidRPr="004A3685">
        <w:rPr>
          <w:i w:val="0"/>
          <w:iCs w:val="0"/>
          <w:color w:val="000000" w:themeColor="text1"/>
          <w:sz w:val="20"/>
          <w:szCs w:val="20"/>
        </w:rPr>
        <w:t xml:space="preserve">Air quality maps of annual mean concentrations of NO2 (a, b) and PM2.5 (c, d) (in </w:t>
      </w:r>
      <w:proofErr w:type="spellStart"/>
      <w:r w:rsidRPr="004A3685">
        <w:rPr>
          <w:i w:val="0"/>
          <w:iCs w:val="0"/>
          <w:color w:val="000000" w:themeColor="text1"/>
          <w:sz w:val="20"/>
          <w:szCs w:val="20"/>
        </w:rPr>
        <w:t>μg</w:t>
      </w:r>
      <w:proofErr w:type="spellEnd"/>
      <w:r w:rsidRPr="004A3685">
        <w:rPr>
          <w:i w:val="0"/>
          <w:iCs w:val="0"/>
          <w:color w:val="000000" w:themeColor="text1"/>
          <w:sz w:val="20"/>
          <w:szCs w:val="20"/>
        </w:rPr>
        <w:t xml:space="preserve"> m−3) at 10 m × 10 m resolution for 2021 BAU and 2030 BAU scenarios. BAU represents the business-as-usual scenario. (Source: </w:t>
      </w:r>
      <w:r w:rsidR="00963F29" w:rsidRPr="004A3685">
        <w:rPr>
          <w:i w:val="0"/>
          <w:iCs w:val="0"/>
          <w:color w:val="000000" w:themeColor="text1"/>
          <w:sz w:val="20"/>
          <w:szCs w:val="20"/>
        </w:rPr>
        <w:t>Zhong et al., 2023)</w:t>
      </w:r>
    </w:p>
    <w:p w14:paraId="085D1BBA" w14:textId="04A0A79D" w:rsidR="00963F29" w:rsidRPr="004A3685" w:rsidRDefault="00963F29" w:rsidP="000E6F85">
      <w:pPr>
        <w:spacing w:line="360" w:lineRule="auto"/>
        <w:jc w:val="both"/>
      </w:pPr>
      <w:r w:rsidRPr="004A3685">
        <w:t>Research conducted by Konduracka and Rostoff (2022) has linked these pollutants to respiratory diseases, cardiovascular conditions, and premature deaths, especially in urban cities with large populations.</w:t>
      </w:r>
    </w:p>
    <w:p w14:paraId="4C3DAE83" w14:textId="77777777" w:rsidR="00963F29" w:rsidRPr="004A3685" w:rsidRDefault="00963F29" w:rsidP="000E6F85">
      <w:pPr>
        <w:keepNext/>
        <w:spacing w:line="360" w:lineRule="auto"/>
        <w:jc w:val="center"/>
      </w:pPr>
      <w:r w:rsidRPr="004A3685">
        <w:rPr>
          <w:noProof/>
        </w:rPr>
        <w:lastRenderedPageBreak/>
        <w:drawing>
          <wp:inline distT="0" distB="0" distL="0" distR="0" wp14:anchorId="1747771C" wp14:editId="2204152E">
            <wp:extent cx="4317365" cy="2186877"/>
            <wp:effectExtent l="0" t="0" r="6985" b="4445"/>
            <wp:docPr id="2" name="Picture 2"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54257" cy="2205564"/>
                    </a:xfrm>
                    <a:prstGeom prst="rect">
                      <a:avLst/>
                    </a:prstGeom>
                    <a:noFill/>
                    <a:ln>
                      <a:noFill/>
                    </a:ln>
                  </pic:spPr>
                </pic:pic>
              </a:graphicData>
            </a:graphic>
          </wp:inline>
        </w:drawing>
      </w:r>
    </w:p>
    <w:p w14:paraId="391FF810" w14:textId="2692F92D" w:rsidR="00963F29" w:rsidRPr="004A3685" w:rsidRDefault="00963F29" w:rsidP="000E6F85">
      <w:pPr>
        <w:pStyle w:val="Caption"/>
        <w:spacing w:line="360" w:lineRule="auto"/>
        <w:jc w:val="center"/>
        <w:rPr>
          <w:i w:val="0"/>
          <w:iCs w:val="0"/>
          <w:color w:val="000000" w:themeColor="text1"/>
          <w:sz w:val="20"/>
          <w:szCs w:val="20"/>
        </w:rPr>
      </w:pPr>
      <w:r w:rsidRPr="004A3685">
        <w:rPr>
          <w:b/>
          <w:bCs/>
          <w:i w:val="0"/>
          <w:iCs w:val="0"/>
          <w:color w:val="000000" w:themeColor="text1"/>
          <w:sz w:val="20"/>
          <w:szCs w:val="20"/>
        </w:rPr>
        <w:t xml:space="preserve">Figure </w:t>
      </w:r>
      <w:r w:rsidRPr="004A3685">
        <w:rPr>
          <w:b/>
          <w:bCs/>
          <w:i w:val="0"/>
          <w:iCs w:val="0"/>
          <w:color w:val="000000" w:themeColor="text1"/>
          <w:sz w:val="20"/>
          <w:szCs w:val="20"/>
        </w:rPr>
        <w:fldChar w:fldCharType="begin"/>
      </w:r>
      <w:r w:rsidRPr="004A3685">
        <w:rPr>
          <w:b/>
          <w:bCs/>
          <w:i w:val="0"/>
          <w:iCs w:val="0"/>
          <w:color w:val="000000" w:themeColor="text1"/>
          <w:sz w:val="20"/>
          <w:szCs w:val="20"/>
        </w:rPr>
        <w:instrText xml:space="preserve"> SEQ Figure \* ARABIC </w:instrText>
      </w:r>
      <w:r w:rsidRPr="004A3685">
        <w:rPr>
          <w:b/>
          <w:bCs/>
          <w:i w:val="0"/>
          <w:iCs w:val="0"/>
          <w:color w:val="000000" w:themeColor="text1"/>
          <w:sz w:val="20"/>
          <w:szCs w:val="20"/>
        </w:rPr>
        <w:fldChar w:fldCharType="separate"/>
      </w:r>
      <w:r w:rsidR="0001563C" w:rsidRPr="004A3685">
        <w:rPr>
          <w:b/>
          <w:bCs/>
          <w:i w:val="0"/>
          <w:iCs w:val="0"/>
          <w:noProof/>
          <w:color w:val="000000" w:themeColor="text1"/>
          <w:sz w:val="20"/>
          <w:szCs w:val="20"/>
        </w:rPr>
        <w:t>3</w:t>
      </w:r>
      <w:r w:rsidRPr="004A3685">
        <w:rPr>
          <w:b/>
          <w:bCs/>
          <w:i w:val="0"/>
          <w:iCs w:val="0"/>
          <w:color w:val="000000" w:themeColor="text1"/>
          <w:sz w:val="20"/>
          <w:szCs w:val="20"/>
        </w:rPr>
        <w:fldChar w:fldCharType="end"/>
      </w:r>
      <w:r w:rsidRPr="004A3685">
        <w:rPr>
          <w:b/>
          <w:bCs/>
          <w:i w:val="0"/>
          <w:iCs w:val="0"/>
          <w:color w:val="000000" w:themeColor="text1"/>
          <w:sz w:val="20"/>
          <w:szCs w:val="20"/>
        </w:rPr>
        <w:t xml:space="preserve">: </w:t>
      </w:r>
      <w:r w:rsidRPr="004A3685">
        <w:rPr>
          <w:i w:val="0"/>
          <w:iCs w:val="0"/>
          <w:color w:val="000000" w:themeColor="text1"/>
          <w:sz w:val="20"/>
          <w:szCs w:val="20"/>
        </w:rPr>
        <w:t xml:space="preserve">Adverse effects of air pollution on human health. (Source: </w:t>
      </w:r>
      <w:r w:rsidR="00C92BDF" w:rsidRPr="004A3685">
        <w:rPr>
          <w:i w:val="0"/>
          <w:iCs w:val="0"/>
          <w:color w:val="000000" w:themeColor="text1"/>
          <w:sz w:val="20"/>
          <w:szCs w:val="20"/>
        </w:rPr>
        <w:t>Konduracka and Rostoff, 2022)</w:t>
      </w:r>
    </w:p>
    <w:p w14:paraId="140E9BE4" w14:textId="1B673C35" w:rsidR="00BA6C2B" w:rsidRPr="004A3685" w:rsidRDefault="001E2852" w:rsidP="000E6F85">
      <w:pPr>
        <w:spacing w:after="240" w:line="360" w:lineRule="auto"/>
        <w:jc w:val="both"/>
        <w:rPr>
          <w:rFonts w:cs="Arial"/>
          <w:szCs w:val="24"/>
        </w:rPr>
      </w:pPr>
      <w:r w:rsidRPr="004A3685">
        <w:rPr>
          <w:rFonts w:cs="Arial"/>
          <w:szCs w:val="24"/>
        </w:rPr>
        <w:t>However, if the automotive industry is based on fossil fuels,</w:t>
      </w:r>
      <w:r w:rsidR="00702077" w:rsidRPr="004A3685">
        <w:rPr>
          <w:rFonts w:cs="Arial"/>
          <w:szCs w:val="24"/>
        </w:rPr>
        <w:t xml:space="preserve"> it will be</w:t>
      </w:r>
      <w:r w:rsidRPr="004A3685">
        <w:rPr>
          <w:rFonts w:cs="Arial"/>
          <w:szCs w:val="24"/>
        </w:rPr>
        <w:t xml:space="preserve"> resource-intensive and unsustainable. However, ICE vehicles are very petroleum-intensive for production and operation, accounting for 2</w:t>
      </w:r>
      <w:r w:rsidR="008F7927" w:rsidRPr="004A3685">
        <w:rPr>
          <w:rFonts w:cs="Arial"/>
          <w:szCs w:val="24"/>
        </w:rPr>
        <w:t>5</w:t>
      </w:r>
      <w:r w:rsidRPr="004A3685">
        <w:rPr>
          <w:rFonts w:cs="Arial"/>
          <w:szCs w:val="24"/>
        </w:rPr>
        <w:t>% of global oil consumption</w:t>
      </w:r>
      <w:r w:rsidR="008F7927" w:rsidRPr="004A3685">
        <w:rPr>
          <w:rFonts w:cs="Arial"/>
          <w:szCs w:val="24"/>
        </w:rPr>
        <w:t xml:space="preserve"> in </w:t>
      </w:r>
      <w:r w:rsidRPr="004A3685">
        <w:rPr>
          <w:rFonts w:cs="Arial"/>
          <w:szCs w:val="24"/>
        </w:rPr>
        <w:t>202</w:t>
      </w:r>
      <w:r w:rsidR="008F7927" w:rsidRPr="004A3685">
        <w:rPr>
          <w:rFonts w:cs="Arial"/>
          <w:szCs w:val="24"/>
        </w:rPr>
        <w:t>4</w:t>
      </w:r>
      <w:r w:rsidRPr="004A3685">
        <w:rPr>
          <w:rFonts w:cs="Arial"/>
          <w:szCs w:val="24"/>
        </w:rPr>
        <w:t>. In addition, road infrastructure construction and maintenance cause land degradation and water consumption. For instance,</w:t>
      </w:r>
      <w:r w:rsidR="00FD4397" w:rsidRPr="004A3685">
        <w:rPr>
          <w:rFonts w:cs="Arial"/>
          <w:szCs w:val="24"/>
        </w:rPr>
        <w:t xml:space="preserve"> tonnes of </w:t>
      </w:r>
      <w:r w:rsidRPr="004A3685">
        <w:rPr>
          <w:rFonts w:cs="Arial"/>
          <w:szCs w:val="24"/>
        </w:rPr>
        <w:t xml:space="preserve">million litres of water </w:t>
      </w:r>
      <w:r w:rsidR="005A1BAF" w:rsidRPr="004A3685">
        <w:rPr>
          <w:rFonts w:cs="Arial"/>
          <w:szCs w:val="24"/>
        </w:rPr>
        <w:t>are</w:t>
      </w:r>
      <w:r w:rsidRPr="004A3685">
        <w:rPr>
          <w:rFonts w:cs="Arial"/>
          <w:szCs w:val="24"/>
        </w:rPr>
        <w:t xml:space="preserve"> required to build 1 km of road, and asphalt is a primary material used in road construction</w:t>
      </w:r>
      <w:r w:rsidR="00FD4397" w:rsidRPr="004A3685">
        <w:rPr>
          <w:rFonts w:cs="Arial"/>
          <w:szCs w:val="24"/>
        </w:rPr>
        <w:t xml:space="preserve"> (Grael et al., 2021)</w:t>
      </w:r>
      <w:r w:rsidR="005A1BAF" w:rsidRPr="004A3685">
        <w:rPr>
          <w:rFonts w:cs="Arial"/>
          <w:szCs w:val="24"/>
        </w:rPr>
        <w:t xml:space="preserve">. </w:t>
      </w:r>
      <w:r w:rsidRPr="004A3685">
        <w:rPr>
          <w:rFonts w:cs="Arial"/>
          <w:szCs w:val="24"/>
        </w:rPr>
        <w:t>Furthermore, the extraction of raw materials for vehicle manufacturing, such as steel and aluminium</w:t>
      </w:r>
      <w:r w:rsidR="00D95FB7" w:rsidRPr="004A3685">
        <w:rPr>
          <w:rFonts w:cs="Arial"/>
          <w:szCs w:val="24"/>
        </w:rPr>
        <w:t xml:space="preserve"> according to </w:t>
      </w:r>
      <w:r w:rsidR="00D95FB7" w:rsidRPr="004A3685">
        <w:t>Sloan et al. (2017)</w:t>
      </w:r>
      <w:r w:rsidRPr="004A3685">
        <w:rPr>
          <w:rFonts w:cs="Arial"/>
          <w:szCs w:val="24"/>
        </w:rPr>
        <w:t>, exacerbates resource depletion</w:t>
      </w:r>
      <w:r w:rsidR="00FD4397" w:rsidRPr="004A3685">
        <w:rPr>
          <w:rFonts w:cs="Arial"/>
          <w:szCs w:val="24"/>
        </w:rPr>
        <w:t xml:space="preserve"> which</w:t>
      </w:r>
      <w:r w:rsidRPr="004A3685">
        <w:rPr>
          <w:rFonts w:cs="Arial"/>
          <w:szCs w:val="24"/>
        </w:rPr>
        <w:t xml:space="preserve"> brings into focus unsustainable patterns of how the industry consumes resources.</w:t>
      </w:r>
    </w:p>
    <w:p w14:paraId="0F7F25AA" w14:textId="7FE9373D" w:rsidR="00E042A6" w:rsidRPr="004A3685" w:rsidRDefault="000E6F85" w:rsidP="00FD4397">
      <w:pPr>
        <w:pStyle w:val="Heading1"/>
        <w:spacing w:before="0" w:after="240" w:line="360" w:lineRule="auto"/>
      </w:pPr>
      <w:bookmarkStart w:id="5" w:name="_Toc191299274"/>
      <w:r w:rsidRPr="004A3685">
        <w:t xml:space="preserve">2.3. </w:t>
      </w:r>
      <w:r w:rsidR="00483022" w:rsidRPr="004A3685">
        <w:t xml:space="preserve">Damage Caused by </w:t>
      </w:r>
      <w:bookmarkEnd w:id="5"/>
      <w:r w:rsidR="00916788" w:rsidRPr="004A3685">
        <w:t>Road Transport</w:t>
      </w:r>
    </w:p>
    <w:p w14:paraId="48458445" w14:textId="64208E43" w:rsidR="00E042A6" w:rsidRPr="004A3685" w:rsidRDefault="001E2852" w:rsidP="00FD4397">
      <w:pPr>
        <w:spacing w:after="240" w:line="360" w:lineRule="auto"/>
        <w:jc w:val="both"/>
        <w:rPr>
          <w:rFonts w:cs="Arial"/>
          <w:szCs w:val="24"/>
        </w:rPr>
      </w:pPr>
      <w:r w:rsidRPr="004A3685">
        <w:rPr>
          <w:rFonts w:cs="Arial"/>
          <w:szCs w:val="24"/>
        </w:rPr>
        <w:t>The automotive industry is still dependent on ICE vehicles with the advancement in sustainable technologies.</w:t>
      </w:r>
      <w:r w:rsidR="00DC6894" w:rsidRPr="004A3685">
        <w:rPr>
          <w:rFonts w:cs="Arial"/>
          <w:szCs w:val="24"/>
        </w:rPr>
        <w:t xml:space="preserve"> </w:t>
      </w:r>
      <w:r w:rsidR="00702077" w:rsidRPr="004A3685">
        <w:rPr>
          <w:rFonts w:cs="Arial"/>
          <w:szCs w:val="24"/>
        </w:rPr>
        <w:t>Major</w:t>
      </w:r>
      <w:r w:rsidRPr="004A3685">
        <w:rPr>
          <w:rFonts w:cs="Arial"/>
          <w:szCs w:val="24"/>
        </w:rPr>
        <w:t xml:space="preserve"> manufacturers like Toyota and Volkswagen still produce millions of ICE vehicles annually. For instance, in 2022, Toyota sold </w:t>
      </w:r>
      <w:r w:rsidR="00DC6894" w:rsidRPr="004A3685">
        <w:rPr>
          <w:rFonts w:cs="Arial"/>
          <w:szCs w:val="24"/>
        </w:rPr>
        <w:t>10.8</w:t>
      </w:r>
      <w:r w:rsidRPr="004A3685">
        <w:rPr>
          <w:rFonts w:cs="Arial"/>
          <w:szCs w:val="24"/>
        </w:rPr>
        <w:t xml:space="preserve"> million vehicles,</w:t>
      </w:r>
      <w:r w:rsidR="00DC6894" w:rsidRPr="004A3685">
        <w:rPr>
          <w:rFonts w:cs="Arial"/>
          <w:szCs w:val="24"/>
        </w:rPr>
        <w:t xml:space="preserve"> </w:t>
      </w:r>
      <w:r w:rsidR="00702077" w:rsidRPr="004A3685">
        <w:rPr>
          <w:rFonts w:cs="Arial"/>
          <w:szCs w:val="24"/>
        </w:rPr>
        <w:t>which</w:t>
      </w:r>
      <w:r w:rsidRPr="004A3685">
        <w:rPr>
          <w:rFonts w:cs="Arial"/>
          <w:szCs w:val="24"/>
        </w:rPr>
        <w:t xml:space="preserve"> were petrol or </w:t>
      </w:r>
      <w:r w:rsidR="00702077" w:rsidRPr="004A3685">
        <w:rPr>
          <w:rFonts w:cs="Arial"/>
          <w:szCs w:val="24"/>
        </w:rPr>
        <w:t>diesel-powered</w:t>
      </w:r>
      <w:r w:rsidR="00DC6894" w:rsidRPr="004A3685">
        <w:rPr>
          <w:rFonts w:cs="Arial"/>
          <w:szCs w:val="24"/>
        </w:rPr>
        <w:t xml:space="preserve"> (Brecorder, 2025)</w:t>
      </w:r>
      <w:r w:rsidRPr="004A3685">
        <w:rPr>
          <w:rFonts w:cs="Arial"/>
          <w:szCs w:val="24"/>
        </w:rPr>
        <w:t>. The consumer demand, the infrastructure, and the very high profitability of ICE vehicles are why we rely so much on traditional fuels. This model is heading towards becoming environmentally unsustainable and by the heavy hand of regulation</w:t>
      </w:r>
      <w:r w:rsidR="00DC6894" w:rsidRPr="004A3685">
        <w:rPr>
          <w:rFonts w:cs="Arial"/>
          <w:szCs w:val="24"/>
        </w:rPr>
        <w:t>.</w:t>
      </w:r>
    </w:p>
    <w:p w14:paraId="45B1BE67" w14:textId="3F0D563E" w:rsidR="0079091F" w:rsidRPr="004A3685" w:rsidRDefault="001E2852" w:rsidP="00FD4397">
      <w:pPr>
        <w:spacing w:after="240" w:line="360" w:lineRule="auto"/>
        <w:jc w:val="both"/>
        <w:rPr>
          <w:rFonts w:cs="Arial"/>
          <w:szCs w:val="24"/>
        </w:rPr>
      </w:pPr>
      <w:r w:rsidRPr="004A3685">
        <w:rPr>
          <w:rFonts w:cs="Arial"/>
          <w:szCs w:val="24"/>
        </w:rPr>
        <w:t>Additional environmental impact of road transport comes from further operational inefficiencies. Currently, 40</w:t>
      </w:r>
      <w:r w:rsidR="00702077" w:rsidRPr="004A3685">
        <w:rPr>
          <w:rFonts w:cs="Arial"/>
          <w:szCs w:val="24"/>
        </w:rPr>
        <w:t>%</w:t>
      </w:r>
      <w:r w:rsidRPr="004A3685">
        <w:rPr>
          <w:rFonts w:cs="Arial"/>
          <w:szCs w:val="24"/>
        </w:rPr>
        <w:t xml:space="preserve"> of the global vehicle fleet is much less fuel-efficient than </w:t>
      </w:r>
      <w:r w:rsidRPr="004A3685">
        <w:rPr>
          <w:rFonts w:cs="Arial"/>
          <w:szCs w:val="24"/>
        </w:rPr>
        <w:lastRenderedPageBreak/>
        <w:t xml:space="preserve">new vehicle models (IEA, 2023). For instance, a </w:t>
      </w:r>
      <w:r w:rsidR="0079091F" w:rsidRPr="004A3685">
        <w:rPr>
          <w:rFonts w:cs="Arial"/>
          <w:szCs w:val="24"/>
        </w:rPr>
        <w:t xml:space="preserve">combustion engine </w:t>
      </w:r>
      <w:r w:rsidRPr="004A3685">
        <w:rPr>
          <w:rFonts w:cs="Arial"/>
          <w:szCs w:val="24"/>
        </w:rPr>
        <w:t xml:space="preserve">car </w:t>
      </w:r>
      <w:r w:rsidR="0079091F" w:rsidRPr="004A3685">
        <w:rPr>
          <w:rFonts w:cs="Arial"/>
          <w:szCs w:val="24"/>
        </w:rPr>
        <w:t xml:space="preserve">purchased two decades earlier </w:t>
      </w:r>
      <w:r w:rsidRPr="004A3685">
        <w:rPr>
          <w:rFonts w:cs="Arial"/>
          <w:szCs w:val="24"/>
        </w:rPr>
        <w:t xml:space="preserve">will release </w:t>
      </w:r>
      <w:r w:rsidR="0079091F" w:rsidRPr="004A3685">
        <w:rPr>
          <w:rFonts w:cs="Arial"/>
          <w:szCs w:val="24"/>
        </w:rPr>
        <w:t>more</w:t>
      </w:r>
      <w:r w:rsidRPr="004A3685">
        <w:rPr>
          <w:rFonts w:cs="Arial"/>
          <w:szCs w:val="24"/>
        </w:rPr>
        <w:t xml:space="preserve"> </w:t>
      </w:r>
      <m:oMath>
        <m:sSub>
          <m:sSubPr>
            <m:ctrlPr>
              <w:rPr>
                <w:rFonts w:ascii="Cambria Math" w:hAnsi="Cambria Math" w:cs="Arial"/>
                <w:szCs w:val="24"/>
              </w:rPr>
            </m:ctrlPr>
          </m:sSubPr>
          <m:e>
            <m:r>
              <m:rPr>
                <m:sty m:val="p"/>
              </m:rPr>
              <w:rPr>
                <w:rFonts w:ascii="Cambria Math" w:hAnsi="Cambria Math" w:cs="Arial"/>
                <w:szCs w:val="24"/>
              </w:rPr>
              <m:t>CO</m:t>
            </m:r>
          </m:e>
          <m:sub>
            <m:r>
              <m:rPr>
                <m:sty m:val="p"/>
              </m:rPr>
              <w:rPr>
                <w:rFonts w:ascii="Cambria Math" w:hAnsi="Cambria Math" w:cs="Arial"/>
                <w:szCs w:val="24"/>
              </w:rPr>
              <m:t>2</m:t>
            </m:r>
          </m:sub>
        </m:sSub>
      </m:oMath>
      <w:r w:rsidR="0079091F" w:rsidRPr="004A3685">
        <w:rPr>
          <w:rFonts w:cs="Arial"/>
          <w:szCs w:val="24"/>
        </w:rPr>
        <w:t xml:space="preserve"> </w:t>
      </w:r>
      <w:r w:rsidRPr="004A3685">
        <w:rPr>
          <w:rFonts w:cs="Arial"/>
          <w:szCs w:val="24"/>
        </w:rPr>
        <w:t>per kilometre than a 2020 car (</w:t>
      </w:r>
      <w:r w:rsidR="0079091F" w:rsidRPr="004A3685">
        <w:rPr>
          <w:rFonts w:cs="Arial"/>
          <w:szCs w:val="24"/>
        </w:rPr>
        <w:t>Global Fuel Economy Initiative, 2023</w:t>
      </w:r>
      <w:r w:rsidRPr="004A3685">
        <w:rPr>
          <w:rFonts w:cs="Arial"/>
          <w:szCs w:val="24"/>
        </w:rPr>
        <w:t xml:space="preserve">). </w:t>
      </w:r>
    </w:p>
    <w:p w14:paraId="5E0772F2" w14:textId="77777777" w:rsidR="0079091F" w:rsidRPr="004A3685" w:rsidRDefault="0079091F" w:rsidP="0079091F">
      <w:pPr>
        <w:keepNext/>
        <w:spacing w:after="240" w:line="360" w:lineRule="auto"/>
        <w:jc w:val="center"/>
      </w:pPr>
      <w:r w:rsidRPr="004A3685">
        <w:rPr>
          <w:rFonts w:cs="Arial"/>
          <w:noProof/>
          <w:szCs w:val="24"/>
        </w:rPr>
        <w:drawing>
          <wp:inline distT="0" distB="0" distL="0" distR="0" wp14:anchorId="6F2725F5" wp14:editId="0007CB8F">
            <wp:extent cx="5029200" cy="17951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38437" cy="1798442"/>
                    </a:xfrm>
                    <a:prstGeom prst="rect">
                      <a:avLst/>
                    </a:prstGeom>
                  </pic:spPr>
                </pic:pic>
              </a:graphicData>
            </a:graphic>
          </wp:inline>
        </w:drawing>
      </w:r>
    </w:p>
    <w:p w14:paraId="5B7A6379" w14:textId="2048BE50" w:rsidR="0079091F" w:rsidRPr="004A3685" w:rsidRDefault="0079091F" w:rsidP="0079091F">
      <w:pPr>
        <w:pStyle w:val="Caption"/>
        <w:jc w:val="center"/>
        <w:rPr>
          <w:rFonts w:cs="Arial"/>
          <w:b/>
          <w:bCs/>
          <w:i w:val="0"/>
          <w:iCs w:val="0"/>
          <w:color w:val="000000" w:themeColor="text1"/>
          <w:sz w:val="20"/>
          <w:szCs w:val="28"/>
        </w:rPr>
      </w:pPr>
      <w:r w:rsidRPr="004A3685">
        <w:rPr>
          <w:b/>
          <w:bCs/>
          <w:i w:val="0"/>
          <w:iCs w:val="0"/>
          <w:color w:val="000000" w:themeColor="text1"/>
          <w:sz w:val="20"/>
          <w:szCs w:val="20"/>
        </w:rPr>
        <w:t xml:space="preserve">Figure </w:t>
      </w:r>
      <w:r w:rsidRPr="004A3685">
        <w:rPr>
          <w:b/>
          <w:bCs/>
          <w:i w:val="0"/>
          <w:iCs w:val="0"/>
          <w:color w:val="000000" w:themeColor="text1"/>
          <w:sz w:val="20"/>
          <w:szCs w:val="20"/>
        </w:rPr>
        <w:fldChar w:fldCharType="begin"/>
      </w:r>
      <w:r w:rsidRPr="004A3685">
        <w:rPr>
          <w:b/>
          <w:bCs/>
          <w:i w:val="0"/>
          <w:iCs w:val="0"/>
          <w:color w:val="000000" w:themeColor="text1"/>
          <w:sz w:val="20"/>
          <w:szCs w:val="20"/>
        </w:rPr>
        <w:instrText xml:space="preserve"> SEQ Figure \* ARABIC </w:instrText>
      </w:r>
      <w:r w:rsidRPr="004A3685">
        <w:rPr>
          <w:b/>
          <w:bCs/>
          <w:i w:val="0"/>
          <w:iCs w:val="0"/>
          <w:color w:val="000000" w:themeColor="text1"/>
          <w:sz w:val="20"/>
          <w:szCs w:val="20"/>
        </w:rPr>
        <w:fldChar w:fldCharType="separate"/>
      </w:r>
      <w:r w:rsidR="0001563C" w:rsidRPr="004A3685">
        <w:rPr>
          <w:b/>
          <w:bCs/>
          <w:i w:val="0"/>
          <w:iCs w:val="0"/>
          <w:noProof/>
          <w:color w:val="000000" w:themeColor="text1"/>
          <w:sz w:val="20"/>
          <w:szCs w:val="20"/>
        </w:rPr>
        <w:t>4</w:t>
      </w:r>
      <w:r w:rsidRPr="004A3685">
        <w:rPr>
          <w:b/>
          <w:bCs/>
          <w:i w:val="0"/>
          <w:iCs w:val="0"/>
          <w:color w:val="000000" w:themeColor="text1"/>
          <w:sz w:val="20"/>
          <w:szCs w:val="20"/>
        </w:rPr>
        <w:fldChar w:fldCharType="end"/>
      </w:r>
      <w:r w:rsidRPr="004A3685">
        <w:rPr>
          <w:b/>
          <w:bCs/>
          <w:i w:val="0"/>
          <w:iCs w:val="0"/>
          <w:color w:val="000000" w:themeColor="text1"/>
          <w:sz w:val="20"/>
          <w:szCs w:val="20"/>
        </w:rPr>
        <w:t xml:space="preserve">: </w:t>
      </w:r>
      <w:r w:rsidRPr="004A3685">
        <w:rPr>
          <w:i w:val="0"/>
          <w:iCs w:val="0"/>
          <w:color w:val="000000" w:themeColor="text1"/>
          <w:sz w:val="20"/>
          <w:szCs w:val="20"/>
        </w:rPr>
        <w:t>Share of powertrain costs in internal combustion engine vehicle price for different vehicle segments. (Source: Global Fuel Economy Initiative, 2023)</w:t>
      </w:r>
    </w:p>
    <w:p w14:paraId="6F0CDDBD" w14:textId="74DBC9BC" w:rsidR="00BA6C2B" w:rsidRPr="004A3685" w:rsidRDefault="001E2852" w:rsidP="00FD4397">
      <w:pPr>
        <w:spacing w:after="240" w:line="360" w:lineRule="auto"/>
        <w:jc w:val="both"/>
        <w:rPr>
          <w:rFonts w:cs="Arial"/>
          <w:szCs w:val="24"/>
        </w:rPr>
      </w:pPr>
      <w:r w:rsidRPr="004A3685">
        <w:rPr>
          <w:rFonts w:cs="Arial"/>
          <w:szCs w:val="24"/>
        </w:rPr>
        <w:t xml:space="preserve">In addition, the industry cannot reduce emissions as there is no integration with sustainable transport systems, including public transit and bike share programmes. </w:t>
      </w:r>
      <w:r w:rsidR="00FE4216" w:rsidRPr="004A3685">
        <w:rPr>
          <w:rFonts w:cs="Arial"/>
          <w:szCs w:val="24"/>
        </w:rPr>
        <w:t>In the United States, the US Department of Transportation (2023) states that 85% of commuters use private vehicles, whereas other forms of transport represented remaining 15% (</w:t>
      </w:r>
      <w:r w:rsidR="00FE4216" w:rsidRPr="004A3685">
        <w:t>Center of Sustainable Systems, 2022)</w:t>
      </w:r>
      <w:r w:rsidR="00FE4216" w:rsidRPr="004A3685">
        <w:rPr>
          <w:rFonts w:cs="Arial"/>
          <w:szCs w:val="24"/>
        </w:rPr>
        <w:t>.</w:t>
      </w:r>
      <w:r w:rsidRPr="004A3685">
        <w:rPr>
          <w:rFonts w:cs="Arial"/>
          <w:szCs w:val="24"/>
        </w:rPr>
        <w:t xml:space="preserve"> </w:t>
      </w:r>
      <w:r w:rsidR="00FE4216" w:rsidRPr="004A3685">
        <w:rPr>
          <w:rFonts w:cs="Arial"/>
          <w:szCs w:val="24"/>
        </w:rPr>
        <w:t>Thus</w:t>
      </w:r>
      <w:r w:rsidRPr="004A3685">
        <w:rPr>
          <w:rFonts w:cs="Arial"/>
          <w:szCs w:val="24"/>
        </w:rPr>
        <w:t xml:space="preserve">, these private vehicles are over-reliant and have </w:t>
      </w:r>
      <w:r w:rsidR="00702077" w:rsidRPr="004A3685">
        <w:rPr>
          <w:rFonts w:cs="Arial"/>
          <w:szCs w:val="24"/>
        </w:rPr>
        <w:t>their over-reliant</w:t>
      </w:r>
      <w:r w:rsidRPr="004A3685">
        <w:rPr>
          <w:rFonts w:cs="Arial"/>
          <w:szCs w:val="24"/>
        </w:rPr>
        <w:t>, which has problems like congestion, more fuel consumption, more emissions, and so on</w:t>
      </w:r>
      <w:r w:rsidR="00FE4216" w:rsidRPr="004A3685">
        <w:rPr>
          <w:rFonts w:cs="Arial"/>
          <w:szCs w:val="24"/>
        </w:rPr>
        <w:t xml:space="preserve"> (Hochachka and Mérida, 2023)</w:t>
      </w:r>
      <w:r w:rsidRPr="004A3685">
        <w:rPr>
          <w:rFonts w:cs="Arial"/>
          <w:szCs w:val="24"/>
        </w:rPr>
        <w:t>.</w:t>
      </w:r>
    </w:p>
    <w:p w14:paraId="690FDB1E" w14:textId="761885E1" w:rsidR="00BA6C2B" w:rsidRPr="004A3685" w:rsidRDefault="000E6F85" w:rsidP="00483022">
      <w:pPr>
        <w:pStyle w:val="Heading2"/>
        <w:spacing w:before="0" w:after="240" w:line="360" w:lineRule="auto"/>
      </w:pPr>
      <w:bookmarkStart w:id="6" w:name="_Toc191299275"/>
      <w:r w:rsidRPr="004A3685">
        <w:t>2.</w:t>
      </w:r>
      <w:r w:rsidR="00483022" w:rsidRPr="004A3685">
        <w:t>3</w:t>
      </w:r>
      <w:r w:rsidRPr="004A3685">
        <w:t>.</w:t>
      </w:r>
      <w:r w:rsidR="00483022" w:rsidRPr="004A3685">
        <w:t>1.</w:t>
      </w:r>
      <w:r w:rsidRPr="004A3685">
        <w:t xml:space="preserve"> </w:t>
      </w:r>
      <w:r w:rsidR="001E2852" w:rsidRPr="004A3685">
        <w:t>Industry Examples of Successful Implementation</w:t>
      </w:r>
      <w:bookmarkEnd w:id="6"/>
    </w:p>
    <w:p w14:paraId="20560F27" w14:textId="73D3906D" w:rsidR="00E042A6" w:rsidRPr="004A3685" w:rsidRDefault="000E6F85" w:rsidP="00894DBF">
      <w:pPr>
        <w:pStyle w:val="Heading3"/>
        <w:spacing w:before="0" w:after="240" w:line="360" w:lineRule="auto"/>
        <w:ind w:left="0"/>
      </w:pPr>
      <w:bookmarkStart w:id="7" w:name="_Toc191299276"/>
      <w:r w:rsidRPr="004A3685">
        <w:t>2.</w:t>
      </w:r>
      <w:r w:rsidR="00483022" w:rsidRPr="004A3685">
        <w:t>3</w:t>
      </w:r>
      <w:r w:rsidRPr="004A3685">
        <w:t>.1.</w:t>
      </w:r>
      <w:r w:rsidR="00483022" w:rsidRPr="004A3685">
        <w:t>1.</w:t>
      </w:r>
      <w:r w:rsidRPr="004A3685">
        <w:t xml:space="preserve"> </w:t>
      </w:r>
      <w:r w:rsidR="001E2852" w:rsidRPr="004A3685">
        <w:t>Case Study 1: Tesla’s Transition to a Fully Electric Vehicle Lineup</w:t>
      </w:r>
      <w:bookmarkEnd w:id="7"/>
    </w:p>
    <w:p w14:paraId="20900B4F" w14:textId="51A3799B" w:rsidR="00E042A6" w:rsidRPr="004A3685" w:rsidRDefault="001E2852" w:rsidP="00483022">
      <w:pPr>
        <w:spacing w:after="240" w:line="360" w:lineRule="auto"/>
        <w:jc w:val="both"/>
        <w:rPr>
          <w:rFonts w:cs="Arial"/>
          <w:szCs w:val="24"/>
        </w:rPr>
      </w:pPr>
      <w:r w:rsidRPr="004A3685">
        <w:rPr>
          <w:rFonts w:cs="Arial"/>
          <w:szCs w:val="24"/>
        </w:rPr>
        <w:t>Tesla has become the leader</w:t>
      </w:r>
      <w:r w:rsidR="00894DBF">
        <w:rPr>
          <w:rFonts w:cs="Arial"/>
          <w:szCs w:val="24"/>
        </w:rPr>
        <w:t xml:space="preserve"> o</w:t>
      </w:r>
      <w:r w:rsidRPr="004A3685">
        <w:rPr>
          <w:rFonts w:cs="Arial"/>
          <w:szCs w:val="24"/>
        </w:rPr>
        <w:t>f the EV market, and in 2022, it delivered 1.3 million vehicles</w:t>
      </w:r>
      <w:r w:rsidR="00FE4216" w:rsidRPr="004A3685">
        <w:rPr>
          <w:rFonts w:cs="Arial"/>
          <w:szCs w:val="24"/>
        </w:rPr>
        <w:t xml:space="preserve"> </w:t>
      </w:r>
      <w:r w:rsidR="00732E49" w:rsidRPr="004A3685">
        <w:rPr>
          <w:rFonts w:cs="Arial"/>
          <w:szCs w:val="24"/>
        </w:rPr>
        <w:t>which was 40% more than in 2021</w:t>
      </w:r>
      <w:r w:rsidRPr="004A3685">
        <w:rPr>
          <w:rFonts w:cs="Arial"/>
          <w:szCs w:val="24"/>
        </w:rPr>
        <w:t xml:space="preserve"> (</w:t>
      </w:r>
      <w:r w:rsidR="00732E49" w:rsidRPr="004A3685">
        <w:rPr>
          <w:rFonts w:cs="Arial"/>
          <w:szCs w:val="24"/>
        </w:rPr>
        <w:t>Hoskins</w:t>
      </w:r>
      <w:r w:rsidRPr="004A3685">
        <w:rPr>
          <w:rFonts w:cs="Arial"/>
          <w:szCs w:val="24"/>
        </w:rPr>
        <w:t xml:space="preserve">, 2023). The company's success is attributed to its vertically integrated supply chain, </w:t>
      </w:r>
      <w:r w:rsidR="00702077" w:rsidRPr="004A3685">
        <w:rPr>
          <w:rFonts w:cs="Arial"/>
          <w:szCs w:val="24"/>
        </w:rPr>
        <w:t xml:space="preserve">advanced battery technology, and </w:t>
      </w:r>
      <w:r w:rsidR="00F65038" w:rsidRPr="004A3685">
        <w:rPr>
          <w:rFonts w:cs="Arial"/>
          <w:szCs w:val="24"/>
        </w:rPr>
        <w:t>extensive</w:t>
      </w:r>
      <w:r w:rsidRPr="004A3685">
        <w:rPr>
          <w:rFonts w:cs="Arial"/>
          <w:szCs w:val="24"/>
        </w:rPr>
        <w:t xml:space="preserve"> Supercharger network. </w:t>
      </w:r>
      <w:r w:rsidR="00732E49" w:rsidRPr="004A3685">
        <w:rPr>
          <w:rFonts w:cs="Arial"/>
          <w:szCs w:val="24"/>
        </w:rPr>
        <w:t>In 2022, Tesla’s production emissions (Scope 1) and emissions from purchased electricity and heat (Scope 2) from EV production totalled 610,000 metric tonnes of CO2. In the same year, its Scope 3 emissions were more than 30.1 million metric tonnes of CO2 (Imber, 2025).</w:t>
      </w:r>
    </w:p>
    <w:p w14:paraId="510E9BC2" w14:textId="7113407D" w:rsidR="00E042A6" w:rsidRPr="004A3685" w:rsidRDefault="000E6F85" w:rsidP="00894DBF">
      <w:pPr>
        <w:pStyle w:val="Heading3"/>
        <w:spacing w:before="0" w:after="240" w:line="360" w:lineRule="auto"/>
        <w:ind w:left="0"/>
      </w:pPr>
      <w:bookmarkStart w:id="8" w:name="_Toc191299277"/>
      <w:r w:rsidRPr="004A3685">
        <w:lastRenderedPageBreak/>
        <w:t>2.</w:t>
      </w:r>
      <w:r w:rsidR="00483022" w:rsidRPr="004A3685">
        <w:t>3</w:t>
      </w:r>
      <w:r w:rsidRPr="004A3685">
        <w:t>.2.</w:t>
      </w:r>
      <w:r w:rsidR="00483022" w:rsidRPr="004A3685">
        <w:t>2.</w:t>
      </w:r>
      <w:r w:rsidRPr="004A3685">
        <w:t xml:space="preserve"> </w:t>
      </w:r>
      <w:r w:rsidR="001E2852" w:rsidRPr="004A3685">
        <w:t>Case Study 2: Toyota’s Use of Hydrogen-Powered Vehicles</w:t>
      </w:r>
      <w:bookmarkEnd w:id="8"/>
    </w:p>
    <w:p w14:paraId="387A34F3" w14:textId="4661D41B" w:rsidR="00E042A6" w:rsidRPr="004A3685" w:rsidRDefault="001E2852" w:rsidP="00916788">
      <w:pPr>
        <w:spacing w:after="240" w:line="360" w:lineRule="auto"/>
        <w:ind w:firstLine="720"/>
        <w:jc w:val="both"/>
        <w:rPr>
          <w:rFonts w:cs="Arial"/>
          <w:szCs w:val="24"/>
        </w:rPr>
      </w:pPr>
      <w:r w:rsidRPr="004A3685">
        <w:rPr>
          <w:rFonts w:cs="Arial"/>
          <w:szCs w:val="24"/>
        </w:rPr>
        <w:t>Toyota has spent much money on hydrogen fuel cell technology, and its Mirai model gets up to 650 kilometres per tank</w:t>
      </w:r>
      <w:r w:rsidR="00732E49" w:rsidRPr="004A3685">
        <w:rPr>
          <w:rFonts w:cs="Arial"/>
          <w:szCs w:val="24"/>
        </w:rPr>
        <w:t xml:space="preserve">. </w:t>
      </w:r>
      <w:r w:rsidRPr="004A3685">
        <w:rPr>
          <w:rFonts w:cs="Arial"/>
          <w:szCs w:val="24"/>
        </w:rPr>
        <w:t>The company has also worked with governments and private entities to create hydrogen refuelling infrastructure</w:t>
      </w:r>
      <w:r w:rsidR="00732E49" w:rsidRPr="004A3685">
        <w:rPr>
          <w:rFonts w:cs="Arial"/>
          <w:szCs w:val="24"/>
        </w:rPr>
        <w:t xml:space="preserve"> and 19 </w:t>
      </w:r>
      <w:r w:rsidR="00702077" w:rsidRPr="004A3685">
        <w:rPr>
          <w:rFonts w:cs="Arial"/>
          <w:szCs w:val="24"/>
        </w:rPr>
        <w:t>stations in Japan support</w:t>
      </w:r>
      <w:r w:rsidR="00732E49" w:rsidRPr="004A3685">
        <w:rPr>
          <w:rFonts w:cs="Arial"/>
          <w:szCs w:val="24"/>
        </w:rPr>
        <w:t>ed</w:t>
      </w:r>
      <w:r w:rsidRPr="004A3685">
        <w:rPr>
          <w:rFonts w:cs="Arial"/>
          <w:szCs w:val="24"/>
        </w:rPr>
        <w:t xml:space="preserve"> the adoption of </w:t>
      </w:r>
      <w:r w:rsidR="00702077" w:rsidRPr="004A3685">
        <w:rPr>
          <w:rFonts w:cs="Arial"/>
          <w:szCs w:val="24"/>
        </w:rPr>
        <w:t>fuel-cell</w:t>
      </w:r>
      <w:r w:rsidRPr="004A3685">
        <w:rPr>
          <w:rFonts w:cs="Arial"/>
          <w:szCs w:val="24"/>
        </w:rPr>
        <w:t xml:space="preserve"> vehicles (</w:t>
      </w:r>
      <w:r w:rsidR="00732E49" w:rsidRPr="004A3685">
        <w:rPr>
          <w:rFonts w:cs="Arial"/>
          <w:szCs w:val="24"/>
        </w:rPr>
        <w:t>FCW</w:t>
      </w:r>
      <w:r w:rsidRPr="004A3685">
        <w:rPr>
          <w:rFonts w:cs="Arial"/>
          <w:szCs w:val="24"/>
        </w:rPr>
        <w:t>, 202</w:t>
      </w:r>
      <w:r w:rsidR="00732E49" w:rsidRPr="004A3685">
        <w:rPr>
          <w:rFonts w:cs="Arial"/>
          <w:szCs w:val="24"/>
        </w:rPr>
        <w:t>4</w:t>
      </w:r>
      <w:r w:rsidRPr="004A3685">
        <w:rPr>
          <w:rFonts w:cs="Arial"/>
          <w:szCs w:val="24"/>
        </w:rPr>
        <w:t>).</w:t>
      </w:r>
    </w:p>
    <w:p w14:paraId="06540AF3" w14:textId="73F75910" w:rsidR="00BA6C2B" w:rsidRPr="004A3685" w:rsidRDefault="000E6F85" w:rsidP="000E6F85">
      <w:pPr>
        <w:pStyle w:val="Heading1"/>
        <w:spacing w:before="0" w:after="240" w:line="360" w:lineRule="auto"/>
      </w:pPr>
      <w:bookmarkStart w:id="9" w:name="_Toc191299278"/>
      <w:r w:rsidRPr="004A3685">
        <w:t>2.</w:t>
      </w:r>
      <w:r w:rsidR="00483022" w:rsidRPr="004A3685">
        <w:t>4</w:t>
      </w:r>
      <w:r w:rsidRPr="004A3685">
        <w:t xml:space="preserve">. </w:t>
      </w:r>
      <w:r w:rsidR="001E2852" w:rsidRPr="004A3685">
        <w:t>Proposed Solutions</w:t>
      </w:r>
      <w:bookmarkEnd w:id="9"/>
    </w:p>
    <w:p w14:paraId="69909F96" w14:textId="40B7CC65" w:rsidR="00F82FC9" w:rsidRPr="004A3685" w:rsidRDefault="009C4758" w:rsidP="00916788">
      <w:pPr>
        <w:spacing w:after="240" w:line="360" w:lineRule="auto"/>
        <w:ind w:firstLine="720"/>
        <w:jc w:val="both"/>
        <w:rPr>
          <w:rFonts w:cs="Arial"/>
          <w:szCs w:val="24"/>
        </w:rPr>
      </w:pPr>
      <w:r w:rsidRPr="004A3685">
        <w:rPr>
          <w:rFonts w:cs="Arial"/>
          <w:szCs w:val="24"/>
        </w:rPr>
        <w:t xml:space="preserve">Almost more than any other issue, the first is the lack of adequate infrastructure for charging and refuelling EVs as to reach the CO2 reduction for passenger cars of 55% by 2030, the European Commission demands for 3.5 million charging points </w:t>
      </w:r>
      <w:r w:rsidR="001E2852" w:rsidRPr="004A3685">
        <w:rPr>
          <w:rFonts w:cs="Arial"/>
          <w:szCs w:val="24"/>
        </w:rPr>
        <w:t>(</w:t>
      </w:r>
      <w:r w:rsidRPr="004A3685">
        <w:rPr>
          <w:rFonts w:cs="Arial"/>
          <w:szCs w:val="24"/>
        </w:rPr>
        <w:t>Alternative Fuel Observatory, 2024</w:t>
      </w:r>
      <w:r w:rsidR="001E2852" w:rsidRPr="004A3685">
        <w:rPr>
          <w:rFonts w:cs="Arial"/>
          <w:szCs w:val="24"/>
        </w:rPr>
        <w:t xml:space="preserve">). Finally, the charging infrastructure is unevenly distributed, and </w:t>
      </w:r>
      <w:r w:rsidRPr="004A3685">
        <w:rPr>
          <w:rFonts w:cs="Arial"/>
          <w:szCs w:val="24"/>
        </w:rPr>
        <w:t>47</w:t>
      </w:r>
      <w:r w:rsidR="001E2852" w:rsidRPr="004A3685">
        <w:rPr>
          <w:rFonts w:cs="Arial"/>
          <w:szCs w:val="24"/>
        </w:rPr>
        <w:t xml:space="preserve">% of the points are in China, </w:t>
      </w:r>
      <w:r w:rsidRPr="004A3685">
        <w:rPr>
          <w:rFonts w:cs="Arial"/>
          <w:szCs w:val="24"/>
        </w:rPr>
        <w:t xml:space="preserve">13% is in </w:t>
      </w:r>
      <w:r w:rsidR="001E2852" w:rsidRPr="004A3685">
        <w:rPr>
          <w:rFonts w:cs="Arial"/>
          <w:szCs w:val="24"/>
        </w:rPr>
        <w:t xml:space="preserve">Europe and the </w:t>
      </w:r>
      <w:r w:rsidRPr="004A3685">
        <w:rPr>
          <w:rFonts w:cs="Arial"/>
          <w:szCs w:val="24"/>
        </w:rPr>
        <w:t xml:space="preserve">rest 21% are in </w:t>
      </w:r>
      <w:r w:rsidR="001E2852" w:rsidRPr="004A3685">
        <w:rPr>
          <w:rFonts w:cs="Arial"/>
          <w:szCs w:val="24"/>
        </w:rPr>
        <w:t>USA</w:t>
      </w:r>
      <w:r w:rsidRPr="004A3685">
        <w:rPr>
          <w:rFonts w:cs="Arial"/>
          <w:szCs w:val="24"/>
        </w:rPr>
        <w:t xml:space="preserve"> (Cui et al., 2024). </w:t>
      </w:r>
      <w:r w:rsidR="001E2852" w:rsidRPr="004A3685">
        <w:rPr>
          <w:rFonts w:cs="Arial"/>
          <w:szCs w:val="24"/>
        </w:rPr>
        <w:t xml:space="preserve">It leaves the rural and developing regions with 'charging deserts' and almost no capacity to scale up the adoption of EVs. </w:t>
      </w:r>
    </w:p>
    <w:p w14:paraId="5AC5840B" w14:textId="77777777" w:rsidR="009C4758" w:rsidRPr="004A3685" w:rsidRDefault="009C4758" w:rsidP="009C4758">
      <w:pPr>
        <w:keepNext/>
        <w:spacing w:after="240" w:line="360" w:lineRule="auto"/>
        <w:jc w:val="center"/>
      </w:pPr>
      <w:r w:rsidRPr="004A3685">
        <w:rPr>
          <w:rFonts w:cs="Arial"/>
          <w:noProof/>
          <w:szCs w:val="24"/>
        </w:rPr>
        <w:drawing>
          <wp:inline distT="0" distB="0" distL="0" distR="0" wp14:anchorId="00319EC9" wp14:editId="27973592">
            <wp:extent cx="3968750" cy="2070025"/>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72837" cy="2072157"/>
                    </a:xfrm>
                    <a:prstGeom prst="rect">
                      <a:avLst/>
                    </a:prstGeom>
                  </pic:spPr>
                </pic:pic>
              </a:graphicData>
            </a:graphic>
          </wp:inline>
        </w:drawing>
      </w:r>
    </w:p>
    <w:p w14:paraId="2106FB20" w14:textId="149B0C43" w:rsidR="009C4758" w:rsidRPr="004A3685" w:rsidRDefault="009C4758" w:rsidP="009C4758">
      <w:pPr>
        <w:pStyle w:val="Caption"/>
        <w:jc w:val="center"/>
        <w:rPr>
          <w:rFonts w:cs="Arial"/>
          <w:b/>
          <w:bCs/>
          <w:i w:val="0"/>
          <w:iCs w:val="0"/>
          <w:color w:val="000000" w:themeColor="text1"/>
          <w:sz w:val="28"/>
          <w:szCs w:val="28"/>
        </w:rPr>
      </w:pPr>
      <w:r w:rsidRPr="004A3685">
        <w:rPr>
          <w:b/>
          <w:bCs/>
          <w:i w:val="0"/>
          <w:iCs w:val="0"/>
          <w:color w:val="000000" w:themeColor="text1"/>
          <w:sz w:val="20"/>
          <w:szCs w:val="20"/>
        </w:rPr>
        <w:t xml:space="preserve">Figure </w:t>
      </w:r>
      <w:r w:rsidRPr="004A3685">
        <w:rPr>
          <w:b/>
          <w:bCs/>
          <w:i w:val="0"/>
          <w:iCs w:val="0"/>
          <w:color w:val="000000" w:themeColor="text1"/>
          <w:sz w:val="20"/>
          <w:szCs w:val="20"/>
        </w:rPr>
        <w:fldChar w:fldCharType="begin"/>
      </w:r>
      <w:r w:rsidRPr="004A3685">
        <w:rPr>
          <w:b/>
          <w:bCs/>
          <w:i w:val="0"/>
          <w:iCs w:val="0"/>
          <w:color w:val="000000" w:themeColor="text1"/>
          <w:sz w:val="20"/>
          <w:szCs w:val="20"/>
        </w:rPr>
        <w:instrText xml:space="preserve"> SEQ Figure \* ARABIC </w:instrText>
      </w:r>
      <w:r w:rsidRPr="004A3685">
        <w:rPr>
          <w:b/>
          <w:bCs/>
          <w:i w:val="0"/>
          <w:iCs w:val="0"/>
          <w:color w:val="000000" w:themeColor="text1"/>
          <w:sz w:val="20"/>
          <w:szCs w:val="20"/>
        </w:rPr>
        <w:fldChar w:fldCharType="separate"/>
      </w:r>
      <w:r w:rsidR="0001563C" w:rsidRPr="004A3685">
        <w:rPr>
          <w:b/>
          <w:bCs/>
          <w:i w:val="0"/>
          <w:iCs w:val="0"/>
          <w:noProof/>
          <w:color w:val="000000" w:themeColor="text1"/>
          <w:sz w:val="20"/>
          <w:szCs w:val="20"/>
        </w:rPr>
        <w:t>5</w:t>
      </w:r>
      <w:r w:rsidRPr="004A3685">
        <w:rPr>
          <w:b/>
          <w:bCs/>
          <w:i w:val="0"/>
          <w:iCs w:val="0"/>
          <w:color w:val="000000" w:themeColor="text1"/>
          <w:sz w:val="20"/>
          <w:szCs w:val="20"/>
        </w:rPr>
        <w:fldChar w:fldCharType="end"/>
      </w:r>
      <w:r w:rsidRPr="004A3685">
        <w:rPr>
          <w:b/>
          <w:bCs/>
          <w:i w:val="0"/>
          <w:iCs w:val="0"/>
          <w:color w:val="000000" w:themeColor="text1"/>
          <w:sz w:val="20"/>
          <w:szCs w:val="20"/>
        </w:rPr>
        <w:t xml:space="preserve">: </w:t>
      </w:r>
      <w:r w:rsidRPr="004A3685">
        <w:rPr>
          <w:i w:val="0"/>
          <w:iCs w:val="0"/>
          <w:color w:val="000000" w:themeColor="text1"/>
          <w:sz w:val="20"/>
          <w:szCs w:val="20"/>
        </w:rPr>
        <w:t>Public charger stock by type in China, Europe, and the United States as of 2022. (Source: Cui et al., 2024)</w:t>
      </w:r>
    </w:p>
    <w:p w14:paraId="4E35AF56" w14:textId="77777777" w:rsidR="0001563C" w:rsidRPr="004A3685" w:rsidRDefault="001E2852" w:rsidP="00916788">
      <w:pPr>
        <w:spacing w:after="240" w:line="360" w:lineRule="auto"/>
        <w:ind w:firstLine="720"/>
        <w:jc w:val="both"/>
        <w:rPr>
          <w:rFonts w:cs="Arial"/>
          <w:szCs w:val="24"/>
        </w:rPr>
      </w:pPr>
      <w:r w:rsidRPr="004A3685">
        <w:rPr>
          <w:rFonts w:cs="Arial"/>
          <w:szCs w:val="24"/>
        </w:rPr>
        <w:t xml:space="preserve">Consumer reluctance to adopt new technologies </w:t>
      </w:r>
      <w:r w:rsidR="00702077" w:rsidRPr="004A3685">
        <w:rPr>
          <w:rFonts w:cs="Arial"/>
          <w:szCs w:val="24"/>
        </w:rPr>
        <w:t>hinders</w:t>
      </w:r>
      <w:r w:rsidRPr="004A3685">
        <w:rPr>
          <w:rFonts w:cs="Arial"/>
          <w:szCs w:val="24"/>
        </w:rPr>
        <w:t xml:space="preserve"> </w:t>
      </w:r>
      <w:r w:rsidR="00702077" w:rsidRPr="004A3685">
        <w:rPr>
          <w:rFonts w:cs="Arial"/>
          <w:szCs w:val="24"/>
        </w:rPr>
        <w:t xml:space="preserve">the </w:t>
      </w:r>
      <w:r w:rsidRPr="004A3685">
        <w:rPr>
          <w:rFonts w:cs="Arial"/>
          <w:szCs w:val="24"/>
        </w:rPr>
        <w:t xml:space="preserve">transition to sustainable transport. According to a 2023, the main reasons people have not yet bought an EV are </w:t>
      </w:r>
      <w:r w:rsidR="0001563C" w:rsidRPr="004A3685">
        <w:rPr>
          <w:rFonts w:cs="Arial"/>
          <w:szCs w:val="24"/>
        </w:rPr>
        <w:t xml:space="preserve">most of cars consumers </w:t>
      </w:r>
      <w:r w:rsidRPr="004A3685">
        <w:rPr>
          <w:rFonts w:cs="Arial"/>
          <w:szCs w:val="24"/>
        </w:rPr>
        <w:t>feel range</w:t>
      </w:r>
      <w:r w:rsidR="0001563C" w:rsidRPr="004A3685">
        <w:rPr>
          <w:rFonts w:cs="Arial"/>
          <w:szCs w:val="24"/>
        </w:rPr>
        <w:t xml:space="preserve"> </w:t>
      </w:r>
      <w:r w:rsidRPr="004A3685">
        <w:rPr>
          <w:rFonts w:cs="Arial"/>
          <w:szCs w:val="24"/>
        </w:rPr>
        <w:t>that EVs are too expensive. They are particularly suffering in areas where they do not have the charging infrastructure</w:t>
      </w:r>
      <w:r w:rsidR="00702077" w:rsidRPr="004A3685">
        <w:rPr>
          <w:rFonts w:cs="Arial"/>
          <w:szCs w:val="24"/>
        </w:rPr>
        <w:t xml:space="preserve">. Range </w:t>
      </w:r>
      <w:r w:rsidR="00702077" w:rsidRPr="004A3685">
        <w:rPr>
          <w:rFonts w:cs="Arial"/>
          <w:szCs w:val="24"/>
        </w:rPr>
        <w:lastRenderedPageBreak/>
        <w:t>anxiety is simply a fear of what will</w:t>
      </w:r>
      <w:r w:rsidRPr="004A3685">
        <w:rPr>
          <w:rFonts w:cs="Arial"/>
          <w:szCs w:val="24"/>
        </w:rPr>
        <w:t xml:space="preserve"> happen when you run out of battery power before you reach the charging station. </w:t>
      </w:r>
    </w:p>
    <w:p w14:paraId="5A4023A0" w14:textId="77777777" w:rsidR="0001563C" w:rsidRPr="004A3685" w:rsidRDefault="0001563C" w:rsidP="0001563C">
      <w:pPr>
        <w:keepNext/>
        <w:spacing w:after="240" w:line="360" w:lineRule="auto"/>
        <w:jc w:val="both"/>
      </w:pPr>
      <w:r w:rsidRPr="004A3685">
        <w:rPr>
          <w:rFonts w:cs="Arial"/>
          <w:noProof/>
          <w:szCs w:val="24"/>
        </w:rPr>
        <w:drawing>
          <wp:inline distT="0" distB="0" distL="0" distR="0" wp14:anchorId="01AC5CED" wp14:editId="5AB1CB93">
            <wp:extent cx="5943600" cy="21196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119630"/>
                    </a:xfrm>
                    <a:prstGeom prst="rect">
                      <a:avLst/>
                    </a:prstGeom>
                  </pic:spPr>
                </pic:pic>
              </a:graphicData>
            </a:graphic>
          </wp:inline>
        </w:drawing>
      </w:r>
    </w:p>
    <w:p w14:paraId="626C14CE" w14:textId="104F32BC" w:rsidR="0001563C" w:rsidRPr="004A3685" w:rsidRDefault="0001563C" w:rsidP="0001563C">
      <w:pPr>
        <w:pStyle w:val="Caption"/>
        <w:jc w:val="center"/>
        <w:rPr>
          <w:rFonts w:cs="Arial"/>
          <w:b/>
          <w:bCs/>
          <w:i w:val="0"/>
          <w:iCs w:val="0"/>
          <w:color w:val="000000" w:themeColor="text1"/>
          <w:sz w:val="20"/>
          <w:szCs w:val="28"/>
        </w:rPr>
      </w:pPr>
      <w:r w:rsidRPr="004A3685">
        <w:rPr>
          <w:b/>
          <w:bCs/>
          <w:i w:val="0"/>
          <w:iCs w:val="0"/>
          <w:color w:val="000000" w:themeColor="text1"/>
          <w:sz w:val="20"/>
          <w:szCs w:val="20"/>
        </w:rPr>
        <w:t xml:space="preserve">Figure </w:t>
      </w:r>
      <w:r w:rsidRPr="004A3685">
        <w:rPr>
          <w:b/>
          <w:bCs/>
          <w:i w:val="0"/>
          <w:iCs w:val="0"/>
          <w:color w:val="000000" w:themeColor="text1"/>
          <w:sz w:val="20"/>
          <w:szCs w:val="20"/>
        </w:rPr>
        <w:fldChar w:fldCharType="begin"/>
      </w:r>
      <w:r w:rsidRPr="004A3685">
        <w:rPr>
          <w:b/>
          <w:bCs/>
          <w:i w:val="0"/>
          <w:iCs w:val="0"/>
          <w:color w:val="000000" w:themeColor="text1"/>
          <w:sz w:val="20"/>
          <w:szCs w:val="20"/>
        </w:rPr>
        <w:instrText xml:space="preserve"> SEQ Figure \* ARABIC </w:instrText>
      </w:r>
      <w:r w:rsidRPr="004A3685">
        <w:rPr>
          <w:b/>
          <w:bCs/>
          <w:i w:val="0"/>
          <w:iCs w:val="0"/>
          <w:color w:val="000000" w:themeColor="text1"/>
          <w:sz w:val="20"/>
          <w:szCs w:val="20"/>
        </w:rPr>
        <w:fldChar w:fldCharType="separate"/>
      </w:r>
      <w:r w:rsidRPr="004A3685">
        <w:rPr>
          <w:b/>
          <w:bCs/>
          <w:i w:val="0"/>
          <w:iCs w:val="0"/>
          <w:noProof/>
          <w:color w:val="000000" w:themeColor="text1"/>
          <w:sz w:val="20"/>
          <w:szCs w:val="20"/>
        </w:rPr>
        <w:t>6</w:t>
      </w:r>
      <w:r w:rsidRPr="004A3685">
        <w:rPr>
          <w:b/>
          <w:bCs/>
          <w:i w:val="0"/>
          <w:iCs w:val="0"/>
          <w:color w:val="000000" w:themeColor="text1"/>
          <w:sz w:val="20"/>
          <w:szCs w:val="20"/>
        </w:rPr>
        <w:fldChar w:fldCharType="end"/>
      </w:r>
      <w:r w:rsidRPr="004A3685">
        <w:rPr>
          <w:b/>
          <w:bCs/>
          <w:i w:val="0"/>
          <w:iCs w:val="0"/>
          <w:color w:val="000000" w:themeColor="text1"/>
          <w:sz w:val="20"/>
          <w:szCs w:val="20"/>
        </w:rPr>
        <w:t xml:space="preserve">: </w:t>
      </w:r>
      <w:r w:rsidRPr="004A3685">
        <w:rPr>
          <w:i w:val="0"/>
          <w:iCs w:val="0"/>
          <w:color w:val="000000" w:themeColor="text1"/>
          <w:sz w:val="20"/>
          <w:szCs w:val="20"/>
        </w:rPr>
        <w:t>When asked what are the major hurdles to EV adoption, consumers point to a lack of charging. Source: Deloitte, 2023)</w:t>
      </w:r>
    </w:p>
    <w:p w14:paraId="2B1E1686" w14:textId="4F9A075F" w:rsidR="0001563C" w:rsidRPr="004A3685" w:rsidRDefault="001E2852" w:rsidP="00916788">
      <w:pPr>
        <w:spacing w:after="240" w:line="360" w:lineRule="auto"/>
        <w:ind w:firstLine="720"/>
        <w:jc w:val="both"/>
        <w:rPr>
          <w:rFonts w:cs="Arial"/>
          <w:szCs w:val="24"/>
        </w:rPr>
      </w:pPr>
      <w:r w:rsidRPr="004A3685">
        <w:rPr>
          <w:rFonts w:cs="Arial"/>
          <w:szCs w:val="24"/>
        </w:rPr>
        <w:t xml:space="preserve">Additionally, many consumers do not believe in the performance and durability of EVs and alternative fuel vehicles. </w:t>
      </w:r>
      <w:r w:rsidR="00702077" w:rsidRPr="004A3685">
        <w:rPr>
          <w:rFonts w:cs="Arial"/>
          <w:szCs w:val="24"/>
        </w:rPr>
        <w:t xml:space="preserve">For example, </w:t>
      </w:r>
      <w:r w:rsidR="0001563C" w:rsidRPr="004A3685">
        <w:rPr>
          <w:rFonts w:cs="Arial"/>
          <w:szCs w:val="24"/>
        </w:rPr>
        <w:t xml:space="preserve">almost 80% of European car buyers in our survey expect to get an EV in the future, but 22% remain sceptical about these vehicles because of unsuited to the cost of purchase, inability to charge at home, and worry about real battery driving range </w:t>
      </w:r>
      <w:r w:rsidRPr="004A3685">
        <w:rPr>
          <w:rFonts w:cs="Arial"/>
          <w:szCs w:val="24"/>
        </w:rPr>
        <w:t>(McKinsey &amp; Company, 2023). Further compounding of resistance is formed by behavioural resistance and lack of awareness and education about the benefit of the sustainable transport option.</w:t>
      </w:r>
      <w:r w:rsidR="0001563C" w:rsidRPr="004A3685">
        <w:rPr>
          <w:rFonts w:cs="Arial"/>
          <w:szCs w:val="24"/>
        </w:rPr>
        <w:t xml:space="preserve"> </w:t>
      </w:r>
      <w:r w:rsidRPr="004A3685">
        <w:rPr>
          <w:rFonts w:cs="Arial"/>
          <w:szCs w:val="24"/>
        </w:rPr>
        <w:t xml:space="preserve">Government policies in various regions are </w:t>
      </w:r>
      <w:r w:rsidR="00702077" w:rsidRPr="004A3685">
        <w:rPr>
          <w:rFonts w:cs="Arial"/>
          <w:szCs w:val="24"/>
        </w:rPr>
        <w:t>inconsistent, a big challenge for manufacturers</w:t>
      </w:r>
      <w:r w:rsidRPr="004A3685">
        <w:rPr>
          <w:rFonts w:cs="Arial"/>
          <w:szCs w:val="24"/>
        </w:rPr>
        <w:t xml:space="preserve"> and consumers. For instance, the European Union has already decided to end the production of ICE vehicles by 2035, and the </w:t>
      </w:r>
      <w:r w:rsidR="00702077" w:rsidRPr="004A3685">
        <w:rPr>
          <w:rFonts w:cs="Arial"/>
          <w:szCs w:val="24"/>
        </w:rPr>
        <w:t>US</w:t>
      </w:r>
      <w:r w:rsidRPr="004A3685">
        <w:rPr>
          <w:rFonts w:cs="Arial"/>
          <w:szCs w:val="24"/>
        </w:rPr>
        <w:t xml:space="preserve"> has yet to follow suit with a nationwide policy</w:t>
      </w:r>
      <w:r w:rsidR="00230936" w:rsidRPr="004A3685">
        <w:rPr>
          <w:rFonts w:cs="Arial"/>
          <w:szCs w:val="24"/>
        </w:rPr>
        <w:t xml:space="preserve"> (</w:t>
      </w:r>
      <w:r w:rsidR="00230936" w:rsidRPr="004A3685">
        <w:t>European Commission, 2022)</w:t>
      </w:r>
      <w:r w:rsidR="00230936" w:rsidRPr="004A3685">
        <w:rPr>
          <w:rFonts w:cs="Arial"/>
          <w:szCs w:val="24"/>
        </w:rPr>
        <w:t>.</w:t>
      </w:r>
    </w:p>
    <w:p w14:paraId="49EA291C" w14:textId="15FED057" w:rsidR="00BA6C2B" w:rsidRPr="004A3685" w:rsidRDefault="001E2852" w:rsidP="00916788">
      <w:pPr>
        <w:spacing w:after="240" w:line="360" w:lineRule="auto"/>
        <w:ind w:firstLine="720"/>
        <w:jc w:val="both"/>
        <w:rPr>
          <w:rFonts w:cs="Arial"/>
          <w:szCs w:val="24"/>
        </w:rPr>
      </w:pPr>
      <w:r w:rsidRPr="004A3685">
        <w:rPr>
          <w:rFonts w:cs="Arial"/>
          <w:szCs w:val="24"/>
        </w:rPr>
        <w:t xml:space="preserve">Different standards in different markets make the global supply chain more complex and increase costs for these manufacturers. Furthermore, </w:t>
      </w:r>
      <w:r w:rsidR="00702077" w:rsidRPr="004A3685">
        <w:rPr>
          <w:rFonts w:cs="Arial"/>
          <w:szCs w:val="24"/>
        </w:rPr>
        <w:t xml:space="preserve">harmonised emissions standards and fuel efficiency regulations do not attract </w:t>
      </w:r>
      <w:r w:rsidRPr="004A3685">
        <w:rPr>
          <w:rFonts w:cs="Arial"/>
          <w:szCs w:val="24"/>
        </w:rPr>
        <w:t xml:space="preserve">investment and render sustainable technologies less attractive. Electric Vehicle and Alternative Fuel Vehicle subsidies and incentives </w:t>
      </w:r>
      <w:r w:rsidR="00702077" w:rsidRPr="004A3685">
        <w:rPr>
          <w:rFonts w:cs="Arial"/>
          <w:szCs w:val="24"/>
        </w:rPr>
        <w:t>vary widely</w:t>
      </w:r>
      <w:r w:rsidRPr="004A3685">
        <w:rPr>
          <w:rFonts w:cs="Arial"/>
          <w:szCs w:val="24"/>
        </w:rPr>
        <w:t xml:space="preserve"> across countries</w:t>
      </w:r>
      <w:r w:rsidR="00702077" w:rsidRPr="004A3685">
        <w:rPr>
          <w:rFonts w:cs="Arial"/>
          <w:szCs w:val="24"/>
        </w:rPr>
        <w:t xml:space="preserve">. In some countries, there is atrocious support; in others, there are </w:t>
      </w:r>
      <w:r w:rsidRPr="004A3685">
        <w:rPr>
          <w:rFonts w:cs="Arial"/>
          <w:szCs w:val="24"/>
        </w:rPr>
        <w:t>lavish or tax-free incentives</w:t>
      </w:r>
      <w:r w:rsidR="00230936" w:rsidRPr="004A3685">
        <w:rPr>
          <w:rFonts w:cs="Arial"/>
          <w:szCs w:val="24"/>
        </w:rPr>
        <w:t xml:space="preserve"> (</w:t>
      </w:r>
      <w:r w:rsidR="00230936" w:rsidRPr="004A3685">
        <w:t>Thompson, 2022)</w:t>
      </w:r>
      <w:r w:rsidRPr="004A3685">
        <w:rPr>
          <w:rFonts w:cs="Arial"/>
          <w:szCs w:val="24"/>
        </w:rPr>
        <w:t xml:space="preserve">. </w:t>
      </w:r>
      <w:r w:rsidR="00230936" w:rsidRPr="004A3685">
        <w:rPr>
          <w:rFonts w:cs="Arial"/>
          <w:szCs w:val="24"/>
        </w:rPr>
        <w:lastRenderedPageBreak/>
        <w:t>Hence, t</w:t>
      </w:r>
      <w:r w:rsidRPr="004A3685">
        <w:rPr>
          <w:rFonts w:cs="Arial"/>
          <w:szCs w:val="24"/>
        </w:rPr>
        <w:t xml:space="preserve">his </w:t>
      </w:r>
      <w:r w:rsidR="00702077" w:rsidRPr="004A3685">
        <w:rPr>
          <w:rFonts w:cs="Arial"/>
          <w:szCs w:val="24"/>
        </w:rPr>
        <w:t>negates</w:t>
      </w:r>
      <w:r w:rsidRPr="004A3685">
        <w:rPr>
          <w:rFonts w:cs="Arial"/>
          <w:szCs w:val="24"/>
        </w:rPr>
        <w:t xml:space="preserve"> the efforts of </w:t>
      </w:r>
      <w:r w:rsidR="00702077" w:rsidRPr="004A3685">
        <w:rPr>
          <w:rFonts w:cs="Arial"/>
          <w:szCs w:val="24"/>
        </w:rPr>
        <w:t>global workers to curtail their emissions and sets</w:t>
      </w:r>
      <w:r w:rsidRPr="004A3685">
        <w:rPr>
          <w:rFonts w:cs="Arial"/>
          <w:szCs w:val="24"/>
        </w:rPr>
        <w:t xml:space="preserve"> a discriminatory dilapidation for manufacturers.</w:t>
      </w:r>
    </w:p>
    <w:p w14:paraId="3737ECBE" w14:textId="3AC61AA3" w:rsidR="00BA6C2B" w:rsidRPr="004A3685" w:rsidRDefault="001E2852" w:rsidP="000E6F85">
      <w:pPr>
        <w:pStyle w:val="Heading1"/>
        <w:spacing w:before="0" w:after="240" w:line="360" w:lineRule="auto"/>
      </w:pPr>
      <w:bookmarkStart w:id="10" w:name="_Toc191299279"/>
      <w:r w:rsidRPr="004A3685">
        <w:t>Conclusion/Recommendations</w:t>
      </w:r>
      <w:bookmarkEnd w:id="10"/>
      <w:r w:rsidRPr="004A3685">
        <w:t> </w:t>
      </w:r>
    </w:p>
    <w:p w14:paraId="5CF8B48F" w14:textId="0857138D" w:rsidR="00580412" w:rsidRPr="004A3685" w:rsidRDefault="00580412" w:rsidP="00580412">
      <w:pPr>
        <w:rPr>
          <w:b/>
          <w:bCs/>
        </w:rPr>
      </w:pPr>
      <w:r w:rsidRPr="004A3685">
        <w:rPr>
          <w:b/>
          <w:bCs/>
        </w:rPr>
        <w:t>Summary:</w:t>
      </w:r>
    </w:p>
    <w:p w14:paraId="4EA86864" w14:textId="77777777" w:rsidR="00580412" w:rsidRPr="004A3685" w:rsidRDefault="001E2852" w:rsidP="00916788">
      <w:pPr>
        <w:spacing w:after="240" w:line="360" w:lineRule="auto"/>
        <w:ind w:firstLine="720"/>
        <w:jc w:val="both"/>
        <w:rPr>
          <w:rFonts w:cs="Arial"/>
          <w:szCs w:val="24"/>
        </w:rPr>
      </w:pPr>
      <w:r w:rsidRPr="004A3685">
        <w:rPr>
          <w:rFonts w:cs="Arial"/>
          <w:szCs w:val="24"/>
        </w:rPr>
        <w:t xml:space="preserve">The automotive industry has a </w:t>
      </w:r>
      <w:r w:rsidR="00F65038" w:rsidRPr="004A3685">
        <w:rPr>
          <w:rFonts w:cs="Arial"/>
          <w:szCs w:val="24"/>
        </w:rPr>
        <w:t>significant</w:t>
      </w:r>
      <w:r w:rsidRPr="004A3685">
        <w:rPr>
          <w:rFonts w:cs="Arial"/>
          <w:szCs w:val="24"/>
        </w:rPr>
        <w:t xml:space="preserve"> environmental impact from road transport, mainly due to carbon emissions and air pollution, the </w:t>
      </w:r>
      <w:r w:rsidR="00F65038" w:rsidRPr="004A3685">
        <w:rPr>
          <w:rFonts w:cs="Arial"/>
          <w:szCs w:val="24"/>
        </w:rPr>
        <w:t>primary</w:t>
      </w:r>
      <w:r w:rsidRPr="004A3685">
        <w:rPr>
          <w:rFonts w:cs="Arial"/>
          <w:szCs w:val="24"/>
        </w:rPr>
        <w:t xml:space="preserve"> global carbon emissions and resource depletion. The</w:t>
      </w:r>
      <w:r w:rsidR="00230936" w:rsidRPr="004A3685">
        <w:rPr>
          <w:rFonts w:cs="Arial"/>
          <w:szCs w:val="24"/>
        </w:rPr>
        <w:t xml:space="preserve"> advanced </w:t>
      </w:r>
      <w:r w:rsidRPr="004A3685">
        <w:rPr>
          <w:rFonts w:cs="Arial"/>
          <w:szCs w:val="24"/>
        </w:rPr>
        <w:t>technolog</w:t>
      </w:r>
      <w:r w:rsidR="00230936" w:rsidRPr="004A3685">
        <w:rPr>
          <w:rFonts w:cs="Arial"/>
          <w:szCs w:val="24"/>
        </w:rPr>
        <w:t xml:space="preserve">y in shape of EV cars </w:t>
      </w:r>
      <w:r w:rsidRPr="004A3685">
        <w:rPr>
          <w:rFonts w:cs="Arial"/>
          <w:szCs w:val="24"/>
        </w:rPr>
        <w:t xml:space="preserve">are proposed to be viable and mitigated by electrification, alternate fuels, and operational efficiency improvements. However, upfront cost complications, infrastructure deficits, consumer opposition and nonspecific marketing frameworks limit the usage of this technology. </w:t>
      </w:r>
    </w:p>
    <w:p w14:paraId="4590E24F" w14:textId="35D63327" w:rsidR="00580412" w:rsidRPr="004A3685" w:rsidRDefault="00580412" w:rsidP="000E6F85">
      <w:pPr>
        <w:spacing w:after="240" w:line="360" w:lineRule="auto"/>
        <w:jc w:val="both"/>
        <w:rPr>
          <w:rFonts w:cs="Arial"/>
          <w:b/>
          <w:bCs/>
          <w:szCs w:val="24"/>
        </w:rPr>
      </w:pPr>
      <w:r w:rsidRPr="004A3685">
        <w:rPr>
          <w:rFonts w:cs="Arial"/>
          <w:b/>
          <w:bCs/>
          <w:szCs w:val="24"/>
        </w:rPr>
        <w:t>Recommendations:</w:t>
      </w:r>
    </w:p>
    <w:p w14:paraId="75751C9B" w14:textId="73D46502" w:rsidR="00580412" w:rsidRPr="004A3685" w:rsidRDefault="00580412" w:rsidP="000E6F85">
      <w:pPr>
        <w:spacing w:after="240" w:line="360" w:lineRule="auto"/>
        <w:jc w:val="both"/>
        <w:rPr>
          <w:rFonts w:cs="Arial"/>
          <w:szCs w:val="24"/>
        </w:rPr>
      </w:pPr>
      <w:r w:rsidRPr="004A3685">
        <w:rPr>
          <w:rFonts w:cs="Arial"/>
          <w:szCs w:val="24"/>
        </w:rPr>
        <w:t xml:space="preserve">Here are some recommendations result from the analysis of automotive industry: </w:t>
      </w:r>
    </w:p>
    <w:p w14:paraId="2C5B2D94" w14:textId="77777777" w:rsidR="00580412" w:rsidRPr="004A3685" w:rsidRDefault="001E2852" w:rsidP="00580412">
      <w:pPr>
        <w:pStyle w:val="ListParagraph"/>
        <w:numPr>
          <w:ilvl w:val="0"/>
          <w:numId w:val="1"/>
        </w:numPr>
        <w:spacing w:after="240" w:line="360" w:lineRule="auto"/>
        <w:jc w:val="both"/>
        <w:rPr>
          <w:rFonts w:cs="Arial"/>
          <w:szCs w:val="24"/>
        </w:rPr>
      </w:pPr>
      <w:r w:rsidRPr="004A3685">
        <w:rPr>
          <w:rFonts w:cs="Arial"/>
          <w:szCs w:val="24"/>
        </w:rPr>
        <w:t xml:space="preserve">Considering the conditions of the automotive industry, the necessity for new technology, and lowering the cost to accelerate the adoption of electric and alternative fuel vehicles as fast as possible, the automotive </w:t>
      </w:r>
      <w:r w:rsidR="00F65038" w:rsidRPr="004A3685">
        <w:rPr>
          <w:rFonts w:cs="Arial"/>
          <w:szCs w:val="24"/>
        </w:rPr>
        <w:t>sector</w:t>
      </w:r>
      <w:r w:rsidRPr="004A3685">
        <w:rPr>
          <w:rFonts w:cs="Arial"/>
          <w:szCs w:val="24"/>
        </w:rPr>
        <w:t xml:space="preserve"> should develop new technology and reduce costs. </w:t>
      </w:r>
    </w:p>
    <w:p w14:paraId="4978FEB8" w14:textId="77777777" w:rsidR="00580412" w:rsidRPr="004A3685" w:rsidRDefault="00580412" w:rsidP="00580412">
      <w:pPr>
        <w:pStyle w:val="ListParagraph"/>
        <w:numPr>
          <w:ilvl w:val="0"/>
          <w:numId w:val="1"/>
        </w:numPr>
        <w:spacing w:after="240" w:line="360" w:lineRule="auto"/>
        <w:jc w:val="both"/>
        <w:rPr>
          <w:rFonts w:cs="Arial"/>
          <w:szCs w:val="24"/>
        </w:rPr>
      </w:pPr>
      <w:r w:rsidRPr="004A3685">
        <w:rPr>
          <w:rFonts w:cs="Arial"/>
          <w:szCs w:val="24"/>
        </w:rPr>
        <w:t>M</w:t>
      </w:r>
      <w:r w:rsidR="001E2852" w:rsidRPr="004A3685">
        <w:rPr>
          <w:rFonts w:cs="Arial"/>
          <w:szCs w:val="24"/>
        </w:rPr>
        <w:t xml:space="preserve">ore fuel-efficient technology and lightweight materials can be invested in </w:t>
      </w:r>
      <w:r w:rsidR="00702077" w:rsidRPr="004A3685">
        <w:rPr>
          <w:rFonts w:cs="Arial"/>
          <w:szCs w:val="24"/>
        </w:rPr>
        <w:t>to eliminate these emissions further</w:t>
      </w:r>
      <w:r w:rsidR="001E2852" w:rsidRPr="004A3685">
        <w:rPr>
          <w:rFonts w:cs="Arial"/>
          <w:szCs w:val="24"/>
        </w:rPr>
        <w:t xml:space="preserve"> and increase operational efficiencies.</w:t>
      </w:r>
      <w:r w:rsidR="00230936" w:rsidRPr="004A3685">
        <w:rPr>
          <w:rFonts w:cs="Arial"/>
          <w:szCs w:val="24"/>
        </w:rPr>
        <w:t xml:space="preserve"> </w:t>
      </w:r>
    </w:p>
    <w:p w14:paraId="7781F921" w14:textId="17CDB3D7" w:rsidR="00BA6C2B" w:rsidRPr="004A3685" w:rsidRDefault="001E2852" w:rsidP="00580412">
      <w:pPr>
        <w:pStyle w:val="ListParagraph"/>
        <w:numPr>
          <w:ilvl w:val="0"/>
          <w:numId w:val="1"/>
        </w:numPr>
        <w:spacing w:after="240" w:line="360" w:lineRule="auto"/>
        <w:jc w:val="both"/>
        <w:rPr>
          <w:rFonts w:cs="Arial"/>
          <w:szCs w:val="24"/>
        </w:rPr>
      </w:pPr>
      <w:r w:rsidRPr="004A3685">
        <w:rPr>
          <w:rFonts w:cs="Arial"/>
          <w:szCs w:val="24"/>
        </w:rPr>
        <w:t xml:space="preserve">By investing further and innovating, the policy can assist the automotive industry in </w:t>
      </w:r>
      <w:r w:rsidR="00702077" w:rsidRPr="004A3685">
        <w:rPr>
          <w:rFonts w:cs="Arial"/>
          <w:szCs w:val="24"/>
        </w:rPr>
        <w:t>transitioning to a low-carbon, economically healthy future</w:t>
      </w:r>
      <w:r w:rsidRPr="004A3685">
        <w:rPr>
          <w:rFonts w:cs="Arial"/>
          <w:szCs w:val="24"/>
        </w:rPr>
        <w:t xml:space="preserve">. </w:t>
      </w:r>
    </w:p>
    <w:p w14:paraId="75FB902D" w14:textId="77777777" w:rsidR="00702077" w:rsidRPr="004A3685" w:rsidRDefault="00702077" w:rsidP="000E6F85">
      <w:pPr>
        <w:spacing w:line="360" w:lineRule="auto"/>
        <w:rPr>
          <w:rFonts w:eastAsiaTheme="majorEastAsia" w:cstheme="majorBidi"/>
          <w:b/>
          <w:sz w:val="28"/>
          <w:szCs w:val="32"/>
        </w:rPr>
      </w:pPr>
      <w:r w:rsidRPr="004A3685">
        <w:br w:type="page"/>
      </w:r>
    </w:p>
    <w:p w14:paraId="52FAADD9" w14:textId="3548A8DF" w:rsidR="00230936" w:rsidRPr="004A3685" w:rsidRDefault="00702077" w:rsidP="00230936">
      <w:pPr>
        <w:pStyle w:val="Heading1"/>
        <w:spacing w:before="0" w:after="240" w:line="360" w:lineRule="auto"/>
        <w:jc w:val="center"/>
      </w:pPr>
      <w:bookmarkStart w:id="11" w:name="_Toc191299280"/>
      <w:r w:rsidRPr="004A3685">
        <w:lastRenderedPageBreak/>
        <w:t>References</w:t>
      </w:r>
      <w:bookmarkEnd w:id="0"/>
      <w:bookmarkEnd w:id="11"/>
    </w:p>
    <w:p w14:paraId="69FDA262" w14:textId="77777777" w:rsidR="00165CEF" w:rsidRPr="004A3685" w:rsidRDefault="00165CEF" w:rsidP="00230936">
      <w:pPr>
        <w:spacing w:after="240" w:line="360" w:lineRule="auto"/>
        <w:ind w:left="720" w:hanging="720"/>
        <w:jc w:val="both"/>
      </w:pPr>
      <w:r w:rsidRPr="004A3685">
        <w:t xml:space="preserve">Alternative Fuel Observatory, (2024). Charging ahead: accelerating the roll-out of EU electric vehicle charging infrastructure. Available at: </w:t>
      </w:r>
      <w:hyperlink r:id="rId14" w:history="1">
        <w:r w:rsidRPr="004A3685">
          <w:rPr>
            <w:rStyle w:val="Hyperlink"/>
            <w:color w:val="000000" w:themeColor="text1"/>
            <w:u w:val="none"/>
          </w:rPr>
          <w:t>https://alternative-fuels-observatory.ec.europa.eu/sites/default/files/document-files/2024-05/Charging_ahead_Accelerating_the_roll-out_of_EU_electric_vehicle_charging_infrastructure.pdf</w:t>
        </w:r>
      </w:hyperlink>
      <w:r w:rsidRPr="004A3685">
        <w:t>. [Accessed on 22nd February 2025].</w:t>
      </w:r>
    </w:p>
    <w:p w14:paraId="424B71D4" w14:textId="77777777" w:rsidR="00165CEF" w:rsidRPr="004A3685" w:rsidRDefault="00165CEF" w:rsidP="00230936">
      <w:pPr>
        <w:spacing w:after="240" w:line="360" w:lineRule="auto"/>
        <w:ind w:left="720" w:hanging="720"/>
        <w:jc w:val="both"/>
      </w:pPr>
      <w:proofErr w:type="spellStart"/>
      <w:r w:rsidRPr="004A3685">
        <w:rPr>
          <w:rFonts w:cs="Arial"/>
          <w:szCs w:val="24"/>
        </w:rPr>
        <w:t>Brecorder</w:t>
      </w:r>
      <w:proofErr w:type="spellEnd"/>
      <w:r w:rsidRPr="004A3685">
        <w:rPr>
          <w:rFonts w:cs="Arial"/>
          <w:szCs w:val="24"/>
        </w:rPr>
        <w:t xml:space="preserve">, (2023). “Toyota Sells 10.8 Million Vehicles in 2024 to Remain World’s Top-Selling Automaker” Brecorder (2025). Available at: </w:t>
      </w:r>
      <w:hyperlink r:id="rId15" w:history="1">
        <w:r w:rsidRPr="004A3685">
          <w:rPr>
            <w:rStyle w:val="Hyperlink"/>
            <w:rFonts w:cs="Arial"/>
            <w:color w:val="000000" w:themeColor="text1"/>
            <w:szCs w:val="24"/>
            <w:u w:val="none"/>
          </w:rPr>
          <w:t>https://www.brecorder.com/news/40345471/toyota-sells-108-million-vehicles-in-2024-to-remain-worlds-top-selling-automaker</w:t>
        </w:r>
      </w:hyperlink>
      <w:r w:rsidRPr="004A3685">
        <w:rPr>
          <w:rFonts w:cs="Arial"/>
          <w:szCs w:val="24"/>
        </w:rPr>
        <w:t xml:space="preserve">. </w:t>
      </w:r>
      <w:r w:rsidRPr="004A3685">
        <w:t>[Accessed on 22nd February 2025].</w:t>
      </w:r>
    </w:p>
    <w:p w14:paraId="635A9EE4"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 xml:space="preserve">Caban, J., Vrabel, J., </w:t>
      </w:r>
      <w:proofErr w:type="spellStart"/>
      <w:r w:rsidRPr="004A3685">
        <w:rPr>
          <w:rFonts w:cs="Arial"/>
          <w:szCs w:val="24"/>
        </w:rPr>
        <w:t>Górnicka</w:t>
      </w:r>
      <w:proofErr w:type="spellEnd"/>
      <w:r w:rsidRPr="004A3685">
        <w:rPr>
          <w:rFonts w:cs="Arial"/>
          <w:szCs w:val="24"/>
        </w:rPr>
        <w:t xml:space="preserve">, D., Nowak, R., Jankiewicz, M., </w:t>
      </w:r>
      <w:proofErr w:type="spellStart"/>
      <w:r w:rsidRPr="004A3685">
        <w:rPr>
          <w:rFonts w:cs="Arial"/>
          <w:szCs w:val="24"/>
        </w:rPr>
        <w:t>Matijošius</w:t>
      </w:r>
      <w:proofErr w:type="spellEnd"/>
      <w:r w:rsidRPr="004A3685">
        <w:rPr>
          <w:rFonts w:cs="Arial"/>
          <w:szCs w:val="24"/>
        </w:rPr>
        <w:t>, J. and Palka, M., (2023). Overview of energy harvesting technologies used in road vehicles. Energies, 16(9), p.3787.</w:t>
      </w:r>
    </w:p>
    <w:p w14:paraId="268E789B" w14:textId="77777777" w:rsidR="00165CEF" w:rsidRPr="004A3685" w:rsidRDefault="00165CEF" w:rsidP="00230936">
      <w:pPr>
        <w:spacing w:after="240" w:line="360" w:lineRule="auto"/>
        <w:ind w:left="720" w:hanging="720"/>
        <w:jc w:val="both"/>
      </w:pPr>
      <w:proofErr w:type="spellStart"/>
      <w:r w:rsidRPr="004A3685">
        <w:t>Center</w:t>
      </w:r>
      <w:proofErr w:type="spellEnd"/>
      <w:r w:rsidRPr="004A3685">
        <w:t xml:space="preserve"> of Sustainable Systems, (2022). Personal Transportation. </w:t>
      </w:r>
      <w:hyperlink r:id="rId16" w:history="1">
        <w:r w:rsidRPr="004A3685">
          <w:rPr>
            <w:rStyle w:val="Hyperlink"/>
            <w:color w:val="000000" w:themeColor="text1"/>
            <w:u w:val="none"/>
          </w:rPr>
          <w:t>https://css.umich.edu/sites/default/files/2024-10/Personal%20Transportation_CSS01-07.pdf</w:t>
        </w:r>
      </w:hyperlink>
      <w:r w:rsidRPr="004A3685">
        <w:t>. [Accessed on 22nd February 2025].</w:t>
      </w:r>
    </w:p>
    <w:p w14:paraId="42B59BBD" w14:textId="77777777" w:rsidR="00165CEF" w:rsidRPr="004A3685" w:rsidRDefault="00165CEF" w:rsidP="00230936">
      <w:pPr>
        <w:spacing w:after="240" w:line="360" w:lineRule="auto"/>
        <w:ind w:left="720" w:hanging="720"/>
        <w:jc w:val="both"/>
      </w:pPr>
      <w:r w:rsidRPr="004A3685">
        <w:t>Cui, H., Ma, R., Liu, Y., Yu, R., Peng, X., Zhang, J. and Yang Li, Y., (2024). Charging up China’s transition to electric vehicles: A dive into China’s public charging infrastructure deployment and comparison with Europe and the United States.</w:t>
      </w:r>
    </w:p>
    <w:p w14:paraId="4C247BCC" w14:textId="77777777" w:rsidR="00165CEF" w:rsidRPr="004A3685" w:rsidRDefault="00165CEF" w:rsidP="00230936">
      <w:pPr>
        <w:spacing w:after="240" w:line="360" w:lineRule="auto"/>
        <w:ind w:left="720" w:hanging="720"/>
        <w:jc w:val="both"/>
      </w:pPr>
      <w:r w:rsidRPr="004A3685">
        <w:t xml:space="preserve">Deloitte, (2023). 2023 Global Automotive Consumer Study Key Findings: INDIA. Available at: </w:t>
      </w:r>
      <w:hyperlink r:id="rId17" w:history="1">
        <w:r w:rsidRPr="004A3685">
          <w:rPr>
            <w:rStyle w:val="Hyperlink"/>
            <w:color w:val="000000" w:themeColor="text1"/>
            <w:u w:val="none"/>
          </w:rPr>
          <w:t>https://www2.deloitte.com/content/dam/Deloitte/in/Documents/consumer-business/in-GACS-2023-India-noexp.pdf</w:t>
        </w:r>
      </w:hyperlink>
      <w:r w:rsidRPr="004A3685">
        <w:t>. [Accessed on 22nd February 2025].</w:t>
      </w:r>
    </w:p>
    <w:p w14:paraId="2EAE2EA8" w14:textId="77777777" w:rsidR="00165CEF" w:rsidRPr="004A3685" w:rsidRDefault="00165CEF" w:rsidP="00230936">
      <w:pPr>
        <w:spacing w:after="240" w:line="360" w:lineRule="auto"/>
        <w:ind w:left="720" w:hanging="720"/>
        <w:jc w:val="both"/>
      </w:pPr>
      <w:r w:rsidRPr="004A3685">
        <w:rPr>
          <w:rFonts w:cs="Arial"/>
          <w:szCs w:val="24"/>
        </w:rPr>
        <w:t xml:space="preserve">Deloitte., (2023). </w:t>
      </w:r>
      <w:r w:rsidRPr="004A3685">
        <w:t xml:space="preserve">2023 Global Automotive Consumer Study Key findings: EMEA Focus countries. Available at: </w:t>
      </w:r>
      <w:hyperlink r:id="rId18" w:history="1">
        <w:r w:rsidRPr="004A3685">
          <w:rPr>
            <w:rStyle w:val="Hyperlink"/>
            <w:color w:val="000000" w:themeColor="text1"/>
            <w:u w:val="none"/>
          </w:rPr>
          <w:t>https://www2.deloitte.com/content/dam/Deloitte/us/Documents/us-gacs-emea.pdf</w:t>
        </w:r>
      </w:hyperlink>
      <w:r w:rsidRPr="004A3685">
        <w:t>. [Accessed on 22nd February 2025].</w:t>
      </w:r>
    </w:p>
    <w:p w14:paraId="6B40ABEF" w14:textId="77777777" w:rsidR="00165CEF" w:rsidRPr="004A3685" w:rsidRDefault="00165CEF" w:rsidP="00230936">
      <w:pPr>
        <w:spacing w:after="240" w:line="360" w:lineRule="auto"/>
        <w:ind w:left="720" w:hanging="720"/>
        <w:jc w:val="both"/>
      </w:pPr>
      <w:r w:rsidRPr="004A3685">
        <w:t xml:space="preserve">European Commission, (2022). Zero emission vehicles: first ‘Fit for 55' deal will end the sale of new CO2 emitting cars in Europe by 2035. Available at: </w:t>
      </w:r>
      <w:hyperlink r:id="rId19" w:history="1">
        <w:r w:rsidRPr="004A3685">
          <w:rPr>
            <w:rStyle w:val="Hyperlink"/>
            <w:color w:val="000000" w:themeColor="text1"/>
            <w:u w:val="none"/>
          </w:rPr>
          <w:t>https://ec.europa.eu/commission/presscorner/detail/en/ip_22_6462</w:t>
        </w:r>
      </w:hyperlink>
      <w:r w:rsidRPr="004A3685">
        <w:t>. [Accessed on 22nd February 2025].</w:t>
      </w:r>
    </w:p>
    <w:p w14:paraId="2B10E5EA"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European Parliament, (2024). CO2 emissions from cars: facts and figures (infographics). Available at: https://www.europarl.europa.eu/topics/en/article/20190313STO31218/co2-emissions-from-cars-facts-and-figures-infographics. [Accessed on 22</w:t>
      </w:r>
      <w:r w:rsidRPr="004A3685">
        <w:rPr>
          <w:rFonts w:cs="Arial"/>
          <w:szCs w:val="24"/>
          <w:vertAlign w:val="superscript"/>
        </w:rPr>
        <w:t>nd</w:t>
      </w:r>
      <w:r w:rsidRPr="004A3685">
        <w:rPr>
          <w:rFonts w:cs="Arial"/>
          <w:szCs w:val="24"/>
        </w:rPr>
        <w:t xml:space="preserve"> February 2025].</w:t>
      </w:r>
    </w:p>
    <w:p w14:paraId="4250FFAD" w14:textId="77777777" w:rsidR="00165CEF" w:rsidRPr="004A3685" w:rsidRDefault="00165CEF" w:rsidP="00230936">
      <w:pPr>
        <w:spacing w:after="240" w:line="360" w:lineRule="auto"/>
        <w:ind w:left="720" w:hanging="720"/>
        <w:jc w:val="both"/>
      </w:pPr>
      <w:r w:rsidRPr="004A3685">
        <w:t xml:space="preserve">FCW, (2024). “Tokyo Bets Big on Hydrogen with Moves to Boost Commercial Fuel Cell Vehicles | Fuel Cells Works”. Available at: </w:t>
      </w:r>
      <w:hyperlink r:id="rId20" w:history="1">
        <w:r w:rsidRPr="004A3685">
          <w:rPr>
            <w:rStyle w:val="Hyperlink"/>
            <w:color w:val="000000" w:themeColor="text1"/>
            <w:u w:val="none"/>
          </w:rPr>
          <w:t>https://fuelcellsworks.com/news/tokyo-bets-big-on-hydrogen-with-moves-to-boost-commercial-fuel-cell-vehicles</w:t>
        </w:r>
      </w:hyperlink>
      <w:r w:rsidRPr="004A3685">
        <w:t>. [Accessed on 22nd February 2025].</w:t>
      </w:r>
    </w:p>
    <w:p w14:paraId="386D5622"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 xml:space="preserve">Gao, Y. and Zhu, J., (2022). Characteristics, Impacts and trends of urban transportation. </w:t>
      </w:r>
      <w:proofErr w:type="spellStart"/>
      <w:r w:rsidRPr="004A3685">
        <w:rPr>
          <w:rFonts w:cs="Arial"/>
          <w:szCs w:val="24"/>
        </w:rPr>
        <w:t>Encyclopedia</w:t>
      </w:r>
      <w:proofErr w:type="spellEnd"/>
      <w:r w:rsidRPr="004A3685">
        <w:rPr>
          <w:rFonts w:cs="Arial"/>
          <w:szCs w:val="24"/>
        </w:rPr>
        <w:t>, 2(2), pp.1168-1182.</w:t>
      </w:r>
    </w:p>
    <w:p w14:paraId="558E185D" w14:textId="77777777" w:rsidR="00165CEF" w:rsidRPr="004A3685" w:rsidRDefault="00165CEF" w:rsidP="00230936">
      <w:pPr>
        <w:spacing w:after="240" w:line="360" w:lineRule="auto"/>
        <w:ind w:left="720" w:hanging="720"/>
        <w:jc w:val="both"/>
      </w:pPr>
      <w:r w:rsidRPr="004A3685">
        <w:t xml:space="preserve">Global Fuel Economy Initiative, (2023). TRENDS IN THE GLOBAL VEHICLE FLEET 2023 MANAGING THE SUV SHIFT AND THE EV TRANSITION. Available at: </w:t>
      </w:r>
      <w:hyperlink r:id="rId21" w:history="1">
        <w:r w:rsidRPr="004A3685">
          <w:rPr>
            <w:rStyle w:val="Hyperlink"/>
            <w:color w:val="000000" w:themeColor="text1"/>
            <w:u w:val="none"/>
          </w:rPr>
          <w:t>https://www.globalfueleconomy.org/media/792523/gfei-trends-in-the-global-vehicle-fleet-2023-spreads.pdf</w:t>
        </w:r>
      </w:hyperlink>
      <w:r w:rsidRPr="004A3685">
        <w:t>. [Accessed on 22nd February 2025].</w:t>
      </w:r>
    </w:p>
    <w:p w14:paraId="47498299"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Grael, P.F., Oliveira, L.S., Oliveira, D.S. and Bezerra, B.S., (2021). Life cycle inventory and impact assessment for an asphalt pavement road construction—a case study in Brazil. The International Journal of Life Cycle Assessment, 26, pp.402-416.</w:t>
      </w:r>
    </w:p>
    <w:p w14:paraId="6A24071D" w14:textId="77777777" w:rsidR="00165CEF" w:rsidRPr="004A3685" w:rsidRDefault="00165CEF" w:rsidP="00230936">
      <w:pPr>
        <w:spacing w:after="240" w:line="360" w:lineRule="auto"/>
        <w:ind w:left="720" w:hanging="720"/>
        <w:jc w:val="both"/>
        <w:rPr>
          <w:rFonts w:cs="Arial"/>
          <w:szCs w:val="24"/>
        </w:rPr>
      </w:pPr>
      <w:proofErr w:type="spellStart"/>
      <w:r w:rsidRPr="004A3685">
        <w:rPr>
          <w:rFonts w:cs="Arial"/>
          <w:szCs w:val="24"/>
        </w:rPr>
        <w:t>Hochachka</w:t>
      </w:r>
      <w:proofErr w:type="spellEnd"/>
      <w:r w:rsidRPr="004A3685">
        <w:rPr>
          <w:rFonts w:cs="Arial"/>
          <w:szCs w:val="24"/>
        </w:rPr>
        <w:t>, G. and Mérida, W., (2023). Navigating the razor's edge: Public acceptance of climate policies and the case of transport pricing. Energy Policy, 178, p.113616.</w:t>
      </w:r>
    </w:p>
    <w:p w14:paraId="0331D415" w14:textId="77777777" w:rsidR="00165CEF" w:rsidRPr="004A3685" w:rsidRDefault="00165CEF" w:rsidP="00230936">
      <w:pPr>
        <w:spacing w:after="240" w:line="360" w:lineRule="auto"/>
        <w:ind w:left="720" w:hanging="720"/>
        <w:jc w:val="both"/>
      </w:pPr>
      <w:r w:rsidRPr="004A3685">
        <w:rPr>
          <w:rFonts w:cs="Arial"/>
          <w:szCs w:val="24"/>
        </w:rPr>
        <w:lastRenderedPageBreak/>
        <w:t xml:space="preserve">Hoskins P, (2023). “Tesla Says It Delivered Record 1.3 Million Vehicles in 2022”. Available at: https://www.bbc.com/news/business-64149130. </w:t>
      </w:r>
      <w:r w:rsidRPr="004A3685">
        <w:t>[Accessed on 22nd February 2025].</w:t>
      </w:r>
    </w:p>
    <w:p w14:paraId="29A1D65D" w14:textId="77777777" w:rsidR="00165CEF" w:rsidRPr="004A3685" w:rsidRDefault="00165CEF" w:rsidP="00230936">
      <w:pPr>
        <w:spacing w:after="240" w:line="360" w:lineRule="auto"/>
        <w:ind w:left="720" w:hanging="720"/>
        <w:jc w:val="both"/>
      </w:pPr>
      <w:r w:rsidRPr="004A3685">
        <w:rPr>
          <w:rFonts w:cs="Arial"/>
          <w:szCs w:val="24"/>
        </w:rPr>
        <w:t xml:space="preserve">Imber D, (2025). “The Latest Tesla Statistics”. Available at: </w:t>
      </w:r>
      <w:hyperlink r:id="rId22" w:history="1">
        <w:r w:rsidRPr="004A3685">
          <w:rPr>
            <w:rStyle w:val="Hyperlink"/>
            <w:rFonts w:cs="Arial"/>
            <w:color w:val="000000" w:themeColor="text1"/>
            <w:szCs w:val="24"/>
            <w:u w:val="none"/>
          </w:rPr>
          <w:t>https://www.buyacar.co.uk/the-latest-tesla-statistics/</w:t>
        </w:r>
      </w:hyperlink>
      <w:r w:rsidRPr="004A3685">
        <w:rPr>
          <w:rFonts w:cs="Arial"/>
          <w:szCs w:val="24"/>
        </w:rPr>
        <w:t xml:space="preserve">. </w:t>
      </w:r>
      <w:r w:rsidRPr="004A3685">
        <w:t>[Accessed on 22nd February 2025].</w:t>
      </w:r>
    </w:p>
    <w:p w14:paraId="40A9721F"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International Energy Agency, (2024), Cars and Vans. Available at: https://www.iea.org/energy-system/transport/cars-and-vans. [Accessed on 22</w:t>
      </w:r>
      <w:r w:rsidRPr="004A3685">
        <w:rPr>
          <w:rFonts w:cs="Arial"/>
          <w:szCs w:val="24"/>
          <w:vertAlign w:val="superscript"/>
        </w:rPr>
        <w:t>nd</w:t>
      </w:r>
      <w:r w:rsidRPr="004A3685">
        <w:rPr>
          <w:rFonts w:cs="Arial"/>
          <w:szCs w:val="24"/>
        </w:rPr>
        <w:t xml:space="preserve"> February 2025].</w:t>
      </w:r>
    </w:p>
    <w:p w14:paraId="3F8BF2EB"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 xml:space="preserve">International Transport Forum, (2023). </w:t>
      </w:r>
      <w:r w:rsidRPr="004A3685">
        <w:t xml:space="preserve">ITF Transport Outlook 2023. Available at: https://www.itf-oecd.org/sites/default/files/docs/itf-transport-outlook-2023-launch.pdf. </w:t>
      </w:r>
      <w:r w:rsidRPr="004A3685">
        <w:rPr>
          <w:rFonts w:cs="Arial"/>
          <w:szCs w:val="24"/>
        </w:rPr>
        <w:t>[Accessed on 22</w:t>
      </w:r>
      <w:r w:rsidRPr="004A3685">
        <w:rPr>
          <w:rFonts w:cs="Arial"/>
          <w:szCs w:val="24"/>
          <w:vertAlign w:val="superscript"/>
        </w:rPr>
        <w:t>nd</w:t>
      </w:r>
      <w:r w:rsidRPr="004A3685">
        <w:rPr>
          <w:rFonts w:cs="Arial"/>
          <w:szCs w:val="24"/>
        </w:rPr>
        <w:t xml:space="preserve"> February 2025].</w:t>
      </w:r>
    </w:p>
    <w:p w14:paraId="76F2EB2C" w14:textId="77777777" w:rsidR="00165CEF" w:rsidRPr="004A3685" w:rsidRDefault="00165CEF" w:rsidP="00580412">
      <w:pPr>
        <w:spacing w:after="240" w:line="360" w:lineRule="auto"/>
        <w:ind w:left="720" w:hanging="720"/>
        <w:jc w:val="both"/>
      </w:pPr>
      <w:r w:rsidRPr="004A3685">
        <w:t xml:space="preserve">Jauhari, V (2021) ‘Managing Sustainability in the Hospitality and Tourism Industry: Paradigms and Directions for the Future’ 9th </w:t>
      </w:r>
      <w:proofErr w:type="spellStart"/>
      <w:r w:rsidRPr="004A3685">
        <w:t>edn.Oakville</w:t>
      </w:r>
      <w:proofErr w:type="spellEnd"/>
      <w:r w:rsidRPr="004A3685">
        <w:t xml:space="preserve">: Apple Academic Press. Inc </w:t>
      </w:r>
    </w:p>
    <w:p w14:paraId="6034F3F7"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Kaiser, N. and Barstow, C.K., (2022). Rural transportation infrastructure in low-and middle-income countries: a review of impacts, implications, and interventions. Sustainability, 14(4), p.2149.</w:t>
      </w:r>
    </w:p>
    <w:p w14:paraId="6A8023AB" w14:textId="77777777" w:rsidR="00165CEF" w:rsidRPr="004A3685" w:rsidRDefault="00165CEF" w:rsidP="00230936">
      <w:pPr>
        <w:spacing w:after="240" w:line="360" w:lineRule="auto"/>
        <w:ind w:left="720" w:hanging="720"/>
        <w:jc w:val="both"/>
        <w:rPr>
          <w:rFonts w:cs="Arial"/>
          <w:szCs w:val="24"/>
        </w:rPr>
      </w:pPr>
      <w:proofErr w:type="spellStart"/>
      <w:r w:rsidRPr="004A3685">
        <w:rPr>
          <w:rFonts w:cs="Arial"/>
          <w:szCs w:val="24"/>
        </w:rPr>
        <w:t>Konduracka</w:t>
      </w:r>
      <w:proofErr w:type="spellEnd"/>
      <w:r w:rsidRPr="004A3685">
        <w:rPr>
          <w:rFonts w:cs="Arial"/>
          <w:szCs w:val="24"/>
        </w:rPr>
        <w:t>, E. and Rostoff, P., (2022). Links between chronic exposure to outdoor air pollution and cardiovascular diseases: a review. Environmental Chemistry Letters, 20(5), pp.2971-2988.</w:t>
      </w:r>
    </w:p>
    <w:p w14:paraId="50E54843"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Li, S. and Yue, Q., (2024). Analysis on the energy demand, CO2 and pollutant emissions, and health benefits from urban road transport sector: a case study of Shenyang. Green and Low-Carbon Economy, 2(3), pp.143-150.</w:t>
      </w:r>
    </w:p>
    <w:p w14:paraId="071216D3" w14:textId="77777777" w:rsidR="00165CEF" w:rsidRPr="004A3685" w:rsidRDefault="00165CEF" w:rsidP="00230936">
      <w:pPr>
        <w:spacing w:after="240" w:line="360" w:lineRule="auto"/>
        <w:ind w:left="720" w:hanging="720"/>
        <w:jc w:val="both"/>
      </w:pPr>
      <w:r w:rsidRPr="004A3685">
        <w:t xml:space="preserve">McKinsey &amp; Company, (2023). How European consumers perceive electric vehicles. Available at: </w:t>
      </w:r>
      <w:hyperlink r:id="rId23" w:anchor="/" w:history="1">
        <w:r w:rsidRPr="004A3685">
          <w:rPr>
            <w:rStyle w:val="Hyperlink"/>
            <w:color w:val="000000" w:themeColor="text1"/>
            <w:u w:val="none"/>
          </w:rPr>
          <w:t>https://www.mckinsey.com/industries/automotive-and-assembly/our-</w:t>
        </w:r>
        <w:r w:rsidRPr="004A3685">
          <w:rPr>
            <w:rStyle w:val="Hyperlink"/>
            <w:color w:val="000000" w:themeColor="text1"/>
            <w:u w:val="none"/>
          </w:rPr>
          <w:lastRenderedPageBreak/>
          <w:t>insights/how-european-consumers-perceive-electric-vehicles#/</w:t>
        </w:r>
      </w:hyperlink>
      <w:r w:rsidRPr="004A3685">
        <w:t>. [Accessed on 22nd February 2025].</w:t>
      </w:r>
    </w:p>
    <w:p w14:paraId="5C024004" w14:textId="77777777" w:rsidR="00165CEF" w:rsidRPr="004A3685" w:rsidRDefault="00165CEF" w:rsidP="00580412">
      <w:pPr>
        <w:spacing w:after="240" w:line="360" w:lineRule="auto"/>
        <w:ind w:left="720" w:hanging="720"/>
        <w:jc w:val="both"/>
      </w:pPr>
      <w:r w:rsidRPr="004A3685">
        <w:t xml:space="preserve">Sloan, P., Legrand, W. and Chen, J.S. (2017) Sustainability in the hospitality industry : principles of sustainable operations. 3rd </w:t>
      </w:r>
      <w:proofErr w:type="spellStart"/>
      <w:r w:rsidRPr="004A3685">
        <w:t>edn</w:t>
      </w:r>
      <w:proofErr w:type="spellEnd"/>
      <w:r w:rsidRPr="004A3685">
        <w:t xml:space="preserve">. London: Butterworth-Heinemann. </w:t>
      </w:r>
    </w:p>
    <w:p w14:paraId="5D5ECF77" w14:textId="77777777" w:rsidR="00165CEF" w:rsidRPr="004A3685" w:rsidRDefault="00165CEF" w:rsidP="00230936">
      <w:pPr>
        <w:spacing w:after="240" w:line="360" w:lineRule="auto"/>
        <w:ind w:left="720" w:hanging="720"/>
        <w:jc w:val="both"/>
      </w:pPr>
      <w:r w:rsidRPr="004A3685">
        <w:t xml:space="preserve">Thompson, D.K., (2022). </w:t>
      </w:r>
      <w:proofErr w:type="spellStart"/>
      <w:r w:rsidRPr="004A3685">
        <w:t>Respatializing</w:t>
      </w:r>
      <w:proofErr w:type="spellEnd"/>
      <w:r w:rsidRPr="004A3685">
        <w:t xml:space="preserve"> federalism in the horn’s borderlands: From contraband control to transnational governmentality. Journal of Borderlands Studies, 37(2), pp.295-316.</w:t>
      </w:r>
    </w:p>
    <w:p w14:paraId="1949E54B" w14:textId="77777777" w:rsidR="00165CEF" w:rsidRPr="004A3685" w:rsidRDefault="00165CEF" w:rsidP="00230936">
      <w:pPr>
        <w:spacing w:after="240" w:line="360" w:lineRule="auto"/>
        <w:ind w:left="720" w:hanging="720"/>
        <w:jc w:val="both"/>
        <w:rPr>
          <w:rFonts w:cs="Arial"/>
          <w:szCs w:val="24"/>
        </w:rPr>
      </w:pPr>
      <w:r w:rsidRPr="004A3685">
        <w:rPr>
          <w:rFonts w:cs="Arial"/>
          <w:szCs w:val="24"/>
        </w:rPr>
        <w:t>Wang, B., Wang, B., Lv, B. and Wang, R., (2022). Impact of motor vehicle exhaust on the air quality of an urban city. Aerosol and Air Quality Research, 22(8), p.220213.</w:t>
      </w:r>
    </w:p>
    <w:p w14:paraId="42EE38A6" w14:textId="77777777" w:rsidR="00165CEF" w:rsidRPr="004A3685" w:rsidRDefault="00165CEF" w:rsidP="00230936">
      <w:pPr>
        <w:spacing w:after="240" w:line="360" w:lineRule="auto"/>
        <w:ind w:left="720" w:hanging="720"/>
        <w:jc w:val="both"/>
        <w:rPr>
          <w:rFonts w:cs="Arial"/>
          <w:szCs w:val="24"/>
        </w:rPr>
      </w:pPr>
      <w:proofErr w:type="spellStart"/>
      <w:r w:rsidRPr="004A3685">
        <w:rPr>
          <w:rFonts w:cs="Arial"/>
          <w:szCs w:val="24"/>
        </w:rPr>
        <w:t>Zarezadeh</w:t>
      </w:r>
      <w:proofErr w:type="spellEnd"/>
      <w:r w:rsidRPr="004A3685">
        <w:rPr>
          <w:rFonts w:cs="Arial"/>
          <w:szCs w:val="24"/>
        </w:rPr>
        <w:t>, Z.Z., Rastegar, R. and Xiang, Z., (2022). Big data analytics and hotel guest experience: a critical literature analysis. International Journal of Contemporary Hospitality Management, 34(6), pp.2320-2336.</w:t>
      </w:r>
    </w:p>
    <w:p w14:paraId="4800204E" w14:textId="77777777" w:rsidR="00165CEF" w:rsidRDefault="00165CEF" w:rsidP="00D95FB7">
      <w:pPr>
        <w:spacing w:after="240" w:line="360" w:lineRule="auto"/>
        <w:ind w:left="720" w:hanging="720"/>
        <w:jc w:val="both"/>
        <w:rPr>
          <w:rFonts w:cs="Arial"/>
          <w:szCs w:val="24"/>
        </w:rPr>
      </w:pPr>
      <w:r w:rsidRPr="004A3685">
        <w:rPr>
          <w:rFonts w:cs="Arial"/>
          <w:szCs w:val="24"/>
        </w:rPr>
        <w:t>Zhong, J., Hodgson, J.R., Bloss, W.J. and Shi, Z., (2023). Impacts of net zero policies on air quality in a metropolitan area of the United Kingdom: Towards world health organisation air quality guidelines. Environmental Research, 236, p.116704.</w:t>
      </w:r>
    </w:p>
    <w:p w14:paraId="1AAB9634" w14:textId="306717D4" w:rsidR="00732E49" w:rsidRDefault="00732E49" w:rsidP="00732E49">
      <w:pPr>
        <w:spacing w:after="240" w:line="360" w:lineRule="auto"/>
        <w:jc w:val="both"/>
      </w:pPr>
    </w:p>
    <w:p w14:paraId="7EF9778C" w14:textId="67FF1738" w:rsidR="00732E49" w:rsidRDefault="00732E49" w:rsidP="000E6F85">
      <w:pPr>
        <w:spacing w:after="240" w:line="360" w:lineRule="auto"/>
        <w:jc w:val="both"/>
        <w:rPr>
          <w:rFonts w:cs="Arial"/>
          <w:szCs w:val="24"/>
        </w:rPr>
      </w:pPr>
    </w:p>
    <w:p w14:paraId="2AD03A01" w14:textId="54448530" w:rsidR="00474CC8" w:rsidRPr="003B0B01" w:rsidRDefault="00474CC8" w:rsidP="000E6F85">
      <w:pPr>
        <w:spacing w:after="240" w:line="360" w:lineRule="auto"/>
        <w:jc w:val="both"/>
        <w:rPr>
          <w:rFonts w:cs="Arial"/>
          <w:szCs w:val="24"/>
        </w:rPr>
      </w:pPr>
    </w:p>
    <w:sectPr w:rsidR="00474CC8" w:rsidRPr="003B0B01" w:rsidSect="00230936">
      <w:footerReference w:type="default" r:id="rId24"/>
      <w:pgSz w:w="12240" w:h="15840"/>
      <w:pgMar w:top="1440" w:right="1440" w:bottom="1440" w:left="1440" w:header="720" w:footer="720" w:gutter="0"/>
      <w:pgBorders w:offsetFrom="page">
        <w:top w:val="outset" w:sz="6" w:space="24" w:color="auto"/>
        <w:left w:val="outset" w:sz="6" w:space="24" w:color="auto"/>
        <w:bottom w:val="inset" w:sz="6" w:space="24" w:color="auto"/>
        <w:right w:val="inset"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4A3C9E" w14:textId="77777777" w:rsidR="00B50811" w:rsidRDefault="00B50811" w:rsidP="00230936">
      <w:pPr>
        <w:spacing w:after="0" w:line="240" w:lineRule="auto"/>
      </w:pPr>
      <w:r>
        <w:separator/>
      </w:r>
    </w:p>
  </w:endnote>
  <w:endnote w:type="continuationSeparator" w:id="0">
    <w:p w14:paraId="00C18CDE" w14:textId="77777777" w:rsidR="00B50811" w:rsidRDefault="00B50811" w:rsidP="002309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6CBFC7" w14:textId="1A84C6FD" w:rsidR="00230936" w:rsidRPr="00230936" w:rsidRDefault="00230936">
    <w:pPr>
      <w:pStyle w:val="Footer"/>
      <w:jc w:val="right"/>
      <w:rPr>
        <w:sz w:val="20"/>
        <w:szCs w:val="18"/>
      </w:rPr>
    </w:pPr>
    <w:r w:rsidRPr="00230936">
      <w:rPr>
        <w:sz w:val="16"/>
        <w:szCs w:val="16"/>
      </w:rPr>
      <w:t xml:space="preserve">Pg. </w:t>
    </w:r>
    <w:r w:rsidRPr="00230936">
      <w:rPr>
        <w:sz w:val="16"/>
        <w:szCs w:val="16"/>
      </w:rPr>
      <w:fldChar w:fldCharType="begin"/>
    </w:r>
    <w:r w:rsidRPr="00230936">
      <w:rPr>
        <w:sz w:val="16"/>
        <w:szCs w:val="16"/>
      </w:rPr>
      <w:instrText xml:space="preserve"> PAGE  \* Arabic </w:instrText>
    </w:r>
    <w:r w:rsidRPr="00230936">
      <w:rPr>
        <w:sz w:val="16"/>
        <w:szCs w:val="16"/>
      </w:rPr>
      <w:fldChar w:fldCharType="separate"/>
    </w:r>
    <w:r w:rsidRPr="00230936">
      <w:rPr>
        <w:noProof/>
        <w:sz w:val="16"/>
        <w:szCs w:val="16"/>
      </w:rPr>
      <w:t>1</w:t>
    </w:r>
    <w:r w:rsidRPr="00230936">
      <w:rPr>
        <w:sz w:val="16"/>
        <w:szCs w:val="16"/>
      </w:rPr>
      <w:fldChar w:fldCharType="end"/>
    </w:r>
  </w:p>
  <w:p w14:paraId="04E914F1" w14:textId="77777777" w:rsidR="00230936" w:rsidRDefault="002309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ED3A90" w14:textId="77777777" w:rsidR="00B50811" w:rsidRDefault="00B50811" w:rsidP="00230936">
      <w:pPr>
        <w:spacing w:after="0" w:line="240" w:lineRule="auto"/>
      </w:pPr>
      <w:r>
        <w:separator/>
      </w:r>
    </w:p>
  </w:footnote>
  <w:footnote w:type="continuationSeparator" w:id="0">
    <w:p w14:paraId="0BCF2BEA" w14:textId="77777777" w:rsidR="00B50811" w:rsidRDefault="00B50811" w:rsidP="002309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D07F9C"/>
    <w:multiLevelType w:val="hybridMultilevel"/>
    <w:tmpl w:val="8C4E1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297513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C2B"/>
    <w:rsid w:val="0001563C"/>
    <w:rsid w:val="000A1C5F"/>
    <w:rsid w:val="000C2077"/>
    <w:rsid w:val="000C5657"/>
    <w:rsid w:val="000E6F85"/>
    <w:rsid w:val="0014543E"/>
    <w:rsid w:val="0015760D"/>
    <w:rsid w:val="00165CEF"/>
    <w:rsid w:val="001E2852"/>
    <w:rsid w:val="00230936"/>
    <w:rsid w:val="00277CAF"/>
    <w:rsid w:val="002C651A"/>
    <w:rsid w:val="003503DC"/>
    <w:rsid w:val="00371BEA"/>
    <w:rsid w:val="00386DDB"/>
    <w:rsid w:val="003B0B01"/>
    <w:rsid w:val="003D7491"/>
    <w:rsid w:val="003F68A9"/>
    <w:rsid w:val="00411872"/>
    <w:rsid w:val="00430C2A"/>
    <w:rsid w:val="00444583"/>
    <w:rsid w:val="00474CC8"/>
    <w:rsid w:val="00483022"/>
    <w:rsid w:val="004A3685"/>
    <w:rsid w:val="004C6203"/>
    <w:rsid w:val="005178F8"/>
    <w:rsid w:val="00580412"/>
    <w:rsid w:val="005A1BAF"/>
    <w:rsid w:val="00603050"/>
    <w:rsid w:val="006C3659"/>
    <w:rsid w:val="00702077"/>
    <w:rsid w:val="00732E49"/>
    <w:rsid w:val="007661EA"/>
    <w:rsid w:val="0079091F"/>
    <w:rsid w:val="008415BA"/>
    <w:rsid w:val="00894DBF"/>
    <w:rsid w:val="008F7927"/>
    <w:rsid w:val="00916788"/>
    <w:rsid w:val="00963F29"/>
    <w:rsid w:val="00971A64"/>
    <w:rsid w:val="009C4758"/>
    <w:rsid w:val="00A17D96"/>
    <w:rsid w:val="00A415E9"/>
    <w:rsid w:val="00A85035"/>
    <w:rsid w:val="00AF4F21"/>
    <w:rsid w:val="00B10883"/>
    <w:rsid w:val="00B472A4"/>
    <w:rsid w:val="00B50811"/>
    <w:rsid w:val="00BA6C2B"/>
    <w:rsid w:val="00C06799"/>
    <w:rsid w:val="00C10C4A"/>
    <w:rsid w:val="00C92BDF"/>
    <w:rsid w:val="00D20481"/>
    <w:rsid w:val="00D95E19"/>
    <w:rsid w:val="00D95FB7"/>
    <w:rsid w:val="00DC6894"/>
    <w:rsid w:val="00DD10ED"/>
    <w:rsid w:val="00E042A6"/>
    <w:rsid w:val="00E079B9"/>
    <w:rsid w:val="00E15D74"/>
    <w:rsid w:val="00F65038"/>
    <w:rsid w:val="00F82FC9"/>
    <w:rsid w:val="00FD4397"/>
    <w:rsid w:val="00FD713A"/>
    <w:rsid w:val="00FE4216"/>
    <w:rsid w:val="00FE49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69631E"/>
  <w15:chartTrackingRefBased/>
  <w15:docId w15:val="{EC683BC6-4757-40F3-AB9C-8385604EC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077"/>
    <w:rPr>
      <w:rFonts w:ascii="Arial" w:hAnsi="Arial"/>
      <w:color w:val="000000" w:themeColor="text1"/>
      <w:sz w:val="24"/>
      <w:lang w:val="en-GB"/>
    </w:rPr>
  </w:style>
  <w:style w:type="paragraph" w:styleId="Heading1">
    <w:name w:val="heading 1"/>
    <w:basedOn w:val="Normal"/>
    <w:next w:val="Normal"/>
    <w:link w:val="Heading1Char"/>
    <w:uiPriority w:val="9"/>
    <w:qFormat/>
    <w:rsid w:val="00F65038"/>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16788"/>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916788"/>
    <w:pPr>
      <w:keepNext/>
      <w:keepLines/>
      <w:spacing w:before="40" w:after="0"/>
      <w:ind w:left="72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A6C2B"/>
    <w:rPr>
      <w:b/>
      <w:bCs/>
    </w:rPr>
  </w:style>
  <w:style w:type="character" w:customStyle="1" w:styleId="Heading1Char">
    <w:name w:val="Heading 1 Char"/>
    <w:basedOn w:val="DefaultParagraphFont"/>
    <w:link w:val="Heading1"/>
    <w:uiPriority w:val="9"/>
    <w:rsid w:val="00F65038"/>
    <w:rPr>
      <w:rFonts w:ascii="Arial" w:eastAsiaTheme="majorEastAsia" w:hAnsi="Arial" w:cstheme="majorBidi"/>
      <w:b/>
      <w:color w:val="000000" w:themeColor="text1"/>
      <w:sz w:val="24"/>
      <w:szCs w:val="32"/>
      <w:lang w:val="en-GB"/>
    </w:rPr>
  </w:style>
  <w:style w:type="character" w:customStyle="1" w:styleId="Heading2Char">
    <w:name w:val="Heading 2 Char"/>
    <w:basedOn w:val="DefaultParagraphFont"/>
    <w:link w:val="Heading2"/>
    <w:uiPriority w:val="9"/>
    <w:rsid w:val="00916788"/>
    <w:rPr>
      <w:rFonts w:ascii="Arial" w:eastAsiaTheme="majorEastAsia" w:hAnsi="Arial" w:cstheme="majorBidi"/>
      <w:b/>
      <w:color w:val="000000" w:themeColor="text1"/>
      <w:sz w:val="24"/>
      <w:szCs w:val="26"/>
      <w:lang w:val="en-GB"/>
    </w:rPr>
  </w:style>
  <w:style w:type="paragraph" w:styleId="TOCHeading">
    <w:name w:val="TOC Heading"/>
    <w:basedOn w:val="Heading1"/>
    <w:next w:val="Normal"/>
    <w:uiPriority w:val="39"/>
    <w:unhideWhenUsed/>
    <w:qFormat/>
    <w:rsid w:val="00B472A4"/>
    <w:pPr>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472A4"/>
    <w:pPr>
      <w:spacing w:after="100"/>
    </w:pPr>
  </w:style>
  <w:style w:type="paragraph" w:styleId="TOC2">
    <w:name w:val="toc 2"/>
    <w:basedOn w:val="Normal"/>
    <w:next w:val="Normal"/>
    <w:autoRedefine/>
    <w:uiPriority w:val="39"/>
    <w:unhideWhenUsed/>
    <w:rsid w:val="00B472A4"/>
    <w:pPr>
      <w:spacing w:after="100"/>
      <w:ind w:left="240"/>
    </w:pPr>
  </w:style>
  <w:style w:type="character" w:styleId="Hyperlink">
    <w:name w:val="Hyperlink"/>
    <w:basedOn w:val="DefaultParagraphFont"/>
    <w:uiPriority w:val="99"/>
    <w:unhideWhenUsed/>
    <w:rsid w:val="00B472A4"/>
    <w:rPr>
      <w:color w:val="0563C1" w:themeColor="hyperlink"/>
      <w:u w:val="single"/>
    </w:rPr>
  </w:style>
  <w:style w:type="character" w:styleId="UnresolvedMention">
    <w:name w:val="Unresolved Mention"/>
    <w:basedOn w:val="DefaultParagraphFont"/>
    <w:uiPriority w:val="99"/>
    <w:semiHidden/>
    <w:unhideWhenUsed/>
    <w:rsid w:val="00474CC8"/>
    <w:rPr>
      <w:color w:val="605E5C"/>
      <w:shd w:val="clear" w:color="auto" w:fill="E1DFDD"/>
    </w:rPr>
  </w:style>
  <w:style w:type="paragraph" w:styleId="Caption">
    <w:name w:val="caption"/>
    <w:basedOn w:val="Normal"/>
    <w:next w:val="Normal"/>
    <w:uiPriority w:val="35"/>
    <w:unhideWhenUsed/>
    <w:qFormat/>
    <w:rsid w:val="006C3659"/>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916788"/>
    <w:rPr>
      <w:rFonts w:ascii="Arial" w:eastAsiaTheme="majorEastAsia" w:hAnsi="Arial" w:cstheme="majorBidi"/>
      <w:b/>
      <w:color w:val="000000" w:themeColor="text1"/>
      <w:sz w:val="24"/>
      <w:szCs w:val="24"/>
      <w:lang w:val="en-GB"/>
    </w:rPr>
  </w:style>
  <w:style w:type="character" w:styleId="PlaceholderText">
    <w:name w:val="Placeholder Text"/>
    <w:basedOn w:val="DefaultParagraphFont"/>
    <w:uiPriority w:val="99"/>
    <w:semiHidden/>
    <w:rsid w:val="00AF4F21"/>
    <w:rPr>
      <w:color w:val="808080"/>
    </w:rPr>
  </w:style>
  <w:style w:type="table" w:customStyle="1" w:styleId="TableGrid">
    <w:name w:val="TableGrid"/>
    <w:rsid w:val="00230936"/>
    <w:pPr>
      <w:spacing w:after="0" w:line="240" w:lineRule="auto"/>
    </w:pPr>
    <w:rPr>
      <w:rFonts w:eastAsiaTheme="minorEastAsia"/>
      <w:kern w:val="2"/>
      <w:sz w:val="24"/>
      <w:szCs w:val="24"/>
      <w:lang w:val="" w:eastAsia=""/>
      <w14:ligatures w14:val="standardContextual"/>
    </w:rPr>
    <w:tblPr>
      <w:tblCellMar>
        <w:top w:w="0" w:type="dxa"/>
        <w:left w:w="0" w:type="dxa"/>
        <w:bottom w:w="0" w:type="dxa"/>
        <w:right w:w="0" w:type="dxa"/>
      </w:tblCellMar>
    </w:tblPr>
  </w:style>
  <w:style w:type="paragraph" w:styleId="Header">
    <w:name w:val="header"/>
    <w:basedOn w:val="Normal"/>
    <w:link w:val="HeaderChar"/>
    <w:uiPriority w:val="99"/>
    <w:unhideWhenUsed/>
    <w:rsid w:val="002309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936"/>
    <w:rPr>
      <w:rFonts w:ascii="Arial" w:hAnsi="Arial"/>
      <w:color w:val="000000" w:themeColor="text1"/>
      <w:sz w:val="24"/>
      <w:lang w:val="en-GB"/>
    </w:rPr>
  </w:style>
  <w:style w:type="paragraph" w:styleId="Footer">
    <w:name w:val="footer"/>
    <w:basedOn w:val="Normal"/>
    <w:link w:val="FooterChar"/>
    <w:uiPriority w:val="99"/>
    <w:unhideWhenUsed/>
    <w:rsid w:val="002309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936"/>
    <w:rPr>
      <w:rFonts w:ascii="Arial" w:hAnsi="Arial"/>
      <w:color w:val="000000" w:themeColor="text1"/>
      <w:sz w:val="24"/>
      <w:lang w:val="en-GB"/>
    </w:rPr>
  </w:style>
  <w:style w:type="character" w:styleId="CommentReference">
    <w:name w:val="annotation reference"/>
    <w:basedOn w:val="DefaultParagraphFont"/>
    <w:uiPriority w:val="99"/>
    <w:semiHidden/>
    <w:unhideWhenUsed/>
    <w:rsid w:val="00277CAF"/>
    <w:rPr>
      <w:sz w:val="16"/>
      <w:szCs w:val="16"/>
    </w:rPr>
  </w:style>
  <w:style w:type="paragraph" w:styleId="CommentText">
    <w:name w:val="annotation text"/>
    <w:basedOn w:val="Normal"/>
    <w:link w:val="CommentTextChar"/>
    <w:uiPriority w:val="99"/>
    <w:semiHidden/>
    <w:unhideWhenUsed/>
    <w:rsid w:val="00277CAF"/>
    <w:pPr>
      <w:spacing w:line="240" w:lineRule="auto"/>
    </w:pPr>
    <w:rPr>
      <w:sz w:val="20"/>
      <w:szCs w:val="20"/>
    </w:rPr>
  </w:style>
  <w:style w:type="character" w:customStyle="1" w:styleId="CommentTextChar">
    <w:name w:val="Comment Text Char"/>
    <w:basedOn w:val="DefaultParagraphFont"/>
    <w:link w:val="CommentText"/>
    <w:uiPriority w:val="99"/>
    <w:semiHidden/>
    <w:rsid w:val="00277CAF"/>
    <w:rPr>
      <w:rFonts w:ascii="Arial" w:hAnsi="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277CAF"/>
    <w:rPr>
      <w:b/>
      <w:bCs/>
    </w:rPr>
  </w:style>
  <w:style w:type="character" w:customStyle="1" w:styleId="CommentSubjectChar">
    <w:name w:val="Comment Subject Char"/>
    <w:basedOn w:val="CommentTextChar"/>
    <w:link w:val="CommentSubject"/>
    <w:uiPriority w:val="99"/>
    <w:semiHidden/>
    <w:rsid w:val="00277CAF"/>
    <w:rPr>
      <w:rFonts w:ascii="Arial" w:hAnsi="Arial"/>
      <w:b/>
      <w:bCs/>
      <w:color w:val="000000" w:themeColor="text1"/>
      <w:sz w:val="20"/>
      <w:szCs w:val="20"/>
      <w:lang w:val="en-GB"/>
    </w:rPr>
  </w:style>
  <w:style w:type="paragraph" w:styleId="TOC3">
    <w:name w:val="toc 3"/>
    <w:basedOn w:val="Normal"/>
    <w:next w:val="Normal"/>
    <w:autoRedefine/>
    <w:uiPriority w:val="39"/>
    <w:unhideWhenUsed/>
    <w:rsid w:val="00D95FB7"/>
    <w:pPr>
      <w:spacing w:after="100"/>
      <w:ind w:left="480"/>
    </w:pPr>
  </w:style>
  <w:style w:type="paragraph" w:styleId="ListParagraph">
    <w:name w:val="List Paragraph"/>
    <w:basedOn w:val="Normal"/>
    <w:uiPriority w:val="34"/>
    <w:qFormat/>
    <w:rsid w:val="005804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5776137">
      <w:bodyDiv w:val="1"/>
      <w:marLeft w:val="0"/>
      <w:marRight w:val="0"/>
      <w:marTop w:val="0"/>
      <w:marBottom w:val="0"/>
      <w:divBdr>
        <w:top w:val="none" w:sz="0" w:space="0" w:color="auto"/>
        <w:left w:val="none" w:sz="0" w:space="0" w:color="auto"/>
        <w:bottom w:val="none" w:sz="0" w:space="0" w:color="auto"/>
        <w:right w:val="none" w:sz="0" w:space="0" w:color="auto"/>
      </w:divBdr>
    </w:div>
    <w:div w:id="1929346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2.deloitte.com/content/dam/Deloitte/us/Documents/us-gacs-emea.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lobalfueleconomy.org/media/792523/gfei-trends-in-the-global-vehicle-fleet-2023-spreads.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2.deloitte.com/content/dam/Deloitte/in/Documents/consumer-business/in-GACS-2023-India-noexp.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ss.umich.edu/sites/default/files/2024-10/Personal%20Transportation_CSS01-07.pdf" TargetMode="External"/><Relationship Id="rId20" Type="http://schemas.openxmlformats.org/officeDocument/2006/relationships/hyperlink" Target="https://fuelcellsworks.com/news/tokyo-bets-big-on-hydrogen-with-moves-to-boost-commercial-fuel-cell-vehic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recorder.com/news/40345471/toyota-sells-108-million-vehicles-in-2024-to-remain-worlds-top-selling-automaker" TargetMode="External"/><Relationship Id="rId23" Type="http://schemas.openxmlformats.org/officeDocument/2006/relationships/hyperlink" Target="https://www.mckinsey.com/industries/automotive-and-assembly/our-insights/how-european-consumers-perceive-electric-vehicles" TargetMode="External"/><Relationship Id="rId10" Type="http://schemas.openxmlformats.org/officeDocument/2006/relationships/image" Target="media/image3.png"/><Relationship Id="rId19" Type="http://schemas.openxmlformats.org/officeDocument/2006/relationships/hyperlink" Target="https://ec.europa.eu/commission/presscorner/detail/en/ip_22_646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alternative-fuels-observatory.ec.europa.eu/sites/default/files/document-files/2024-05/Charging_ahead_Accelerating_the_roll-out_of_EU_electric_vehicle_charging_infrastructure.pdf" TargetMode="External"/><Relationship Id="rId22" Type="http://schemas.openxmlformats.org/officeDocument/2006/relationships/hyperlink" Target="https://www.buyacar.co.uk/the-latest-tesla-statist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3DA1381-5627-42E2-A783-3912C7853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3371</Words>
  <Characters>19221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Mahnoor Janjua</dc:creator>
  <cp:lastModifiedBy>Saima Jabeen (2241265)</cp:lastModifiedBy>
  <cp:revision>2</cp:revision>
  <dcterms:created xsi:type="dcterms:W3CDTF">2025-03-07T22:01:00Z</dcterms:created>
  <dcterms:modified xsi:type="dcterms:W3CDTF">2025-03-07T22:01:00Z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6f992900-398b-4a22-b53b-3414ddce4fea</vt:lpwstr>
  </property>
</Properties>
</file>