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47A2" w:rsidRPr="004E3C1C" w:rsidRDefault="009947A2" w:rsidP="009947A2">
      <w:bookmarkStart w:id="0" w:name="_GoBack"/>
      <w:bookmarkEnd w:id="0"/>
      <w:r w:rsidRPr="004E3C1C">
        <w:rPr>
          <w:noProof/>
        </w:rPr>
        <w:drawing>
          <wp:inline distT="0" distB="0" distL="0" distR="0" wp14:anchorId="11974373" wp14:editId="73033E28">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9947A2" w:rsidRPr="004E3C1C" w:rsidRDefault="009947A2" w:rsidP="009947A2">
      <w:pPr>
        <w:rPr>
          <w:rFonts w:ascii="Times New Roman" w:hAnsi="Times New Roman" w:cs="Times New Roman"/>
          <w:sz w:val="24"/>
          <w:szCs w:val="24"/>
        </w:rPr>
      </w:pPr>
    </w:p>
    <w:p w:rsidR="009947A2" w:rsidRPr="004E3C1C" w:rsidRDefault="009947A2" w:rsidP="009947A2">
      <w:pPr>
        <w:overflowPunct/>
        <w:autoSpaceDE/>
        <w:autoSpaceDN/>
        <w:adjustRightInd/>
        <w:textAlignment w:val="auto"/>
        <w:rPr>
          <w:rFonts w:ascii="Times New Roman" w:hAnsi="Times New Roman"/>
          <w:b/>
          <w:bCs/>
          <w:color w:val="auto"/>
          <w:sz w:val="48"/>
          <w:szCs w:val="48"/>
        </w:rPr>
      </w:pPr>
      <w:r w:rsidRPr="004E3C1C">
        <w:rPr>
          <w:rFonts w:ascii="Times New Roman" w:hAnsi="Times New Roman" w:cs="Times New Roman"/>
          <w:b/>
          <w:color w:val="auto"/>
          <w:sz w:val="48"/>
          <w:szCs w:val="48"/>
        </w:rPr>
        <w:t xml:space="preserve">GRADUATE CERTIFICATE in </w:t>
      </w:r>
      <w:r w:rsidRPr="004E3C1C">
        <w:rPr>
          <w:rFonts w:ascii="Times New Roman" w:hAnsi="Times New Roman"/>
          <w:b/>
          <w:bCs/>
          <w:color w:val="auto"/>
          <w:sz w:val="48"/>
          <w:szCs w:val="48"/>
        </w:rPr>
        <w:t>Consolidation of Social Work Practice</w:t>
      </w:r>
    </w:p>
    <w:p w:rsidR="009947A2" w:rsidRPr="004E3C1C" w:rsidRDefault="009947A2" w:rsidP="009947A2">
      <w:pPr>
        <w:overflowPunct/>
        <w:autoSpaceDE/>
        <w:autoSpaceDN/>
        <w:adjustRightInd/>
        <w:ind w:right="-957"/>
        <w:textAlignment w:val="auto"/>
        <w:rPr>
          <w:rFonts w:ascii="Times New Roman" w:hAnsi="Times New Roman" w:cs="Times New Roman"/>
          <w:b/>
          <w:color w:val="auto"/>
          <w:sz w:val="48"/>
        </w:rPr>
      </w:pPr>
      <w:r w:rsidRPr="004E3C1C">
        <w:rPr>
          <w:rFonts w:ascii="Times New Roman" w:hAnsi="Times New Roman" w:cs="Times New Roman"/>
          <w:b/>
          <w:color w:val="auto"/>
          <w:sz w:val="48"/>
        </w:rPr>
        <w:t>LEVEL 6 - 60 Credits</w:t>
      </w:r>
    </w:p>
    <w:p w:rsidR="009947A2" w:rsidRPr="004E3C1C" w:rsidRDefault="009947A2" w:rsidP="009947A2">
      <w:pPr>
        <w:overflowPunct/>
        <w:autoSpaceDE/>
        <w:autoSpaceDN/>
        <w:adjustRightInd/>
        <w:ind w:right="-957"/>
        <w:textAlignment w:val="auto"/>
        <w:rPr>
          <w:rFonts w:ascii="Times New Roman" w:hAnsi="Times New Roman" w:cs="Times New Roman"/>
          <w:b/>
          <w:color w:val="auto"/>
          <w:sz w:val="48"/>
        </w:rPr>
      </w:pPr>
      <w:r w:rsidRPr="004E3C1C">
        <w:rPr>
          <w:rFonts w:ascii="Times New Roman" w:hAnsi="Times New Roman" w:cs="Times New Roman"/>
          <w:b/>
          <w:color w:val="auto"/>
          <w:sz w:val="48"/>
        </w:rPr>
        <w:t>BMPF6044</w:t>
      </w:r>
    </w:p>
    <w:p w:rsidR="009947A2" w:rsidRPr="004E3C1C" w:rsidRDefault="009947A2" w:rsidP="009947A2">
      <w:pPr>
        <w:overflowPunct/>
        <w:autoSpaceDE/>
        <w:autoSpaceDN/>
        <w:adjustRightInd/>
        <w:ind w:right="-957"/>
        <w:textAlignment w:val="auto"/>
        <w:rPr>
          <w:rFonts w:ascii="Times New Roman" w:hAnsi="Times New Roman" w:cs="Times New Roman"/>
          <w:b/>
          <w:color w:val="auto"/>
          <w:sz w:val="48"/>
        </w:rPr>
      </w:pPr>
    </w:p>
    <w:p w:rsidR="009947A2" w:rsidRPr="004E3C1C" w:rsidRDefault="009947A2" w:rsidP="009947A2">
      <w:pPr>
        <w:overflowPunct/>
        <w:autoSpaceDE/>
        <w:autoSpaceDN/>
        <w:adjustRightInd/>
        <w:ind w:right="-957"/>
        <w:textAlignment w:val="auto"/>
        <w:rPr>
          <w:rFonts w:ascii="Times New Roman" w:hAnsi="Times New Roman" w:cs="Times New Roman"/>
          <w:b/>
          <w:color w:val="auto"/>
          <w:sz w:val="18"/>
          <w:szCs w:val="2"/>
        </w:rPr>
      </w:pPr>
    </w:p>
    <w:p w:rsidR="009947A2" w:rsidRPr="004E3C1C" w:rsidRDefault="009947A2" w:rsidP="009947A2">
      <w:pPr>
        <w:overflowPunct/>
        <w:autoSpaceDE/>
        <w:autoSpaceDN/>
        <w:adjustRightInd/>
        <w:ind w:right="-957"/>
        <w:textAlignment w:val="auto"/>
        <w:rPr>
          <w:rFonts w:ascii="Times New Roman" w:hAnsi="Times New Roman" w:cs="Times New Roman"/>
          <w:b/>
          <w:color w:val="auto"/>
          <w:sz w:val="48"/>
        </w:rPr>
      </w:pPr>
      <w:r w:rsidRPr="004E3C1C">
        <w:rPr>
          <w:rFonts w:ascii="Times New Roman" w:hAnsi="Times New Roman" w:cs="Times New Roman"/>
          <w:b/>
          <w:color w:val="auto"/>
          <w:sz w:val="48"/>
        </w:rPr>
        <w:t>LEARNER PORTFOLIO</w:t>
      </w:r>
    </w:p>
    <w:p w:rsidR="009947A2" w:rsidRPr="004E3C1C" w:rsidRDefault="009947A2" w:rsidP="009947A2">
      <w:pPr>
        <w:overflowPunct/>
        <w:autoSpaceDE/>
        <w:autoSpaceDN/>
        <w:adjustRightInd/>
        <w:ind w:right="-957"/>
        <w:textAlignment w:val="auto"/>
        <w:rPr>
          <w:rFonts w:ascii="Times New Roman" w:hAnsi="Times New Roman" w:cs="Times New Roman"/>
          <w:b/>
          <w:bCs/>
          <w:color w:val="auto"/>
          <w:sz w:val="48"/>
          <w:szCs w:val="48"/>
        </w:rPr>
      </w:pPr>
      <w:r w:rsidRPr="004E3C1C">
        <w:rPr>
          <w:rFonts w:ascii="Times New Roman" w:hAnsi="Times New Roman" w:cs="Times New Roman"/>
          <w:b/>
          <w:bCs/>
          <w:color w:val="auto"/>
          <w:sz w:val="48"/>
          <w:szCs w:val="48"/>
        </w:rPr>
        <w:t>(PORTH AGORED and UNIVERSITY OF WALES TRINITY SAINT DAVID)</w:t>
      </w:r>
    </w:p>
    <w:p w:rsidR="009947A2" w:rsidRPr="004E3C1C" w:rsidRDefault="009947A2" w:rsidP="009947A2">
      <w:pPr>
        <w:overflowPunct/>
        <w:autoSpaceDE/>
        <w:autoSpaceDN/>
        <w:adjustRightInd/>
        <w:ind w:right="-957"/>
        <w:textAlignment w:val="auto"/>
        <w:rPr>
          <w:rFonts w:ascii="Times New Roman" w:hAnsi="Times New Roman" w:cs="Times New Roman"/>
          <w:b/>
          <w:color w:val="auto"/>
          <w:sz w:val="14"/>
          <w:szCs w:val="2"/>
        </w:rPr>
      </w:pPr>
    </w:p>
    <w:p w:rsidR="009947A2" w:rsidRPr="004E3C1C" w:rsidRDefault="009947A2" w:rsidP="009947A2">
      <w:pPr>
        <w:overflowPunct/>
        <w:autoSpaceDE/>
        <w:autoSpaceDN/>
        <w:adjustRightInd/>
        <w:ind w:right="-957"/>
        <w:textAlignment w:val="auto"/>
        <w:rPr>
          <w:rFonts w:ascii="Times New Roman" w:hAnsi="Times New Roman" w:cs="Times New Roman"/>
          <w:b/>
          <w:color w:val="auto"/>
          <w:sz w:val="48"/>
        </w:rPr>
      </w:pPr>
    </w:p>
    <w:tbl>
      <w:tblPr>
        <w:tblW w:w="10368" w:type="dxa"/>
        <w:tblInd w:w="-7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9947A2" w:rsidRPr="004E3C1C" w:rsidTr="009947A2">
        <w:tc>
          <w:tcPr>
            <w:tcW w:w="10368" w:type="dxa"/>
            <w:shd w:val="clear" w:color="auto" w:fill="auto"/>
          </w:tcPr>
          <w:p w:rsidR="009947A2" w:rsidRPr="004E3C1C" w:rsidRDefault="009947A2" w:rsidP="00EA2812">
            <w:pPr>
              <w:overflowPunct/>
              <w:autoSpaceDE/>
              <w:autoSpaceDN/>
              <w:adjustRightInd/>
              <w:ind w:right="-957"/>
              <w:textAlignment w:val="auto"/>
              <w:rPr>
                <w:rFonts w:ascii="Times New Roman" w:hAnsi="Times New Roman" w:cs="Times New Roman"/>
                <w:b/>
                <w:color w:val="auto"/>
                <w:sz w:val="48"/>
              </w:rPr>
            </w:pPr>
            <w:r w:rsidRPr="004E3C1C">
              <w:rPr>
                <w:rFonts w:ascii="Times New Roman" w:hAnsi="Times New Roman" w:cs="Times New Roman"/>
                <w:b/>
                <w:color w:val="auto"/>
                <w:sz w:val="48"/>
              </w:rPr>
              <w:t>Learner’s name: Francesca Mitchell</w:t>
            </w:r>
          </w:p>
          <w:p w:rsidR="009947A2" w:rsidRPr="004E3C1C" w:rsidRDefault="009947A2" w:rsidP="00EA2812">
            <w:pPr>
              <w:overflowPunct/>
              <w:autoSpaceDE/>
              <w:autoSpaceDN/>
              <w:adjustRightInd/>
              <w:ind w:right="-957"/>
              <w:textAlignment w:val="auto"/>
              <w:rPr>
                <w:rFonts w:ascii="Times New Roman" w:hAnsi="Times New Roman" w:cs="Times New Roman"/>
                <w:b/>
                <w:color w:val="auto"/>
                <w:sz w:val="48"/>
              </w:rPr>
            </w:pPr>
          </w:p>
          <w:p w:rsidR="009947A2" w:rsidRPr="004E3C1C" w:rsidRDefault="009947A2" w:rsidP="00EA2812">
            <w:pPr>
              <w:overflowPunct/>
              <w:autoSpaceDE/>
              <w:autoSpaceDN/>
              <w:adjustRightInd/>
              <w:ind w:right="-957"/>
              <w:textAlignment w:val="auto"/>
              <w:rPr>
                <w:rFonts w:ascii="Times New Roman" w:hAnsi="Times New Roman" w:cs="Times New Roman"/>
                <w:b/>
                <w:color w:val="auto"/>
                <w:sz w:val="48"/>
              </w:rPr>
            </w:pPr>
            <w:r w:rsidRPr="004E3C1C">
              <w:rPr>
                <w:rFonts w:ascii="Times New Roman" w:hAnsi="Times New Roman" w:cs="Times New Roman"/>
                <w:b/>
                <w:color w:val="auto"/>
                <w:sz w:val="48"/>
              </w:rPr>
              <w:t xml:space="preserve">Email address: </w:t>
            </w:r>
            <w:hyperlink r:id="rId5" w:history="1">
              <w:r w:rsidRPr="004E3C1C">
                <w:rPr>
                  <w:rStyle w:val="Hyperlink"/>
                  <w:rFonts w:ascii="Times New Roman" w:hAnsi="Times New Roman" w:cs="Times New Roman"/>
                  <w:b/>
                  <w:sz w:val="48"/>
                </w:rPr>
                <w:t>Francesca.mitchell@thefca.co.uk/</w:t>
              </w:r>
            </w:hyperlink>
            <w:r w:rsidRPr="004E3C1C">
              <w:rPr>
                <w:rFonts w:ascii="Times New Roman" w:hAnsi="Times New Roman" w:cs="Times New Roman"/>
                <w:b/>
                <w:color w:val="auto"/>
                <w:sz w:val="48"/>
              </w:rPr>
              <w:t xml:space="preserve"> </w:t>
            </w:r>
            <w:hyperlink r:id="rId6" w:history="1">
              <w:r w:rsidRPr="004E3C1C">
                <w:rPr>
                  <w:rStyle w:val="Hyperlink"/>
                  <w:rFonts w:ascii="Times New Roman" w:hAnsi="Times New Roman" w:cs="Times New Roman"/>
                  <w:b/>
                  <w:sz w:val="48"/>
                </w:rPr>
                <w:t>Francesca_mitchell3@hotmail.com</w:t>
              </w:r>
            </w:hyperlink>
            <w:r w:rsidRPr="004E3C1C">
              <w:rPr>
                <w:rFonts w:ascii="Times New Roman" w:hAnsi="Times New Roman" w:cs="Times New Roman"/>
                <w:b/>
                <w:color w:val="auto"/>
                <w:sz w:val="48"/>
              </w:rPr>
              <w:t xml:space="preserve"> </w:t>
            </w:r>
          </w:p>
          <w:p w:rsidR="009947A2" w:rsidRPr="004E3C1C" w:rsidRDefault="009947A2" w:rsidP="00EA2812">
            <w:pPr>
              <w:overflowPunct/>
              <w:autoSpaceDE/>
              <w:autoSpaceDN/>
              <w:adjustRightInd/>
              <w:ind w:right="-957"/>
              <w:textAlignment w:val="auto"/>
              <w:rPr>
                <w:rFonts w:ascii="Times New Roman" w:hAnsi="Times New Roman" w:cs="Times New Roman"/>
                <w:b/>
                <w:color w:val="auto"/>
                <w:sz w:val="48"/>
              </w:rPr>
            </w:pPr>
          </w:p>
          <w:p w:rsidR="009947A2" w:rsidRPr="004E3C1C" w:rsidRDefault="009947A2" w:rsidP="00EA2812">
            <w:pPr>
              <w:overflowPunct/>
              <w:autoSpaceDE/>
              <w:autoSpaceDN/>
              <w:adjustRightInd/>
              <w:ind w:right="-957"/>
              <w:textAlignment w:val="auto"/>
              <w:rPr>
                <w:rFonts w:ascii="Times New Roman" w:hAnsi="Times New Roman" w:cs="Times New Roman"/>
                <w:b/>
                <w:color w:val="auto"/>
                <w:sz w:val="36"/>
                <w:szCs w:val="36"/>
              </w:rPr>
            </w:pPr>
            <w:r w:rsidRPr="004E3C1C">
              <w:rPr>
                <w:rFonts w:ascii="Times New Roman" w:hAnsi="Times New Roman" w:cs="Times New Roman"/>
                <w:b/>
                <w:color w:val="auto"/>
                <w:sz w:val="36"/>
                <w:szCs w:val="36"/>
              </w:rPr>
              <w:t>Learner’s University Registration Number: 2116421</w:t>
            </w:r>
          </w:p>
          <w:p w:rsidR="009947A2" w:rsidRPr="004E3C1C" w:rsidRDefault="009947A2" w:rsidP="00EA2812">
            <w:pPr>
              <w:overflowPunct/>
              <w:autoSpaceDE/>
              <w:autoSpaceDN/>
              <w:adjustRightInd/>
              <w:ind w:right="-957"/>
              <w:textAlignment w:val="auto"/>
              <w:rPr>
                <w:rFonts w:ascii="Times New Roman" w:hAnsi="Times New Roman" w:cs="Times New Roman"/>
                <w:b/>
                <w:color w:val="auto"/>
                <w:sz w:val="48"/>
              </w:rPr>
            </w:pPr>
          </w:p>
          <w:p w:rsidR="009947A2" w:rsidRPr="004E3C1C" w:rsidRDefault="009947A2" w:rsidP="00EA2812">
            <w:pPr>
              <w:overflowPunct/>
              <w:autoSpaceDE/>
              <w:autoSpaceDN/>
              <w:adjustRightInd/>
              <w:ind w:right="-957"/>
              <w:textAlignment w:val="auto"/>
              <w:rPr>
                <w:rFonts w:ascii="Times New Roman" w:hAnsi="Times New Roman" w:cs="Times New Roman"/>
                <w:b/>
                <w:color w:val="auto"/>
                <w:sz w:val="48"/>
              </w:rPr>
            </w:pPr>
            <w:r w:rsidRPr="004E3C1C">
              <w:rPr>
                <w:rFonts w:ascii="Times New Roman" w:hAnsi="Times New Roman" w:cs="Times New Roman"/>
                <w:b/>
                <w:color w:val="auto"/>
                <w:sz w:val="48"/>
              </w:rPr>
              <w:t>Cohort: 15, 16, 17</w:t>
            </w:r>
          </w:p>
        </w:tc>
      </w:tr>
    </w:tbl>
    <w:p w:rsidR="009947A2" w:rsidRPr="004E3C1C" w:rsidRDefault="009947A2" w:rsidP="009947A2">
      <w:pPr>
        <w:overflowPunct/>
        <w:autoSpaceDE/>
        <w:autoSpaceDN/>
        <w:adjustRightInd/>
        <w:ind w:right="-957"/>
        <w:textAlignment w:val="auto"/>
        <w:rPr>
          <w:rFonts w:ascii="Times New Roman" w:hAnsi="Times New Roman" w:cs="Times New Roman"/>
          <w:b/>
          <w:color w:val="auto"/>
          <w:sz w:val="48"/>
        </w:rPr>
      </w:pPr>
      <w:r w:rsidRPr="004E3C1C">
        <w:rPr>
          <w:rFonts w:ascii="Times New Roman" w:hAnsi="Times New Roman" w:cs="Times New Roman"/>
          <w:b/>
          <w:color w:val="auto"/>
          <w:sz w:val="48"/>
        </w:rPr>
        <w:t xml:space="preserve"> </w:t>
      </w:r>
    </w:p>
    <w:p w:rsidR="009947A2" w:rsidRPr="004E3C1C" w:rsidRDefault="009947A2" w:rsidP="009947A2">
      <w:pPr>
        <w:overflowPunct/>
        <w:autoSpaceDE/>
        <w:autoSpaceDN/>
        <w:adjustRightInd/>
        <w:textAlignment w:val="auto"/>
        <w:rPr>
          <w:rFonts w:ascii="Times New Roman" w:hAnsi="Times New Roman" w:cs="Times New Roman"/>
          <w:color w:val="auto"/>
          <w:sz w:val="24"/>
        </w:rPr>
      </w:pPr>
    </w:p>
    <w:p w:rsidR="009947A2" w:rsidRPr="004E3C1C" w:rsidRDefault="009947A2" w:rsidP="009947A2">
      <w:pPr>
        <w:overflowPunct/>
        <w:autoSpaceDE/>
        <w:autoSpaceDN/>
        <w:adjustRightInd/>
        <w:ind w:right="-957"/>
        <w:textAlignment w:val="auto"/>
        <w:rPr>
          <w:rFonts w:ascii="Times New Roman" w:hAnsi="Times New Roman" w:cs="Times New Roman"/>
          <w:b/>
          <w:color w:val="auto"/>
          <w:sz w:val="48"/>
        </w:rPr>
      </w:pPr>
    </w:p>
    <w:p w:rsidR="009947A2" w:rsidRPr="004E3C1C" w:rsidRDefault="009947A2" w:rsidP="009947A2">
      <w:pPr>
        <w:overflowPunct/>
        <w:autoSpaceDE/>
        <w:autoSpaceDN/>
        <w:adjustRightInd/>
        <w:ind w:right="-957"/>
        <w:jc w:val="center"/>
        <w:textAlignment w:val="auto"/>
        <w:rPr>
          <w:rFonts w:ascii="Times New Roman" w:hAnsi="Times New Roman" w:cs="Times New Roman"/>
          <w:b/>
          <w:bCs/>
          <w:color w:val="auto"/>
          <w:sz w:val="40"/>
          <w:szCs w:val="40"/>
        </w:rPr>
      </w:pPr>
      <w:r w:rsidRPr="004E3C1C">
        <w:rPr>
          <w:rFonts w:ascii="Times New Roman" w:hAnsi="Times New Roman" w:cs="Times New Roman"/>
          <w:b/>
          <w:bCs/>
          <w:color w:val="auto"/>
          <w:sz w:val="40"/>
          <w:szCs w:val="40"/>
        </w:rPr>
        <w:t xml:space="preserve">WALES ACADEMY OF PROFESSIONAL PRACTICE </w:t>
      </w:r>
    </w:p>
    <w:p w:rsidR="009947A2" w:rsidRPr="004E3C1C" w:rsidRDefault="009947A2" w:rsidP="009947A2">
      <w:pPr>
        <w:overflowPunct/>
        <w:autoSpaceDE/>
        <w:autoSpaceDN/>
        <w:adjustRightInd/>
        <w:ind w:right="-957"/>
        <w:jc w:val="center"/>
        <w:textAlignment w:val="auto"/>
        <w:rPr>
          <w:rFonts w:ascii="Times New Roman" w:hAnsi="Times New Roman" w:cs="Times New Roman"/>
          <w:b/>
          <w:bCs/>
          <w:color w:val="auto"/>
          <w:sz w:val="40"/>
          <w:szCs w:val="40"/>
        </w:rPr>
      </w:pPr>
      <w:r w:rsidRPr="004E3C1C">
        <w:rPr>
          <w:rFonts w:ascii="Times New Roman" w:hAnsi="Times New Roman" w:cs="Times New Roman"/>
          <w:b/>
          <w:bCs/>
          <w:color w:val="auto"/>
          <w:sz w:val="40"/>
          <w:szCs w:val="40"/>
        </w:rPr>
        <w:t>AND APPLIED RESEARCH</w:t>
      </w:r>
    </w:p>
    <w:p w:rsidR="009947A2" w:rsidRPr="004E3C1C" w:rsidRDefault="009947A2" w:rsidP="009947A2">
      <w:pPr>
        <w:spacing w:line="360" w:lineRule="auto"/>
        <w:jc w:val="both"/>
        <w:rPr>
          <w:b/>
          <w:sz w:val="24"/>
          <w:szCs w:val="24"/>
          <w:u w:val="single"/>
        </w:rPr>
      </w:pPr>
      <w:r w:rsidRPr="004E3C1C">
        <w:rPr>
          <w:rFonts w:ascii="Times New Roman" w:hAnsi="Times New Roman" w:cs="Times New Roman"/>
          <w:color w:val="auto"/>
          <w:sz w:val="24"/>
        </w:rPr>
        <w:br w:type="page"/>
      </w:r>
    </w:p>
    <w:p w:rsidR="009947A2" w:rsidRPr="004E3C1C" w:rsidRDefault="009947A2" w:rsidP="00650182">
      <w:pPr>
        <w:spacing w:line="360" w:lineRule="auto"/>
        <w:jc w:val="both"/>
        <w:rPr>
          <w:b/>
          <w:sz w:val="24"/>
          <w:szCs w:val="24"/>
          <w:u w:val="single"/>
        </w:rPr>
      </w:pPr>
    </w:p>
    <w:p w:rsidR="009947A2" w:rsidRPr="004E3C1C" w:rsidRDefault="009947A2" w:rsidP="00650182">
      <w:pPr>
        <w:spacing w:line="360" w:lineRule="auto"/>
        <w:jc w:val="both"/>
        <w:rPr>
          <w:b/>
          <w:sz w:val="24"/>
          <w:szCs w:val="24"/>
          <w:u w:val="single"/>
        </w:rPr>
      </w:pPr>
    </w:p>
    <w:p w:rsidR="00F92A66" w:rsidRPr="004E3C1C" w:rsidRDefault="00F92A66" w:rsidP="00650182">
      <w:pPr>
        <w:spacing w:line="360" w:lineRule="auto"/>
        <w:jc w:val="both"/>
        <w:rPr>
          <w:b/>
          <w:sz w:val="24"/>
          <w:szCs w:val="24"/>
          <w:u w:val="single"/>
        </w:rPr>
      </w:pPr>
      <w:r w:rsidRPr="004E3C1C">
        <w:rPr>
          <w:b/>
          <w:sz w:val="24"/>
          <w:szCs w:val="24"/>
          <w:u w:val="single"/>
        </w:rPr>
        <w:t>Question:</w:t>
      </w:r>
    </w:p>
    <w:p w:rsidR="00F92A66" w:rsidRPr="004E3C1C" w:rsidRDefault="00F92A66" w:rsidP="00650182">
      <w:pPr>
        <w:spacing w:line="360" w:lineRule="auto"/>
        <w:jc w:val="both"/>
        <w:rPr>
          <w:b/>
          <w:sz w:val="24"/>
          <w:szCs w:val="24"/>
        </w:rPr>
      </w:pPr>
      <w:r w:rsidRPr="004E3C1C">
        <w:rPr>
          <w:b/>
          <w:sz w:val="24"/>
          <w:szCs w:val="24"/>
        </w:rPr>
        <w:t>Complete a critically reflective case study based on an assessment that you have undertaken with others,</w:t>
      </w:r>
      <w:r w:rsidRPr="004E3C1C">
        <w:rPr>
          <w:b/>
          <w:bCs/>
          <w:sz w:val="24"/>
          <w:szCs w:val="24"/>
        </w:rPr>
        <w:t xml:space="preserve"> </w:t>
      </w:r>
      <w:r w:rsidRPr="004E3C1C">
        <w:rPr>
          <w:b/>
          <w:sz w:val="24"/>
          <w:szCs w:val="24"/>
        </w:rPr>
        <w:t xml:space="preserve">in your own area of work, concerning the safeguarding of either an adult or a child. You must demonstrate how the case relates to or could relate to safeguarding legislation, policies, strategies and procedures (including demonstrating an understanding of the </w:t>
      </w:r>
      <w:r w:rsidRPr="004E3C1C">
        <w:rPr>
          <w:rFonts w:eastAsia="Arial"/>
          <w:b/>
          <w:color w:val="000000" w:themeColor="text1"/>
          <w:sz w:val="24"/>
          <w:szCs w:val="24"/>
        </w:rPr>
        <w:t>interface between social services provision in Wales with the United Kingdom, the European Union (EU) and outside the EU)</w:t>
      </w:r>
      <w:r w:rsidRPr="004E3C1C">
        <w:rPr>
          <w:b/>
          <w:sz w:val="24"/>
          <w:szCs w:val="24"/>
        </w:rPr>
        <w:t xml:space="preserve">.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rsidR="00F92A66" w:rsidRPr="004E3C1C" w:rsidRDefault="00F92A66" w:rsidP="00650182">
      <w:pPr>
        <w:spacing w:line="360" w:lineRule="auto"/>
        <w:jc w:val="both"/>
        <w:rPr>
          <w:b/>
          <w:sz w:val="24"/>
          <w:szCs w:val="24"/>
        </w:rPr>
      </w:pPr>
    </w:p>
    <w:p w:rsidR="00F92A66" w:rsidRPr="004E3C1C" w:rsidRDefault="00F92A66" w:rsidP="00650182">
      <w:pPr>
        <w:spacing w:line="360" w:lineRule="auto"/>
        <w:jc w:val="both"/>
        <w:rPr>
          <w:b/>
          <w:i/>
          <w:sz w:val="24"/>
          <w:szCs w:val="24"/>
        </w:rPr>
      </w:pPr>
      <w:r w:rsidRPr="004E3C1C">
        <w:rPr>
          <w:b/>
          <w:i/>
          <w:sz w:val="24"/>
          <w:szCs w:val="24"/>
        </w:rPr>
        <w:t>4000 words</w:t>
      </w:r>
      <w:r w:rsidRPr="004E3C1C">
        <w:rPr>
          <w:b/>
          <w:sz w:val="24"/>
          <w:szCs w:val="24"/>
        </w:rPr>
        <w:t xml:space="preserve"> </w:t>
      </w:r>
      <w:r w:rsidRPr="004E3C1C">
        <w:rPr>
          <w:b/>
          <w:i/>
          <w:sz w:val="24"/>
          <w:szCs w:val="24"/>
        </w:rPr>
        <w:t>(+/- 10%: include your actual word count at the end of each section).</w:t>
      </w:r>
    </w:p>
    <w:p w:rsidR="00F92A66" w:rsidRPr="004E3C1C" w:rsidRDefault="00F92A66" w:rsidP="00650182">
      <w:pPr>
        <w:spacing w:line="360" w:lineRule="auto"/>
        <w:jc w:val="both"/>
        <w:rPr>
          <w:color w:val="000000" w:themeColor="text1"/>
          <w:sz w:val="24"/>
          <w:szCs w:val="24"/>
        </w:rPr>
      </w:pPr>
    </w:p>
    <w:p w:rsidR="00F92A66" w:rsidRPr="004E3C1C" w:rsidRDefault="00D41736" w:rsidP="00650182">
      <w:pPr>
        <w:spacing w:line="360" w:lineRule="auto"/>
        <w:jc w:val="both"/>
        <w:rPr>
          <w:color w:val="000000" w:themeColor="text1"/>
          <w:sz w:val="24"/>
          <w:szCs w:val="24"/>
        </w:rPr>
      </w:pPr>
      <w:r w:rsidRPr="004E3C1C">
        <w:rPr>
          <w:sz w:val="24"/>
          <w:szCs w:val="24"/>
        </w:rPr>
        <w:t>When p</w:t>
      </w:r>
      <w:r w:rsidR="00F92A66" w:rsidRPr="004E3C1C">
        <w:rPr>
          <w:sz w:val="24"/>
          <w:szCs w:val="24"/>
        </w:rPr>
        <w:t xml:space="preserve">racticing as a supervising social worker, within an Independent fostering agency in Wales, safeguarding children and young people is a core responsibility and utmost priority as a social work practitioner. </w:t>
      </w:r>
      <w:r w:rsidR="00F92A66" w:rsidRPr="004E3C1C">
        <w:rPr>
          <w:color w:val="000000" w:themeColor="text1"/>
          <w:sz w:val="24"/>
          <w:szCs w:val="24"/>
        </w:rPr>
        <w:t xml:space="preserve">This assignment will critically reflect on a safeguarding case study, specifically relating to an allegation against a foster parent. </w:t>
      </w:r>
      <w:r w:rsidRPr="004E3C1C">
        <w:rPr>
          <w:color w:val="000000" w:themeColor="text1"/>
          <w:sz w:val="24"/>
          <w:szCs w:val="24"/>
        </w:rPr>
        <w:t xml:space="preserve">The assignment will briefly outline the background of the siblings group, being removed from the care of their parents, placed into foster care, </w:t>
      </w:r>
      <w:r w:rsidR="007921BA" w:rsidRPr="004E3C1C">
        <w:rPr>
          <w:color w:val="000000" w:themeColor="text1"/>
          <w:sz w:val="24"/>
          <w:szCs w:val="24"/>
        </w:rPr>
        <w:t xml:space="preserve">then my involvement in </w:t>
      </w:r>
      <w:r w:rsidRPr="004E3C1C">
        <w:rPr>
          <w:color w:val="000000" w:themeColor="text1"/>
          <w:sz w:val="24"/>
          <w:szCs w:val="24"/>
        </w:rPr>
        <w:t>the later stages of their foster</w:t>
      </w:r>
      <w:r w:rsidR="007921BA" w:rsidRPr="004E3C1C">
        <w:rPr>
          <w:color w:val="000000" w:themeColor="text1"/>
          <w:sz w:val="24"/>
          <w:szCs w:val="24"/>
        </w:rPr>
        <w:t xml:space="preserve"> placement, </w:t>
      </w:r>
      <w:r w:rsidRPr="004E3C1C">
        <w:rPr>
          <w:color w:val="000000" w:themeColor="text1"/>
          <w:sz w:val="24"/>
          <w:szCs w:val="24"/>
        </w:rPr>
        <w:t xml:space="preserve">as their foster parents </w:t>
      </w:r>
      <w:r w:rsidR="00DA263D" w:rsidRPr="004E3C1C">
        <w:rPr>
          <w:color w:val="000000" w:themeColor="text1"/>
          <w:sz w:val="24"/>
          <w:szCs w:val="24"/>
        </w:rPr>
        <w:t xml:space="preserve">supervising social worker (SSW). Following a number of concerns being raised relating to the standard of care provided to the children, </w:t>
      </w:r>
      <w:r w:rsidR="00F92A66" w:rsidRPr="004E3C1C">
        <w:rPr>
          <w:color w:val="000000" w:themeColor="text1"/>
          <w:sz w:val="24"/>
          <w:szCs w:val="24"/>
        </w:rPr>
        <w:t xml:space="preserve">a part 5 position of trust meeting </w:t>
      </w:r>
      <w:r w:rsidR="00DA263D" w:rsidRPr="004E3C1C">
        <w:rPr>
          <w:color w:val="000000" w:themeColor="text1"/>
          <w:sz w:val="24"/>
          <w:szCs w:val="24"/>
        </w:rPr>
        <w:t>(Wales</w:t>
      </w:r>
      <w:r w:rsidR="007921BA" w:rsidRPr="004E3C1C">
        <w:rPr>
          <w:color w:val="000000" w:themeColor="text1"/>
          <w:sz w:val="24"/>
          <w:szCs w:val="24"/>
        </w:rPr>
        <w:t xml:space="preserve"> Safeguarding Procedures, 2019). The three young people were subsequently</w:t>
      </w:r>
      <w:r w:rsidR="00F92A66" w:rsidRPr="004E3C1C">
        <w:rPr>
          <w:color w:val="000000" w:themeColor="text1"/>
          <w:sz w:val="24"/>
          <w:szCs w:val="24"/>
        </w:rPr>
        <w:t xml:space="preserve"> moved to alternative foster parents. For easier reading, the assignment has been devised into four sections</w:t>
      </w:r>
      <w:r w:rsidR="00204877" w:rsidRPr="004E3C1C">
        <w:rPr>
          <w:color w:val="000000" w:themeColor="text1"/>
          <w:sz w:val="24"/>
          <w:szCs w:val="24"/>
        </w:rPr>
        <w:t xml:space="preserve"> using the Gibbs (1970</w:t>
      </w:r>
      <w:r w:rsidR="00F92A66" w:rsidRPr="004E3C1C">
        <w:rPr>
          <w:color w:val="000000" w:themeColor="text1"/>
          <w:sz w:val="24"/>
          <w:szCs w:val="24"/>
        </w:rPr>
        <w:t xml:space="preserve">) model of reflection. </w:t>
      </w:r>
    </w:p>
    <w:p w:rsidR="00F92A66" w:rsidRPr="004E3C1C" w:rsidRDefault="00F92A66" w:rsidP="00650182">
      <w:pPr>
        <w:spacing w:line="360" w:lineRule="auto"/>
        <w:jc w:val="both"/>
        <w:rPr>
          <w:color w:val="000000" w:themeColor="text1"/>
          <w:sz w:val="24"/>
          <w:szCs w:val="24"/>
        </w:rPr>
      </w:pPr>
    </w:p>
    <w:p w:rsidR="00F92A66" w:rsidRPr="004E3C1C" w:rsidRDefault="00F92A66" w:rsidP="00650182">
      <w:pPr>
        <w:spacing w:line="360" w:lineRule="auto"/>
        <w:jc w:val="both"/>
        <w:rPr>
          <w:color w:val="000000" w:themeColor="text1"/>
          <w:sz w:val="24"/>
          <w:szCs w:val="24"/>
        </w:rPr>
      </w:pPr>
      <w:r w:rsidRPr="004E3C1C">
        <w:rPr>
          <w:color w:val="000000" w:themeColor="text1"/>
          <w:sz w:val="24"/>
          <w:szCs w:val="24"/>
        </w:rPr>
        <w:t>1 &amp; 2 – Foster Parents</w:t>
      </w:r>
    </w:p>
    <w:p w:rsidR="00F92A66" w:rsidRPr="004E3C1C" w:rsidRDefault="00F92A66" w:rsidP="00650182">
      <w:pPr>
        <w:spacing w:line="360" w:lineRule="auto"/>
        <w:jc w:val="both"/>
        <w:rPr>
          <w:color w:val="000000" w:themeColor="text1"/>
          <w:sz w:val="24"/>
          <w:szCs w:val="24"/>
        </w:rPr>
      </w:pPr>
      <w:r w:rsidRPr="004E3C1C">
        <w:rPr>
          <w:color w:val="000000" w:themeColor="text1"/>
          <w:sz w:val="24"/>
          <w:szCs w:val="24"/>
        </w:rPr>
        <w:t>3 – Young person</w:t>
      </w:r>
    </w:p>
    <w:p w:rsidR="00F92A66" w:rsidRPr="004E3C1C" w:rsidRDefault="00F92A66" w:rsidP="00650182">
      <w:pPr>
        <w:spacing w:line="360" w:lineRule="auto"/>
        <w:jc w:val="both"/>
        <w:rPr>
          <w:color w:val="000000" w:themeColor="text1"/>
          <w:sz w:val="24"/>
          <w:szCs w:val="24"/>
        </w:rPr>
      </w:pPr>
      <w:r w:rsidRPr="004E3C1C">
        <w:rPr>
          <w:color w:val="000000" w:themeColor="text1"/>
          <w:sz w:val="24"/>
          <w:szCs w:val="24"/>
        </w:rPr>
        <w:t xml:space="preserve">4 – Young person </w:t>
      </w:r>
    </w:p>
    <w:p w:rsidR="00F92A66" w:rsidRPr="004E3C1C" w:rsidRDefault="00F92A66" w:rsidP="00650182">
      <w:pPr>
        <w:spacing w:line="360" w:lineRule="auto"/>
        <w:jc w:val="both"/>
        <w:rPr>
          <w:color w:val="000000" w:themeColor="text1"/>
          <w:sz w:val="24"/>
          <w:szCs w:val="24"/>
        </w:rPr>
      </w:pPr>
      <w:r w:rsidRPr="004E3C1C">
        <w:rPr>
          <w:color w:val="000000" w:themeColor="text1"/>
          <w:sz w:val="24"/>
          <w:szCs w:val="24"/>
        </w:rPr>
        <w:t>5 – Young person</w:t>
      </w:r>
    </w:p>
    <w:p w:rsidR="00F92A66" w:rsidRPr="004E3C1C" w:rsidRDefault="00F92A66" w:rsidP="00650182">
      <w:pPr>
        <w:spacing w:line="360" w:lineRule="auto"/>
        <w:jc w:val="both"/>
        <w:rPr>
          <w:color w:val="000000" w:themeColor="text1"/>
          <w:sz w:val="24"/>
          <w:szCs w:val="24"/>
        </w:rPr>
      </w:pPr>
    </w:p>
    <w:p w:rsidR="00F92A66" w:rsidRPr="004E3C1C" w:rsidRDefault="00F92A66" w:rsidP="00650182">
      <w:pPr>
        <w:spacing w:line="360" w:lineRule="auto"/>
        <w:jc w:val="both"/>
        <w:rPr>
          <w:b/>
          <w:color w:val="000000" w:themeColor="text1"/>
          <w:sz w:val="24"/>
          <w:szCs w:val="24"/>
          <w:u w:val="single"/>
        </w:rPr>
      </w:pPr>
      <w:r w:rsidRPr="004E3C1C">
        <w:rPr>
          <w:b/>
          <w:color w:val="000000" w:themeColor="text1"/>
          <w:sz w:val="24"/>
          <w:szCs w:val="24"/>
          <w:u w:val="single"/>
        </w:rPr>
        <w:lastRenderedPageBreak/>
        <w:t>Background and how this case study relates to safeguarding legislation in Wales, whilst including the wider UK, European Union and outside of the EU.</w:t>
      </w:r>
    </w:p>
    <w:p w:rsidR="00F92A66" w:rsidRPr="004E3C1C" w:rsidRDefault="00F92A66" w:rsidP="00650182">
      <w:pPr>
        <w:spacing w:line="360" w:lineRule="auto"/>
        <w:jc w:val="both"/>
        <w:rPr>
          <w:color w:val="000000" w:themeColor="text1"/>
          <w:sz w:val="24"/>
          <w:szCs w:val="24"/>
        </w:rPr>
      </w:pPr>
    </w:p>
    <w:p w:rsidR="00F92A66" w:rsidRPr="004E3C1C" w:rsidRDefault="00F92A66" w:rsidP="00650182">
      <w:pPr>
        <w:spacing w:line="360" w:lineRule="auto"/>
        <w:jc w:val="both"/>
        <w:rPr>
          <w:color w:val="000000" w:themeColor="text1"/>
          <w:sz w:val="24"/>
          <w:szCs w:val="24"/>
        </w:rPr>
      </w:pPr>
      <w:r w:rsidRPr="004E3C1C">
        <w:rPr>
          <w:color w:val="000000" w:themeColor="text1"/>
          <w:sz w:val="24"/>
          <w:szCs w:val="24"/>
        </w:rPr>
        <w:t>With Wales being the first country in United Kingdom to bring the United Nations Convention on the Rights of the Child (1989) (UNCRC, 1989), into its own laws, the Social Services and Wellbeing (Wales) Act (2014) (SSWBA) embeds principles of UNCRC (1989), including but not limited to; protection from abuse, care and support services when living away from home and the right to express views and have them listened to. Furthermore, the SSWBA (2014), part 7 was introduced in 2016 to reform and simplify the law surrounding care and support</w:t>
      </w:r>
      <w:r w:rsidR="00DC4FA7" w:rsidRPr="004E3C1C">
        <w:rPr>
          <w:color w:val="000000" w:themeColor="text1"/>
          <w:sz w:val="24"/>
          <w:szCs w:val="24"/>
        </w:rPr>
        <w:t>. This part of the act, replaced</w:t>
      </w:r>
      <w:r w:rsidRPr="004E3C1C">
        <w:rPr>
          <w:color w:val="000000" w:themeColor="text1"/>
          <w:sz w:val="24"/>
          <w:szCs w:val="24"/>
        </w:rPr>
        <w:t xml:space="preserve"> many previous laws and guidance relating to care and support, replacing them with the SSWBA, which builds on the white paper: sustainable social service for wales: A framework for action and it aims to strengthen safeguarding. </w:t>
      </w:r>
    </w:p>
    <w:p w:rsidR="00F92A66" w:rsidRPr="004E3C1C" w:rsidRDefault="00F92A66" w:rsidP="00650182">
      <w:pPr>
        <w:spacing w:line="360" w:lineRule="auto"/>
        <w:jc w:val="both"/>
        <w:rPr>
          <w:color w:val="000000" w:themeColor="text1"/>
          <w:sz w:val="24"/>
          <w:szCs w:val="24"/>
        </w:rPr>
      </w:pPr>
    </w:p>
    <w:p w:rsidR="00F92A66" w:rsidRPr="004E3C1C" w:rsidRDefault="00F92A66" w:rsidP="00650182">
      <w:pPr>
        <w:spacing w:line="360" w:lineRule="auto"/>
        <w:jc w:val="both"/>
        <w:rPr>
          <w:color w:val="000000" w:themeColor="text1"/>
          <w:sz w:val="24"/>
          <w:szCs w:val="24"/>
        </w:rPr>
      </w:pPr>
      <w:r w:rsidRPr="004E3C1C">
        <w:rPr>
          <w:color w:val="000000" w:themeColor="text1"/>
          <w:sz w:val="24"/>
          <w:szCs w:val="24"/>
        </w:rPr>
        <w:t xml:space="preserve">Part 7, Section 130 (SSWBA) outlines a ‘Duty to report children at risk’. In line with this legislation and </w:t>
      </w:r>
      <w:r w:rsidR="002072E1" w:rsidRPr="004E3C1C">
        <w:rPr>
          <w:color w:val="000000" w:themeColor="text1"/>
          <w:sz w:val="24"/>
          <w:szCs w:val="24"/>
        </w:rPr>
        <w:t xml:space="preserve">the </w:t>
      </w:r>
      <w:r w:rsidR="00650182" w:rsidRPr="004E3C1C">
        <w:rPr>
          <w:color w:val="000000" w:themeColor="text1"/>
          <w:sz w:val="24"/>
          <w:szCs w:val="24"/>
        </w:rPr>
        <w:t>Wales Safeguarding Procedures (2019</w:t>
      </w:r>
      <w:r w:rsidRPr="004E3C1C">
        <w:rPr>
          <w:color w:val="000000" w:themeColor="text1"/>
          <w:sz w:val="24"/>
          <w:szCs w:val="24"/>
        </w:rPr>
        <w:t>), a child protection referral</w:t>
      </w:r>
      <w:r w:rsidR="00DC4FA7" w:rsidRPr="004E3C1C">
        <w:rPr>
          <w:color w:val="000000" w:themeColor="text1"/>
          <w:sz w:val="24"/>
          <w:szCs w:val="24"/>
        </w:rPr>
        <w:t xml:space="preserve"> was made to social care services in 2018</w:t>
      </w:r>
      <w:r w:rsidR="000807EF" w:rsidRPr="004E3C1C">
        <w:rPr>
          <w:color w:val="000000" w:themeColor="text1"/>
          <w:sz w:val="24"/>
          <w:szCs w:val="24"/>
        </w:rPr>
        <w:t xml:space="preserve"> when the children were in their parents</w:t>
      </w:r>
      <w:r w:rsidR="00BB043D" w:rsidRPr="004E3C1C">
        <w:rPr>
          <w:color w:val="000000" w:themeColor="text1"/>
          <w:sz w:val="24"/>
          <w:szCs w:val="24"/>
        </w:rPr>
        <w:t xml:space="preserve"> care</w:t>
      </w:r>
      <w:r w:rsidR="000807EF" w:rsidRPr="004E3C1C">
        <w:rPr>
          <w:color w:val="000000" w:themeColor="text1"/>
          <w:sz w:val="24"/>
          <w:szCs w:val="24"/>
        </w:rPr>
        <w:t xml:space="preserve">. </w:t>
      </w:r>
      <w:r w:rsidRPr="004E3C1C">
        <w:rPr>
          <w:color w:val="000000" w:themeColor="text1"/>
          <w:sz w:val="24"/>
          <w:szCs w:val="24"/>
        </w:rPr>
        <w:t>In line with the Children Act (CA) (1989), initial considerations took place in the form of a multi-agency strategy meeting, whereby all individuals and professionals known to the children were in attendance. Information shared within this strategy meeting, gave the Local Authority (LA) reasonable cause to suspect that 3, 4 and 5 were suffering, or were likely to suffer, significant harm (Section 47 1b, C</w:t>
      </w:r>
      <w:r w:rsidR="00D41736" w:rsidRPr="004E3C1C">
        <w:rPr>
          <w:color w:val="000000" w:themeColor="text1"/>
          <w:sz w:val="24"/>
          <w:szCs w:val="24"/>
        </w:rPr>
        <w:t>A, 1989). As a result of this,</w:t>
      </w:r>
      <w:r w:rsidRPr="004E3C1C">
        <w:rPr>
          <w:color w:val="000000" w:themeColor="text1"/>
          <w:sz w:val="24"/>
          <w:szCs w:val="24"/>
        </w:rPr>
        <w:t xml:space="preserve"> a joint agency, Section 47 ‘duty to investigate’ (CA, 1989) was actioned for the residing LA and police to undertake and conclude within 10 working days (</w:t>
      </w:r>
      <w:r w:rsidR="00650182" w:rsidRPr="004E3C1C">
        <w:rPr>
          <w:color w:val="000000" w:themeColor="text1"/>
          <w:sz w:val="24"/>
          <w:szCs w:val="24"/>
        </w:rPr>
        <w:t>Wales Safeguarding Procedures, 2019</w:t>
      </w:r>
      <w:r w:rsidRPr="004E3C1C">
        <w:rPr>
          <w:color w:val="000000" w:themeColor="text1"/>
          <w:sz w:val="24"/>
          <w:szCs w:val="24"/>
        </w:rPr>
        <w:t>). Due to concerns of immediate risk relating to domestic violence and neglect, the police used their powers of protec</w:t>
      </w:r>
      <w:r w:rsidR="000807EF" w:rsidRPr="004E3C1C">
        <w:rPr>
          <w:color w:val="000000" w:themeColor="text1"/>
          <w:sz w:val="24"/>
          <w:szCs w:val="24"/>
        </w:rPr>
        <w:t xml:space="preserve">tion, to remove 3, 4 and 5 to </w:t>
      </w:r>
      <w:r w:rsidRPr="004E3C1C">
        <w:rPr>
          <w:color w:val="000000" w:themeColor="text1"/>
          <w:sz w:val="24"/>
          <w:szCs w:val="24"/>
        </w:rPr>
        <w:t xml:space="preserve">suitable accommodation (Section 46 CA, 1989), accommodation being defined as ‘a period of more than 24 hours’ (Part 74: 2 SSWB, 2014), in this case, an emergency foster placement with 1 and 2, approved foster parents with an independent agency. Enforcing these powers of protection under the CA (1989), meant that the children could be placed with 1 and 2, for 72 hours, with the children’s birth mother still holding full parental responsibility (PR). In line with the </w:t>
      </w:r>
      <w:r w:rsidR="00650182" w:rsidRPr="004E3C1C">
        <w:rPr>
          <w:color w:val="000000" w:themeColor="text1"/>
          <w:sz w:val="24"/>
          <w:szCs w:val="24"/>
        </w:rPr>
        <w:t>Wales Safeguarding Procedures (2019)</w:t>
      </w:r>
      <w:r w:rsidRPr="004E3C1C">
        <w:rPr>
          <w:color w:val="000000" w:themeColor="text1"/>
          <w:sz w:val="24"/>
          <w:szCs w:val="24"/>
        </w:rPr>
        <w:t xml:space="preserve">, an initial child protection conference was held within 15 days of this decision being made. In the interim of the LA initiating court </w:t>
      </w:r>
      <w:r w:rsidRPr="004E3C1C">
        <w:rPr>
          <w:color w:val="000000" w:themeColor="text1"/>
          <w:sz w:val="24"/>
          <w:szCs w:val="24"/>
        </w:rPr>
        <w:lastRenderedPageBreak/>
        <w:t xml:space="preserve">proceedings to pursue an Interim Care Order (Section 38 CA, 1989), 3, 4 and 5’s birth mother consented to the children remaining in the care of the LA, under a Section 76 (SSWBA, 2014). In determining whether it was in the best interests of 3, 4 and 5 to attend the initial child protection conference, it was decided that due to the children’s chronological </w:t>
      </w:r>
      <w:r w:rsidR="00650182" w:rsidRPr="004E3C1C">
        <w:rPr>
          <w:color w:val="000000" w:themeColor="text1"/>
          <w:sz w:val="24"/>
          <w:szCs w:val="24"/>
        </w:rPr>
        <w:t>age, the children would have lim</w:t>
      </w:r>
      <w:r w:rsidRPr="004E3C1C">
        <w:rPr>
          <w:color w:val="000000" w:themeColor="text1"/>
          <w:sz w:val="24"/>
          <w:szCs w:val="24"/>
        </w:rPr>
        <w:t>ited ability to understand and process information (</w:t>
      </w:r>
      <w:r w:rsidR="00650182" w:rsidRPr="004E3C1C">
        <w:rPr>
          <w:color w:val="000000" w:themeColor="text1"/>
          <w:sz w:val="24"/>
          <w:szCs w:val="24"/>
        </w:rPr>
        <w:t>Wales Safeguarding Procedures, 2019</w:t>
      </w:r>
      <w:r w:rsidRPr="004E3C1C">
        <w:rPr>
          <w:color w:val="000000" w:themeColor="text1"/>
          <w:sz w:val="24"/>
          <w:szCs w:val="24"/>
        </w:rPr>
        <w:t xml:space="preserve">). Furthermore, due to </w:t>
      </w:r>
      <w:r w:rsidR="000807EF" w:rsidRPr="004E3C1C">
        <w:rPr>
          <w:color w:val="000000" w:themeColor="text1"/>
          <w:sz w:val="24"/>
          <w:szCs w:val="24"/>
        </w:rPr>
        <w:t xml:space="preserve">the </w:t>
      </w:r>
      <w:r w:rsidRPr="004E3C1C">
        <w:rPr>
          <w:color w:val="000000" w:themeColor="text1"/>
          <w:sz w:val="24"/>
          <w:szCs w:val="24"/>
        </w:rPr>
        <w:t>majority of individuals in attendance, who raised concerns and passed a vote for significant harm, 3, 4 and 5 were placed on the child protection register and therefore required a care and support</w:t>
      </w:r>
      <w:r w:rsidR="007921BA" w:rsidRPr="004E3C1C">
        <w:rPr>
          <w:color w:val="000000" w:themeColor="text1"/>
          <w:sz w:val="24"/>
          <w:szCs w:val="24"/>
        </w:rPr>
        <w:t xml:space="preserve"> protection</w:t>
      </w:r>
      <w:r w:rsidRPr="004E3C1C">
        <w:rPr>
          <w:color w:val="000000" w:themeColor="text1"/>
          <w:sz w:val="24"/>
          <w:szCs w:val="24"/>
        </w:rPr>
        <w:t xml:space="preserve"> plan (Section 37, SSWBA, 2014). Under their duty to co-operate, partner agencies assisted the LA, in the development and delivery of this plan. The plan was implemented by a core group of practitioners, in direct contact with the children and their family and ensured regular monitoring and review at both child protection conferences and core groups as set out under Section 54 of the SSWBA </w:t>
      </w:r>
      <w:r w:rsidR="002072E1" w:rsidRPr="004E3C1C">
        <w:rPr>
          <w:color w:val="000000" w:themeColor="text1"/>
          <w:sz w:val="24"/>
          <w:szCs w:val="24"/>
        </w:rPr>
        <w:t>(</w:t>
      </w:r>
      <w:r w:rsidRPr="004E3C1C">
        <w:rPr>
          <w:color w:val="000000" w:themeColor="text1"/>
          <w:sz w:val="24"/>
          <w:szCs w:val="24"/>
        </w:rPr>
        <w:t>2014</w:t>
      </w:r>
      <w:r w:rsidR="002072E1" w:rsidRPr="004E3C1C">
        <w:rPr>
          <w:color w:val="000000" w:themeColor="text1"/>
          <w:sz w:val="24"/>
          <w:szCs w:val="24"/>
        </w:rPr>
        <w:t>)</w:t>
      </w:r>
      <w:r w:rsidRPr="004E3C1C">
        <w:rPr>
          <w:color w:val="000000" w:themeColor="text1"/>
          <w:sz w:val="24"/>
          <w:szCs w:val="24"/>
        </w:rPr>
        <w:t>. The initial core group took place within 10 working days from the date 3, 4 and 5 were put on the child protection register and continued once every six weeks following this (</w:t>
      </w:r>
      <w:r w:rsidR="00650182" w:rsidRPr="004E3C1C">
        <w:rPr>
          <w:color w:val="000000" w:themeColor="text1"/>
          <w:sz w:val="24"/>
          <w:szCs w:val="24"/>
        </w:rPr>
        <w:t>Wales Safeguarding Procedures, 2019</w:t>
      </w:r>
      <w:r w:rsidRPr="004E3C1C">
        <w:rPr>
          <w:color w:val="000000" w:themeColor="text1"/>
          <w:sz w:val="24"/>
          <w:szCs w:val="24"/>
        </w:rPr>
        <w:t xml:space="preserve">). As outlined within the SSWBA (2014) and the </w:t>
      </w:r>
      <w:r w:rsidR="00650182" w:rsidRPr="004E3C1C">
        <w:rPr>
          <w:color w:val="000000" w:themeColor="text1"/>
          <w:sz w:val="24"/>
          <w:szCs w:val="24"/>
        </w:rPr>
        <w:t>Wales Safeguarding Procedures, 2019)</w:t>
      </w:r>
      <w:r w:rsidRPr="004E3C1C">
        <w:rPr>
          <w:color w:val="000000" w:themeColor="text1"/>
          <w:sz w:val="24"/>
          <w:szCs w:val="24"/>
        </w:rPr>
        <w:t xml:space="preserve">, these multi-agency meetings were required to be task focussed and child-centred with clear actions and timescales. Throughout the duration of 3, 4 and 5 being placed with 1 and 2, the LA had a responsibility to ensure that the wellbeing of 3, 4 and 5 was being promoted by organising family time between the children and their birth family (Part 4, Section 39 SSWBA, 2014). Due to the children’s birth mother being unable to prioritise the children’s needs and failing to attend or engage with the LA’s care and support plan, a full care order (Section 31, CA 1989) was recommended by the LA and granted by the court. Therefore, with a plan for 3, 4 and 5 to remain in 1 and 2’s care, until aged 18 with PR being shared between the LA and birth mother. </w:t>
      </w:r>
    </w:p>
    <w:p w:rsidR="00F92A66" w:rsidRPr="004E3C1C" w:rsidRDefault="00F92A66" w:rsidP="00650182">
      <w:pPr>
        <w:spacing w:line="360" w:lineRule="auto"/>
        <w:jc w:val="both"/>
        <w:rPr>
          <w:color w:val="000000" w:themeColor="text1"/>
          <w:sz w:val="24"/>
          <w:szCs w:val="24"/>
        </w:rPr>
      </w:pPr>
    </w:p>
    <w:p w:rsidR="00F92A66" w:rsidRPr="004E3C1C" w:rsidRDefault="00F92A66" w:rsidP="00650182">
      <w:pPr>
        <w:spacing w:line="360" w:lineRule="auto"/>
        <w:jc w:val="both"/>
        <w:rPr>
          <w:b/>
          <w:color w:val="000000" w:themeColor="text1"/>
          <w:sz w:val="24"/>
          <w:szCs w:val="24"/>
        </w:rPr>
      </w:pPr>
      <w:r w:rsidRPr="004E3C1C">
        <w:rPr>
          <w:color w:val="000000" w:themeColor="text1"/>
          <w:sz w:val="24"/>
          <w:szCs w:val="24"/>
        </w:rPr>
        <w:t>Sections from the SSWBA (2014) above, act in a way which are compatible with the ‘absolute’ rights outlined within the European Convention on Human Rights (1953) (ECHR). For example, article 2 (ECHR, 1953) outlines t</w:t>
      </w:r>
      <w:r w:rsidRPr="004E3C1C">
        <w:rPr>
          <w:color w:val="000000" w:themeColor="text1"/>
          <w:sz w:val="24"/>
          <w:szCs w:val="24"/>
          <w:shd w:val="clear" w:color="auto" w:fill="FFFFFF"/>
        </w:rPr>
        <w:t xml:space="preserve">he ‘right to life’, which enforces a duty for LA’s to take reasonable steps to protect life, extending to an obligation to protect the life of vulnerable people at risk of neglect, relating to children who may require removal form the care of their birth parents, to prevent risk of death through neglect or abuse. Furthermore, Article 3 (ECHR, 1953) outlines an ‘absolute’ right for </w:t>
      </w:r>
      <w:r w:rsidRPr="004E3C1C">
        <w:rPr>
          <w:color w:val="000000" w:themeColor="text1"/>
          <w:sz w:val="24"/>
          <w:szCs w:val="24"/>
          <w:shd w:val="clear" w:color="auto" w:fill="FFFFFF"/>
        </w:rPr>
        <w:lastRenderedPageBreak/>
        <w:t xml:space="preserve">vulnerable people, including children to be protected from physical or psychological abuse. Therefore, enforce a duty for LA’s to remove children from the care of their parents, where they are aware of serious and immediate risk of neglect or abuse. </w:t>
      </w:r>
      <w:r w:rsidRPr="004E3C1C">
        <w:rPr>
          <w:color w:val="000000" w:themeColor="text1"/>
          <w:sz w:val="24"/>
          <w:szCs w:val="24"/>
        </w:rPr>
        <w:t>In the Z v UK (1978) case, the European Court of Human Rights found that a local authority was liable for a failure to protect four children from inhuman and degrading treatment, given that it was known that they were suffering from severe neglect and abuse at the hands of their parents over the duration of a four year period.</w:t>
      </w:r>
    </w:p>
    <w:p w:rsidR="00F92A66" w:rsidRPr="004E3C1C" w:rsidRDefault="00F92A66" w:rsidP="00650182">
      <w:pPr>
        <w:spacing w:line="360" w:lineRule="auto"/>
        <w:jc w:val="both"/>
        <w:rPr>
          <w:color w:val="000000" w:themeColor="text1"/>
          <w:sz w:val="24"/>
          <w:szCs w:val="24"/>
          <w:shd w:val="clear" w:color="auto" w:fill="FFFFFF"/>
        </w:rPr>
      </w:pPr>
    </w:p>
    <w:p w:rsidR="00F92A66" w:rsidRPr="004E3C1C" w:rsidRDefault="00F92A66" w:rsidP="00650182">
      <w:pPr>
        <w:spacing w:line="360" w:lineRule="auto"/>
        <w:jc w:val="both"/>
        <w:rPr>
          <w:color w:val="000000" w:themeColor="text1"/>
          <w:sz w:val="24"/>
          <w:szCs w:val="24"/>
          <w:shd w:val="clear" w:color="auto" w:fill="FFFFFF"/>
        </w:rPr>
      </w:pPr>
      <w:r w:rsidRPr="004E3C1C">
        <w:rPr>
          <w:color w:val="000000" w:themeColor="text1"/>
          <w:sz w:val="24"/>
          <w:szCs w:val="24"/>
          <w:shd w:val="clear" w:color="auto" w:fill="FFFFFF"/>
        </w:rPr>
        <w:t>3, 4 and 5 had been looked after, on a full care order by 1 and 2 for approximately 4 years, prior to being removed from their care in 2022. During the early stages of 2022, 3, 4 and 5 were allocated a new LA social worker (SW), and at the same time 1 and 2 were allocated myself as their new supervising social worker (SSW). 4 (young person) and 1 (foster parent) had been receiving bo</w:t>
      </w:r>
      <w:r w:rsidR="000807EF" w:rsidRPr="004E3C1C">
        <w:rPr>
          <w:color w:val="000000" w:themeColor="text1"/>
          <w:sz w:val="24"/>
          <w:szCs w:val="24"/>
          <w:shd w:val="clear" w:color="auto" w:fill="FFFFFF"/>
        </w:rPr>
        <w:t>th joint and lone support from the</w:t>
      </w:r>
      <w:r w:rsidRPr="004E3C1C">
        <w:rPr>
          <w:color w:val="000000" w:themeColor="text1"/>
          <w:sz w:val="24"/>
          <w:szCs w:val="24"/>
          <w:shd w:val="clear" w:color="auto" w:fill="FFFFFF"/>
        </w:rPr>
        <w:t xml:space="preserve"> child and adolescent mental health service for approximately one year prior to this change in SW’s. Initially, this work began to support 4 in managing both his behaviour and feelings in a more positive way, and also supporting 1 to approach this sensitively and effectively as the foster parent. Within the first two months supervising 1 and 2, it became apparent through conversation that 1, was struggling with her attachment towards 4, in particular. I felt as the supervising social worker, it was a) important for me to have open and transparent conversations with the foster parent, in discussing trauma and how this impacts the developing brain, helping the foster parent identify triggers and view 4 as a child rather than a behaviour. I also felt it was my duty to address and share this with the relevant professionals, in order for 1 to be fully supported in building her attachment up again, ultimately ensuring that all of 4’s needs are appropriately met. Initially, I consulted our agency’s therapeutic practitioner and soon after initiated communication with the child mental health practitioner working with both 4 and 1, to clarify what their involvement was targeting, to ensure that should our therapeutic practitioner become involved, that this targeted support was complementing one another. The mental health practitioner shared that for approximately one year, work had been targeting the attachment between 1 and 4, however that they were struggling to make any progress with this and therefore were bringing their support to a close. After sharing this with the LA SW, we decided it was appropriate to hold a multi-agency meeting, between ourselves and the mental health practitioner. Upon arriving at this meeting, education were in attendance and the LA’s </w:t>
      </w:r>
      <w:r w:rsidRPr="004E3C1C">
        <w:rPr>
          <w:color w:val="000000" w:themeColor="text1"/>
          <w:sz w:val="24"/>
          <w:szCs w:val="24"/>
          <w:shd w:val="clear" w:color="auto" w:fill="FFFFFF"/>
        </w:rPr>
        <w:lastRenderedPageBreak/>
        <w:t>team manager was chairing. During this meeting education shared photographs of 3, 4 and 5’s school lunch boxes, which were taken by teachers approximately 6 months prior. 4’s lunch box in particular appeared very sparse and limited. Whereas their siblings 3 and 5’s packed lunch had an appropriate amount of food and snacks, which was varied in choice. Education shared that 4’s siblings have stated on occasions that 4 has ‘not been allowed pudding because he is naughty’ and also that 4 has come into school on themed days, without money to purchase a red nose, or themed food etc. Education noted feeling uncomfortable with food being used as a punishment for 4, given their background and this being a potential trigger for them. Education also noted that they felt 3 and 5 were favoured by the foster parent over their sibling 4. Given these concerns, a child protection referral was submitted by myself to both the residing and placing LA, in line with legislation (Par</w:t>
      </w:r>
      <w:r w:rsidR="002072E1" w:rsidRPr="004E3C1C">
        <w:rPr>
          <w:color w:val="000000" w:themeColor="text1"/>
          <w:sz w:val="24"/>
          <w:szCs w:val="24"/>
          <w:shd w:val="clear" w:color="auto" w:fill="FFFFFF"/>
        </w:rPr>
        <w:t>t 7, Section 130 SSWBA, 2014;</w:t>
      </w:r>
      <w:r w:rsidRPr="004E3C1C">
        <w:rPr>
          <w:color w:val="000000" w:themeColor="text1"/>
          <w:sz w:val="24"/>
          <w:szCs w:val="24"/>
          <w:shd w:val="clear" w:color="auto" w:fill="FFFFFF"/>
        </w:rPr>
        <w:t xml:space="preserve"> </w:t>
      </w:r>
      <w:r w:rsidR="00650182" w:rsidRPr="004E3C1C">
        <w:rPr>
          <w:color w:val="000000" w:themeColor="text1"/>
          <w:sz w:val="24"/>
          <w:szCs w:val="24"/>
          <w:shd w:val="clear" w:color="auto" w:fill="FFFFFF"/>
        </w:rPr>
        <w:t>Wales Safeguarding Procedures, 2019</w:t>
      </w:r>
      <w:r w:rsidR="00694100" w:rsidRPr="004E3C1C">
        <w:rPr>
          <w:color w:val="000000" w:themeColor="text1"/>
          <w:sz w:val="24"/>
          <w:szCs w:val="24"/>
          <w:shd w:val="clear" w:color="auto" w:fill="FFFFFF"/>
        </w:rPr>
        <w:t xml:space="preserve">). The </w:t>
      </w:r>
      <w:r w:rsidR="00694100" w:rsidRPr="004E3C1C">
        <w:rPr>
          <w:color w:val="000000" w:themeColor="text1"/>
          <w:sz w:val="24"/>
          <w:szCs w:val="24"/>
        </w:rPr>
        <w:t xml:space="preserve">Regulation and Inspection of Social Care (Wales) Act (2016) (RISCA) and National Minimum Standards, outline a requirement for </w:t>
      </w:r>
      <w:r w:rsidR="002072E1" w:rsidRPr="004E3C1C">
        <w:rPr>
          <w:color w:val="000000" w:themeColor="text1"/>
          <w:sz w:val="24"/>
          <w:szCs w:val="24"/>
        </w:rPr>
        <w:t xml:space="preserve"> foster parents to comply with foster</w:t>
      </w:r>
      <w:r w:rsidR="002072E1" w:rsidRPr="004E3C1C">
        <w:rPr>
          <w:color w:val="000000" w:themeColor="text1"/>
          <w:sz w:val="24"/>
          <w:szCs w:val="24"/>
          <w:shd w:val="clear" w:color="auto" w:fill="FFFFFF"/>
        </w:rPr>
        <w:t xml:space="preserve"> parent agreements, </w:t>
      </w:r>
      <w:r w:rsidR="00A2345D" w:rsidRPr="004E3C1C">
        <w:rPr>
          <w:color w:val="000000" w:themeColor="text1"/>
          <w:sz w:val="24"/>
          <w:szCs w:val="24"/>
          <w:shd w:val="clear" w:color="auto" w:fill="FFFFFF"/>
        </w:rPr>
        <w:t>and treat children in their c</w:t>
      </w:r>
      <w:r w:rsidR="00A2345D" w:rsidRPr="004E3C1C">
        <w:rPr>
          <w:color w:val="000000" w:themeColor="text1"/>
          <w:sz w:val="24"/>
          <w:szCs w:val="24"/>
        </w:rPr>
        <w:t xml:space="preserve">are as they would members of their family and promote their welfare. Furthermore, </w:t>
      </w:r>
      <w:r w:rsidR="00694100" w:rsidRPr="004E3C1C">
        <w:rPr>
          <w:color w:val="000000" w:themeColor="text1"/>
          <w:sz w:val="24"/>
          <w:szCs w:val="24"/>
        </w:rPr>
        <w:t>RISCA (2016)</w:t>
      </w:r>
      <w:r w:rsidR="00A2345D" w:rsidRPr="004E3C1C">
        <w:rPr>
          <w:color w:val="000000" w:themeColor="text1"/>
          <w:sz w:val="24"/>
          <w:szCs w:val="24"/>
        </w:rPr>
        <w:t xml:space="preserve"> </w:t>
      </w:r>
      <w:r w:rsidR="00A2345D" w:rsidRPr="004E3C1C">
        <w:rPr>
          <w:color w:val="000000" w:themeColor="text1"/>
          <w:sz w:val="24"/>
          <w:szCs w:val="24"/>
          <w:shd w:val="clear" w:color="auto" w:fill="FFFFFF"/>
        </w:rPr>
        <w:t>imbeds provisions from SSWBA (2014)</w:t>
      </w:r>
      <w:r w:rsidR="00694100" w:rsidRPr="004E3C1C">
        <w:rPr>
          <w:color w:val="000000" w:themeColor="text1"/>
          <w:sz w:val="24"/>
          <w:szCs w:val="24"/>
          <w:shd w:val="clear" w:color="auto" w:fill="FFFFFF"/>
        </w:rPr>
        <w:t xml:space="preserve"> and the National Minimum Standards for fostering in Wales</w:t>
      </w:r>
      <w:r w:rsidR="00A2345D" w:rsidRPr="004E3C1C">
        <w:rPr>
          <w:color w:val="000000" w:themeColor="text1"/>
          <w:sz w:val="24"/>
          <w:szCs w:val="24"/>
          <w:shd w:val="clear" w:color="auto" w:fill="FFFFFF"/>
        </w:rPr>
        <w:t xml:space="preserve">, placing service quality and improvement at the heart of regulation, strengthening protection for those who need it, by ultimately ensuring services like fostering agencies deliver high quality care and support. </w:t>
      </w:r>
      <w:r w:rsidRPr="004E3C1C">
        <w:rPr>
          <w:color w:val="000000" w:themeColor="text1"/>
          <w:sz w:val="24"/>
          <w:szCs w:val="24"/>
          <w:shd w:val="clear" w:color="auto" w:fill="FFFFFF"/>
        </w:rPr>
        <w:t xml:space="preserve">Given the context of educations concerns surrounding 4 being withheld food and left hungry in school, along with it being a Friday and the boys remaining in </w:t>
      </w:r>
      <w:r w:rsidR="00A36FE9" w:rsidRPr="004E3C1C">
        <w:rPr>
          <w:color w:val="000000" w:themeColor="text1"/>
          <w:sz w:val="24"/>
          <w:szCs w:val="24"/>
          <w:shd w:val="clear" w:color="auto" w:fill="FFFFFF"/>
        </w:rPr>
        <w:t xml:space="preserve">their foster </w:t>
      </w:r>
      <w:r w:rsidRPr="004E3C1C">
        <w:rPr>
          <w:color w:val="000000" w:themeColor="text1"/>
          <w:sz w:val="24"/>
          <w:szCs w:val="24"/>
          <w:shd w:val="clear" w:color="auto" w:fill="FFFFFF"/>
        </w:rPr>
        <w:t>placement over the weekend, I felt it appropriate to follow up this referral, by contacting the residing LA’s E</w:t>
      </w:r>
      <w:r w:rsidR="00A36FE9" w:rsidRPr="004E3C1C">
        <w:rPr>
          <w:color w:val="000000" w:themeColor="text1"/>
          <w:sz w:val="24"/>
          <w:szCs w:val="24"/>
          <w:shd w:val="clear" w:color="auto" w:fill="FFFFFF"/>
        </w:rPr>
        <w:t xml:space="preserve">mergency </w:t>
      </w:r>
      <w:r w:rsidRPr="004E3C1C">
        <w:rPr>
          <w:color w:val="000000" w:themeColor="text1"/>
          <w:sz w:val="24"/>
          <w:szCs w:val="24"/>
          <w:shd w:val="clear" w:color="auto" w:fill="FFFFFF"/>
        </w:rPr>
        <w:t>D</w:t>
      </w:r>
      <w:r w:rsidR="00A36FE9" w:rsidRPr="004E3C1C">
        <w:rPr>
          <w:color w:val="000000" w:themeColor="text1"/>
          <w:sz w:val="24"/>
          <w:szCs w:val="24"/>
          <w:shd w:val="clear" w:color="auto" w:fill="FFFFFF"/>
        </w:rPr>
        <w:t xml:space="preserve">uty </w:t>
      </w:r>
      <w:r w:rsidRPr="004E3C1C">
        <w:rPr>
          <w:color w:val="000000" w:themeColor="text1"/>
          <w:sz w:val="24"/>
          <w:szCs w:val="24"/>
          <w:shd w:val="clear" w:color="auto" w:fill="FFFFFF"/>
        </w:rPr>
        <w:t>T</w:t>
      </w:r>
      <w:r w:rsidR="00A36FE9" w:rsidRPr="004E3C1C">
        <w:rPr>
          <w:color w:val="000000" w:themeColor="text1"/>
          <w:sz w:val="24"/>
          <w:szCs w:val="24"/>
          <w:shd w:val="clear" w:color="auto" w:fill="FFFFFF"/>
        </w:rPr>
        <w:t>eam</w:t>
      </w:r>
      <w:r w:rsidRPr="004E3C1C">
        <w:rPr>
          <w:color w:val="000000" w:themeColor="text1"/>
          <w:sz w:val="24"/>
          <w:szCs w:val="24"/>
          <w:shd w:val="clear" w:color="auto" w:fill="FFFFFF"/>
        </w:rPr>
        <w:t xml:space="preserve"> to gain advice regarding the immediate safety of the children. The LA’s EDT shared that they did not have immediate concerns and felt it would not be appropriate to remove the children from the foster parents that evening. However, the following Monday, the residing LA’s safeguarding lead made contact with myself and the children’s social worker to arrange a Part 5, multi-agency meeting, outlined within the </w:t>
      </w:r>
      <w:r w:rsidR="00650182" w:rsidRPr="004E3C1C">
        <w:rPr>
          <w:color w:val="000000" w:themeColor="text1"/>
          <w:sz w:val="24"/>
          <w:szCs w:val="24"/>
          <w:shd w:val="clear" w:color="auto" w:fill="FFFFFF"/>
        </w:rPr>
        <w:t>Wales Safeguarding Procedures (2019)</w:t>
      </w:r>
      <w:r w:rsidRPr="004E3C1C">
        <w:rPr>
          <w:color w:val="000000" w:themeColor="text1"/>
          <w:sz w:val="24"/>
          <w:szCs w:val="24"/>
          <w:shd w:val="clear" w:color="auto" w:fill="FFFFFF"/>
        </w:rPr>
        <w:t xml:space="preserve">. This takes place when a safeguarding allegation or concern is made against a professional or individual in a position of trust. The children’s SW requested that our agency do not disclose that an allegation had been made against them, due to being concerned that this would negatively impact 4. The initial part 5 meeting actioned myself as the foster parents supervising social worker, along with the team manager to visit the foster parents, </w:t>
      </w:r>
      <w:r w:rsidRPr="004E3C1C">
        <w:rPr>
          <w:color w:val="000000" w:themeColor="text1"/>
          <w:sz w:val="24"/>
          <w:szCs w:val="24"/>
          <w:shd w:val="clear" w:color="auto" w:fill="FFFFFF"/>
        </w:rPr>
        <w:lastRenderedPageBreak/>
        <w:t>share the allegation and provide them with the opportunity to respo</w:t>
      </w:r>
      <w:r w:rsidR="00A36FE9" w:rsidRPr="004E3C1C">
        <w:rPr>
          <w:color w:val="000000" w:themeColor="text1"/>
          <w:sz w:val="24"/>
          <w:szCs w:val="24"/>
          <w:shd w:val="clear" w:color="auto" w:fill="FFFFFF"/>
        </w:rPr>
        <w:t>nd to this, as well as requesting that</w:t>
      </w:r>
      <w:r w:rsidRPr="004E3C1C">
        <w:rPr>
          <w:color w:val="000000" w:themeColor="text1"/>
          <w:sz w:val="24"/>
          <w:szCs w:val="24"/>
          <w:shd w:val="clear" w:color="auto" w:fill="FFFFFF"/>
        </w:rPr>
        <w:t xml:space="preserve"> the children’s s</w:t>
      </w:r>
      <w:r w:rsidR="00A36FE9" w:rsidRPr="004E3C1C">
        <w:rPr>
          <w:color w:val="000000" w:themeColor="text1"/>
          <w:sz w:val="24"/>
          <w:szCs w:val="24"/>
          <w:shd w:val="clear" w:color="auto" w:fill="FFFFFF"/>
        </w:rPr>
        <w:t xml:space="preserve">ocial worker </w:t>
      </w:r>
      <w:r w:rsidRPr="004E3C1C">
        <w:rPr>
          <w:color w:val="000000" w:themeColor="text1"/>
          <w:sz w:val="24"/>
          <w:szCs w:val="24"/>
          <w:shd w:val="clear" w:color="auto" w:fill="FFFFFF"/>
        </w:rPr>
        <w:t>visit the children at school, to explore their wishes and feelings. During the second part 5 meeting, all professionals were given the opportunity to vote, on whether they felt the allegation was a) substantiated, b) unsubstantiated c) unfounded or d) deliberately invented or malicious. The outcome of this meeting was ‘unsubstantiated’ given the majority vote, and the children’s social worker being the only individual voting ‘substantiated’.</w:t>
      </w:r>
    </w:p>
    <w:p w:rsidR="00F92A66" w:rsidRPr="004E3C1C" w:rsidRDefault="00F92A66" w:rsidP="00650182">
      <w:pPr>
        <w:spacing w:line="360" w:lineRule="auto"/>
        <w:jc w:val="both"/>
        <w:rPr>
          <w:b/>
          <w:sz w:val="24"/>
          <w:szCs w:val="24"/>
          <w:u w:val="single"/>
        </w:rPr>
      </w:pPr>
    </w:p>
    <w:p w:rsidR="00F92A66" w:rsidRPr="004E3C1C" w:rsidRDefault="00F92A66" w:rsidP="00650182">
      <w:pPr>
        <w:spacing w:line="360" w:lineRule="auto"/>
        <w:jc w:val="both"/>
        <w:rPr>
          <w:sz w:val="24"/>
          <w:szCs w:val="24"/>
        </w:rPr>
      </w:pPr>
      <w:r w:rsidRPr="004E3C1C">
        <w:rPr>
          <w:sz w:val="24"/>
          <w:szCs w:val="24"/>
        </w:rPr>
        <w:t>In line with legislation discussed above, it is my agencies policy that approved foster parents undertake mandatory safeguarding and safer caring training, which are renewed three yearly. It is also a recommendation that all foster parents undertake the agencies ‘allegations and complaints’ training course, following their approval. This ensures that foster parents have a clear understanding of both allegations and complaints, are aware of the difference between these, the processes involved and how to manage these. The course provides recognition surrounding why allegations are made and the impact they have on both the foster family and the children placed, as well as being fully aware of the support and resources available to them during the allegation process. It is also</w:t>
      </w:r>
      <w:r w:rsidR="00694100" w:rsidRPr="004E3C1C">
        <w:rPr>
          <w:sz w:val="24"/>
          <w:szCs w:val="24"/>
        </w:rPr>
        <w:t xml:space="preserve"> notable, that in line with </w:t>
      </w:r>
      <w:r w:rsidR="00BB043D" w:rsidRPr="004E3C1C">
        <w:rPr>
          <w:sz w:val="24"/>
          <w:szCs w:val="24"/>
        </w:rPr>
        <w:t>RISCA (2016)</w:t>
      </w:r>
      <w:r w:rsidRPr="004E3C1C">
        <w:rPr>
          <w:sz w:val="24"/>
          <w:szCs w:val="24"/>
        </w:rPr>
        <w:t>, it is the agencies policy to ensure that all fostering households have a safer caring family agreement in pla</w:t>
      </w:r>
      <w:r w:rsidR="00F12735" w:rsidRPr="004E3C1C">
        <w:rPr>
          <w:sz w:val="24"/>
          <w:szCs w:val="24"/>
        </w:rPr>
        <w:t>ce, which is updated frequently. A</w:t>
      </w:r>
      <w:r w:rsidRPr="004E3C1C">
        <w:rPr>
          <w:sz w:val="24"/>
          <w:szCs w:val="24"/>
        </w:rPr>
        <w:t>longside a child specific safer caring agreement (aged 0-4) and individual safeguarding risk assessment managemen</w:t>
      </w:r>
      <w:r w:rsidR="00BB043D" w:rsidRPr="004E3C1C">
        <w:rPr>
          <w:sz w:val="24"/>
          <w:szCs w:val="24"/>
        </w:rPr>
        <w:t>t plan (4+), which are updated annually</w:t>
      </w:r>
      <w:r w:rsidR="00F12735" w:rsidRPr="004E3C1C">
        <w:rPr>
          <w:sz w:val="24"/>
          <w:szCs w:val="24"/>
        </w:rPr>
        <w:t xml:space="preserve"> or more regularly</w:t>
      </w:r>
      <w:r w:rsidRPr="004E3C1C">
        <w:rPr>
          <w:sz w:val="24"/>
          <w:szCs w:val="24"/>
        </w:rPr>
        <w:t xml:space="preserve"> should an incident </w:t>
      </w:r>
      <w:proofErr w:type="gramStart"/>
      <w:r w:rsidRPr="004E3C1C">
        <w:rPr>
          <w:sz w:val="24"/>
          <w:szCs w:val="24"/>
        </w:rPr>
        <w:t>occur.</w:t>
      </w:r>
      <w:proofErr w:type="gramEnd"/>
      <w:r w:rsidRPr="004E3C1C">
        <w:rPr>
          <w:sz w:val="24"/>
          <w:szCs w:val="24"/>
        </w:rPr>
        <w:t xml:space="preserve"> </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 xml:space="preserve">By following my agencies safeguarding policies and procedures throughout this piece of work, both my team manager and registered manager were notified of this allegation, at the earliest opportunity, resulting in myself recording this information, clearly and concisely under a ‘notifiable event’. This recording system, enables the allegation and crucial details surrounding it, to be carefully monitored by both the agency and its inspectors. It ensures that safeguarding procedures are being adhered to and all actions are closely followed and subsequently met in a timely and efficient manner. </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Whilst the outcome of the part 5 was unsubstantiated, it is pertinent to note in line</w:t>
      </w:r>
      <w:r w:rsidR="00F12735" w:rsidRPr="004E3C1C">
        <w:rPr>
          <w:sz w:val="24"/>
          <w:szCs w:val="24"/>
        </w:rPr>
        <w:t xml:space="preserve"> with our agencies </w:t>
      </w:r>
      <w:r w:rsidRPr="004E3C1C">
        <w:rPr>
          <w:sz w:val="24"/>
          <w:szCs w:val="24"/>
        </w:rPr>
        <w:t>procedur</w:t>
      </w:r>
      <w:r w:rsidR="00F12735" w:rsidRPr="004E3C1C">
        <w:rPr>
          <w:sz w:val="24"/>
          <w:szCs w:val="24"/>
        </w:rPr>
        <w:t xml:space="preserve">es, an independent </w:t>
      </w:r>
      <w:r w:rsidRPr="004E3C1C">
        <w:rPr>
          <w:sz w:val="24"/>
          <w:szCs w:val="24"/>
        </w:rPr>
        <w:t xml:space="preserve">reviewing officer would be due to undertake </w:t>
      </w:r>
      <w:r w:rsidR="00F12735" w:rsidRPr="004E3C1C">
        <w:rPr>
          <w:sz w:val="24"/>
          <w:szCs w:val="24"/>
        </w:rPr>
        <w:lastRenderedPageBreak/>
        <w:t>an internal investigation. This</w:t>
      </w:r>
      <w:r w:rsidRPr="004E3C1C">
        <w:rPr>
          <w:sz w:val="24"/>
          <w:szCs w:val="24"/>
        </w:rPr>
        <w:t xml:space="preserve"> in turn trigger an early review to take place and subse</w:t>
      </w:r>
      <w:r w:rsidR="00F12735" w:rsidRPr="004E3C1C">
        <w:rPr>
          <w:sz w:val="24"/>
          <w:szCs w:val="24"/>
        </w:rPr>
        <w:t xml:space="preserve">quently be </w:t>
      </w:r>
      <w:r w:rsidR="00A36FE9" w:rsidRPr="004E3C1C">
        <w:rPr>
          <w:sz w:val="24"/>
          <w:szCs w:val="24"/>
        </w:rPr>
        <w:t>presented at the</w:t>
      </w:r>
      <w:r w:rsidRPr="004E3C1C">
        <w:rPr>
          <w:sz w:val="24"/>
          <w:szCs w:val="24"/>
        </w:rPr>
        <w:t xml:space="preserve"> fostering panel for consideration of ongoing suitability</w:t>
      </w:r>
      <w:r w:rsidR="00737D0C" w:rsidRPr="004E3C1C">
        <w:rPr>
          <w:sz w:val="24"/>
          <w:szCs w:val="24"/>
        </w:rPr>
        <w:t>, in line with The Fostering Panels (Establishment and Functions) (Wales) Regulations (2018)</w:t>
      </w:r>
      <w:r w:rsidR="00B22BAB" w:rsidRPr="004E3C1C">
        <w:rPr>
          <w:sz w:val="24"/>
          <w:szCs w:val="24"/>
        </w:rPr>
        <w:t xml:space="preserve"> and RISCA (2016) part 8</w:t>
      </w:r>
      <w:r w:rsidRPr="004E3C1C">
        <w:rPr>
          <w:sz w:val="24"/>
          <w:szCs w:val="24"/>
        </w:rPr>
        <w:t xml:space="preserve">. This stage of the investigation is currently ongoing. </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b/>
          <w:sz w:val="24"/>
          <w:szCs w:val="24"/>
          <w:u w:val="single"/>
        </w:rPr>
      </w:pPr>
      <w:r w:rsidRPr="004E3C1C">
        <w:rPr>
          <w:b/>
          <w:sz w:val="24"/>
          <w:szCs w:val="24"/>
          <w:u w:val="single"/>
        </w:rPr>
        <w:t>Collaborative working</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Multi-agency working is key to effective safeguarding and child protection (</w:t>
      </w:r>
      <w:proofErr w:type="spellStart"/>
      <w:r w:rsidRPr="004E3C1C">
        <w:rPr>
          <w:sz w:val="24"/>
          <w:szCs w:val="24"/>
        </w:rPr>
        <w:t>Sidebotham</w:t>
      </w:r>
      <w:proofErr w:type="spellEnd"/>
      <w:r w:rsidRPr="004E3C1C">
        <w:rPr>
          <w:sz w:val="24"/>
          <w:szCs w:val="24"/>
        </w:rPr>
        <w:t xml:space="preserve"> et al, 2016).The need for effective multi-agency working and information sharing in order to secure improved safeguarding outcomes is clearly stated in a number of reviews, policy documentation and statutory guidance as previously discussed. </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 xml:space="preserve">Existing literature recognises common barriers that can be found in practicing effective multi-agency working. For example, </w:t>
      </w:r>
      <w:proofErr w:type="spellStart"/>
      <w:r w:rsidRPr="004E3C1C">
        <w:rPr>
          <w:sz w:val="24"/>
          <w:szCs w:val="24"/>
        </w:rPr>
        <w:t>Sloper</w:t>
      </w:r>
      <w:proofErr w:type="spellEnd"/>
      <w:r w:rsidRPr="004E3C1C">
        <w:rPr>
          <w:sz w:val="24"/>
          <w:szCs w:val="24"/>
        </w:rPr>
        <w:t xml:space="preserve"> (2004) identified poor or lack of communication, misunderstanding situations, inconsistent or inaccurate record keeping and also not following policies or procedures. Section 16 ‘working together to safeguard children (2018)’ outlines that every person who works with children has a responsibility for keepin</w:t>
      </w:r>
      <w:r w:rsidR="00B05889" w:rsidRPr="004E3C1C">
        <w:rPr>
          <w:sz w:val="24"/>
          <w:szCs w:val="24"/>
        </w:rPr>
        <w:t>g them safe, which mirrors the Wales Safe</w:t>
      </w:r>
      <w:r w:rsidR="00650182" w:rsidRPr="004E3C1C">
        <w:rPr>
          <w:sz w:val="24"/>
          <w:szCs w:val="24"/>
        </w:rPr>
        <w:t>guarding Procedures (2019)</w:t>
      </w:r>
      <w:r w:rsidR="00B05889" w:rsidRPr="004E3C1C">
        <w:rPr>
          <w:sz w:val="24"/>
          <w:szCs w:val="24"/>
        </w:rPr>
        <w:t xml:space="preserve">, </w:t>
      </w:r>
      <w:r w:rsidRPr="004E3C1C">
        <w:rPr>
          <w:sz w:val="24"/>
          <w:szCs w:val="24"/>
        </w:rPr>
        <w:t>duty to report. Both emphasise that no single practitioner can have a full picture of a child’s needs and circumstances and, if children and families are to receive the right help at the right time, everyone who comes into contact with them has a role to play in identifying concerns, sharing information and taking prompt action. Ultimately, that effective safeguarding work depends on collaborative multi-agency working.</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 xml:space="preserve">Section 24 ‘working together to safeguard children (2018)’ highlights the importance of effective information sharing between practitioners and agencies and how this is essential for early identification of need, assessment and service provision to keep children safe. Serious case reviews, such as the death of Victoria </w:t>
      </w:r>
      <w:proofErr w:type="spellStart"/>
      <w:r w:rsidRPr="004E3C1C">
        <w:rPr>
          <w:sz w:val="24"/>
          <w:szCs w:val="24"/>
        </w:rPr>
        <w:t>Climbie</w:t>
      </w:r>
      <w:proofErr w:type="spellEnd"/>
      <w:r w:rsidRPr="004E3C1C">
        <w:rPr>
          <w:sz w:val="24"/>
          <w:szCs w:val="24"/>
        </w:rPr>
        <w:t xml:space="preserve"> </w:t>
      </w:r>
      <w:r w:rsidR="00B05889" w:rsidRPr="004E3C1C">
        <w:rPr>
          <w:sz w:val="24"/>
          <w:szCs w:val="24"/>
        </w:rPr>
        <w:t xml:space="preserve">(2003) </w:t>
      </w:r>
      <w:r w:rsidRPr="004E3C1C">
        <w:rPr>
          <w:sz w:val="24"/>
          <w:szCs w:val="24"/>
        </w:rPr>
        <w:t>and Peter Connolly</w:t>
      </w:r>
      <w:r w:rsidR="00B05889" w:rsidRPr="004E3C1C">
        <w:rPr>
          <w:sz w:val="24"/>
          <w:szCs w:val="24"/>
        </w:rPr>
        <w:t xml:space="preserve"> (2010)</w:t>
      </w:r>
      <w:r w:rsidRPr="004E3C1C">
        <w:rPr>
          <w:sz w:val="24"/>
          <w:szCs w:val="24"/>
        </w:rPr>
        <w:t xml:space="preserve">, have highlighted that missed opportunities to record, understand the significance of and share information in a timely manner can have severe consequences for the safety and welfare of children. These inquiries also found </w:t>
      </w:r>
      <w:r w:rsidRPr="004E3C1C">
        <w:rPr>
          <w:sz w:val="24"/>
          <w:szCs w:val="24"/>
        </w:rPr>
        <w:lastRenderedPageBreak/>
        <w:t>that there is often confusion surrounding what information can be shared between agencies, and about compliance with human rights legislation and data protection regulations. Section 27 of the working together to safeguard children (2018), states that The Data Protection Act</w:t>
      </w:r>
      <w:r w:rsidR="00B05889" w:rsidRPr="004E3C1C">
        <w:rPr>
          <w:sz w:val="24"/>
          <w:szCs w:val="24"/>
        </w:rPr>
        <w:t xml:space="preserve"> (2018), also tailoring the United Kingdom </w:t>
      </w:r>
      <w:r w:rsidRPr="004E3C1C">
        <w:rPr>
          <w:sz w:val="24"/>
          <w:szCs w:val="24"/>
        </w:rPr>
        <w:t xml:space="preserve">General Data Protection Regulations (GDPR) </w:t>
      </w:r>
      <w:r w:rsidR="00B05889" w:rsidRPr="004E3C1C">
        <w:rPr>
          <w:sz w:val="24"/>
          <w:szCs w:val="24"/>
        </w:rPr>
        <w:t xml:space="preserve">(2018) </w:t>
      </w:r>
      <w:r w:rsidRPr="004E3C1C">
        <w:rPr>
          <w:sz w:val="24"/>
          <w:szCs w:val="24"/>
        </w:rPr>
        <w:t>do not prevent information sharing, for the purposes of keeping children safe and also places emphasis, that fears about sharing information must not stand in the way of the need to promote the welfare and protect the safety of children.</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Section 25 ‘working together to safeguard children (2018) strengthens this in relation to looked after children and outlines that practitioners should be proactive in sharing information as early as possible to help identify, assess and respond to risks or concerns about the safety and welfare of children, whether this is when problems are first emerging, or where a child is already known to local authority children’s social, practitioners should be alert to sharing important information about any adults with whom that child has contact, which may impact the child’s safety or welfare.</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b/>
          <w:sz w:val="24"/>
          <w:szCs w:val="24"/>
          <w:u w:val="single"/>
        </w:rPr>
      </w:pPr>
      <w:r w:rsidRPr="004E3C1C">
        <w:rPr>
          <w:b/>
          <w:sz w:val="24"/>
          <w:szCs w:val="24"/>
          <w:u w:val="single"/>
        </w:rPr>
        <w:t>Analysis, Evaluation and Feelings</w:t>
      </w:r>
    </w:p>
    <w:p w:rsidR="00F92A66" w:rsidRPr="004E3C1C" w:rsidRDefault="00F92A66" w:rsidP="00650182">
      <w:pPr>
        <w:spacing w:line="360" w:lineRule="auto"/>
        <w:jc w:val="both"/>
        <w:rPr>
          <w:sz w:val="24"/>
          <w:szCs w:val="24"/>
        </w:rPr>
      </w:pPr>
    </w:p>
    <w:p w:rsidR="00F92A66" w:rsidRPr="004E3C1C" w:rsidRDefault="00204877" w:rsidP="00650182">
      <w:pPr>
        <w:spacing w:line="360" w:lineRule="auto"/>
        <w:jc w:val="both"/>
        <w:rPr>
          <w:sz w:val="24"/>
          <w:szCs w:val="24"/>
        </w:rPr>
      </w:pPr>
      <w:r w:rsidRPr="004E3C1C">
        <w:rPr>
          <w:sz w:val="24"/>
          <w:szCs w:val="24"/>
        </w:rPr>
        <w:t>These sections of Gibbs (1970</w:t>
      </w:r>
      <w:r w:rsidR="00F92A66" w:rsidRPr="004E3C1C">
        <w:rPr>
          <w:sz w:val="24"/>
          <w:szCs w:val="24"/>
        </w:rPr>
        <w:t xml:space="preserve">) reflective model, will allow me to breakdown different elements of this social work intervention, identify both the positive and negative impacts arising from each of these elements and acknowledge how this made myself and potentially others feel. </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 xml:space="preserve">As discussed previously, it is my responsibility and utmost priority as a social work practitioner, to safeguard children and young people. With this in mind, it was important for me to share the difficulties in attachment raised by both 1 and the mental health practitioner, with all relevant professionals. In this case, ****’s therapeutic practitioner, 4’s allocated child mental health practitioner, LA SW and my line manager. When further information was shared by 4’s mental health practitioner, regarding struggles with the attachment for approximately one year, I felt it was important to initiate communication with the LA SW and arrange a multi-agency meeting for information to be shared accordingly. I feel that this was integral and </w:t>
      </w:r>
      <w:r w:rsidRPr="004E3C1C">
        <w:rPr>
          <w:sz w:val="24"/>
          <w:szCs w:val="24"/>
        </w:rPr>
        <w:lastRenderedPageBreak/>
        <w:t xml:space="preserve">invaluable in this situation, given that both </w:t>
      </w:r>
      <w:proofErr w:type="gramStart"/>
      <w:r w:rsidRPr="004E3C1C">
        <w:rPr>
          <w:sz w:val="24"/>
          <w:szCs w:val="24"/>
        </w:rPr>
        <w:t>myself</w:t>
      </w:r>
      <w:proofErr w:type="gramEnd"/>
      <w:r w:rsidRPr="004E3C1C">
        <w:rPr>
          <w:sz w:val="24"/>
          <w:szCs w:val="24"/>
        </w:rPr>
        <w:t xml:space="preserve"> and the LA SW were both newly allocated to this case and that further concerns were shared by education during this arranged meeting. There were stages during this intervention, whereby I felt as though initiating this c</w:t>
      </w:r>
      <w:r w:rsidR="00BB043D" w:rsidRPr="004E3C1C">
        <w:rPr>
          <w:sz w:val="24"/>
          <w:szCs w:val="24"/>
        </w:rPr>
        <w:t xml:space="preserve">ollaborative working, caused some challenges both with concerns being highlighted and a breakdown in the professional relationship between my foster parent and </w:t>
      </w:r>
      <w:proofErr w:type="gramStart"/>
      <w:r w:rsidR="00BB043D" w:rsidRPr="004E3C1C">
        <w:rPr>
          <w:sz w:val="24"/>
          <w:szCs w:val="24"/>
        </w:rPr>
        <w:t>I</w:t>
      </w:r>
      <w:proofErr w:type="gramEnd"/>
      <w:r w:rsidR="00BB043D" w:rsidRPr="004E3C1C">
        <w:rPr>
          <w:sz w:val="24"/>
          <w:szCs w:val="24"/>
        </w:rPr>
        <w:t xml:space="preserve">. This, at one stage </w:t>
      </w:r>
      <w:r w:rsidRPr="004E3C1C">
        <w:rPr>
          <w:sz w:val="24"/>
          <w:szCs w:val="24"/>
        </w:rPr>
        <w:t>left me questioning whether I made the right decision. However, through both formal and informal supervisions, I felt reassured and supported by my line manager in my decision making. My line manager was able to remind me of the importance of multi-agency working and highlighted that these concerns, may not have been identified should I not have taken this action. This allowed me to reflect in a healthy environment and recognise that whilst the outcome was unsubstantiated, that there were still practice concerns. I do recall feeling as though I did not have all relevant information, regarding the attachment between 1 and 4, and concerns which the Independent Safeguarding Reviewing Officer (I</w:t>
      </w:r>
      <w:r w:rsidR="00896A88" w:rsidRPr="004E3C1C">
        <w:rPr>
          <w:sz w:val="24"/>
          <w:szCs w:val="24"/>
        </w:rPr>
        <w:t>S</w:t>
      </w:r>
      <w:r w:rsidRPr="004E3C1C">
        <w:rPr>
          <w:sz w:val="24"/>
          <w:szCs w:val="24"/>
        </w:rPr>
        <w:t>RO) previously had. This had not been clearly recorded in previous files, nor discussed within the transfer summary completed by 1’s previous SSW. It also appeared that information had not been properly recorded by the previous LA SW, nor addressed with the foster parent along the way.</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 xml:space="preserve">I recall feeling </w:t>
      </w:r>
      <w:r w:rsidR="00BB043D" w:rsidRPr="004E3C1C">
        <w:rPr>
          <w:sz w:val="24"/>
          <w:szCs w:val="24"/>
        </w:rPr>
        <w:t>disappointed</w:t>
      </w:r>
      <w:r w:rsidRPr="004E3C1C">
        <w:rPr>
          <w:sz w:val="24"/>
          <w:szCs w:val="24"/>
        </w:rPr>
        <w:t xml:space="preserve"> that education had not shared nor reported their concerns prior to this meeting taking place, specifically given that the photographs of lunchboxes were taken approximately 6 months prior. Given the nature of these concerns, and education feeling that 4 in particular was consistently hungry in school, with limited food in his packed lunch and that 4’s siblings were thought to be favoured by the foster parent, the school had a responsibility to report this immediately after identifying their concerns. Referring back to the</w:t>
      </w:r>
      <w:r w:rsidR="00B05889" w:rsidRPr="004E3C1C">
        <w:rPr>
          <w:sz w:val="24"/>
          <w:szCs w:val="24"/>
        </w:rPr>
        <w:t xml:space="preserve"> 2003 </w:t>
      </w:r>
      <w:r w:rsidRPr="004E3C1C">
        <w:rPr>
          <w:sz w:val="24"/>
          <w:szCs w:val="24"/>
        </w:rPr>
        <w:t xml:space="preserve">inquiry into Victoria </w:t>
      </w:r>
      <w:proofErr w:type="spellStart"/>
      <w:r w:rsidRPr="004E3C1C">
        <w:rPr>
          <w:sz w:val="24"/>
          <w:szCs w:val="24"/>
        </w:rPr>
        <w:t>Climbie’s</w:t>
      </w:r>
      <w:proofErr w:type="spellEnd"/>
      <w:r w:rsidRPr="004E3C1C">
        <w:rPr>
          <w:sz w:val="24"/>
          <w:szCs w:val="24"/>
        </w:rPr>
        <w:t xml:space="preserve"> death, it was noted that school staff are perhaps best placed to recognise children’s welfare, due to having regular sight and contact with children on a daily basis. It also noted that school staff are able to identify and address any changes in a child’s appearance, behaviour, presentation and appetite, ultimately providing a degree of monitoring the child’s welfare and in effect can be the ‘eyes’ for other professionals working with the young p</w:t>
      </w:r>
      <w:r w:rsidR="00E92410" w:rsidRPr="004E3C1C">
        <w:rPr>
          <w:sz w:val="24"/>
          <w:szCs w:val="24"/>
        </w:rPr>
        <w:t>eople</w:t>
      </w:r>
      <w:r w:rsidR="00BB043D" w:rsidRPr="004E3C1C">
        <w:rPr>
          <w:sz w:val="24"/>
          <w:szCs w:val="24"/>
        </w:rPr>
        <w:t xml:space="preserve"> (Victoria </w:t>
      </w:r>
      <w:proofErr w:type="spellStart"/>
      <w:r w:rsidR="00BB043D" w:rsidRPr="004E3C1C">
        <w:rPr>
          <w:sz w:val="24"/>
          <w:szCs w:val="24"/>
        </w:rPr>
        <w:t>Climbie</w:t>
      </w:r>
      <w:proofErr w:type="spellEnd"/>
      <w:r w:rsidR="00BB043D" w:rsidRPr="004E3C1C">
        <w:rPr>
          <w:sz w:val="24"/>
          <w:szCs w:val="24"/>
        </w:rPr>
        <w:t>; Serious Case Review, 2003).</w:t>
      </w:r>
      <w:r w:rsidR="00E92410" w:rsidRPr="004E3C1C">
        <w:rPr>
          <w:sz w:val="24"/>
          <w:szCs w:val="24"/>
        </w:rPr>
        <w:t xml:space="preserve"> Whilst feeling disappointed</w:t>
      </w:r>
      <w:r w:rsidRPr="004E3C1C">
        <w:rPr>
          <w:sz w:val="24"/>
          <w:szCs w:val="24"/>
        </w:rPr>
        <w:t xml:space="preserve">, I felt confident during the part 5 meeting to appropriately challenge their decision making and safeguarding responsibility. </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 xml:space="preserve">Upon reflection, I feel disappointed that I did not share my view with the LA SW, when they made the decision for our agency to delay addressing these concerns with the foster parents, due to them being concerned of the repercussions for 4. I felt at the time, that if the LA had concerns about 4 being mistreated, action should have been taken as a result. Whilst I respected the LA’s decision, </w:t>
      </w:r>
      <w:r w:rsidR="00E92410" w:rsidRPr="004E3C1C">
        <w:rPr>
          <w:sz w:val="24"/>
          <w:szCs w:val="24"/>
        </w:rPr>
        <w:t xml:space="preserve">the situation was made more complex when </w:t>
      </w:r>
      <w:r w:rsidRPr="004E3C1C">
        <w:rPr>
          <w:sz w:val="24"/>
          <w:szCs w:val="24"/>
        </w:rPr>
        <w:t>the LA SW mistakenly sent an email to the foster parent, which included brief information of the allegation and potentially impacting a child protection investigation. This was difficult as the SSW, causing the foster parent to feel as though we as an agency were</w:t>
      </w:r>
      <w:r w:rsidR="00E92410" w:rsidRPr="004E3C1C">
        <w:rPr>
          <w:sz w:val="24"/>
          <w:szCs w:val="24"/>
        </w:rPr>
        <w:t xml:space="preserve"> not being transparent with her. This was escalated to my Manager and reported to the LASW’s Manager. </w:t>
      </w:r>
      <w:r w:rsidR="00292DC6" w:rsidRPr="004E3C1C">
        <w:rPr>
          <w:sz w:val="24"/>
          <w:szCs w:val="24"/>
        </w:rPr>
        <w:t>Following the allegation being shared with the foster parent, a referral was submitted by myself as the SSW to the AST (Allegations Support Team) created by ‘Foster Talks’ (Allegation Support for Foster Carers: Foster Talk, 2022), who were able to provide emotional support to the foster parents, through what was a difficult and worrying time for them.</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 xml:space="preserve">Furthermore, whilst I respect the LA’s decision to remove 3, 4 and 5 from the care of 1 and 2. I felt sad specifically surrounding the decision making relating to informing the children and the foster parents and regarding the transition. With this, I felt reassured that my concerns were shared with both the LA SW and their team manager throughout and that my concerns were based solely on whether the decisions being made were in the best interest of the children. I felt sad knowing that 3, 4 and 5 did not want to move from the care of 1 and 2, and knowing their background and number of moves prior and how this would impact them. </w:t>
      </w:r>
      <w:proofErr w:type="spellStart"/>
      <w:r w:rsidRPr="004E3C1C">
        <w:rPr>
          <w:sz w:val="24"/>
          <w:szCs w:val="24"/>
        </w:rPr>
        <w:t>Leich</w:t>
      </w:r>
      <w:proofErr w:type="spellEnd"/>
      <w:r w:rsidRPr="004E3C1C">
        <w:rPr>
          <w:sz w:val="24"/>
          <w:szCs w:val="24"/>
        </w:rPr>
        <w:t xml:space="preserve"> (2022) suggests that placement moves for looked after children can be a trigger for young people and contribute to feeling of loss. It is also suggested by Mitchell (2017), that the impact of loss on children and young people has a significant negative impact on psychological wellbeing and can impact a young person’s whole support network, including their educational achievement (Phillips 2007).</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 xml:space="preserve">Reflecting on Goddard (2004) power theory in social work, which suggests that those in powerful or senior positions have the capacity to regulate the actions and decision making of those with less power or who are inferior. Decision making within the LA had been contrasting, with the LA SW believing that following her visit to the children </w:t>
      </w:r>
      <w:r w:rsidRPr="004E3C1C">
        <w:rPr>
          <w:sz w:val="24"/>
          <w:szCs w:val="24"/>
        </w:rPr>
        <w:lastRenderedPageBreak/>
        <w:t>and my visit to the foster parent that 3, 4 and 5 could remain under the care of 1 and 2 with a robust support plan in place for the foster parents. However, at a later date changing their decision to remove the boys following discussion with their line manager. Furthermore, a power imbalance could be seen, in school staff and the I</w:t>
      </w:r>
      <w:r w:rsidR="00896A88" w:rsidRPr="004E3C1C">
        <w:rPr>
          <w:sz w:val="24"/>
          <w:szCs w:val="24"/>
        </w:rPr>
        <w:t>S</w:t>
      </w:r>
      <w:r w:rsidRPr="004E3C1C">
        <w:rPr>
          <w:sz w:val="24"/>
          <w:szCs w:val="24"/>
        </w:rPr>
        <w:t xml:space="preserve">RO as opposed to the foster parent, due to not being transparent with their concerns about the foster parent over a four year period when 3, 4 and 5 were in placement, due to fear of reactions and repercussions. </w:t>
      </w: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r w:rsidRPr="004E3C1C">
        <w:rPr>
          <w:sz w:val="24"/>
          <w:szCs w:val="24"/>
        </w:rPr>
        <w:t>In contrast to this, I have been able to recognise empowerment theory being implemented within my agency, whereby rather than seeking to control situations, or change views and opinions, my line manager has demonstrated encouragement to myself as a social work practitioner, to communicate openly and honestly in a safe space to establish different perspectives, providing empowerment, which in turn opens up opportunity to</w:t>
      </w:r>
      <w:r w:rsidR="00204877" w:rsidRPr="004E3C1C">
        <w:rPr>
          <w:sz w:val="24"/>
          <w:szCs w:val="24"/>
        </w:rPr>
        <w:t xml:space="preserve"> improve situations (Zimmerman, 1970</w:t>
      </w:r>
      <w:r w:rsidRPr="004E3C1C">
        <w:rPr>
          <w:sz w:val="24"/>
          <w:szCs w:val="24"/>
        </w:rPr>
        <w:t>). Together using empowerment theory, we were able to identify problems, define strengths, set goals, implement interventions and evaluate successes on a collaborative level.</w:t>
      </w:r>
    </w:p>
    <w:p w:rsidR="00F92A66" w:rsidRPr="004E3C1C" w:rsidRDefault="00F92A66" w:rsidP="00650182">
      <w:pPr>
        <w:spacing w:line="360" w:lineRule="auto"/>
        <w:jc w:val="both"/>
        <w:rPr>
          <w:color w:val="333333"/>
          <w:sz w:val="24"/>
          <w:szCs w:val="24"/>
          <w:shd w:val="clear" w:color="auto" w:fill="FCFCFC"/>
        </w:rPr>
      </w:pP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sz w:val="24"/>
          <w:szCs w:val="24"/>
        </w:rPr>
      </w:pPr>
    </w:p>
    <w:p w:rsidR="00F92A66" w:rsidRPr="004E3C1C" w:rsidRDefault="00F92A66" w:rsidP="00650182">
      <w:pPr>
        <w:spacing w:line="360" w:lineRule="auto"/>
        <w:jc w:val="both"/>
        <w:rPr>
          <w:b/>
          <w:sz w:val="24"/>
          <w:szCs w:val="24"/>
          <w:u w:val="single"/>
        </w:rPr>
      </w:pPr>
      <w:r w:rsidRPr="004E3C1C">
        <w:rPr>
          <w:b/>
          <w:sz w:val="24"/>
          <w:szCs w:val="24"/>
          <w:u w:val="single"/>
        </w:rPr>
        <w:t>Conclusion and action plan</w:t>
      </w:r>
    </w:p>
    <w:p w:rsidR="00F92A66" w:rsidRPr="004E3C1C" w:rsidRDefault="00F92A66" w:rsidP="00650182">
      <w:pPr>
        <w:spacing w:line="360" w:lineRule="auto"/>
        <w:jc w:val="both"/>
        <w:rPr>
          <w:sz w:val="24"/>
          <w:szCs w:val="24"/>
        </w:rPr>
      </w:pPr>
    </w:p>
    <w:p w:rsidR="00F92A66" w:rsidRPr="004E3C1C" w:rsidRDefault="00204877" w:rsidP="00650182">
      <w:pPr>
        <w:spacing w:line="360" w:lineRule="auto"/>
        <w:jc w:val="both"/>
        <w:rPr>
          <w:sz w:val="24"/>
          <w:szCs w:val="24"/>
        </w:rPr>
      </w:pPr>
      <w:r w:rsidRPr="004E3C1C">
        <w:rPr>
          <w:sz w:val="24"/>
          <w:szCs w:val="24"/>
        </w:rPr>
        <w:t>Gibbs (1970</w:t>
      </w:r>
      <w:r w:rsidR="00F92A66" w:rsidRPr="004E3C1C">
        <w:rPr>
          <w:sz w:val="24"/>
          <w:szCs w:val="24"/>
        </w:rPr>
        <w:t xml:space="preserve">) model of reflection and both supervision with my line manager and group supervisions with my colleagues, have allowed me to discuss and reflect on this social work intervention in great depth and in a safe and healthy environment. I feel that what I have learnt most, is the importance of working in collaboration with others and being able to confidently share information, to ultimately ensure the best outcomes for children. I feel that it is especially important to maintain healthy working relationships with other professionals and foster parents, by remaining open and transparent regarding any concerns myself or any other professionals have. I have learnt through this critical reflection, that it is important to take accountability for my own work and acknowledge and identify what has worked well within this social work intervention and what things could be done to improve or complement my practice moving forward. I have learnt that having a supportive line manager and registered manager is </w:t>
      </w:r>
      <w:r w:rsidR="00F92A66" w:rsidRPr="004E3C1C">
        <w:rPr>
          <w:sz w:val="24"/>
          <w:szCs w:val="24"/>
        </w:rPr>
        <w:lastRenderedPageBreak/>
        <w:t>invaluable in social work, and is a key element to help professionals thrive in their work.</w:t>
      </w:r>
    </w:p>
    <w:p w:rsidR="00F92A66" w:rsidRPr="004E3C1C" w:rsidRDefault="00F92A66" w:rsidP="00650182">
      <w:pPr>
        <w:spacing w:line="360" w:lineRule="auto"/>
        <w:jc w:val="both"/>
        <w:rPr>
          <w:sz w:val="24"/>
          <w:szCs w:val="24"/>
        </w:rPr>
      </w:pPr>
    </w:p>
    <w:p w:rsidR="00F92A66" w:rsidRPr="00650182" w:rsidRDefault="00DC2505" w:rsidP="00650182">
      <w:pPr>
        <w:spacing w:line="360" w:lineRule="auto"/>
        <w:jc w:val="both"/>
        <w:rPr>
          <w:sz w:val="24"/>
          <w:szCs w:val="24"/>
        </w:rPr>
      </w:pPr>
      <w:r w:rsidRPr="004E3C1C">
        <w:rPr>
          <w:sz w:val="24"/>
          <w:szCs w:val="24"/>
        </w:rPr>
        <w:t>Word Count: 4,222</w:t>
      </w:r>
    </w:p>
    <w:p w:rsidR="00F92A66" w:rsidRDefault="00F92A66" w:rsidP="00F92A66">
      <w:pPr>
        <w:jc w:val="both"/>
        <w:rPr>
          <w:sz w:val="24"/>
          <w:szCs w:val="24"/>
        </w:rPr>
      </w:pPr>
    </w:p>
    <w:p w:rsidR="00F92A66" w:rsidRPr="00446166" w:rsidRDefault="00F92A66" w:rsidP="00F92A66">
      <w:pPr>
        <w:jc w:val="both"/>
        <w:rPr>
          <w:b/>
          <w:sz w:val="24"/>
          <w:szCs w:val="24"/>
          <w:u w:val="single"/>
        </w:rPr>
      </w:pPr>
      <w:r w:rsidRPr="00446166">
        <w:rPr>
          <w:b/>
          <w:sz w:val="24"/>
          <w:szCs w:val="24"/>
          <w:u w:val="single"/>
        </w:rPr>
        <w:t>Reference List</w:t>
      </w:r>
    </w:p>
    <w:p w:rsidR="00F92A66" w:rsidRDefault="00F92A66" w:rsidP="00F92A66">
      <w:pPr>
        <w:jc w:val="both"/>
        <w:rPr>
          <w:b/>
          <w:sz w:val="24"/>
          <w:szCs w:val="24"/>
          <w:u w:val="single"/>
        </w:rPr>
      </w:pPr>
    </w:p>
    <w:p w:rsidR="00B05889" w:rsidRPr="00B05889" w:rsidRDefault="00B05889" w:rsidP="00B0588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05889">
        <w:rPr>
          <w:rFonts w:ascii="Times New Roman" w:hAnsi="Times New Roman" w:cs="Times New Roman"/>
          <w:color w:val="auto"/>
          <w:sz w:val="24"/>
          <w:szCs w:val="24"/>
        </w:rPr>
        <w:t xml:space="preserve">Inquiry, V.C. (2003) </w:t>
      </w:r>
      <w:r w:rsidRPr="00B05889">
        <w:rPr>
          <w:rFonts w:ascii="Times New Roman" w:hAnsi="Times New Roman" w:cs="Times New Roman"/>
          <w:i/>
          <w:iCs/>
          <w:color w:val="auto"/>
          <w:sz w:val="24"/>
          <w:szCs w:val="24"/>
        </w:rPr>
        <w:t xml:space="preserve">The Victoria </w:t>
      </w:r>
      <w:proofErr w:type="spellStart"/>
      <w:r w:rsidRPr="00B05889">
        <w:rPr>
          <w:rFonts w:ascii="Times New Roman" w:hAnsi="Times New Roman" w:cs="Times New Roman"/>
          <w:i/>
          <w:iCs/>
          <w:color w:val="auto"/>
          <w:sz w:val="24"/>
          <w:szCs w:val="24"/>
        </w:rPr>
        <w:t>Climbie</w:t>
      </w:r>
      <w:proofErr w:type="spellEnd"/>
      <w:r w:rsidRPr="00B05889">
        <w:rPr>
          <w:rFonts w:ascii="Times New Roman" w:hAnsi="Times New Roman" w:cs="Times New Roman"/>
          <w:i/>
          <w:iCs/>
          <w:color w:val="auto"/>
          <w:sz w:val="24"/>
          <w:szCs w:val="24"/>
        </w:rPr>
        <w:t xml:space="preserve"> Inquiry: Report of an inquiry by lord laming</w:t>
      </w:r>
      <w:r w:rsidRPr="00B05889">
        <w:rPr>
          <w:rFonts w:ascii="Times New Roman" w:hAnsi="Times New Roman" w:cs="Times New Roman"/>
          <w:color w:val="auto"/>
          <w:sz w:val="24"/>
          <w:szCs w:val="24"/>
        </w:rPr>
        <w:t xml:space="preserve">, </w:t>
      </w:r>
      <w:r w:rsidRPr="00B05889">
        <w:rPr>
          <w:rFonts w:ascii="Times New Roman" w:hAnsi="Times New Roman" w:cs="Times New Roman"/>
          <w:i/>
          <w:iCs/>
          <w:color w:val="auto"/>
          <w:sz w:val="24"/>
          <w:szCs w:val="24"/>
        </w:rPr>
        <w:t>GOV.UK</w:t>
      </w:r>
      <w:r w:rsidRPr="00B05889">
        <w:rPr>
          <w:rFonts w:ascii="Times New Roman" w:hAnsi="Times New Roman" w:cs="Times New Roman"/>
          <w:color w:val="auto"/>
          <w:sz w:val="24"/>
          <w:szCs w:val="24"/>
        </w:rPr>
        <w:t xml:space="preserve">. GOV.UK. Available at: https://www.gov.uk/government/publications/the-victoria-climbie-inquiry-report-of-an-inquiry-by-lord-laming (Accessed: March 13, 2023). </w:t>
      </w:r>
    </w:p>
    <w:p w:rsidR="00B05889" w:rsidRPr="00B05889" w:rsidRDefault="00B05889" w:rsidP="00B0588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05889">
        <w:rPr>
          <w:rFonts w:ascii="Times New Roman" w:hAnsi="Times New Roman" w:cs="Times New Roman"/>
          <w:i/>
          <w:iCs/>
          <w:color w:val="auto"/>
          <w:sz w:val="24"/>
          <w:szCs w:val="24"/>
        </w:rPr>
        <w:t>Peter Connelly Serious Case Review reports published</w:t>
      </w:r>
      <w:r w:rsidRPr="00B05889">
        <w:rPr>
          <w:rFonts w:ascii="Times New Roman" w:hAnsi="Times New Roman" w:cs="Times New Roman"/>
          <w:color w:val="auto"/>
          <w:sz w:val="24"/>
          <w:szCs w:val="24"/>
        </w:rPr>
        <w:t xml:space="preserve"> (2010) </w:t>
      </w:r>
      <w:r w:rsidRPr="00B05889">
        <w:rPr>
          <w:rFonts w:ascii="Times New Roman" w:hAnsi="Times New Roman" w:cs="Times New Roman"/>
          <w:i/>
          <w:iCs/>
          <w:color w:val="auto"/>
          <w:sz w:val="24"/>
          <w:szCs w:val="24"/>
        </w:rPr>
        <w:t>GOV.UK</w:t>
      </w:r>
      <w:r w:rsidRPr="00B05889">
        <w:rPr>
          <w:rFonts w:ascii="Times New Roman" w:hAnsi="Times New Roman" w:cs="Times New Roman"/>
          <w:color w:val="auto"/>
          <w:sz w:val="24"/>
          <w:szCs w:val="24"/>
        </w:rPr>
        <w:t xml:space="preserve">. Available at: https://www.gov.uk/government/news/peter-connelly-serious-case-review-reports-published (Accessed: March 13, 2023). </w:t>
      </w:r>
    </w:p>
    <w:p w:rsidR="00B05889" w:rsidRPr="00B05889" w:rsidRDefault="00B05889" w:rsidP="00B0588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05889">
        <w:rPr>
          <w:rFonts w:ascii="Times New Roman" w:hAnsi="Times New Roman" w:cs="Times New Roman"/>
          <w:i/>
          <w:iCs/>
          <w:color w:val="auto"/>
          <w:sz w:val="24"/>
          <w:szCs w:val="24"/>
        </w:rPr>
        <w:t>Guide to the UK General Data Protection Regulation (UK GDPR)</w:t>
      </w:r>
      <w:r w:rsidRPr="00B05889">
        <w:rPr>
          <w:rFonts w:ascii="Times New Roman" w:hAnsi="Times New Roman" w:cs="Times New Roman"/>
          <w:color w:val="auto"/>
          <w:sz w:val="24"/>
          <w:szCs w:val="24"/>
        </w:rPr>
        <w:t xml:space="preserve"> (2018) </w:t>
      </w:r>
      <w:r w:rsidRPr="00B05889">
        <w:rPr>
          <w:rFonts w:ascii="Times New Roman" w:hAnsi="Times New Roman" w:cs="Times New Roman"/>
          <w:i/>
          <w:iCs/>
          <w:color w:val="auto"/>
          <w:sz w:val="24"/>
          <w:szCs w:val="24"/>
        </w:rPr>
        <w:t>ICO</w:t>
      </w:r>
      <w:r w:rsidRPr="00B05889">
        <w:rPr>
          <w:rFonts w:ascii="Times New Roman" w:hAnsi="Times New Roman" w:cs="Times New Roman"/>
          <w:color w:val="auto"/>
          <w:sz w:val="24"/>
          <w:szCs w:val="24"/>
        </w:rPr>
        <w:t xml:space="preserve">. Available at: https://ico.org.uk/for-organisations/guide-to-data-protection/guide-to-the-general-data-protection-regulation-gdpr/ (Accessed: March 13, 2023). </w:t>
      </w:r>
    </w:p>
    <w:p w:rsidR="0096671E" w:rsidRDefault="0096671E" w:rsidP="0096671E">
      <w:pPr>
        <w:pStyle w:val="NormalWeb"/>
      </w:pPr>
      <w:r>
        <w:t xml:space="preserve">Participation, E. (1989) </w:t>
      </w:r>
      <w:r>
        <w:rPr>
          <w:i/>
          <w:iCs/>
        </w:rPr>
        <w:t>Children act 1989</w:t>
      </w:r>
      <w:r>
        <w:t xml:space="preserve">, </w:t>
      </w:r>
      <w:r>
        <w:rPr>
          <w:i/>
          <w:iCs/>
        </w:rPr>
        <w:t>Legislation.gov.uk</w:t>
      </w:r>
      <w:r>
        <w:t xml:space="preserve">. Statute Law Database. Available at: https://www.legislation.gov.uk/ukpga/1989/41/contents (Accessed: March 13, 2023). </w:t>
      </w:r>
    </w:p>
    <w:p w:rsidR="0096671E" w:rsidRDefault="0096671E" w:rsidP="0096671E">
      <w:pPr>
        <w:pStyle w:val="NormalWeb"/>
      </w:pPr>
      <w:r>
        <w:t xml:space="preserve">Participation, E. (2019) </w:t>
      </w:r>
      <w:r>
        <w:rPr>
          <w:i/>
          <w:iCs/>
        </w:rPr>
        <w:t>Social Services and well-being (wales) act 2014</w:t>
      </w:r>
      <w:r>
        <w:t xml:space="preserve">, </w:t>
      </w:r>
      <w:r>
        <w:rPr>
          <w:i/>
          <w:iCs/>
        </w:rPr>
        <w:t>Legislation.gov.uk</w:t>
      </w:r>
      <w:r>
        <w:t xml:space="preserve">. Statute Law Database. Available at: https://www.legislation.gov.uk/anaw/2014/4/contents (Accessed: March 13, 2023). </w:t>
      </w:r>
    </w:p>
    <w:p w:rsidR="00A2345D" w:rsidRPr="00A2345D" w:rsidRDefault="00A2345D" w:rsidP="00A2345D">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A2345D">
        <w:rPr>
          <w:rFonts w:ascii="Times New Roman" w:hAnsi="Times New Roman" w:cs="Times New Roman"/>
          <w:i/>
          <w:iCs/>
          <w:color w:val="auto"/>
          <w:sz w:val="24"/>
          <w:szCs w:val="24"/>
        </w:rPr>
        <w:t xml:space="preserve">Code of practice for inspection </w:t>
      </w:r>
      <w:proofErr w:type="spellStart"/>
      <w:r w:rsidRPr="00A2345D">
        <w:rPr>
          <w:rFonts w:ascii="Times New Roman" w:hAnsi="Times New Roman" w:cs="Times New Roman"/>
          <w:i/>
          <w:iCs/>
          <w:color w:val="auto"/>
          <w:sz w:val="24"/>
          <w:szCs w:val="24"/>
        </w:rPr>
        <w:t>risca</w:t>
      </w:r>
      <w:proofErr w:type="spellEnd"/>
      <w:r w:rsidRPr="00A2345D">
        <w:rPr>
          <w:rFonts w:ascii="Times New Roman" w:hAnsi="Times New Roman" w:cs="Times New Roman"/>
          <w:i/>
          <w:iCs/>
          <w:color w:val="auto"/>
          <w:sz w:val="24"/>
          <w:szCs w:val="24"/>
        </w:rPr>
        <w:t xml:space="preserve"> - care inspectorate wales</w:t>
      </w:r>
      <w:r w:rsidRPr="00A2345D">
        <w:rPr>
          <w:rFonts w:ascii="Times New Roman" w:hAnsi="Times New Roman" w:cs="Times New Roman"/>
          <w:color w:val="auto"/>
          <w:sz w:val="24"/>
          <w:szCs w:val="24"/>
        </w:rPr>
        <w:t xml:space="preserve"> (2016). Available at: https://www.careinspectorate.wales/sites/default/files/2021-01/210122-code-of-practice-for-inspection-RISCA-en.pdf (Accessed: March 13, 2023). </w:t>
      </w:r>
    </w:p>
    <w:p w:rsidR="0096671E" w:rsidRDefault="0096671E" w:rsidP="0096671E">
      <w:pPr>
        <w:pStyle w:val="NormalWeb"/>
      </w:pPr>
      <w:r>
        <w:rPr>
          <w:i/>
          <w:iCs/>
        </w:rPr>
        <w:t>The Wales safeguarding procedures for children and adults at risk of abuse and neglect</w:t>
      </w:r>
      <w:r>
        <w:t xml:space="preserve"> (2019) </w:t>
      </w:r>
      <w:r>
        <w:rPr>
          <w:i/>
          <w:iCs/>
        </w:rPr>
        <w:t>Safeguarding Wales</w:t>
      </w:r>
      <w:r>
        <w:t xml:space="preserve">. Available at: https://safeguarding.wales/en/int-i/int-i-i1/i1-p1/#:~:text=The%20Wales%20Safeguarding%20Procedures%20seek%20to%3A%201%20Ensure,adult%E2%80%99s%20care%2C%20support%20and%20protection%20needs%3B%20More%20items (Accessed: March 13, 2023). </w:t>
      </w:r>
    </w:p>
    <w:p w:rsidR="00737D0C" w:rsidRPr="00737D0C" w:rsidRDefault="00737D0C" w:rsidP="00737D0C">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737D0C">
        <w:rPr>
          <w:rFonts w:ascii="Times New Roman" w:hAnsi="Times New Roman" w:cs="Times New Roman"/>
          <w:i/>
          <w:iCs/>
          <w:color w:val="auto"/>
          <w:sz w:val="24"/>
          <w:szCs w:val="24"/>
        </w:rPr>
        <w:t>The fostering panels (establishment and functions) (wales) regulations 2018</w:t>
      </w:r>
      <w:r w:rsidRPr="00737D0C">
        <w:rPr>
          <w:rFonts w:ascii="Times New Roman" w:hAnsi="Times New Roman" w:cs="Times New Roman"/>
          <w:color w:val="auto"/>
          <w:sz w:val="24"/>
          <w:szCs w:val="24"/>
        </w:rPr>
        <w:t xml:space="preserve"> (2018) </w:t>
      </w:r>
      <w:r w:rsidRPr="00737D0C">
        <w:rPr>
          <w:rFonts w:ascii="Times New Roman" w:hAnsi="Times New Roman" w:cs="Times New Roman"/>
          <w:i/>
          <w:iCs/>
          <w:color w:val="auto"/>
          <w:sz w:val="24"/>
          <w:szCs w:val="24"/>
        </w:rPr>
        <w:t>Legislation.gov.uk</w:t>
      </w:r>
      <w:r w:rsidRPr="00737D0C">
        <w:rPr>
          <w:rFonts w:ascii="Times New Roman" w:hAnsi="Times New Roman" w:cs="Times New Roman"/>
          <w:color w:val="auto"/>
          <w:sz w:val="24"/>
          <w:szCs w:val="24"/>
        </w:rPr>
        <w:t xml:space="preserve">. Queen's Printer of Acts of Parliament. Available at: https://www.legislation.gov.uk/wsi/2018/1333/made (Accessed: March 13, 2023). </w:t>
      </w:r>
    </w:p>
    <w:p w:rsidR="0096671E" w:rsidRPr="0096671E" w:rsidRDefault="0096671E" w:rsidP="0096671E">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96671E">
        <w:rPr>
          <w:rFonts w:ascii="Times New Roman" w:hAnsi="Times New Roman" w:cs="Times New Roman"/>
          <w:color w:val="auto"/>
          <w:sz w:val="24"/>
          <w:szCs w:val="24"/>
        </w:rPr>
        <w:t xml:space="preserve">Education, </w:t>
      </w:r>
      <w:proofErr w:type="spellStart"/>
      <w:r w:rsidRPr="0096671E">
        <w:rPr>
          <w:rFonts w:ascii="Times New Roman" w:hAnsi="Times New Roman" w:cs="Times New Roman"/>
          <w:color w:val="auto"/>
          <w:sz w:val="24"/>
          <w:szCs w:val="24"/>
        </w:rPr>
        <w:t>D.for</w:t>
      </w:r>
      <w:proofErr w:type="spellEnd"/>
      <w:r w:rsidRPr="0096671E">
        <w:rPr>
          <w:rFonts w:ascii="Times New Roman" w:hAnsi="Times New Roman" w:cs="Times New Roman"/>
          <w:color w:val="auto"/>
          <w:sz w:val="24"/>
          <w:szCs w:val="24"/>
        </w:rPr>
        <w:t xml:space="preserve"> (2022) </w:t>
      </w:r>
      <w:r w:rsidRPr="0096671E">
        <w:rPr>
          <w:rFonts w:ascii="Times New Roman" w:hAnsi="Times New Roman" w:cs="Times New Roman"/>
          <w:i/>
          <w:iCs/>
          <w:color w:val="auto"/>
          <w:sz w:val="24"/>
          <w:szCs w:val="24"/>
        </w:rPr>
        <w:t>Working together to safeguard children</w:t>
      </w:r>
      <w:r w:rsidRPr="0096671E">
        <w:rPr>
          <w:rFonts w:ascii="Times New Roman" w:hAnsi="Times New Roman" w:cs="Times New Roman"/>
          <w:color w:val="auto"/>
          <w:sz w:val="24"/>
          <w:szCs w:val="24"/>
        </w:rPr>
        <w:t xml:space="preserve">, </w:t>
      </w:r>
      <w:r w:rsidRPr="0096671E">
        <w:rPr>
          <w:rFonts w:ascii="Times New Roman" w:hAnsi="Times New Roman" w:cs="Times New Roman"/>
          <w:i/>
          <w:iCs/>
          <w:color w:val="auto"/>
          <w:sz w:val="24"/>
          <w:szCs w:val="24"/>
        </w:rPr>
        <w:t>GOV.UK</w:t>
      </w:r>
      <w:r w:rsidRPr="0096671E">
        <w:rPr>
          <w:rFonts w:ascii="Times New Roman" w:hAnsi="Times New Roman" w:cs="Times New Roman"/>
          <w:color w:val="auto"/>
          <w:sz w:val="24"/>
          <w:szCs w:val="24"/>
        </w:rPr>
        <w:t xml:space="preserve">. GOV.UK. Available at: https://www.gov.uk/government/publications/working-together-to-safeguard-children--2 (Accessed: March 13, 2023). </w:t>
      </w:r>
    </w:p>
    <w:p w:rsidR="0096671E" w:rsidRPr="0096671E" w:rsidRDefault="0096671E" w:rsidP="0096671E">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96671E">
        <w:rPr>
          <w:rFonts w:ascii="Times New Roman" w:hAnsi="Times New Roman" w:cs="Times New Roman"/>
          <w:color w:val="auto"/>
          <w:sz w:val="24"/>
          <w:szCs w:val="24"/>
        </w:rPr>
        <w:t xml:space="preserve">Education, </w:t>
      </w:r>
      <w:proofErr w:type="spellStart"/>
      <w:r w:rsidRPr="0096671E">
        <w:rPr>
          <w:rFonts w:ascii="Times New Roman" w:hAnsi="Times New Roman" w:cs="Times New Roman"/>
          <w:color w:val="auto"/>
          <w:sz w:val="24"/>
          <w:szCs w:val="24"/>
        </w:rPr>
        <w:t>D.for</w:t>
      </w:r>
      <w:proofErr w:type="spellEnd"/>
      <w:r w:rsidRPr="0096671E">
        <w:rPr>
          <w:rFonts w:ascii="Times New Roman" w:hAnsi="Times New Roman" w:cs="Times New Roman"/>
          <w:color w:val="auto"/>
          <w:sz w:val="24"/>
          <w:szCs w:val="24"/>
        </w:rPr>
        <w:t xml:space="preserve"> (2010) </w:t>
      </w:r>
      <w:r w:rsidRPr="0096671E">
        <w:rPr>
          <w:rFonts w:ascii="Times New Roman" w:hAnsi="Times New Roman" w:cs="Times New Roman"/>
          <w:i/>
          <w:iCs/>
          <w:color w:val="auto"/>
          <w:sz w:val="24"/>
          <w:szCs w:val="24"/>
        </w:rPr>
        <w:t>United Nations Convention on the rights of the child (UNCRC): How legislation underpins implementation in England</w:t>
      </w:r>
      <w:r w:rsidRPr="0096671E">
        <w:rPr>
          <w:rFonts w:ascii="Times New Roman" w:hAnsi="Times New Roman" w:cs="Times New Roman"/>
          <w:color w:val="auto"/>
          <w:sz w:val="24"/>
          <w:szCs w:val="24"/>
        </w:rPr>
        <w:t xml:space="preserve">, </w:t>
      </w:r>
      <w:r w:rsidRPr="0096671E">
        <w:rPr>
          <w:rFonts w:ascii="Times New Roman" w:hAnsi="Times New Roman" w:cs="Times New Roman"/>
          <w:i/>
          <w:iCs/>
          <w:color w:val="auto"/>
          <w:sz w:val="24"/>
          <w:szCs w:val="24"/>
        </w:rPr>
        <w:t>GOV.UK</w:t>
      </w:r>
      <w:r w:rsidRPr="0096671E">
        <w:rPr>
          <w:rFonts w:ascii="Times New Roman" w:hAnsi="Times New Roman" w:cs="Times New Roman"/>
          <w:color w:val="auto"/>
          <w:sz w:val="24"/>
          <w:szCs w:val="24"/>
        </w:rPr>
        <w:t xml:space="preserve">. GOV.UK. Available at: </w:t>
      </w:r>
      <w:r w:rsidRPr="0096671E">
        <w:rPr>
          <w:rFonts w:ascii="Times New Roman" w:hAnsi="Times New Roman" w:cs="Times New Roman"/>
          <w:color w:val="auto"/>
          <w:sz w:val="24"/>
          <w:szCs w:val="24"/>
        </w:rPr>
        <w:lastRenderedPageBreak/>
        <w:t xml:space="preserve">https://www.gov.uk/government/publications/united-nations-convention-on-the-rights-of-the-child-uncrc-how-legislation-underpins-implementation-in-england (Accessed: March 13, 2023). </w:t>
      </w:r>
    </w:p>
    <w:p w:rsidR="0096671E" w:rsidRPr="0096671E" w:rsidRDefault="0096671E" w:rsidP="0096671E">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96671E">
        <w:rPr>
          <w:rFonts w:ascii="Times New Roman" w:hAnsi="Times New Roman" w:cs="Times New Roman"/>
          <w:color w:val="auto"/>
          <w:sz w:val="24"/>
          <w:szCs w:val="24"/>
        </w:rPr>
        <w:t>Echr</w:t>
      </w:r>
      <w:proofErr w:type="spellEnd"/>
      <w:r w:rsidRPr="0096671E">
        <w:rPr>
          <w:rFonts w:ascii="Times New Roman" w:hAnsi="Times New Roman" w:cs="Times New Roman"/>
          <w:color w:val="auto"/>
          <w:sz w:val="24"/>
          <w:szCs w:val="24"/>
        </w:rPr>
        <w:t xml:space="preserve"> (1953) </w:t>
      </w:r>
      <w:r w:rsidRPr="0096671E">
        <w:rPr>
          <w:rFonts w:ascii="Times New Roman" w:hAnsi="Times New Roman" w:cs="Times New Roman"/>
          <w:i/>
          <w:iCs/>
          <w:color w:val="auto"/>
          <w:sz w:val="24"/>
          <w:szCs w:val="24"/>
        </w:rPr>
        <w:t>European Convention on Human Rights</w:t>
      </w:r>
      <w:r w:rsidRPr="0096671E">
        <w:rPr>
          <w:rFonts w:ascii="Times New Roman" w:hAnsi="Times New Roman" w:cs="Times New Roman"/>
          <w:color w:val="auto"/>
          <w:sz w:val="24"/>
          <w:szCs w:val="24"/>
        </w:rPr>
        <w:t xml:space="preserve">, </w:t>
      </w:r>
      <w:r w:rsidRPr="0096671E">
        <w:rPr>
          <w:rFonts w:ascii="Times New Roman" w:hAnsi="Times New Roman" w:cs="Times New Roman"/>
          <w:i/>
          <w:iCs/>
          <w:color w:val="auto"/>
          <w:sz w:val="24"/>
          <w:szCs w:val="24"/>
        </w:rPr>
        <w:t>European Convention on Human Rights - Official texts, Convention and Protocols</w:t>
      </w:r>
      <w:r w:rsidRPr="0096671E">
        <w:rPr>
          <w:rFonts w:ascii="Times New Roman" w:hAnsi="Times New Roman" w:cs="Times New Roman"/>
          <w:color w:val="auto"/>
          <w:sz w:val="24"/>
          <w:szCs w:val="24"/>
        </w:rPr>
        <w:t xml:space="preserve">. Available at: https://www.echr.coe.int/Pages/home.aspx?p=basictexts&amp;c= (Accessed: March 13, 2023). </w:t>
      </w:r>
    </w:p>
    <w:p w:rsidR="00F92A66" w:rsidRPr="00E75ABB" w:rsidRDefault="00F92A66" w:rsidP="00F92A66">
      <w:pPr>
        <w:jc w:val="both"/>
        <w:rPr>
          <w:b/>
          <w:sz w:val="24"/>
          <w:szCs w:val="24"/>
          <w:u w:val="single"/>
        </w:rPr>
      </w:pPr>
    </w:p>
    <w:p w:rsidR="0096671E" w:rsidRDefault="0096671E" w:rsidP="0096671E">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96671E">
        <w:rPr>
          <w:rFonts w:ascii="Times New Roman" w:hAnsi="Times New Roman" w:cs="Times New Roman"/>
          <w:i/>
          <w:iCs/>
          <w:color w:val="auto"/>
          <w:sz w:val="24"/>
          <w:szCs w:val="24"/>
        </w:rPr>
        <w:t>The Fostering Services (wales) regulations 2003</w:t>
      </w:r>
      <w:r w:rsidRPr="0096671E">
        <w:rPr>
          <w:rFonts w:ascii="Times New Roman" w:hAnsi="Times New Roman" w:cs="Times New Roman"/>
          <w:color w:val="auto"/>
          <w:sz w:val="24"/>
          <w:szCs w:val="24"/>
        </w:rPr>
        <w:t xml:space="preserve"> (2003) </w:t>
      </w:r>
      <w:r w:rsidRPr="0096671E">
        <w:rPr>
          <w:rFonts w:ascii="Times New Roman" w:hAnsi="Times New Roman" w:cs="Times New Roman"/>
          <w:i/>
          <w:iCs/>
          <w:color w:val="auto"/>
          <w:sz w:val="24"/>
          <w:szCs w:val="24"/>
        </w:rPr>
        <w:t>Legislation.gov.uk</w:t>
      </w:r>
      <w:r w:rsidRPr="0096671E">
        <w:rPr>
          <w:rFonts w:ascii="Times New Roman" w:hAnsi="Times New Roman" w:cs="Times New Roman"/>
          <w:color w:val="auto"/>
          <w:sz w:val="24"/>
          <w:szCs w:val="24"/>
        </w:rPr>
        <w:t xml:space="preserve">. Queen's Printer of Acts of Parliament. Available at: https://www.legislation.gov.uk/wsi/2003/237/contents/made (Accessed: March 13, 2023). </w:t>
      </w:r>
    </w:p>
    <w:p w:rsidR="0096671E" w:rsidRDefault="0096671E" w:rsidP="0096671E">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rsidR="00204877" w:rsidRDefault="00204877" w:rsidP="00204877">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204877">
        <w:rPr>
          <w:rFonts w:ascii="Times New Roman" w:hAnsi="Times New Roman" w:cs="Times New Roman"/>
          <w:i/>
          <w:iCs/>
          <w:color w:val="auto"/>
          <w:sz w:val="24"/>
          <w:szCs w:val="24"/>
        </w:rPr>
        <w:t>Gibbs' reflective cycle</w:t>
      </w:r>
      <w:r w:rsidRPr="00204877">
        <w:rPr>
          <w:rFonts w:ascii="Times New Roman" w:hAnsi="Times New Roman" w:cs="Times New Roman"/>
          <w:color w:val="auto"/>
          <w:sz w:val="24"/>
          <w:szCs w:val="24"/>
        </w:rPr>
        <w:t xml:space="preserve"> (1970) </w:t>
      </w:r>
      <w:r w:rsidRPr="00204877">
        <w:rPr>
          <w:rFonts w:ascii="Times New Roman" w:hAnsi="Times New Roman" w:cs="Times New Roman"/>
          <w:i/>
          <w:iCs/>
          <w:color w:val="auto"/>
          <w:sz w:val="24"/>
          <w:szCs w:val="24"/>
        </w:rPr>
        <w:t>The University of Edinburgh</w:t>
      </w:r>
      <w:r w:rsidRPr="00204877">
        <w:rPr>
          <w:rFonts w:ascii="Times New Roman" w:hAnsi="Times New Roman" w:cs="Times New Roman"/>
          <w:color w:val="auto"/>
          <w:sz w:val="24"/>
          <w:szCs w:val="24"/>
        </w:rPr>
        <w:t xml:space="preserve">. Available at: https://www.ed.ac.uk/reflection/reflectors-toolkit/reflecting-on-experience/gibbs-reflective-cycle (Accessed: March 13, 2023). </w:t>
      </w:r>
    </w:p>
    <w:p w:rsidR="0020222F" w:rsidRPr="0020222F" w:rsidRDefault="0020222F" w:rsidP="0020222F">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20222F">
        <w:rPr>
          <w:rFonts w:ascii="Times New Roman" w:hAnsi="Times New Roman" w:cs="Times New Roman"/>
          <w:color w:val="auto"/>
          <w:sz w:val="24"/>
          <w:szCs w:val="24"/>
        </w:rPr>
        <w:t xml:space="preserve">Zimmerman, M.A. (1970) </w:t>
      </w:r>
      <w:r w:rsidRPr="0020222F">
        <w:rPr>
          <w:rFonts w:ascii="Times New Roman" w:hAnsi="Times New Roman" w:cs="Times New Roman"/>
          <w:i/>
          <w:iCs/>
          <w:color w:val="auto"/>
          <w:sz w:val="24"/>
          <w:szCs w:val="24"/>
        </w:rPr>
        <w:t>Empowerment theory</w:t>
      </w:r>
      <w:r w:rsidRPr="0020222F">
        <w:rPr>
          <w:rFonts w:ascii="Times New Roman" w:hAnsi="Times New Roman" w:cs="Times New Roman"/>
          <w:color w:val="auto"/>
          <w:sz w:val="24"/>
          <w:szCs w:val="24"/>
        </w:rPr>
        <w:t xml:space="preserve">, </w:t>
      </w:r>
      <w:proofErr w:type="spellStart"/>
      <w:r w:rsidRPr="0020222F">
        <w:rPr>
          <w:rFonts w:ascii="Times New Roman" w:hAnsi="Times New Roman" w:cs="Times New Roman"/>
          <w:i/>
          <w:iCs/>
          <w:color w:val="auto"/>
          <w:sz w:val="24"/>
          <w:szCs w:val="24"/>
        </w:rPr>
        <w:t>SpringerLink</w:t>
      </w:r>
      <w:proofErr w:type="spellEnd"/>
      <w:r w:rsidRPr="0020222F">
        <w:rPr>
          <w:rFonts w:ascii="Times New Roman" w:hAnsi="Times New Roman" w:cs="Times New Roman"/>
          <w:color w:val="auto"/>
          <w:sz w:val="24"/>
          <w:szCs w:val="24"/>
        </w:rPr>
        <w:t xml:space="preserve">. Springer US. Available at: https://link.springer.com/chapter/10.1007/978-1-4615-4193-6_2 (Accessed: March 13, 2023). </w:t>
      </w:r>
    </w:p>
    <w:p w:rsidR="0020222F" w:rsidRPr="0020222F" w:rsidRDefault="0020222F" w:rsidP="0020222F">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20222F">
        <w:rPr>
          <w:rFonts w:ascii="Times New Roman" w:hAnsi="Times New Roman" w:cs="Times New Roman"/>
          <w:color w:val="auto"/>
          <w:sz w:val="24"/>
          <w:szCs w:val="24"/>
        </w:rPr>
        <w:t xml:space="preserve">Goddard, J. (2004) </w:t>
      </w:r>
      <w:r w:rsidRPr="0020222F">
        <w:rPr>
          <w:rFonts w:ascii="Times New Roman" w:hAnsi="Times New Roman" w:cs="Times New Roman"/>
          <w:i/>
          <w:iCs/>
          <w:color w:val="auto"/>
          <w:sz w:val="24"/>
          <w:szCs w:val="24"/>
        </w:rPr>
        <w:t>Book review: Social theory, power and practice - Jim Goddard, 2004</w:t>
      </w:r>
      <w:r w:rsidRPr="0020222F">
        <w:rPr>
          <w:rFonts w:ascii="Times New Roman" w:hAnsi="Times New Roman" w:cs="Times New Roman"/>
          <w:color w:val="auto"/>
          <w:sz w:val="24"/>
          <w:szCs w:val="24"/>
        </w:rPr>
        <w:t xml:space="preserve">. Available at: https://journals.sagepub.com/doi/abs/10.1177/146801730400400310 (Accessed: March 13, 2023). </w:t>
      </w:r>
    </w:p>
    <w:p w:rsidR="0020222F" w:rsidRPr="0020222F" w:rsidRDefault="0020222F" w:rsidP="0020222F">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20222F">
        <w:rPr>
          <w:rFonts w:ascii="Times New Roman" w:hAnsi="Times New Roman" w:cs="Times New Roman"/>
          <w:color w:val="auto"/>
          <w:sz w:val="24"/>
          <w:szCs w:val="24"/>
        </w:rPr>
        <w:t xml:space="preserve">Phillips, R. (2007) </w:t>
      </w:r>
      <w:proofErr w:type="gramStart"/>
      <w:r w:rsidRPr="0020222F">
        <w:rPr>
          <w:rFonts w:ascii="Times New Roman" w:hAnsi="Times New Roman" w:cs="Times New Roman"/>
          <w:i/>
          <w:iCs/>
          <w:color w:val="auto"/>
          <w:sz w:val="24"/>
          <w:szCs w:val="24"/>
        </w:rPr>
        <w:t>The</w:t>
      </w:r>
      <w:proofErr w:type="gramEnd"/>
      <w:r w:rsidRPr="0020222F">
        <w:rPr>
          <w:rFonts w:ascii="Times New Roman" w:hAnsi="Times New Roman" w:cs="Times New Roman"/>
          <w:i/>
          <w:iCs/>
          <w:color w:val="auto"/>
          <w:sz w:val="24"/>
          <w:szCs w:val="24"/>
        </w:rPr>
        <w:t xml:space="preserve"> need for information on how the attachment ... - sage journals</w:t>
      </w:r>
      <w:r w:rsidRPr="0020222F">
        <w:rPr>
          <w:rFonts w:ascii="Times New Roman" w:hAnsi="Times New Roman" w:cs="Times New Roman"/>
          <w:color w:val="auto"/>
          <w:sz w:val="24"/>
          <w:szCs w:val="24"/>
        </w:rPr>
        <w:t xml:space="preserve">. Available at: https://journals.sagepub.com/doi/abs/10.1177/030857590703100305 (Accessed: March 13, 2023). </w:t>
      </w:r>
    </w:p>
    <w:p w:rsidR="00F92A66" w:rsidRPr="0096671E" w:rsidRDefault="00F92A66" w:rsidP="00F92A66">
      <w:pPr>
        <w:jc w:val="both"/>
        <w:rPr>
          <w:b/>
          <w:sz w:val="24"/>
          <w:szCs w:val="24"/>
          <w:highlight w:val="yellow"/>
          <w:u w:val="single"/>
        </w:rPr>
      </w:pPr>
    </w:p>
    <w:p w:rsidR="0020222F" w:rsidRDefault="0020222F" w:rsidP="0020222F">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20222F">
        <w:rPr>
          <w:rFonts w:ascii="Times New Roman" w:hAnsi="Times New Roman" w:cs="Times New Roman"/>
          <w:color w:val="auto"/>
          <w:sz w:val="24"/>
          <w:szCs w:val="24"/>
        </w:rPr>
        <w:t xml:space="preserve">Mitchell, M.B. (2017) </w:t>
      </w:r>
      <w:r w:rsidRPr="0020222F">
        <w:rPr>
          <w:rFonts w:ascii="Times New Roman" w:hAnsi="Times New Roman" w:cs="Times New Roman"/>
          <w:i/>
          <w:iCs/>
          <w:color w:val="auto"/>
          <w:sz w:val="24"/>
          <w:szCs w:val="24"/>
        </w:rPr>
        <w:t>"no one acknowledged my loss and hurt": Non-death loss, grief, and trauma in foster care - child and adolescent social work journal</w:t>
      </w:r>
      <w:r w:rsidRPr="0020222F">
        <w:rPr>
          <w:rFonts w:ascii="Times New Roman" w:hAnsi="Times New Roman" w:cs="Times New Roman"/>
          <w:color w:val="auto"/>
          <w:sz w:val="24"/>
          <w:szCs w:val="24"/>
        </w:rPr>
        <w:t xml:space="preserve">, </w:t>
      </w:r>
      <w:proofErr w:type="spellStart"/>
      <w:r w:rsidRPr="0020222F">
        <w:rPr>
          <w:rFonts w:ascii="Times New Roman" w:hAnsi="Times New Roman" w:cs="Times New Roman"/>
          <w:i/>
          <w:iCs/>
          <w:color w:val="auto"/>
          <w:sz w:val="24"/>
          <w:szCs w:val="24"/>
        </w:rPr>
        <w:t>SpringerLink</w:t>
      </w:r>
      <w:proofErr w:type="spellEnd"/>
      <w:r w:rsidRPr="0020222F">
        <w:rPr>
          <w:rFonts w:ascii="Times New Roman" w:hAnsi="Times New Roman" w:cs="Times New Roman"/>
          <w:color w:val="auto"/>
          <w:sz w:val="24"/>
          <w:szCs w:val="24"/>
        </w:rPr>
        <w:t xml:space="preserve">. Springer US. Available at: https://link.springer.com/article/10.1007/s10560-017-0502-8 (Accessed: March 13, 2023). </w:t>
      </w:r>
    </w:p>
    <w:p w:rsidR="0020222F" w:rsidRPr="0020222F" w:rsidRDefault="0020222F" w:rsidP="0020222F">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20222F">
        <w:rPr>
          <w:rFonts w:ascii="Times New Roman" w:hAnsi="Times New Roman" w:cs="Times New Roman"/>
          <w:color w:val="auto"/>
          <w:sz w:val="24"/>
          <w:szCs w:val="24"/>
        </w:rPr>
        <w:t>Leich</w:t>
      </w:r>
      <w:proofErr w:type="spellEnd"/>
      <w:r w:rsidRPr="0020222F">
        <w:rPr>
          <w:rFonts w:ascii="Times New Roman" w:hAnsi="Times New Roman" w:cs="Times New Roman"/>
          <w:color w:val="auto"/>
          <w:sz w:val="24"/>
          <w:szCs w:val="24"/>
        </w:rPr>
        <w:t xml:space="preserve">, J. (2022) </w:t>
      </w:r>
      <w:r w:rsidRPr="0020222F">
        <w:rPr>
          <w:rFonts w:ascii="Times New Roman" w:hAnsi="Times New Roman" w:cs="Times New Roman"/>
          <w:i/>
          <w:iCs/>
          <w:color w:val="auto"/>
          <w:sz w:val="24"/>
          <w:szCs w:val="24"/>
        </w:rPr>
        <w:t>'learning to hold a paradox': A narrative review of how ambiguous loss and disenfranchised grief affects children in care</w:t>
      </w:r>
      <w:r w:rsidRPr="0020222F">
        <w:rPr>
          <w:rFonts w:ascii="Times New Roman" w:hAnsi="Times New Roman" w:cs="Times New Roman"/>
          <w:color w:val="auto"/>
          <w:sz w:val="24"/>
          <w:szCs w:val="24"/>
        </w:rPr>
        <w:t xml:space="preserve">, </w:t>
      </w:r>
      <w:r w:rsidRPr="0020222F">
        <w:rPr>
          <w:rFonts w:ascii="Times New Roman" w:hAnsi="Times New Roman" w:cs="Times New Roman"/>
          <w:i/>
          <w:iCs/>
          <w:color w:val="auto"/>
          <w:sz w:val="24"/>
          <w:szCs w:val="24"/>
        </w:rPr>
        <w:t>Taylor &amp; Francis</w:t>
      </w:r>
      <w:r w:rsidRPr="0020222F">
        <w:rPr>
          <w:rFonts w:ascii="Times New Roman" w:hAnsi="Times New Roman" w:cs="Times New Roman"/>
          <w:color w:val="auto"/>
          <w:sz w:val="24"/>
          <w:szCs w:val="24"/>
        </w:rPr>
        <w:t xml:space="preserve">. Available at: https://www.tandfonline.com/doi/abs/10.1080/09503153.2022.2051468?journalCode=cpra20 (Accessed: March 13, 2023). </w:t>
      </w:r>
    </w:p>
    <w:p w:rsidR="0020222F" w:rsidRPr="0020222F" w:rsidRDefault="0020222F" w:rsidP="0020222F">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20222F">
        <w:rPr>
          <w:rFonts w:ascii="Times New Roman" w:hAnsi="Times New Roman" w:cs="Times New Roman"/>
          <w:color w:val="auto"/>
          <w:sz w:val="24"/>
          <w:szCs w:val="24"/>
        </w:rPr>
        <w:t>Sloper</w:t>
      </w:r>
      <w:proofErr w:type="spellEnd"/>
      <w:r w:rsidRPr="0020222F">
        <w:rPr>
          <w:rFonts w:ascii="Times New Roman" w:hAnsi="Times New Roman" w:cs="Times New Roman"/>
          <w:color w:val="auto"/>
          <w:sz w:val="24"/>
          <w:szCs w:val="24"/>
        </w:rPr>
        <w:t xml:space="preserve">, P. (2004) </w:t>
      </w:r>
      <w:r w:rsidRPr="0020222F">
        <w:rPr>
          <w:rFonts w:ascii="Times New Roman" w:hAnsi="Times New Roman" w:cs="Times New Roman"/>
          <w:i/>
          <w:iCs/>
          <w:color w:val="auto"/>
          <w:sz w:val="24"/>
          <w:szCs w:val="24"/>
        </w:rPr>
        <w:t>Facilitators and barriers for co-ordinated multi-agency services</w:t>
      </w:r>
      <w:r w:rsidRPr="0020222F">
        <w:rPr>
          <w:rFonts w:ascii="Times New Roman" w:hAnsi="Times New Roman" w:cs="Times New Roman"/>
          <w:color w:val="auto"/>
          <w:sz w:val="24"/>
          <w:szCs w:val="24"/>
        </w:rPr>
        <w:t xml:space="preserve">, </w:t>
      </w:r>
      <w:r w:rsidRPr="0020222F">
        <w:rPr>
          <w:rFonts w:ascii="Times New Roman" w:hAnsi="Times New Roman" w:cs="Times New Roman"/>
          <w:i/>
          <w:iCs/>
          <w:color w:val="auto"/>
          <w:sz w:val="24"/>
          <w:szCs w:val="24"/>
        </w:rPr>
        <w:t>Child: care, health and development</w:t>
      </w:r>
      <w:r w:rsidRPr="0020222F">
        <w:rPr>
          <w:rFonts w:ascii="Times New Roman" w:hAnsi="Times New Roman" w:cs="Times New Roman"/>
          <w:color w:val="auto"/>
          <w:sz w:val="24"/>
          <w:szCs w:val="24"/>
        </w:rPr>
        <w:t xml:space="preserve">. U.S. National Library of Medicine. Available at: https://pubmed.ncbi.nlm.nih.gov/15527468/ (Accessed: March 13, 2023). </w:t>
      </w:r>
    </w:p>
    <w:p w:rsidR="0020222F" w:rsidRPr="0020222F" w:rsidRDefault="0020222F" w:rsidP="0020222F">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20222F">
        <w:rPr>
          <w:rFonts w:ascii="Times New Roman" w:hAnsi="Times New Roman" w:cs="Times New Roman"/>
          <w:color w:val="auto"/>
          <w:sz w:val="24"/>
          <w:szCs w:val="24"/>
        </w:rPr>
        <w:t>Sidebotham</w:t>
      </w:r>
      <w:proofErr w:type="spellEnd"/>
      <w:r w:rsidRPr="0020222F">
        <w:rPr>
          <w:rFonts w:ascii="Times New Roman" w:hAnsi="Times New Roman" w:cs="Times New Roman"/>
          <w:color w:val="auto"/>
          <w:sz w:val="24"/>
          <w:szCs w:val="24"/>
        </w:rPr>
        <w:t xml:space="preserve">, P. </w:t>
      </w:r>
      <w:r w:rsidRPr="0020222F">
        <w:rPr>
          <w:rFonts w:ascii="Times New Roman" w:hAnsi="Times New Roman" w:cs="Times New Roman"/>
          <w:i/>
          <w:iCs/>
          <w:color w:val="auto"/>
          <w:sz w:val="24"/>
          <w:szCs w:val="24"/>
        </w:rPr>
        <w:t>et al.</w:t>
      </w:r>
      <w:r w:rsidRPr="0020222F">
        <w:rPr>
          <w:rFonts w:ascii="Times New Roman" w:hAnsi="Times New Roman" w:cs="Times New Roman"/>
          <w:color w:val="auto"/>
          <w:sz w:val="24"/>
          <w:szCs w:val="24"/>
        </w:rPr>
        <w:t xml:space="preserve"> (2016) </w:t>
      </w:r>
      <w:r w:rsidRPr="0020222F">
        <w:rPr>
          <w:rFonts w:ascii="Times New Roman" w:hAnsi="Times New Roman" w:cs="Times New Roman"/>
          <w:i/>
          <w:iCs/>
          <w:color w:val="auto"/>
          <w:sz w:val="24"/>
          <w:szCs w:val="24"/>
        </w:rPr>
        <w:t>Pathways to harm, pathways to protection: A triennial analysis of serious case reviews 2011 to 2014: Final report</w:t>
      </w:r>
      <w:r w:rsidRPr="0020222F">
        <w:rPr>
          <w:rFonts w:ascii="Times New Roman" w:hAnsi="Times New Roman" w:cs="Times New Roman"/>
          <w:color w:val="auto"/>
          <w:sz w:val="24"/>
          <w:szCs w:val="24"/>
        </w:rPr>
        <w:t xml:space="preserve">, </w:t>
      </w:r>
      <w:r w:rsidRPr="0020222F">
        <w:rPr>
          <w:rFonts w:ascii="Times New Roman" w:hAnsi="Times New Roman" w:cs="Times New Roman"/>
          <w:i/>
          <w:iCs/>
          <w:color w:val="auto"/>
          <w:sz w:val="24"/>
          <w:szCs w:val="24"/>
        </w:rPr>
        <w:t>University of East Anglia</w:t>
      </w:r>
      <w:r w:rsidRPr="0020222F">
        <w:rPr>
          <w:rFonts w:ascii="Times New Roman" w:hAnsi="Times New Roman" w:cs="Times New Roman"/>
          <w:color w:val="auto"/>
          <w:sz w:val="24"/>
          <w:szCs w:val="24"/>
        </w:rPr>
        <w:t xml:space="preserve">. Department for </w:t>
      </w:r>
      <w:r w:rsidRPr="0020222F">
        <w:rPr>
          <w:rFonts w:ascii="Times New Roman" w:hAnsi="Times New Roman" w:cs="Times New Roman"/>
          <w:color w:val="auto"/>
          <w:sz w:val="24"/>
          <w:szCs w:val="24"/>
        </w:rPr>
        <w:lastRenderedPageBreak/>
        <w:t xml:space="preserve">Education. Available at: https://research-portal.uea.ac.uk/en/publications/pathways-to-harm-pathways-to-protection-a-triennial-analysis-of-s (Accessed: March 13, 2023). </w:t>
      </w:r>
    </w:p>
    <w:p w:rsidR="002072E1" w:rsidRDefault="002072E1" w:rsidP="002072E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2072E1">
        <w:rPr>
          <w:rFonts w:ascii="Times New Roman" w:hAnsi="Times New Roman" w:cs="Times New Roman"/>
          <w:color w:val="auto"/>
          <w:sz w:val="24"/>
          <w:szCs w:val="24"/>
        </w:rPr>
        <w:t xml:space="preserve">Ltd, A.A. (2022) </w:t>
      </w:r>
      <w:r w:rsidRPr="002072E1">
        <w:rPr>
          <w:rFonts w:ascii="Times New Roman" w:hAnsi="Times New Roman" w:cs="Times New Roman"/>
          <w:i/>
          <w:iCs/>
          <w:color w:val="auto"/>
          <w:sz w:val="24"/>
          <w:szCs w:val="24"/>
        </w:rPr>
        <w:t>Z v UK case summary</w:t>
      </w:r>
      <w:r>
        <w:rPr>
          <w:rFonts w:ascii="Times New Roman" w:hAnsi="Times New Roman" w:cs="Times New Roman"/>
          <w:i/>
          <w:iCs/>
          <w:color w:val="auto"/>
          <w:sz w:val="24"/>
          <w:szCs w:val="24"/>
        </w:rPr>
        <w:t xml:space="preserve"> (2001)</w:t>
      </w:r>
      <w:r w:rsidRPr="002072E1">
        <w:rPr>
          <w:rFonts w:ascii="Times New Roman" w:hAnsi="Times New Roman" w:cs="Times New Roman"/>
          <w:color w:val="auto"/>
          <w:sz w:val="24"/>
          <w:szCs w:val="24"/>
        </w:rPr>
        <w:t xml:space="preserve">, </w:t>
      </w:r>
      <w:r w:rsidRPr="002072E1">
        <w:rPr>
          <w:rFonts w:ascii="Times New Roman" w:hAnsi="Times New Roman" w:cs="Times New Roman"/>
          <w:i/>
          <w:iCs/>
          <w:color w:val="auto"/>
          <w:sz w:val="24"/>
          <w:szCs w:val="24"/>
        </w:rPr>
        <w:t>Law Teacher</w:t>
      </w:r>
      <w:r w:rsidRPr="002072E1">
        <w:rPr>
          <w:rFonts w:ascii="Times New Roman" w:hAnsi="Times New Roman" w:cs="Times New Roman"/>
          <w:color w:val="auto"/>
          <w:sz w:val="24"/>
          <w:szCs w:val="24"/>
        </w:rPr>
        <w:t xml:space="preserve">. </w:t>
      </w:r>
      <w:proofErr w:type="spellStart"/>
      <w:r w:rsidRPr="002072E1">
        <w:rPr>
          <w:rFonts w:ascii="Times New Roman" w:hAnsi="Times New Roman" w:cs="Times New Roman"/>
          <w:color w:val="auto"/>
          <w:sz w:val="24"/>
          <w:szCs w:val="24"/>
        </w:rPr>
        <w:t>LawTeacher</w:t>
      </w:r>
      <w:proofErr w:type="spellEnd"/>
      <w:r w:rsidRPr="002072E1">
        <w:rPr>
          <w:rFonts w:ascii="Times New Roman" w:hAnsi="Times New Roman" w:cs="Times New Roman"/>
          <w:color w:val="auto"/>
          <w:sz w:val="24"/>
          <w:szCs w:val="24"/>
        </w:rPr>
        <w:t xml:space="preserve">. Available at: https://www.lawteacher.net/cases/z-v-uk.php (Accessed: March 13, 2023). </w:t>
      </w:r>
    </w:p>
    <w:p w:rsidR="00694100" w:rsidRDefault="00694100" w:rsidP="00694100">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694100">
        <w:rPr>
          <w:rFonts w:ascii="Times New Roman" w:hAnsi="Times New Roman" w:cs="Times New Roman"/>
          <w:i/>
          <w:iCs/>
          <w:color w:val="auto"/>
          <w:sz w:val="24"/>
          <w:szCs w:val="24"/>
        </w:rPr>
        <w:t>National minimum standards (NMS) and guidance: Regulated childcare</w:t>
      </w:r>
      <w:r>
        <w:rPr>
          <w:rFonts w:ascii="Times New Roman" w:hAnsi="Times New Roman" w:cs="Times New Roman"/>
          <w:color w:val="auto"/>
          <w:sz w:val="24"/>
          <w:szCs w:val="24"/>
        </w:rPr>
        <w:t xml:space="preserve"> (2022</w:t>
      </w:r>
      <w:r w:rsidRPr="00694100">
        <w:rPr>
          <w:rFonts w:ascii="Times New Roman" w:hAnsi="Times New Roman" w:cs="Times New Roman"/>
          <w:color w:val="auto"/>
          <w:sz w:val="24"/>
          <w:szCs w:val="24"/>
        </w:rPr>
        <w:t xml:space="preserve">) </w:t>
      </w:r>
      <w:r w:rsidRPr="00694100">
        <w:rPr>
          <w:rFonts w:ascii="Times New Roman" w:hAnsi="Times New Roman" w:cs="Times New Roman"/>
          <w:i/>
          <w:iCs/>
          <w:color w:val="auto"/>
          <w:sz w:val="24"/>
          <w:szCs w:val="24"/>
        </w:rPr>
        <w:t>GOV.WALES</w:t>
      </w:r>
      <w:r w:rsidRPr="00694100">
        <w:rPr>
          <w:rFonts w:ascii="Times New Roman" w:hAnsi="Times New Roman" w:cs="Times New Roman"/>
          <w:color w:val="auto"/>
          <w:sz w:val="24"/>
          <w:szCs w:val="24"/>
        </w:rPr>
        <w:t xml:space="preserve">. Available at: https://www.gov.wales/national-minimum-standards-nms-and-guidance-regulated-childcare (Accessed: March 15, 2023). </w:t>
      </w:r>
    </w:p>
    <w:p w:rsidR="008414BE" w:rsidRPr="008414BE" w:rsidRDefault="008414BE" w:rsidP="008414BE">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8414BE">
        <w:rPr>
          <w:rFonts w:ascii="Times New Roman" w:hAnsi="Times New Roman" w:cs="Times New Roman"/>
          <w:i/>
          <w:iCs/>
          <w:color w:val="auto"/>
          <w:sz w:val="24"/>
          <w:szCs w:val="24"/>
        </w:rPr>
        <w:t xml:space="preserve">Allegations support for Foster Carers: </w:t>
      </w:r>
      <w:proofErr w:type="spellStart"/>
      <w:r w:rsidRPr="008414BE">
        <w:rPr>
          <w:rFonts w:ascii="Times New Roman" w:hAnsi="Times New Roman" w:cs="Times New Roman"/>
          <w:i/>
          <w:iCs/>
          <w:color w:val="auto"/>
          <w:sz w:val="24"/>
          <w:szCs w:val="24"/>
        </w:rPr>
        <w:t>Fostertalk</w:t>
      </w:r>
      <w:proofErr w:type="spellEnd"/>
      <w:r w:rsidRPr="008414BE">
        <w:rPr>
          <w:rFonts w:ascii="Times New Roman" w:hAnsi="Times New Roman" w:cs="Times New Roman"/>
          <w:color w:val="auto"/>
          <w:sz w:val="24"/>
          <w:szCs w:val="24"/>
        </w:rPr>
        <w:t xml:space="preserve"> (2022) </w:t>
      </w:r>
      <w:proofErr w:type="spellStart"/>
      <w:r w:rsidRPr="008414BE">
        <w:rPr>
          <w:rFonts w:ascii="Times New Roman" w:hAnsi="Times New Roman" w:cs="Times New Roman"/>
          <w:i/>
          <w:iCs/>
          <w:color w:val="auto"/>
          <w:sz w:val="24"/>
          <w:szCs w:val="24"/>
        </w:rPr>
        <w:t>FosterTalk</w:t>
      </w:r>
      <w:proofErr w:type="spellEnd"/>
      <w:r w:rsidRPr="008414BE">
        <w:rPr>
          <w:rFonts w:ascii="Times New Roman" w:hAnsi="Times New Roman" w:cs="Times New Roman"/>
          <w:i/>
          <w:iCs/>
          <w:color w:val="auto"/>
          <w:sz w:val="24"/>
          <w:szCs w:val="24"/>
        </w:rPr>
        <w:t xml:space="preserve"> Foster Carers Membership</w:t>
      </w:r>
      <w:r w:rsidRPr="008414BE">
        <w:rPr>
          <w:rFonts w:ascii="Times New Roman" w:hAnsi="Times New Roman" w:cs="Times New Roman"/>
          <w:color w:val="auto"/>
          <w:sz w:val="24"/>
          <w:szCs w:val="24"/>
        </w:rPr>
        <w:t xml:space="preserve">. Available at: https://fostertalk.org/allegations-support-team/ (Accessed: March 15, 2023). </w:t>
      </w:r>
    </w:p>
    <w:p w:rsidR="008414BE" w:rsidRPr="00694100" w:rsidRDefault="008414BE" w:rsidP="00694100">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rsidR="00694100" w:rsidRPr="002072E1" w:rsidRDefault="00694100" w:rsidP="002072E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rsidR="00F92A66" w:rsidRDefault="00F92A66"/>
    <w:p w:rsidR="00F92A66" w:rsidRDefault="00F92A66"/>
    <w:p w:rsidR="00F92A66" w:rsidRDefault="00F92A66"/>
    <w:p w:rsidR="00F92A66" w:rsidRDefault="00F92A66"/>
    <w:p w:rsidR="00AB63ED" w:rsidRDefault="00AB63ED">
      <w:r>
        <w:t xml:space="preserve"> </w:t>
      </w:r>
    </w:p>
    <w:sectPr w:rsidR="00AB63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2A66"/>
    <w:rsid w:val="000807EF"/>
    <w:rsid w:val="00093466"/>
    <w:rsid w:val="0014039B"/>
    <w:rsid w:val="0020222F"/>
    <w:rsid w:val="00204877"/>
    <w:rsid w:val="002072E1"/>
    <w:rsid w:val="00253C29"/>
    <w:rsid w:val="00292DC6"/>
    <w:rsid w:val="002F031A"/>
    <w:rsid w:val="003322AA"/>
    <w:rsid w:val="004A63C0"/>
    <w:rsid w:val="004E3C1C"/>
    <w:rsid w:val="00650182"/>
    <w:rsid w:val="00694100"/>
    <w:rsid w:val="00737D0C"/>
    <w:rsid w:val="007921BA"/>
    <w:rsid w:val="008414BE"/>
    <w:rsid w:val="00896A88"/>
    <w:rsid w:val="0092214E"/>
    <w:rsid w:val="0096671E"/>
    <w:rsid w:val="009947A2"/>
    <w:rsid w:val="00A2345D"/>
    <w:rsid w:val="00A36FE9"/>
    <w:rsid w:val="00AB63ED"/>
    <w:rsid w:val="00B05889"/>
    <w:rsid w:val="00B22BAB"/>
    <w:rsid w:val="00BB043D"/>
    <w:rsid w:val="00CD594F"/>
    <w:rsid w:val="00D016E6"/>
    <w:rsid w:val="00D41736"/>
    <w:rsid w:val="00DA263D"/>
    <w:rsid w:val="00DC2505"/>
    <w:rsid w:val="00DC4FA7"/>
    <w:rsid w:val="00E92410"/>
    <w:rsid w:val="00F12735"/>
    <w:rsid w:val="00F225AD"/>
    <w:rsid w:val="00F92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E1A44F7-9FF6-4745-BF20-874C76A95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2A66"/>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92A66"/>
    <w:rPr>
      <w:i/>
      <w:iCs/>
    </w:rPr>
  </w:style>
  <w:style w:type="paragraph" w:styleId="NormalWeb">
    <w:name w:val="Normal (Web)"/>
    <w:basedOn w:val="Normal"/>
    <w:uiPriority w:val="99"/>
    <w:unhideWhenUsed/>
    <w:rsid w:val="00F92A66"/>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styleId="Hyperlink">
    <w:name w:val="Hyperlink"/>
    <w:rsid w:val="009947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743826">
      <w:bodyDiv w:val="1"/>
      <w:marLeft w:val="0"/>
      <w:marRight w:val="0"/>
      <w:marTop w:val="0"/>
      <w:marBottom w:val="0"/>
      <w:divBdr>
        <w:top w:val="none" w:sz="0" w:space="0" w:color="auto"/>
        <w:left w:val="none" w:sz="0" w:space="0" w:color="auto"/>
        <w:bottom w:val="none" w:sz="0" w:space="0" w:color="auto"/>
        <w:right w:val="none" w:sz="0" w:space="0" w:color="auto"/>
      </w:divBdr>
    </w:div>
    <w:div w:id="290983203">
      <w:bodyDiv w:val="1"/>
      <w:marLeft w:val="0"/>
      <w:marRight w:val="0"/>
      <w:marTop w:val="0"/>
      <w:marBottom w:val="0"/>
      <w:divBdr>
        <w:top w:val="none" w:sz="0" w:space="0" w:color="auto"/>
        <w:left w:val="none" w:sz="0" w:space="0" w:color="auto"/>
        <w:bottom w:val="none" w:sz="0" w:space="0" w:color="auto"/>
        <w:right w:val="none" w:sz="0" w:space="0" w:color="auto"/>
      </w:divBdr>
    </w:div>
    <w:div w:id="306396378">
      <w:bodyDiv w:val="1"/>
      <w:marLeft w:val="0"/>
      <w:marRight w:val="0"/>
      <w:marTop w:val="0"/>
      <w:marBottom w:val="0"/>
      <w:divBdr>
        <w:top w:val="none" w:sz="0" w:space="0" w:color="auto"/>
        <w:left w:val="none" w:sz="0" w:space="0" w:color="auto"/>
        <w:bottom w:val="none" w:sz="0" w:space="0" w:color="auto"/>
        <w:right w:val="none" w:sz="0" w:space="0" w:color="auto"/>
      </w:divBdr>
    </w:div>
    <w:div w:id="491290604">
      <w:bodyDiv w:val="1"/>
      <w:marLeft w:val="0"/>
      <w:marRight w:val="0"/>
      <w:marTop w:val="0"/>
      <w:marBottom w:val="0"/>
      <w:divBdr>
        <w:top w:val="none" w:sz="0" w:space="0" w:color="auto"/>
        <w:left w:val="none" w:sz="0" w:space="0" w:color="auto"/>
        <w:bottom w:val="none" w:sz="0" w:space="0" w:color="auto"/>
        <w:right w:val="none" w:sz="0" w:space="0" w:color="auto"/>
      </w:divBdr>
    </w:div>
    <w:div w:id="508251201">
      <w:bodyDiv w:val="1"/>
      <w:marLeft w:val="0"/>
      <w:marRight w:val="0"/>
      <w:marTop w:val="0"/>
      <w:marBottom w:val="0"/>
      <w:divBdr>
        <w:top w:val="none" w:sz="0" w:space="0" w:color="auto"/>
        <w:left w:val="none" w:sz="0" w:space="0" w:color="auto"/>
        <w:bottom w:val="none" w:sz="0" w:space="0" w:color="auto"/>
        <w:right w:val="none" w:sz="0" w:space="0" w:color="auto"/>
      </w:divBdr>
    </w:div>
    <w:div w:id="513113854">
      <w:bodyDiv w:val="1"/>
      <w:marLeft w:val="0"/>
      <w:marRight w:val="0"/>
      <w:marTop w:val="0"/>
      <w:marBottom w:val="0"/>
      <w:divBdr>
        <w:top w:val="none" w:sz="0" w:space="0" w:color="auto"/>
        <w:left w:val="none" w:sz="0" w:space="0" w:color="auto"/>
        <w:bottom w:val="none" w:sz="0" w:space="0" w:color="auto"/>
        <w:right w:val="none" w:sz="0" w:space="0" w:color="auto"/>
      </w:divBdr>
    </w:div>
    <w:div w:id="668480086">
      <w:bodyDiv w:val="1"/>
      <w:marLeft w:val="0"/>
      <w:marRight w:val="0"/>
      <w:marTop w:val="0"/>
      <w:marBottom w:val="0"/>
      <w:divBdr>
        <w:top w:val="none" w:sz="0" w:space="0" w:color="auto"/>
        <w:left w:val="none" w:sz="0" w:space="0" w:color="auto"/>
        <w:bottom w:val="none" w:sz="0" w:space="0" w:color="auto"/>
        <w:right w:val="none" w:sz="0" w:space="0" w:color="auto"/>
      </w:divBdr>
    </w:div>
    <w:div w:id="826626874">
      <w:bodyDiv w:val="1"/>
      <w:marLeft w:val="0"/>
      <w:marRight w:val="0"/>
      <w:marTop w:val="0"/>
      <w:marBottom w:val="0"/>
      <w:divBdr>
        <w:top w:val="none" w:sz="0" w:space="0" w:color="auto"/>
        <w:left w:val="none" w:sz="0" w:space="0" w:color="auto"/>
        <w:bottom w:val="none" w:sz="0" w:space="0" w:color="auto"/>
        <w:right w:val="none" w:sz="0" w:space="0" w:color="auto"/>
      </w:divBdr>
    </w:div>
    <w:div w:id="1074737777">
      <w:bodyDiv w:val="1"/>
      <w:marLeft w:val="0"/>
      <w:marRight w:val="0"/>
      <w:marTop w:val="0"/>
      <w:marBottom w:val="0"/>
      <w:divBdr>
        <w:top w:val="none" w:sz="0" w:space="0" w:color="auto"/>
        <w:left w:val="none" w:sz="0" w:space="0" w:color="auto"/>
        <w:bottom w:val="none" w:sz="0" w:space="0" w:color="auto"/>
        <w:right w:val="none" w:sz="0" w:space="0" w:color="auto"/>
      </w:divBdr>
    </w:div>
    <w:div w:id="1143276544">
      <w:bodyDiv w:val="1"/>
      <w:marLeft w:val="0"/>
      <w:marRight w:val="0"/>
      <w:marTop w:val="0"/>
      <w:marBottom w:val="0"/>
      <w:divBdr>
        <w:top w:val="none" w:sz="0" w:space="0" w:color="auto"/>
        <w:left w:val="none" w:sz="0" w:space="0" w:color="auto"/>
        <w:bottom w:val="none" w:sz="0" w:space="0" w:color="auto"/>
        <w:right w:val="none" w:sz="0" w:space="0" w:color="auto"/>
      </w:divBdr>
    </w:div>
    <w:div w:id="1157724526">
      <w:bodyDiv w:val="1"/>
      <w:marLeft w:val="0"/>
      <w:marRight w:val="0"/>
      <w:marTop w:val="0"/>
      <w:marBottom w:val="0"/>
      <w:divBdr>
        <w:top w:val="none" w:sz="0" w:space="0" w:color="auto"/>
        <w:left w:val="none" w:sz="0" w:space="0" w:color="auto"/>
        <w:bottom w:val="none" w:sz="0" w:space="0" w:color="auto"/>
        <w:right w:val="none" w:sz="0" w:space="0" w:color="auto"/>
      </w:divBdr>
    </w:div>
    <w:div w:id="1310984028">
      <w:bodyDiv w:val="1"/>
      <w:marLeft w:val="0"/>
      <w:marRight w:val="0"/>
      <w:marTop w:val="0"/>
      <w:marBottom w:val="0"/>
      <w:divBdr>
        <w:top w:val="none" w:sz="0" w:space="0" w:color="auto"/>
        <w:left w:val="none" w:sz="0" w:space="0" w:color="auto"/>
        <w:bottom w:val="none" w:sz="0" w:space="0" w:color="auto"/>
        <w:right w:val="none" w:sz="0" w:space="0" w:color="auto"/>
      </w:divBdr>
    </w:div>
    <w:div w:id="1492403083">
      <w:bodyDiv w:val="1"/>
      <w:marLeft w:val="0"/>
      <w:marRight w:val="0"/>
      <w:marTop w:val="0"/>
      <w:marBottom w:val="0"/>
      <w:divBdr>
        <w:top w:val="none" w:sz="0" w:space="0" w:color="auto"/>
        <w:left w:val="none" w:sz="0" w:space="0" w:color="auto"/>
        <w:bottom w:val="none" w:sz="0" w:space="0" w:color="auto"/>
        <w:right w:val="none" w:sz="0" w:space="0" w:color="auto"/>
      </w:divBdr>
    </w:div>
    <w:div w:id="1559438245">
      <w:bodyDiv w:val="1"/>
      <w:marLeft w:val="0"/>
      <w:marRight w:val="0"/>
      <w:marTop w:val="0"/>
      <w:marBottom w:val="0"/>
      <w:divBdr>
        <w:top w:val="none" w:sz="0" w:space="0" w:color="auto"/>
        <w:left w:val="none" w:sz="0" w:space="0" w:color="auto"/>
        <w:bottom w:val="none" w:sz="0" w:space="0" w:color="auto"/>
        <w:right w:val="none" w:sz="0" w:space="0" w:color="auto"/>
      </w:divBdr>
    </w:div>
    <w:div w:id="1770467448">
      <w:bodyDiv w:val="1"/>
      <w:marLeft w:val="0"/>
      <w:marRight w:val="0"/>
      <w:marTop w:val="0"/>
      <w:marBottom w:val="0"/>
      <w:divBdr>
        <w:top w:val="none" w:sz="0" w:space="0" w:color="auto"/>
        <w:left w:val="none" w:sz="0" w:space="0" w:color="auto"/>
        <w:bottom w:val="none" w:sz="0" w:space="0" w:color="auto"/>
        <w:right w:val="none" w:sz="0" w:space="0" w:color="auto"/>
      </w:divBdr>
    </w:div>
    <w:div w:id="1783955792">
      <w:bodyDiv w:val="1"/>
      <w:marLeft w:val="0"/>
      <w:marRight w:val="0"/>
      <w:marTop w:val="0"/>
      <w:marBottom w:val="0"/>
      <w:divBdr>
        <w:top w:val="none" w:sz="0" w:space="0" w:color="auto"/>
        <w:left w:val="none" w:sz="0" w:space="0" w:color="auto"/>
        <w:bottom w:val="none" w:sz="0" w:space="0" w:color="auto"/>
        <w:right w:val="none" w:sz="0" w:space="0" w:color="auto"/>
      </w:divBdr>
    </w:div>
    <w:div w:id="1939173418">
      <w:bodyDiv w:val="1"/>
      <w:marLeft w:val="0"/>
      <w:marRight w:val="0"/>
      <w:marTop w:val="0"/>
      <w:marBottom w:val="0"/>
      <w:divBdr>
        <w:top w:val="none" w:sz="0" w:space="0" w:color="auto"/>
        <w:left w:val="none" w:sz="0" w:space="0" w:color="auto"/>
        <w:bottom w:val="none" w:sz="0" w:space="0" w:color="auto"/>
        <w:right w:val="none" w:sz="0" w:space="0" w:color="auto"/>
      </w:divBdr>
    </w:div>
    <w:div w:id="1947154874">
      <w:bodyDiv w:val="1"/>
      <w:marLeft w:val="0"/>
      <w:marRight w:val="0"/>
      <w:marTop w:val="0"/>
      <w:marBottom w:val="0"/>
      <w:divBdr>
        <w:top w:val="none" w:sz="0" w:space="0" w:color="auto"/>
        <w:left w:val="none" w:sz="0" w:space="0" w:color="auto"/>
        <w:bottom w:val="none" w:sz="0" w:space="0" w:color="auto"/>
        <w:right w:val="none" w:sz="0" w:space="0" w:color="auto"/>
      </w:divBdr>
    </w:div>
    <w:div w:id="2137798482">
      <w:bodyDiv w:val="1"/>
      <w:marLeft w:val="0"/>
      <w:marRight w:val="0"/>
      <w:marTop w:val="0"/>
      <w:marBottom w:val="0"/>
      <w:divBdr>
        <w:top w:val="none" w:sz="0" w:space="0" w:color="auto"/>
        <w:left w:val="none" w:sz="0" w:space="0" w:color="auto"/>
        <w:bottom w:val="none" w:sz="0" w:space="0" w:color="auto"/>
        <w:right w:val="none" w:sz="0" w:space="0" w:color="auto"/>
      </w:divBdr>
    </w:div>
    <w:div w:id="2147384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Francesca_mitchell3@hotmail.com" TargetMode="External"/><Relationship Id="rId5" Type="http://schemas.openxmlformats.org/officeDocument/2006/relationships/hyperlink" Target="mailto:Francesca.mitchell@thefca.co.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5003</Words>
  <Characters>28520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Mitchell</dc:creator>
  <cp:keywords/>
  <dc:description/>
  <cp:lastModifiedBy>Francesca Mitchell</cp:lastModifiedBy>
  <cp:revision>3</cp:revision>
  <dcterms:created xsi:type="dcterms:W3CDTF">2023-03-21T13:46:00Z</dcterms:created>
  <dcterms:modified xsi:type="dcterms:W3CDTF">2023-03-23T09:43:00Z</dcterms:modified>
</cp:coreProperties>
</file>