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D8DFBF" w14:textId="77777777" w:rsidR="009F778D" w:rsidRDefault="009F778D" w:rsidP="009F778D"/>
    <w:p w14:paraId="44C23FE3" w14:textId="75E1F782" w:rsidR="009F778D" w:rsidRPr="00D47C86" w:rsidRDefault="009F778D" w:rsidP="00D22799">
      <w:pPr>
        <w:pStyle w:val="Heading1"/>
        <w:rPr>
          <w:b/>
          <w:bCs/>
          <w:color w:val="auto"/>
          <w:u w:val="single"/>
        </w:rPr>
      </w:pPr>
      <w:r w:rsidRPr="00D47C86">
        <w:rPr>
          <w:rFonts w:ascii="Arial" w:hAnsi="Arial" w:cs="Arial"/>
          <w:b/>
          <w:bCs/>
          <w:color w:val="auto"/>
          <w:u w:val="single"/>
        </w:rPr>
        <w:t xml:space="preserve">Reflection of </w:t>
      </w:r>
      <w:r w:rsidR="00EB2F4C" w:rsidRPr="00D47C86">
        <w:rPr>
          <w:rFonts w:ascii="Arial" w:hAnsi="Arial" w:cs="Arial"/>
          <w:b/>
          <w:bCs/>
          <w:color w:val="auto"/>
          <w:u w:val="single"/>
        </w:rPr>
        <w:t>Sugar smart</w:t>
      </w:r>
      <w:r w:rsidRPr="00D47C86">
        <w:rPr>
          <w:rFonts w:ascii="Arial" w:hAnsi="Arial" w:cs="Arial"/>
          <w:b/>
          <w:bCs/>
          <w:color w:val="auto"/>
          <w:u w:val="single"/>
        </w:rPr>
        <w:t xml:space="preserve"> micro</w:t>
      </w:r>
      <w:r w:rsidR="007963A4">
        <w:rPr>
          <w:rFonts w:ascii="Arial" w:hAnsi="Arial" w:cs="Arial"/>
          <w:b/>
          <w:bCs/>
          <w:color w:val="auto"/>
          <w:u w:val="single"/>
        </w:rPr>
        <w:t>-</w:t>
      </w:r>
      <w:r w:rsidRPr="00D47C86">
        <w:rPr>
          <w:rFonts w:ascii="Arial" w:hAnsi="Arial" w:cs="Arial"/>
          <w:b/>
          <w:bCs/>
          <w:color w:val="auto"/>
          <w:u w:val="single"/>
        </w:rPr>
        <w:t>teach session</w:t>
      </w:r>
      <w:r w:rsidR="00EB2F4C" w:rsidRPr="00D47C86">
        <w:rPr>
          <w:b/>
          <w:bCs/>
          <w:color w:val="auto"/>
          <w:u w:val="single"/>
        </w:rPr>
        <w:t>.</w:t>
      </w:r>
    </w:p>
    <w:p w14:paraId="23ECFA90" w14:textId="2B1366C4" w:rsidR="00502FC2" w:rsidRPr="00D47C86" w:rsidRDefault="009F778D" w:rsidP="00D47C86">
      <w:pPr>
        <w:spacing w:line="360" w:lineRule="auto"/>
        <w:rPr>
          <w:rFonts w:ascii="Arial" w:hAnsi="Arial" w:cs="Arial"/>
        </w:rPr>
      </w:pPr>
      <w:r w:rsidRPr="00D47C86">
        <w:rPr>
          <w:rFonts w:ascii="Arial" w:hAnsi="Arial" w:cs="Arial"/>
        </w:rPr>
        <w:t>Using the</w:t>
      </w:r>
      <w:r w:rsidR="007A76BB" w:rsidRPr="00D47C86">
        <w:rPr>
          <w:rFonts w:ascii="Arial" w:hAnsi="Arial" w:cs="Arial"/>
        </w:rPr>
        <w:t xml:space="preserve"> John</w:t>
      </w:r>
      <w:r w:rsidRPr="00D47C86">
        <w:rPr>
          <w:rFonts w:ascii="Arial" w:hAnsi="Arial" w:cs="Arial"/>
        </w:rPr>
        <w:t xml:space="preserve"> Driscoll reflective </w:t>
      </w:r>
      <w:r w:rsidR="00502FC2" w:rsidRPr="00D47C86">
        <w:rPr>
          <w:rFonts w:ascii="Arial" w:hAnsi="Arial" w:cs="Arial"/>
        </w:rPr>
        <w:t>model, I will review the 30-minute micro</w:t>
      </w:r>
      <w:r w:rsidR="00D432E5" w:rsidRPr="00D47C86">
        <w:rPr>
          <w:rFonts w:ascii="Arial" w:hAnsi="Arial" w:cs="Arial"/>
        </w:rPr>
        <w:t>-</w:t>
      </w:r>
      <w:r w:rsidR="00502FC2" w:rsidRPr="00D47C86">
        <w:rPr>
          <w:rFonts w:ascii="Arial" w:hAnsi="Arial" w:cs="Arial"/>
        </w:rPr>
        <w:t>teach which I conducted to a group of peers.</w:t>
      </w:r>
      <w:r w:rsidRPr="00D47C86">
        <w:rPr>
          <w:rFonts w:ascii="Arial" w:hAnsi="Arial" w:cs="Arial"/>
        </w:rPr>
        <w:t xml:space="preserve"> </w:t>
      </w:r>
      <w:r w:rsidR="008C41D6" w:rsidRPr="00D47C86">
        <w:rPr>
          <w:rFonts w:ascii="Arial" w:hAnsi="Arial" w:cs="Arial"/>
        </w:rPr>
        <w:t>Driscoll's reflective model is a structured approach to reflection originally inspired by Terry Borton's three fundamental questions from 1970</w:t>
      </w:r>
      <w:r w:rsidR="00827545" w:rsidRPr="00D47C86">
        <w:rPr>
          <w:rFonts w:ascii="Arial" w:hAnsi="Arial" w:cs="Arial"/>
        </w:rPr>
        <w:t xml:space="preserve"> (Janse</w:t>
      </w:r>
      <w:r w:rsidR="005B5097" w:rsidRPr="00D47C86">
        <w:rPr>
          <w:rFonts w:ascii="Arial" w:hAnsi="Arial" w:cs="Arial"/>
        </w:rPr>
        <w:t>, 2024</w:t>
      </w:r>
      <w:r w:rsidR="00B47852" w:rsidRPr="00D47C86">
        <w:rPr>
          <w:rFonts w:ascii="Arial" w:hAnsi="Arial" w:cs="Arial"/>
        </w:rPr>
        <w:t>)</w:t>
      </w:r>
      <w:r w:rsidR="00502FC2" w:rsidRPr="00D47C86">
        <w:rPr>
          <w:rFonts w:ascii="Arial" w:hAnsi="Arial" w:cs="Arial"/>
        </w:rPr>
        <w:t xml:space="preserve">. </w:t>
      </w:r>
      <w:r w:rsidR="00457BC2" w:rsidRPr="00D47C86">
        <w:rPr>
          <w:rFonts w:ascii="Arial" w:hAnsi="Arial" w:cs="Arial"/>
        </w:rPr>
        <w:t xml:space="preserve"> </w:t>
      </w:r>
      <w:r w:rsidR="00502FC2" w:rsidRPr="00D47C86">
        <w:rPr>
          <w:rFonts w:ascii="Arial" w:hAnsi="Arial" w:cs="Arial"/>
        </w:rPr>
        <w:t>These are:</w:t>
      </w:r>
    </w:p>
    <w:p w14:paraId="78B1E81A" w14:textId="77777777" w:rsidR="009F778D" w:rsidRPr="00D47C86" w:rsidRDefault="009F778D" w:rsidP="00D47C86">
      <w:pPr>
        <w:pStyle w:val="ListParagraph"/>
        <w:numPr>
          <w:ilvl w:val="0"/>
          <w:numId w:val="1"/>
        </w:numPr>
        <w:spacing w:line="360" w:lineRule="auto"/>
        <w:rPr>
          <w:rFonts w:ascii="Arial" w:hAnsi="Arial" w:cs="Arial"/>
        </w:rPr>
      </w:pPr>
      <w:r w:rsidRPr="00D47C86">
        <w:rPr>
          <w:rFonts w:ascii="Arial" w:hAnsi="Arial" w:cs="Arial"/>
        </w:rPr>
        <w:t>What? - This stage involves describing the event or experience.</w:t>
      </w:r>
    </w:p>
    <w:p w14:paraId="5C223284" w14:textId="3CD165AC" w:rsidR="009F778D" w:rsidRPr="00D47C86" w:rsidRDefault="009F778D" w:rsidP="00D47C86">
      <w:pPr>
        <w:pStyle w:val="ListParagraph"/>
        <w:numPr>
          <w:ilvl w:val="0"/>
          <w:numId w:val="1"/>
        </w:numPr>
        <w:spacing w:line="360" w:lineRule="auto"/>
        <w:rPr>
          <w:rFonts w:ascii="Arial" w:hAnsi="Arial" w:cs="Arial"/>
        </w:rPr>
      </w:pPr>
      <w:r w:rsidRPr="00D47C86">
        <w:rPr>
          <w:rFonts w:ascii="Arial" w:hAnsi="Arial" w:cs="Arial"/>
        </w:rPr>
        <w:t>So what? - This stage focuses on analy</w:t>
      </w:r>
      <w:r w:rsidR="005B5097" w:rsidRPr="00D47C86">
        <w:rPr>
          <w:rFonts w:ascii="Arial" w:hAnsi="Arial" w:cs="Arial"/>
        </w:rPr>
        <w:t>s</w:t>
      </w:r>
      <w:r w:rsidRPr="00D47C86">
        <w:rPr>
          <w:rFonts w:ascii="Arial" w:hAnsi="Arial" w:cs="Arial"/>
        </w:rPr>
        <w:t>ing the event and its significance.</w:t>
      </w:r>
    </w:p>
    <w:p w14:paraId="56B927DE" w14:textId="26F8E292" w:rsidR="009F778D" w:rsidRPr="00D47C86" w:rsidRDefault="009F778D" w:rsidP="00D47C86">
      <w:pPr>
        <w:pStyle w:val="ListParagraph"/>
        <w:numPr>
          <w:ilvl w:val="0"/>
          <w:numId w:val="1"/>
        </w:numPr>
        <w:spacing w:line="360" w:lineRule="auto"/>
        <w:rPr>
          <w:rFonts w:ascii="Arial" w:hAnsi="Arial" w:cs="Arial"/>
        </w:rPr>
      </w:pPr>
      <w:r w:rsidRPr="00D47C86">
        <w:rPr>
          <w:rFonts w:ascii="Arial" w:hAnsi="Arial" w:cs="Arial"/>
        </w:rPr>
        <w:t>Now what? - This stage considers the implications and future actions based on the reflection.</w:t>
      </w:r>
    </w:p>
    <w:p w14:paraId="2479533C" w14:textId="6B19C576" w:rsidR="009F778D" w:rsidRPr="007963A4" w:rsidRDefault="009F778D" w:rsidP="00D47C86">
      <w:pPr>
        <w:spacing w:line="360" w:lineRule="auto"/>
        <w:rPr>
          <w:rFonts w:ascii="Arial" w:hAnsi="Arial" w:cs="Arial"/>
          <w:b/>
          <w:bCs/>
          <w:sz w:val="40"/>
          <w:szCs w:val="40"/>
          <w:u w:val="single"/>
        </w:rPr>
      </w:pPr>
      <w:r w:rsidRPr="007963A4">
        <w:rPr>
          <w:rFonts w:ascii="Arial" w:hAnsi="Arial" w:cs="Arial"/>
          <w:b/>
          <w:bCs/>
          <w:sz w:val="40"/>
          <w:szCs w:val="40"/>
          <w:u w:val="single"/>
        </w:rPr>
        <w:t>What?</w:t>
      </w:r>
    </w:p>
    <w:p w14:paraId="58CBE74F" w14:textId="11918D94" w:rsidR="00D47C86" w:rsidRPr="00D47C86" w:rsidRDefault="00856117" w:rsidP="00D47C86">
      <w:pPr>
        <w:spacing w:line="360" w:lineRule="auto"/>
        <w:rPr>
          <w:rFonts w:ascii="Arial" w:hAnsi="Arial" w:cs="Arial"/>
        </w:rPr>
      </w:pPr>
      <w:r w:rsidRPr="00D47C86">
        <w:rPr>
          <w:rFonts w:ascii="Arial" w:hAnsi="Arial" w:cs="Arial"/>
        </w:rPr>
        <w:t>I recently delivered a micro</w:t>
      </w:r>
      <w:r w:rsidR="00D432E5" w:rsidRPr="00D47C86">
        <w:rPr>
          <w:rFonts w:ascii="Arial" w:hAnsi="Arial" w:cs="Arial"/>
        </w:rPr>
        <w:t>-</w:t>
      </w:r>
      <w:r w:rsidRPr="00D47C86">
        <w:rPr>
          <w:rFonts w:ascii="Arial" w:hAnsi="Arial" w:cs="Arial"/>
        </w:rPr>
        <w:t xml:space="preserve">teach session </w:t>
      </w:r>
      <w:r w:rsidR="00AC5309" w:rsidRPr="00D47C86">
        <w:rPr>
          <w:rFonts w:ascii="Arial" w:hAnsi="Arial" w:cs="Arial"/>
        </w:rPr>
        <w:t>about sugar</w:t>
      </w:r>
      <w:r w:rsidR="00AD4527" w:rsidRPr="00D47C86">
        <w:rPr>
          <w:rFonts w:ascii="Arial" w:hAnsi="Arial" w:cs="Arial"/>
        </w:rPr>
        <w:t>,</w:t>
      </w:r>
      <w:r w:rsidRPr="00D47C86">
        <w:rPr>
          <w:rFonts w:ascii="Arial" w:hAnsi="Arial" w:cs="Arial"/>
        </w:rPr>
        <w:t xml:space="preserve"> as a component of my PGCE (PCET) programme. The lesson, which was observed and assessed, received positive feedback from both the observer and participants. The micro</w:t>
      </w:r>
      <w:r w:rsidR="00025FBF" w:rsidRPr="00D47C86">
        <w:rPr>
          <w:rFonts w:ascii="Arial" w:hAnsi="Arial" w:cs="Arial"/>
        </w:rPr>
        <w:t>-</w:t>
      </w:r>
      <w:r w:rsidRPr="00D47C86">
        <w:rPr>
          <w:rFonts w:ascii="Arial" w:hAnsi="Arial" w:cs="Arial"/>
        </w:rPr>
        <w:t xml:space="preserve">teach format presented a unique pedagogical challenge, requiring the </w:t>
      </w:r>
      <w:r w:rsidR="00D77756" w:rsidRPr="00D47C86">
        <w:rPr>
          <w:rFonts w:ascii="Arial" w:hAnsi="Arial" w:cs="Arial"/>
        </w:rPr>
        <w:t>concentration</w:t>
      </w:r>
      <w:r w:rsidRPr="00D47C86">
        <w:rPr>
          <w:rFonts w:ascii="Arial" w:hAnsi="Arial" w:cs="Arial"/>
        </w:rPr>
        <w:t xml:space="preserve"> of a complex topic into a concise, focused session. This aligns with Race's (2014) emphasis on the importance of efficient and effective delivery in adult education. While the Sugar Smart activities are typically designed for primary-aged children, I adapted them for an adult audience, </w:t>
      </w:r>
      <w:r w:rsidR="00313DF9" w:rsidRPr="00D47C86">
        <w:rPr>
          <w:rFonts w:ascii="Arial" w:hAnsi="Arial" w:cs="Arial"/>
        </w:rPr>
        <w:t xml:space="preserve">while </w:t>
      </w:r>
      <w:r w:rsidRPr="00D47C86">
        <w:rPr>
          <w:rFonts w:ascii="Arial" w:hAnsi="Arial" w:cs="Arial"/>
        </w:rPr>
        <w:t>demonstrating the ability to "Plan and deliver effective learning, teaching and assessment" as outlined in the professional standards (</w:t>
      </w:r>
      <w:r w:rsidR="0084431C">
        <w:rPr>
          <w:rFonts w:ascii="Arial" w:hAnsi="Arial" w:cs="Arial"/>
        </w:rPr>
        <w:t>Welsh government</w:t>
      </w:r>
      <w:r w:rsidRPr="00D47C86">
        <w:rPr>
          <w:rFonts w:ascii="Arial" w:hAnsi="Arial" w:cs="Arial"/>
        </w:rPr>
        <w:t>, 2017).</w:t>
      </w:r>
      <w:r w:rsidR="00313DF9" w:rsidRPr="00D47C86">
        <w:rPr>
          <w:rFonts w:ascii="Arial" w:hAnsi="Arial" w:cs="Arial"/>
        </w:rPr>
        <w:t xml:space="preserve"> </w:t>
      </w:r>
      <w:r w:rsidRPr="00D47C86">
        <w:rPr>
          <w:rFonts w:ascii="Arial" w:hAnsi="Arial" w:cs="Arial"/>
        </w:rPr>
        <w:t>This adaptation process required careful consideration of andragogical principles, as discussed by Knowles et al. (20</w:t>
      </w:r>
      <w:r w:rsidR="002144EB">
        <w:rPr>
          <w:rFonts w:ascii="Arial" w:hAnsi="Arial" w:cs="Arial"/>
        </w:rPr>
        <w:t>0</w:t>
      </w:r>
      <w:r w:rsidRPr="00D47C86">
        <w:rPr>
          <w:rFonts w:ascii="Arial" w:hAnsi="Arial" w:cs="Arial"/>
        </w:rPr>
        <w:t>5), ensuring that the content and delivery methods were appropriate and engaging for adult learners. The positive reception suggests that this adaptation was successful, indicating an effective application of adult learning theories in practice.</w:t>
      </w:r>
    </w:p>
    <w:p w14:paraId="31B3C968" w14:textId="62A9B988" w:rsidR="009F778D" w:rsidRPr="007963A4" w:rsidRDefault="009F778D" w:rsidP="00D47C86">
      <w:pPr>
        <w:spacing w:line="360" w:lineRule="auto"/>
        <w:rPr>
          <w:rFonts w:ascii="Arial" w:hAnsi="Arial" w:cs="Arial"/>
          <w:b/>
          <w:bCs/>
          <w:sz w:val="40"/>
          <w:szCs w:val="40"/>
          <w:u w:val="single"/>
        </w:rPr>
      </w:pPr>
      <w:r w:rsidRPr="007963A4">
        <w:rPr>
          <w:rFonts w:ascii="Arial" w:hAnsi="Arial" w:cs="Arial"/>
          <w:b/>
          <w:bCs/>
          <w:sz w:val="40"/>
          <w:szCs w:val="40"/>
          <w:u w:val="single"/>
        </w:rPr>
        <w:t>So What?</w:t>
      </w:r>
      <w:r w:rsidR="0051683B">
        <w:rPr>
          <w:rFonts w:ascii="Arial" w:hAnsi="Arial" w:cs="Arial"/>
          <w:b/>
          <w:bCs/>
          <w:sz w:val="40"/>
          <w:szCs w:val="40"/>
          <w:u w:val="single"/>
        </w:rPr>
        <w:t>4</w:t>
      </w:r>
    </w:p>
    <w:p w14:paraId="63F6FB26" w14:textId="77777777" w:rsidR="009F778D" w:rsidRPr="00D47C86" w:rsidRDefault="009F778D" w:rsidP="00D47C86">
      <w:pPr>
        <w:spacing w:line="360" w:lineRule="auto"/>
        <w:rPr>
          <w:rFonts w:ascii="Arial" w:hAnsi="Arial" w:cs="Arial"/>
          <w:b/>
          <w:bCs/>
        </w:rPr>
      </w:pPr>
      <w:r w:rsidRPr="00D47C86">
        <w:rPr>
          <w:rFonts w:ascii="Arial" w:hAnsi="Arial" w:cs="Arial"/>
          <w:b/>
          <w:bCs/>
        </w:rPr>
        <w:t>Preparation and Planning</w:t>
      </w:r>
    </w:p>
    <w:p w14:paraId="150DD5B2" w14:textId="71CF9CC3" w:rsidR="009F778D" w:rsidRPr="00D47C86" w:rsidRDefault="009F778D" w:rsidP="00D47C86">
      <w:pPr>
        <w:spacing w:line="360" w:lineRule="auto"/>
        <w:rPr>
          <w:rFonts w:ascii="Arial" w:hAnsi="Arial" w:cs="Arial"/>
        </w:rPr>
      </w:pPr>
      <w:r w:rsidRPr="00D47C86">
        <w:rPr>
          <w:rFonts w:ascii="Arial" w:hAnsi="Arial" w:cs="Arial"/>
        </w:rPr>
        <w:t xml:space="preserve">Effective lesson planning is crucial in post-compulsory education, as it ensures that learning objectives are clear and achievable within the given timeframe (Gravells, </w:t>
      </w:r>
      <w:r w:rsidRPr="00D47C86">
        <w:rPr>
          <w:rFonts w:ascii="Arial" w:hAnsi="Arial" w:cs="Arial"/>
        </w:rPr>
        <w:lastRenderedPageBreak/>
        <w:t>2017). In preparing for this micro</w:t>
      </w:r>
      <w:r w:rsidR="00660CDB" w:rsidRPr="00D47C86">
        <w:rPr>
          <w:rFonts w:ascii="Arial" w:hAnsi="Arial" w:cs="Arial"/>
        </w:rPr>
        <w:t>-</w:t>
      </w:r>
      <w:r w:rsidRPr="00D47C86">
        <w:rPr>
          <w:rFonts w:ascii="Arial" w:hAnsi="Arial" w:cs="Arial"/>
        </w:rPr>
        <w:t>teach, I focused on creating a structured lesson plan that outlined key points about sugar, including various types, its effects on health</w:t>
      </w:r>
      <w:r w:rsidR="00742234" w:rsidRPr="00D47C86">
        <w:rPr>
          <w:rFonts w:ascii="Arial" w:hAnsi="Arial" w:cs="Arial"/>
        </w:rPr>
        <w:t xml:space="preserve"> and how much is in popular food and drink items</w:t>
      </w:r>
      <w:r w:rsidRPr="00D47C86">
        <w:rPr>
          <w:rFonts w:ascii="Arial" w:hAnsi="Arial" w:cs="Arial"/>
        </w:rPr>
        <w:t>. This preparation allowed for a smooth flow of information and helped maintain student engagement throughout the session.</w:t>
      </w:r>
    </w:p>
    <w:p w14:paraId="4ECBCEED" w14:textId="77777777" w:rsidR="009F778D" w:rsidRPr="00D47C86" w:rsidRDefault="009F778D" w:rsidP="00D47C86">
      <w:pPr>
        <w:spacing w:line="360" w:lineRule="auto"/>
        <w:rPr>
          <w:rFonts w:ascii="Arial" w:hAnsi="Arial" w:cs="Arial"/>
          <w:b/>
          <w:bCs/>
        </w:rPr>
      </w:pPr>
      <w:r w:rsidRPr="00D47C86">
        <w:rPr>
          <w:rFonts w:ascii="Arial" w:hAnsi="Arial" w:cs="Arial"/>
          <w:b/>
          <w:bCs/>
        </w:rPr>
        <w:t>Engagement Strategies</w:t>
      </w:r>
    </w:p>
    <w:p w14:paraId="23295728" w14:textId="3511F07E" w:rsidR="00B47A43" w:rsidRPr="00D47C86" w:rsidRDefault="009F778D" w:rsidP="00D47C86">
      <w:pPr>
        <w:spacing w:line="360" w:lineRule="auto"/>
        <w:rPr>
          <w:rFonts w:ascii="Arial" w:hAnsi="Arial" w:cs="Arial"/>
        </w:rPr>
      </w:pPr>
      <w:r w:rsidRPr="00D47C86">
        <w:rPr>
          <w:rFonts w:ascii="Arial" w:hAnsi="Arial" w:cs="Arial"/>
        </w:rPr>
        <w:t>Engaging adult learners requires a variety of teaching methods that cater to different learning styles (Rogers and Horrocks, 2010). During the micro</w:t>
      </w:r>
      <w:r w:rsidR="00660CDB" w:rsidRPr="00D47C86">
        <w:rPr>
          <w:rFonts w:ascii="Arial" w:hAnsi="Arial" w:cs="Arial"/>
        </w:rPr>
        <w:t>-</w:t>
      </w:r>
      <w:r w:rsidRPr="00D47C86">
        <w:rPr>
          <w:rFonts w:ascii="Arial" w:hAnsi="Arial" w:cs="Arial"/>
        </w:rPr>
        <w:t xml:space="preserve">teach, </w:t>
      </w:r>
      <w:r w:rsidR="007C2B9E" w:rsidRPr="00D47C86">
        <w:rPr>
          <w:rFonts w:ascii="Arial" w:hAnsi="Arial" w:cs="Arial"/>
        </w:rPr>
        <w:t>I utili</w:t>
      </w:r>
      <w:r w:rsidR="008E4AC6">
        <w:rPr>
          <w:rFonts w:ascii="Arial" w:hAnsi="Arial" w:cs="Arial"/>
        </w:rPr>
        <w:t>s</w:t>
      </w:r>
      <w:r w:rsidR="007C2B9E" w:rsidRPr="00D47C86">
        <w:rPr>
          <w:rFonts w:ascii="Arial" w:hAnsi="Arial" w:cs="Arial"/>
        </w:rPr>
        <w:t>ed a PowerPoint presentation as a visual aid to support the delivery of key concepts and information. This approach caters to visual learners and helps reinforce important points through graphical representation (Race and Pickford, 2007)</w:t>
      </w:r>
      <w:r w:rsidR="0051035E" w:rsidRPr="00D47C86">
        <w:rPr>
          <w:rFonts w:ascii="Arial" w:hAnsi="Arial" w:cs="Arial"/>
        </w:rPr>
        <w:t>.</w:t>
      </w:r>
      <w:r w:rsidR="001569E7" w:rsidRPr="00D47C86">
        <w:rPr>
          <w:rFonts w:ascii="Arial" w:hAnsi="Arial" w:cs="Arial"/>
        </w:rPr>
        <w:t xml:space="preserve"> </w:t>
      </w:r>
      <w:r w:rsidR="005C3B51" w:rsidRPr="00D47C86">
        <w:rPr>
          <w:rFonts w:ascii="Arial" w:hAnsi="Arial" w:cs="Arial"/>
        </w:rPr>
        <w:t>While I received positive feedback from my</w:t>
      </w:r>
      <w:r w:rsidR="00B47A43" w:rsidRPr="00D47C86">
        <w:rPr>
          <w:rFonts w:ascii="Arial" w:hAnsi="Arial" w:cs="Arial"/>
        </w:rPr>
        <w:t xml:space="preserve"> tutor and</w:t>
      </w:r>
      <w:r w:rsidR="005C3B51" w:rsidRPr="00D47C86">
        <w:rPr>
          <w:rFonts w:ascii="Arial" w:hAnsi="Arial" w:cs="Arial"/>
        </w:rPr>
        <w:t xml:space="preserve"> peers regarding my slides, it was noted that incorporating animations could have enhanced participation by allowing learners to provide their answers before I displayed them. This approach would have encouraged more interaction and engagement during the presentation.</w:t>
      </w:r>
      <w:r w:rsidRPr="00D47C86">
        <w:rPr>
          <w:rFonts w:ascii="Arial" w:hAnsi="Arial" w:cs="Arial"/>
        </w:rPr>
        <w:t xml:space="preserve"> </w:t>
      </w:r>
    </w:p>
    <w:p w14:paraId="3DD0481C" w14:textId="55A390D0" w:rsidR="007D5485" w:rsidRPr="00D47C86" w:rsidRDefault="007D5485" w:rsidP="00D47C86">
      <w:pPr>
        <w:spacing w:line="360" w:lineRule="auto"/>
        <w:rPr>
          <w:rFonts w:ascii="Arial" w:hAnsi="Arial" w:cs="Arial"/>
        </w:rPr>
      </w:pPr>
      <w:r w:rsidRPr="00D47C86">
        <w:rPr>
          <w:rFonts w:ascii="Arial" w:hAnsi="Arial" w:cs="Arial"/>
        </w:rPr>
        <w:t>To provide a more immersive and authentic learning experience, I incorporated hands-on activities using actual sugar cubes. This tactile element not only captured the learners' attention but also facilitated experiential learning, which is particularly valuable in adult education contexts (Gregson</w:t>
      </w:r>
      <w:r w:rsidR="00E3494A" w:rsidRPr="00D47C86">
        <w:rPr>
          <w:rFonts w:ascii="Arial" w:hAnsi="Arial" w:cs="Arial"/>
        </w:rPr>
        <w:t xml:space="preserve"> and Hillier</w:t>
      </w:r>
      <w:r w:rsidRPr="00D47C86">
        <w:rPr>
          <w:rFonts w:ascii="Arial" w:hAnsi="Arial" w:cs="Arial"/>
        </w:rPr>
        <w:t>, 20</w:t>
      </w:r>
      <w:r w:rsidR="00E3494A" w:rsidRPr="00D47C86">
        <w:rPr>
          <w:rFonts w:ascii="Arial" w:hAnsi="Arial" w:cs="Arial"/>
        </w:rPr>
        <w:t>15</w:t>
      </w:r>
      <w:r w:rsidRPr="00D47C86">
        <w:rPr>
          <w:rFonts w:ascii="Arial" w:hAnsi="Arial" w:cs="Arial"/>
        </w:rPr>
        <w:t>).</w:t>
      </w:r>
    </w:p>
    <w:p w14:paraId="31DEE206" w14:textId="0B1B9FDB" w:rsidR="009F778D" w:rsidRPr="00D47C86" w:rsidRDefault="009F778D" w:rsidP="00D47C86">
      <w:pPr>
        <w:spacing w:line="360" w:lineRule="auto"/>
        <w:rPr>
          <w:rFonts w:ascii="Arial" w:hAnsi="Arial" w:cs="Arial"/>
          <w:b/>
          <w:bCs/>
        </w:rPr>
      </w:pPr>
      <w:r w:rsidRPr="00D47C86">
        <w:rPr>
          <w:rFonts w:ascii="Arial" w:hAnsi="Arial" w:cs="Arial"/>
          <w:b/>
          <w:bCs/>
        </w:rPr>
        <w:t>Content Relevance</w:t>
      </w:r>
    </w:p>
    <w:p w14:paraId="1006F2F2" w14:textId="459CB70A" w:rsidR="001201DC" w:rsidRPr="00D47C86" w:rsidRDefault="00D66DC7" w:rsidP="00D47C86">
      <w:pPr>
        <w:spacing w:line="360" w:lineRule="auto"/>
        <w:rPr>
          <w:rFonts w:ascii="Arial" w:hAnsi="Arial" w:cs="Arial"/>
        </w:rPr>
      </w:pPr>
      <w:r w:rsidRPr="00D47C86">
        <w:rPr>
          <w:rFonts w:ascii="Arial" w:hAnsi="Arial" w:cs="Arial"/>
        </w:rPr>
        <w:t>The topic of sugar holds direct significance in students' everyday experiences, aligning with the andragogical principles outlined by Knowles et al. (20</w:t>
      </w:r>
      <w:r w:rsidR="00235AB8">
        <w:rPr>
          <w:rFonts w:ascii="Arial" w:hAnsi="Arial" w:cs="Arial"/>
        </w:rPr>
        <w:t>0</w:t>
      </w:r>
      <w:r w:rsidRPr="00D47C86">
        <w:rPr>
          <w:rFonts w:ascii="Arial" w:hAnsi="Arial" w:cs="Arial"/>
        </w:rPr>
        <w:t>5). By linking sugar's health implications to practical dietary decisions, I effectively illustrated the real-world applicability of the shared knowledge. This strategy likely enhanced the lesson's positive reception, as adult learners tend to be more engaged when they perceive the immediate relevance of the presented information (Knowles et al., 20</w:t>
      </w:r>
      <w:r w:rsidR="00235AB8">
        <w:rPr>
          <w:rFonts w:ascii="Arial" w:hAnsi="Arial" w:cs="Arial"/>
        </w:rPr>
        <w:t>0</w:t>
      </w:r>
      <w:r w:rsidRPr="00D47C86">
        <w:rPr>
          <w:rFonts w:ascii="Arial" w:hAnsi="Arial" w:cs="Arial"/>
        </w:rPr>
        <w:t>5). This approach not only facilitated better understanding but also promoted active participation, which is crucial for effective adult learning (Race and Pickford, 2007). By demonstrating the practical utility of the subject matter, the lesson resonated with the learners' need for immediately applicable knowledge, a key aspect of adult education as emphasi</w:t>
      </w:r>
      <w:r w:rsidR="008E4AC6">
        <w:rPr>
          <w:rFonts w:ascii="Arial" w:hAnsi="Arial" w:cs="Arial"/>
        </w:rPr>
        <w:t>s</w:t>
      </w:r>
      <w:r w:rsidRPr="00D47C86">
        <w:rPr>
          <w:rFonts w:ascii="Arial" w:hAnsi="Arial" w:cs="Arial"/>
        </w:rPr>
        <w:t>ed by</w:t>
      </w:r>
      <w:r w:rsidR="00D335C0">
        <w:rPr>
          <w:rFonts w:ascii="Arial" w:hAnsi="Arial" w:cs="Arial"/>
        </w:rPr>
        <w:t xml:space="preserve"> Gregson and</w:t>
      </w:r>
      <w:r w:rsidRPr="00D47C86">
        <w:rPr>
          <w:rFonts w:ascii="Arial" w:hAnsi="Arial" w:cs="Arial"/>
        </w:rPr>
        <w:t xml:space="preserve"> Hillier (20</w:t>
      </w:r>
      <w:r w:rsidR="00D335C0">
        <w:rPr>
          <w:rFonts w:ascii="Arial" w:hAnsi="Arial" w:cs="Arial"/>
        </w:rPr>
        <w:t>1</w:t>
      </w:r>
      <w:r w:rsidRPr="00D47C86">
        <w:rPr>
          <w:rFonts w:ascii="Arial" w:hAnsi="Arial" w:cs="Arial"/>
        </w:rPr>
        <w:t>5).</w:t>
      </w:r>
    </w:p>
    <w:p w14:paraId="498024DB" w14:textId="7A7FB31A" w:rsidR="009F778D" w:rsidRPr="00D47C86" w:rsidRDefault="009F778D" w:rsidP="00D47C86">
      <w:pPr>
        <w:spacing w:line="360" w:lineRule="auto"/>
        <w:rPr>
          <w:rFonts w:ascii="Arial" w:hAnsi="Arial" w:cs="Arial"/>
          <w:b/>
          <w:bCs/>
        </w:rPr>
      </w:pPr>
      <w:r w:rsidRPr="00D47C86">
        <w:rPr>
          <w:rFonts w:ascii="Arial" w:hAnsi="Arial" w:cs="Arial"/>
          <w:b/>
          <w:bCs/>
        </w:rPr>
        <w:lastRenderedPageBreak/>
        <w:t>Time Management</w:t>
      </w:r>
    </w:p>
    <w:p w14:paraId="5412B402" w14:textId="158C1BA9" w:rsidR="009F778D" w:rsidRPr="00D47C86" w:rsidRDefault="009F778D" w:rsidP="00D47C86">
      <w:pPr>
        <w:spacing w:line="360" w:lineRule="auto"/>
        <w:rPr>
          <w:rFonts w:ascii="Arial" w:hAnsi="Arial" w:cs="Arial"/>
        </w:rPr>
      </w:pPr>
      <w:r w:rsidRPr="00D47C86">
        <w:rPr>
          <w:rFonts w:ascii="Arial" w:hAnsi="Arial" w:cs="Arial"/>
        </w:rPr>
        <w:t>Micro</w:t>
      </w:r>
      <w:r w:rsidR="00660CDB" w:rsidRPr="00D47C86">
        <w:rPr>
          <w:rFonts w:ascii="Arial" w:hAnsi="Arial" w:cs="Arial"/>
        </w:rPr>
        <w:t>-</w:t>
      </w:r>
      <w:r w:rsidRPr="00D47C86">
        <w:rPr>
          <w:rFonts w:ascii="Arial" w:hAnsi="Arial" w:cs="Arial"/>
        </w:rPr>
        <w:t>teaching requires precise time management to cover essential points without rushing or overwhelming students. Petty (2014) emphasi</w:t>
      </w:r>
      <w:r w:rsidR="008E4AC6">
        <w:rPr>
          <w:rFonts w:ascii="Arial" w:hAnsi="Arial" w:cs="Arial"/>
        </w:rPr>
        <w:t>s</w:t>
      </w:r>
      <w:r w:rsidRPr="00D47C86">
        <w:rPr>
          <w:rFonts w:ascii="Arial" w:hAnsi="Arial" w:cs="Arial"/>
        </w:rPr>
        <w:t>es the importance of pacing in effective teaching. By carefully allocating time to each segment of the lesson</w:t>
      </w:r>
      <w:r w:rsidR="00EC0ECE" w:rsidRPr="00D47C86">
        <w:rPr>
          <w:rFonts w:ascii="Arial" w:hAnsi="Arial" w:cs="Arial"/>
        </w:rPr>
        <w:t xml:space="preserve">, </w:t>
      </w:r>
      <w:r w:rsidRPr="00D47C86">
        <w:rPr>
          <w:rFonts w:ascii="Arial" w:hAnsi="Arial" w:cs="Arial"/>
        </w:rPr>
        <w:t>introduction, main content delivery, interactive activities, and conclusion</w:t>
      </w:r>
      <w:r w:rsidR="0075718F" w:rsidRPr="00D47C86">
        <w:rPr>
          <w:rFonts w:ascii="Arial" w:hAnsi="Arial" w:cs="Arial"/>
        </w:rPr>
        <w:t xml:space="preserve">. </w:t>
      </w:r>
      <w:r w:rsidR="00EC0ECE" w:rsidRPr="00D47C86">
        <w:rPr>
          <w:rFonts w:ascii="Arial" w:hAnsi="Arial" w:cs="Arial"/>
        </w:rPr>
        <w:t>This is something I need to work on to</w:t>
      </w:r>
      <w:r w:rsidRPr="00D47C86">
        <w:rPr>
          <w:rFonts w:ascii="Arial" w:hAnsi="Arial" w:cs="Arial"/>
        </w:rPr>
        <w:t xml:space="preserve"> maintain a balanced and coherent structure within the limited timeframe.</w:t>
      </w:r>
    </w:p>
    <w:p w14:paraId="6C909162" w14:textId="77777777" w:rsidR="009F778D" w:rsidRPr="00D47C86" w:rsidRDefault="009F778D" w:rsidP="00D47C86">
      <w:pPr>
        <w:spacing w:line="360" w:lineRule="auto"/>
        <w:rPr>
          <w:rFonts w:ascii="Arial" w:hAnsi="Arial" w:cs="Arial"/>
          <w:b/>
          <w:bCs/>
        </w:rPr>
      </w:pPr>
      <w:r w:rsidRPr="00D47C86">
        <w:rPr>
          <w:rFonts w:ascii="Arial" w:hAnsi="Arial" w:cs="Arial"/>
          <w:b/>
          <w:bCs/>
        </w:rPr>
        <w:t>Feedback and Assessment</w:t>
      </w:r>
    </w:p>
    <w:p w14:paraId="72ACBA8F" w14:textId="37AA02CF" w:rsidR="00DB1581" w:rsidRPr="00D47C86" w:rsidRDefault="009F778D" w:rsidP="00D47C86">
      <w:pPr>
        <w:spacing w:line="360" w:lineRule="auto"/>
        <w:rPr>
          <w:rFonts w:ascii="Arial" w:hAnsi="Arial" w:cs="Arial"/>
        </w:rPr>
      </w:pPr>
      <w:r w:rsidRPr="00D47C86">
        <w:rPr>
          <w:rFonts w:ascii="Arial" w:hAnsi="Arial" w:cs="Arial"/>
        </w:rPr>
        <w:t>Although the micro</w:t>
      </w:r>
      <w:r w:rsidR="00660CDB" w:rsidRPr="00D47C86">
        <w:rPr>
          <w:rFonts w:ascii="Arial" w:hAnsi="Arial" w:cs="Arial"/>
        </w:rPr>
        <w:t>-</w:t>
      </w:r>
      <w:r w:rsidRPr="00D47C86">
        <w:rPr>
          <w:rFonts w:ascii="Arial" w:hAnsi="Arial" w:cs="Arial"/>
        </w:rPr>
        <w:t>teach format limited opportunities for extensive assessment</w:t>
      </w:r>
      <w:r w:rsidR="00FE382B" w:rsidRPr="00D47C86">
        <w:rPr>
          <w:rFonts w:ascii="Arial" w:hAnsi="Arial" w:cs="Arial"/>
        </w:rPr>
        <w:t>.</w:t>
      </w:r>
      <w:r w:rsidR="006C56E6" w:rsidRPr="00D47C86">
        <w:rPr>
          <w:rFonts w:ascii="Arial" w:hAnsi="Arial" w:cs="Arial"/>
        </w:rPr>
        <w:t xml:space="preserve"> </w:t>
      </w:r>
      <w:r w:rsidR="009E1988" w:rsidRPr="00D47C86">
        <w:rPr>
          <w:rFonts w:ascii="Arial" w:hAnsi="Arial" w:cs="Arial"/>
        </w:rPr>
        <w:t>I used</w:t>
      </w:r>
      <w:r w:rsidR="006C56E6" w:rsidRPr="00D47C86">
        <w:rPr>
          <w:rFonts w:ascii="Arial" w:hAnsi="Arial" w:cs="Arial"/>
        </w:rPr>
        <w:t xml:space="preserve"> brief formative assessment strategies</w:t>
      </w:r>
      <w:r w:rsidR="009E1988" w:rsidRPr="00D47C86">
        <w:rPr>
          <w:rFonts w:ascii="Arial" w:hAnsi="Arial" w:cs="Arial"/>
        </w:rPr>
        <w:t>, such as</w:t>
      </w:r>
      <w:r w:rsidR="00FE382B" w:rsidRPr="00D47C86">
        <w:rPr>
          <w:rFonts w:ascii="Arial" w:hAnsi="Arial" w:cs="Arial"/>
        </w:rPr>
        <w:t xml:space="preserve"> targeted questioning to gauge prior knowledge and evaluate information retention throughout the session.</w:t>
      </w:r>
      <w:r w:rsidR="00AF49BD" w:rsidRPr="00D47C86">
        <w:rPr>
          <w:rFonts w:ascii="Arial" w:hAnsi="Arial" w:cs="Arial"/>
        </w:rPr>
        <w:t xml:space="preserve"> </w:t>
      </w:r>
      <w:r w:rsidR="00707F5F" w:rsidRPr="00D47C86">
        <w:rPr>
          <w:rFonts w:ascii="Arial" w:hAnsi="Arial" w:cs="Arial"/>
        </w:rPr>
        <w:t>This method of ongoing, informal assessment serves multiple purposes in adult education. As Gregson and Hillier (2015) argue, it enables educators to adapt their teaching in real-time, responding to learners' needs and understanding.</w:t>
      </w:r>
    </w:p>
    <w:p w14:paraId="33D509D9" w14:textId="2D9CC7E0" w:rsidR="009F778D" w:rsidRPr="007963A4" w:rsidRDefault="009F778D" w:rsidP="00D47C86">
      <w:pPr>
        <w:spacing w:line="360" w:lineRule="auto"/>
        <w:rPr>
          <w:rFonts w:ascii="Arial" w:hAnsi="Arial" w:cs="Arial"/>
          <w:b/>
          <w:bCs/>
          <w:sz w:val="40"/>
          <w:szCs w:val="40"/>
          <w:u w:val="single"/>
        </w:rPr>
      </w:pPr>
      <w:r w:rsidRPr="007963A4">
        <w:rPr>
          <w:rFonts w:ascii="Arial" w:hAnsi="Arial" w:cs="Arial"/>
          <w:b/>
          <w:bCs/>
          <w:sz w:val="40"/>
          <w:szCs w:val="40"/>
          <w:u w:val="single"/>
        </w:rPr>
        <w:t>Now What?</w:t>
      </w:r>
    </w:p>
    <w:p w14:paraId="4F6646EC" w14:textId="7954EECD" w:rsidR="00AC5AD5" w:rsidRPr="00AC5AD5" w:rsidRDefault="00AC5AD5" w:rsidP="00D47C86">
      <w:pPr>
        <w:spacing w:line="360" w:lineRule="auto"/>
        <w:rPr>
          <w:rFonts w:ascii="Arial" w:hAnsi="Arial" w:cs="Arial"/>
          <w:b/>
          <w:bCs/>
        </w:rPr>
      </w:pPr>
      <w:r w:rsidRPr="00AC5AD5">
        <w:rPr>
          <w:rFonts w:ascii="Arial" w:hAnsi="Arial" w:cs="Arial"/>
          <w:b/>
          <w:bCs/>
        </w:rPr>
        <w:t>Future Directions</w:t>
      </w:r>
    </w:p>
    <w:p w14:paraId="08C9B5EB" w14:textId="01355A08" w:rsidR="00FE2E22" w:rsidRPr="00D47C86" w:rsidRDefault="00AC5AD5" w:rsidP="00D47C86">
      <w:pPr>
        <w:spacing w:line="360" w:lineRule="auto"/>
        <w:rPr>
          <w:rFonts w:ascii="Arial" w:hAnsi="Arial" w:cs="Arial"/>
        </w:rPr>
      </w:pPr>
      <w:r w:rsidRPr="00AC5AD5">
        <w:rPr>
          <w:rFonts w:ascii="Arial" w:hAnsi="Arial" w:cs="Arial"/>
        </w:rPr>
        <w:t xml:space="preserve">The successful delivery </w:t>
      </w:r>
      <w:r w:rsidR="00567351" w:rsidRPr="00D47C86">
        <w:rPr>
          <w:rFonts w:ascii="Arial" w:hAnsi="Arial" w:cs="Arial"/>
        </w:rPr>
        <w:t xml:space="preserve">and positive feedback </w:t>
      </w:r>
      <w:r w:rsidRPr="00AC5AD5">
        <w:rPr>
          <w:rFonts w:ascii="Arial" w:hAnsi="Arial" w:cs="Arial"/>
        </w:rPr>
        <w:t>of this micro-teach session on sugar has provided valuable insights and opportunities for professional growth in my journey as an educator in the post-compulsory sector. Moving forward, I plan to implement several strategies to enhance my teaching practice:</w:t>
      </w:r>
    </w:p>
    <w:p w14:paraId="38DCB247" w14:textId="4B7CAB70" w:rsidR="00AC5AD5" w:rsidRPr="00AC5AD5" w:rsidRDefault="00AC5AD5" w:rsidP="00D47C86">
      <w:pPr>
        <w:spacing w:line="360" w:lineRule="auto"/>
        <w:rPr>
          <w:rFonts w:ascii="Arial" w:hAnsi="Arial" w:cs="Arial"/>
          <w:b/>
          <w:bCs/>
        </w:rPr>
      </w:pPr>
      <w:r w:rsidRPr="00AC5AD5">
        <w:rPr>
          <w:rFonts w:ascii="Arial" w:hAnsi="Arial" w:cs="Arial"/>
          <w:b/>
          <w:bCs/>
        </w:rPr>
        <w:t>Refine Interactive Elements</w:t>
      </w:r>
    </w:p>
    <w:p w14:paraId="05B0302D" w14:textId="77777777" w:rsidR="00AC5AD5" w:rsidRDefault="00AC5AD5" w:rsidP="00D47C86">
      <w:pPr>
        <w:spacing w:line="360" w:lineRule="auto"/>
        <w:rPr>
          <w:rFonts w:ascii="Arial" w:hAnsi="Arial" w:cs="Arial"/>
        </w:rPr>
      </w:pPr>
      <w:r w:rsidRPr="00AC5AD5">
        <w:rPr>
          <w:rFonts w:ascii="Arial" w:hAnsi="Arial" w:cs="Arial"/>
        </w:rPr>
        <w:t>While the use of sugar cubes as a tactile learning tool was effective, I will explore more sophisticated interactive elements. This could include digital tools or simulations that allow adult learners to engage with the content in ways that are both challenging and relevant to their daily lives. As suggested by Race and Pickford (2007), incorporating varied and interactive teaching methods is crucial for maintaining engagement in adult education.</w:t>
      </w:r>
    </w:p>
    <w:p w14:paraId="2E15B2B0" w14:textId="77777777" w:rsidR="007963A4" w:rsidRDefault="007963A4" w:rsidP="00D47C86">
      <w:pPr>
        <w:spacing w:line="360" w:lineRule="auto"/>
        <w:rPr>
          <w:rFonts w:ascii="Arial" w:hAnsi="Arial" w:cs="Arial"/>
        </w:rPr>
      </w:pPr>
    </w:p>
    <w:p w14:paraId="4BF15F5D" w14:textId="77777777" w:rsidR="007963A4" w:rsidRPr="00AC5AD5" w:rsidRDefault="007963A4" w:rsidP="00D47C86">
      <w:pPr>
        <w:spacing w:line="360" w:lineRule="auto"/>
        <w:rPr>
          <w:rFonts w:ascii="Arial" w:hAnsi="Arial" w:cs="Arial"/>
        </w:rPr>
      </w:pPr>
    </w:p>
    <w:p w14:paraId="5334F4C8" w14:textId="58E95935" w:rsidR="00AC5AD5" w:rsidRPr="00AC5AD5" w:rsidRDefault="00AC5AD5" w:rsidP="00D47C86">
      <w:pPr>
        <w:spacing w:line="360" w:lineRule="auto"/>
        <w:rPr>
          <w:rFonts w:ascii="Arial" w:hAnsi="Arial" w:cs="Arial"/>
        </w:rPr>
      </w:pPr>
      <w:r w:rsidRPr="00AC5AD5">
        <w:rPr>
          <w:rFonts w:ascii="Arial" w:hAnsi="Arial" w:cs="Arial"/>
          <w:b/>
          <w:bCs/>
        </w:rPr>
        <w:lastRenderedPageBreak/>
        <w:t>Enhance Slide Presentations</w:t>
      </w:r>
    </w:p>
    <w:p w14:paraId="6480A881" w14:textId="77777777" w:rsidR="00262BF8" w:rsidRPr="00D47C86" w:rsidRDefault="00AC5AD5" w:rsidP="00D47C86">
      <w:pPr>
        <w:spacing w:line="360" w:lineRule="auto"/>
        <w:rPr>
          <w:rFonts w:ascii="Arial" w:hAnsi="Arial" w:cs="Arial"/>
        </w:rPr>
      </w:pPr>
      <w:r w:rsidRPr="00AC5AD5">
        <w:rPr>
          <w:rFonts w:ascii="Arial" w:hAnsi="Arial" w:cs="Arial"/>
        </w:rPr>
        <w:t>Taking on board the feedback about slide animations, I will invest time in developing more dynamic presentations. This will involve learning advanced PowerPoint techniques to reveal information progressively, supporting a more interactive questioning approach. This aligns with Petty's (2014) emphasis on the importance of pacing and engagement in effective teaching.</w:t>
      </w:r>
    </w:p>
    <w:p w14:paraId="4C1648E1" w14:textId="36CD592C" w:rsidR="00AC5AD5" w:rsidRPr="00AC5AD5" w:rsidRDefault="00AC5AD5" w:rsidP="00D47C86">
      <w:pPr>
        <w:spacing w:line="360" w:lineRule="auto"/>
        <w:rPr>
          <w:rFonts w:ascii="Arial" w:hAnsi="Arial" w:cs="Arial"/>
          <w:b/>
          <w:bCs/>
        </w:rPr>
      </w:pPr>
      <w:r w:rsidRPr="00AC5AD5">
        <w:rPr>
          <w:rFonts w:ascii="Arial" w:hAnsi="Arial" w:cs="Arial"/>
          <w:b/>
          <w:bCs/>
        </w:rPr>
        <w:t>Improve Time Management</w:t>
      </w:r>
    </w:p>
    <w:p w14:paraId="0DF6C006" w14:textId="77777777" w:rsidR="00AC5AD5" w:rsidRPr="00AC5AD5" w:rsidRDefault="00AC5AD5" w:rsidP="00D47C86">
      <w:pPr>
        <w:spacing w:line="360" w:lineRule="auto"/>
        <w:rPr>
          <w:rFonts w:ascii="Arial" w:hAnsi="Arial" w:cs="Arial"/>
        </w:rPr>
      </w:pPr>
      <w:r w:rsidRPr="00AC5AD5">
        <w:rPr>
          <w:rFonts w:ascii="Arial" w:hAnsi="Arial" w:cs="Arial"/>
        </w:rPr>
        <w:t>To address the challenges of time constraints in micro-teaching, I will practice more rigorous time management techniques. This will involve creating more detailed lesson plans with precise time allocations for each segment, as well as incorporating flexibility to adjust based on learner responses. As Gravells (2017) notes, effective time management is crucial for achieving learning objectives within limited timeframes.</w:t>
      </w:r>
    </w:p>
    <w:p w14:paraId="4E316951" w14:textId="03EF327E" w:rsidR="00AC5AD5" w:rsidRPr="00AC5AD5" w:rsidRDefault="00AC5AD5" w:rsidP="00D47C86">
      <w:pPr>
        <w:spacing w:line="360" w:lineRule="auto"/>
        <w:rPr>
          <w:rFonts w:ascii="Arial" w:hAnsi="Arial" w:cs="Arial"/>
          <w:b/>
          <w:bCs/>
        </w:rPr>
      </w:pPr>
      <w:r w:rsidRPr="00AC5AD5">
        <w:rPr>
          <w:rFonts w:ascii="Arial" w:hAnsi="Arial" w:cs="Arial"/>
          <w:b/>
          <w:bCs/>
        </w:rPr>
        <w:t>Expand Assessment Techniques</w:t>
      </w:r>
    </w:p>
    <w:p w14:paraId="58A218AC" w14:textId="77777777" w:rsidR="00AC5AD5" w:rsidRPr="00AC5AD5" w:rsidRDefault="00AC5AD5" w:rsidP="00D47C86">
      <w:pPr>
        <w:spacing w:line="360" w:lineRule="auto"/>
        <w:rPr>
          <w:rFonts w:ascii="Arial" w:hAnsi="Arial" w:cs="Arial"/>
        </w:rPr>
      </w:pPr>
      <w:r w:rsidRPr="00AC5AD5">
        <w:rPr>
          <w:rFonts w:ascii="Arial" w:hAnsi="Arial" w:cs="Arial"/>
        </w:rPr>
        <w:t>While the brief formative assessment techniques used were effective, I aim to expand my repertoire of quick, engaging assessment methods suitable for short teaching sessions. This could include the use of digital polling tools or brief written exercises that can provide immediate feedback on learner understanding.</w:t>
      </w:r>
    </w:p>
    <w:p w14:paraId="5D996CED" w14:textId="24892FD4" w:rsidR="00AC5AD5" w:rsidRPr="00AC5AD5" w:rsidRDefault="00AC5AD5" w:rsidP="00D47C86">
      <w:pPr>
        <w:spacing w:line="360" w:lineRule="auto"/>
        <w:rPr>
          <w:rFonts w:ascii="Arial" w:hAnsi="Arial" w:cs="Arial"/>
          <w:b/>
          <w:bCs/>
        </w:rPr>
      </w:pPr>
      <w:r w:rsidRPr="00AC5AD5">
        <w:rPr>
          <w:rFonts w:ascii="Arial" w:hAnsi="Arial" w:cs="Arial"/>
          <w:b/>
          <w:bCs/>
        </w:rPr>
        <w:t>Deepen Understanding of Adult Learning Theories</w:t>
      </w:r>
    </w:p>
    <w:p w14:paraId="49A9AD8A" w14:textId="77777777" w:rsidR="009A42C1" w:rsidRPr="00D47C86" w:rsidRDefault="00AC5AD5" w:rsidP="00D47C86">
      <w:pPr>
        <w:spacing w:line="360" w:lineRule="auto"/>
        <w:rPr>
          <w:rFonts w:ascii="Arial" w:hAnsi="Arial" w:cs="Arial"/>
        </w:rPr>
      </w:pPr>
      <w:r w:rsidRPr="00AC5AD5">
        <w:rPr>
          <w:rFonts w:ascii="Arial" w:hAnsi="Arial" w:cs="Arial"/>
        </w:rPr>
        <w:t>To build on the successful application of andragogical principles in this session, I will commit to further study of adult learning theories. This will involve engaging with current research and attending professional development workshops to stay updated on best practices in adult education.</w:t>
      </w:r>
    </w:p>
    <w:p w14:paraId="1C2DE30D" w14:textId="5B4BDA99" w:rsidR="009F778D" w:rsidRDefault="009F778D" w:rsidP="009F778D"/>
    <w:p w14:paraId="0072EDEF" w14:textId="77777777" w:rsidR="00F9015D" w:rsidRDefault="00F9015D" w:rsidP="009F778D"/>
    <w:p w14:paraId="344932DF" w14:textId="77777777" w:rsidR="00F9015D" w:rsidRDefault="00F9015D" w:rsidP="009F778D"/>
    <w:p w14:paraId="3F0ECC03" w14:textId="77777777" w:rsidR="00F9015D" w:rsidRDefault="00F9015D" w:rsidP="009F778D"/>
    <w:p w14:paraId="0D3C307B" w14:textId="77777777" w:rsidR="00F9015D" w:rsidRDefault="00F9015D" w:rsidP="009F778D"/>
    <w:p w14:paraId="362BD712" w14:textId="77777777" w:rsidR="00F9015D" w:rsidRDefault="00F9015D" w:rsidP="009F778D"/>
    <w:p w14:paraId="6381E73D" w14:textId="5B5F62B5" w:rsidR="00F9015D" w:rsidRDefault="00F9015D" w:rsidP="009F778D">
      <w:pPr>
        <w:rPr>
          <w:rFonts w:ascii="Arial" w:hAnsi="Arial" w:cs="Arial"/>
          <w:b/>
          <w:bCs/>
          <w:sz w:val="40"/>
          <w:szCs w:val="40"/>
          <w:u w:val="single"/>
        </w:rPr>
      </w:pPr>
      <w:r w:rsidRPr="00F9015D">
        <w:rPr>
          <w:rFonts w:ascii="Arial" w:hAnsi="Arial" w:cs="Arial"/>
          <w:b/>
          <w:bCs/>
          <w:sz w:val="40"/>
          <w:szCs w:val="40"/>
          <w:u w:val="single"/>
        </w:rPr>
        <w:lastRenderedPageBreak/>
        <w:t>Reference list</w:t>
      </w:r>
    </w:p>
    <w:p w14:paraId="4DE8C062" w14:textId="77C6ED2B" w:rsidR="00537646" w:rsidRDefault="00537646" w:rsidP="00631E82">
      <w:r w:rsidRPr="00E2369C">
        <w:t xml:space="preserve">Gravells, A. (2017) </w:t>
      </w:r>
      <w:r w:rsidRPr="00C932F4">
        <w:rPr>
          <w:i/>
          <w:iCs/>
        </w:rPr>
        <w:t>Principles and practices of teaching and training: A guide for teachers and trainers in the FE and skills sector</w:t>
      </w:r>
      <w:r w:rsidRPr="00E2369C">
        <w:t xml:space="preserve">. London: </w:t>
      </w:r>
      <w:r>
        <w:t>Sage</w:t>
      </w:r>
      <w:r w:rsidRPr="00E2369C">
        <w:t>.</w:t>
      </w:r>
    </w:p>
    <w:p w14:paraId="75295D98" w14:textId="77777777" w:rsidR="00537646" w:rsidRDefault="00537646" w:rsidP="00631E82">
      <w:r>
        <w:t xml:space="preserve">Gregson, M and </w:t>
      </w:r>
      <w:r w:rsidRPr="00631E82">
        <w:t>Hillier, Y. (20</w:t>
      </w:r>
      <w:r>
        <w:t>1</w:t>
      </w:r>
      <w:r w:rsidRPr="00631E82">
        <w:t xml:space="preserve">5) </w:t>
      </w:r>
      <w:r w:rsidRPr="00C932F4">
        <w:rPr>
          <w:i/>
          <w:iCs/>
        </w:rPr>
        <w:t>Reflective teaching in further, adult and vocational education</w:t>
      </w:r>
      <w:r>
        <w:t>. 4</w:t>
      </w:r>
      <w:r w:rsidRPr="007A0137">
        <w:rPr>
          <w:vertAlign w:val="superscript"/>
        </w:rPr>
        <w:t>th</w:t>
      </w:r>
      <w:r>
        <w:t xml:space="preserve"> ed</w:t>
      </w:r>
      <w:r w:rsidRPr="00631E82">
        <w:t xml:space="preserve">. London: </w:t>
      </w:r>
      <w:r>
        <w:t>Bloomsburg</w:t>
      </w:r>
      <w:r w:rsidRPr="00631E82">
        <w:t>.</w:t>
      </w:r>
    </w:p>
    <w:p w14:paraId="0F80B60F" w14:textId="6F9C87F2" w:rsidR="003E7238" w:rsidRPr="00631E82" w:rsidRDefault="003E7238" w:rsidP="00631E82">
      <w:r>
        <w:t>Janse</w:t>
      </w:r>
      <w:r w:rsidR="00555DA7">
        <w:t>, B. (2024)</w:t>
      </w:r>
      <w:r w:rsidR="00917A63">
        <w:t xml:space="preserve"> </w:t>
      </w:r>
      <w:r w:rsidR="00917A63" w:rsidRPr="00917A63">
        <w:rPr>
          <w:i/>
          <w:iCs/>
        </w:rPr>
        <w:t>John Driscoll Model of Reflection explained</w:t>
      </w:r>
      <w:r w:rsidR="008B7ECE">
        <w:rPr>
          <w:i/>
          <w:iCs/>
        </w:rPr>
        <w:t>.</w:t>
      </w:r>
      <w:r w:rsidR="00917A63">
        <w:t xml:space="preserve"> </w:t>
      </w:r>
      <w:r w:rsidR="008B7ECE" w:rsidRPr="00F539AD">
        <w:t xml:space="preserve">Available at: </w:t>
      </w:r>
      <w:r w:rsidR="008B7ECE">
        <w:t xml:space="preserve"> </w:t>
      </w:r>
      <w:hyperlink r:id="rId8" w:history="1">
        <w:r w:rsidR="00917A63" w:rsidRPr="00917A63">
          <w:rPr>
            <w:rStyle w:val="Hyperlink"/>
          </w:rPr>
          <w:t xml:space="preserve">John Driscoll Model of Reflection explained - </w:t>
        </w:r>
        <w:proofErr w:type="spellStart"/>
        <w:r w:rsidR="00917A63" w:rsidRPr="00917A63">
          <w:rPr>
            <w:rStyle w:val="Hyperlink"/>
          </w:rPr>
          <w:t>Toolshero</w:t>
        </w:r>
        <w:proofErr w:type="spellEnd"/>
      </w:hyperlink>
      <w:r w:rsidR="008B7ECE">
        <w:t xml:space="preserve"> (</w:t>
      </w:r>
      <w:r w:rsidR="00F375E0">
        <w:t>Accessed: 1 December 2024)</w:t>
      </w:r>
    </w:p>
    <w:p w14:paraId="4EF882EF" w14:textId="77777777" w:rsidR="00537646" w:rsidRDefault="00537646" w:rsidP="00631E82">
      <w:r w:rsidRPr="001A7CFE">
        <w:t>Knowles, M, Holton III, E. and Swanson, R. (20</w:t>
      </w:r>
      <w:r>
        <w:t>0</w:t>
      </w:r>
      <w:r w:rsidRPr="001A7CFE">
        <w:t xml:space="preserve">5) </w:t>
      </w:r>
      <w:r w:rsidRPr="00C932F4">
        <w:rPr>
          <w:i/>
          <w:iCs/>
        </w:rPr>
        <w:t>The Adult Learner: The Definitive Classic in Adult Education and Human Resource Development</w:t>
      </w:r>
      <w:r w:rsidRPr="001A7CFE">
        <w:t xml:space="preserve">. </w:t>
      </w:r>
      <w:r>
        <w:t>6</w:t>
      </w:r>
      <w:r w:rsidRPr="001A7CFE">
        <w:t xml:space="preserve">th ed. London: </w:t>
      </w:r>
      <w:r>
        <w:t>Elsevier</w:t>
      </w:r>
      <w:r w:rsidRPr="001A7CFE">
        <w:t>.</w:t>
      </w:r>
    </w:p>
    <w:p w14:paraId="2EC3E843" w14:textId="25858AC0" w:rsidR="00537646" w:rsidRPr="00631E82" w:rsidRDefault="00537646" w:rsidP="00631E82">
      <w:r w:rsidRPr="003227CA">
        <w:t xml:space="preserve">Petty, G. (2014) </w:t>
      </w:r>
      <w:r w:rsidRPr="00C932F4">
        <w:rPr>
          <w:i/>
          <w:iCs/>
        </w:rPr>
        <w:t>Teaching today: A practical guide</w:t>
      </w:r>
      <w:r>
        <w:rPr>
          <w:i/>
          <w:iCs/>
        </w:rPr>
        <w:t>.</w:t>
      </w:r>
      <w:r w:rsidRPr="003227CA">
        <w:t xml:space="preserve"> 5th ed. Oxford: Oxford University Press.</w:t>
      </w:r>
    </w:p>
    <w:p w14:paraId="2CB21939" w14:textId="77777777" w:rsidR="00537646" w:rsidRDefault="00537646" w:rsidP="00631E82">
      <w:r w:rsidRPr="001A7CFE">
        <w:t xml:space="preserve">Race, P. (2014) </w:t>
      </w:r>
      <w:r w:rsidRPr="00C932F4">
        <w:rPr>
          <w:i/>
          <w:iCs/>
        </w:rPr>
        <w:t>Making Learning Happen: A Guide for Post-Compulsory Education</w:t>
      </w:r>
      <w:r w:rsidRPr="001A7CFE">
        <w:t>. 3rd ed. London: SAGE Publications.</w:t>
      </w:r>
    </w:p>
    <w:p w14:paraId="477E731A" w14:textId="77777777" w:rsidR="00537646" w:rsidRPr="00631E82" w:rsidRDefault="00537646" w:rsidP="00631E82">
      <w:r w:rsidRPr="00631E82">
        <w:t xml:space="preserve">Race, P. and Pickford, R. (2007) </w:t>
      </w:r>
      <w:r w:rsidRPr="00C932F4">
        <w:rPr>
          <w:i/>
          <w:iCs/>
        </w:rPr>
        <w:t>Making Teaching Work: Teaching Strategies and Student Engagement</w:t>
      </w:r>
      <w:r w:rsidRPr="00631E82">
        <w:t>. London: SAGE Publications.</w:t>
      </w:r>
    </w:p>
    <w:p w14:paraId="59128CA7" w14:textId="77777777" w:rsidR="00537646" w:rsidRDefault="00537646" w:rsidP="00631E82">
      <w:r w:rsidRPr="00631E82">
        <w:t xml:space="preserve">Rogers, A. and Horrocks, N. (2010) </w:t>
      </w:r>
      <w:r w:rsidRPr="00C932F4">
        <w:rPr>
          <w:i/>
          <w:iCs/>
        </w:rPr>
        <w:t>Teaching Adults</w:t>
      </w:r>
      <w:r w:rsidRPr="00631E82">
        <w:t>. 4th ed. Maidenhead: Open</w:t>
      </w:r>
      <w:r>
        <w:t xml:space="preserve"> </w:t>
      </w:r>
      <w:r w:rsidRPr="00631E82">
        <w:t>University Press.</w:t>
      </w:r>
    </w:p>
    <w:p w14:paraId="37AAC533" w14:textId="77777777" w:rsidR="00537646" w:rsidRDefault="00537646" w:rsidP="00631E82">
      <w:r>
        <w:t xml:space="preserve">Welsh government (2017) </w:t>
      </w:r>
      <w:r w:rsidRPr="002F7ADC">
        <w:rPr>
          <w:i/>
          <w:iCs/>
        </w:rPr>
        <w:t>P</w:t>
      </w:r>
      <w:r w:rsidRPr="002F7ADC">
        <w:rPr>
          <w:i/>
          <w:iCs/>
        </w:rPr>
        <w:t>rofessional</w:t>
      </w:r>
      <w:r w:rsidRPr="002F7ADC">
        <w:rPr>
          <w:i/>
          <w:iCs/>
        </w:rPr>
        <w:t xml:space="preserve"> </w:t>
      </w:r>
      <w:r w:rsidRPr="002F7ADC">
        <w:rPr>
          <w:i/>
          <w:iCs/>
        </w:rPr>
        <w:t>standards</w:t>
      </w:r>
      <w:r w:rsidRPr="002F7ADC">
        <w:rPr>
          <w:i/>
          <w:iCs/>
        </w:rPr>
        <w:t xml:space="preserve"> </w:t>
      </w:r>
      <w:r w:rsidRPr="002F7ADC">
        <w:rPr>
          <w:i/>
          <w:iCs/>
        </w:rPr>
        <w:t>further</w:t>
      </w:r>
      <w:r w:rsidRPr="002F7ADC">
        <w:rPr>
          <w:i/>
          <w:iCs/>
        </w:rPr>
        <w:t xml:space="preserve"> </w:t>
      </w:r>
      <w:r w:rsidRPr="002F7ADC">
        <w:rPr>
          <w:i/>
          <w:iCs/>
        </w:rPr>
        <w:t>education</w:t>
      </w:r>
      <w:r w:rsidRPr="002F7ADC">
        <w:rPr>
          <w:i/>
          <w:iCs/>
        </w:rPr>
        <w:t xml:space="preserve"> </w:t>
      </w:r>
      <w:r w:rsidRPr="002F7ADC">
        <w:rPr>
          <w:i/>
          <w:iCs/>
        </w:rPr>
        <w:t>teachers</w:t>
      </w:r>
      <w:r w:rsidRPr="002F7ADC">
        <w:rPr>
          <w:i/>
          <w:iCs/>
        </w:rPr>
        <w:t xml:space="preserve"> </w:t>
      </w:r>
      <w:r w:rsidRPr="002F7ADC">
        <w:rPr>
          <w:i/>
          <w:iCs/>
        </w:rPr>
        <w:t>work</w:t>
      </w:r>
      <w:r w:rsidRPr="002F7ADC">
        <w:rPr>
          <w:i/>
          <w:iCs/>
        </w:rPr>
        <w:t xml:space="preserve"> </w:t>
      </w:r>
      <w:r w:rsidRPr="002F7ADC">
        <w:rPr>
          <w:i/>
          <w:iCs/>
        </w:rPr>
        <w:t>based</w:t>
      </w:r>
      <w:r w:rsidRPr="002F7ADC">
        <w:rPr>
          <w:i/>
          <w:iCs/>
        </w:rPr>
        <w:t xml:space="preserve"> </w:t>
      </w:r>
      <w:r w:rsidRPr="002F7ADC">
        <w:rPr>
          <w:i/>
          <w:iCs/>
        </w:rPr>
        <w:t>learning</w:t>
      </w:r>
      <w:r w:rsidRPr="002F7ADC">
        <w:rPr>
          <w:i/>
          <w:iCs/>
        </w:rPr>
        <w:t xml:space="preserve"> </w:t>
      </w:r>
      <w:r w:rsidRPr="002F7ADC">
        <w:rPr>
          <w:i/>
          <w:iCs/>
        </w:rPr>
        <w:t>practitioners</w:t>
      </w:r>
      <w:r w:rsidRPr="002F7ADC">
        <w:rPr>
          <w:i/>
          <w:iCs/>
        </w:rPr>
        <w:t xml:space="preserve"> Wales.</w:t>
      </w:r>
      <w:r>
        <w:t xml:space="preserve"> </w:t>
      </w:r>
      <w:r w:rsidRPr="00F539AD">
        <w:t xml:space="preserve">Available at: </w:t>
      </w:r>
      <w:r>
        <w:t xml:space="preserve"> </w:t>
      </w:r>
      <w:hyperlink r:id="rId9" w:history="1">
        <w:r w:rsidRPr="00871B92">
          <w:rPr>
            <w:rStyle w:val="Hyperlink"/>
          </w:rPr>
          <w:t>professional-standards-further-education-teachers-work-based-learning-practitioners-wales.pdf</w:t>
        </w:r>
      </w:hyperlink>
      <w:r>
        <w:t xml:space="preserve"> </w:t>
      </w:r>
      <w:r w:rsidRPr="00F539AD">
        <w:t xml:space="preserve">(Accessed: </w:t>
      </w:r>
      <w:r>
        <w:t>1 December 2024</w:t>
      </w:r>
      <w:r w:rsidRPr="00F539AD">
        <w:t>).</w:t>
      </w:r>
    </w:p>
    <w:sectPr w:rsidR="0053764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5E645" w14:textId="77777777" w:rsidR="00AA1F97" w:rsidRDefault="00AA1F97" w:rsidP="00AA1F97">
      <w:pPr>
        <w:spacing w:after="0" w:line="240" w:lineRule="auto"/>
      </w:pPr>
      <w:r>
        <w:separator/>
      </w:r>
    </w:p>
  </w:endnote>
  <w:endnote w:type="continuationSeparator" w:id="0">
    <w:p w14:paraId="2898DE06" w14:textId="77777777" w:rsidR="00AA1F97" w:rsidRDefault="00AA1F97" w:rsidP="00AA1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7372881"/>
      <w:docPartObj>
        <w:docPartGallery w:val="Page Numbers (Bottom of Page)"/>
        <w:docPartUnique/>
      </w:docPartObj>
    </w:sdtPr>
    <w:sdtContent>
      <w:p w14:paraId="0FF180E6" w14:textId="7C028EB3" w:rsidR="004C12A1" w:rsidRDefault="004C12A1">
        <w:pPr>
          <w:pStyle w:val="Footer"/>
          <w:jc w:val="right"/>
        </w:pPr>
        <w:r>
          <w:fldChar w:fldCharType="begin"/>
        </w:r>
        <w:r>
          <w:instrText>PAGE   \* MERGEFORMAT</w:instrText>
        </w:r>
        <w:r>
          <w:fldChar w:fldCharType="separate"/>
        </w:r>
        <w:r>
          <w:t>2</w:t>
        </w:r>
        <w:r>
          <w:fldChar w:fldCharType="end"/>
        </w:r>
      </w:p>
    </w:sdtContent>
  </w:sdt>
  <w:p w14:paraId="71C944D1" w14:textId="77777777" w:rsidR="004C12A1" w:rsidRDefault="004C1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271D55" w14:textId="77777777" w:rsidR="00AA1F97" w:rsidRDefault="00AA1F97" w:rsidP="00AA1F97">
      <w:pPr>
        <w:spacing w:after="0" w:line="240" w:lineRule="auto"/>
      </w:pPr>
      <w:r>
        <w:separator/>
      </w:r>
    </w:p>
  </w:footnote>
  <w:footnote w:type="continuationSeparator" w:id="0">
    <w:p w14:paraId="39531AFD" w14:textId="77777777" w:rsidR="00AA1F97" w:rsidRDefault="00AA1F97" w:rsidP="00AA1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DE5A5" w14:textId="79AA34B4" w:rsidR="00AA1F97" w:rsidRDefault="0085443E">
    <w:pPr>
      <w:pStyle w:val="Header"/>
    </w:pPr>
    <w:r>
      <w:t xml:space="preserve">Catherine Salter </w:t>
    </w:r>
    <w:r w:rsidR="00AA1F97">
      <w:ptab w:relativeTo="margin" w:alignment="center" w:leader="none"/>
    </w:r>
    <w:r w:rsidR="009D4955">
      <w:t>2009</w:t>
    </w:r>
    <w:r w:rsidR="00D22799">
      <w:t>547</w:t>
    </w:r>
    <w:r w:rsidR="00AA1F97">
      <w:ptab w:relativeTo="margin" w:alignment="right" w:leader="none"/>
    </w:r>
    <w:r w:rsidR="00DF2155">
      <w:t xml:space="preserve">Teaching </w:t>
    </w:r>
    <w:r w:rsidR="00D22799">
      <w:t>Toolkit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4B2229"/>
    <w:multiLevelType w:val="hybridMultilevel"/>
    <w:tmpl w:val="7B921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9604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78D"/>
    <w:rsid w:val="000177E6"/>
    <w:rsid w:val="00025FBF"/>
    <w:rsid w:val="0003182C"/>
    <w:rsid w:val="00033E22"/>
    <w:rsid w:val="00037A62"/>
    <w:rsid w:val="00043161"/>
    <w:rsid w:val="000914A6"/>
    <w:rsid w:val="000B0B7C"/>
    <w:rsid w:val="000B4D26"/>
    <w:rsid w:val="000C0F4D"/>
    <w:rsid w:val="001201DC"/>
    <w:rsid w:val="001510F8"/>
    <w:rsid w:val="001569E7"/>
    <w:rsid w:val="00180994"/>
    <w:rsid w:val="001A7CFE"/>
    <w:rsid w:val="001C32D2"/>
    <w:rsid w:val="001E70D4"/>
    <w:rsid w:val="0020431C"/>
    <w:rsid w:val="002144EB"/>
    <w:rsid w:val="00235AB8"/>
    <w:rsid w:val="00262BF8"/>
    <w:rsid w:val="002F7ADC"/>
    <w:rsid w:val="003105DD"/>
    <w:rsid w:val="00313DF9"/>
    <w:rsid w:val="003227CA"/>
    <w:rsid w:val="0036432A"/>
    <w:rsid w:val="003E7238"/>
    <w:rsid w:val="003F34B3"/>
    <w:rsid w:val="00414B91"/>
    <w:rsid w:val="00457BC2"/>
    <w:rsid w:val="00474595"/>
    <w:rsid w:val="00483050"/>
    <w:rsid w:val="00490945"/>
    <w:rsid w:val="004C12A1"/>
    <w:rsid w:val="004D1B67"/>
    <w:rsid w:val="004F250C"/>
    <w:rsid w:val="00502FC2"/>
    <w:rsid w:val="0051035E"/>
    <w:rsid w:val="0051683B"/>
    <w:rsid w:val="00523113"/>
    <w:rsid w:val="00530292"/>
    <w:rsid w:val="00537646"/>
    <w:rsid w:val="00555DA7"/>
    <w:rsid w:val="00567351"/>
    <w:rsid w:val="005B1085"/>
    <w:rsid w:val="005B36E4"/>
    <w:rsid w:val="005B5097"/>
    <w:rsid w:val="005C3B51"/>
    <w:rsid w:val="00617A9F"/>
    <w:rsid w:val="00631E82"/>
    <w:rsid w:val="00636136"/>
    <w:rsid w:val="006409CF"/>
    <w:rsid w:val="00660CDB"/>
    <w:rsid w:val="00684172"/>
    <w:rsid w:val="006C56E6"/>
    <w:rsid w:val="006F5ACD"/>
    <w:rsid w:val="00707F5F"/>
    <w:rsid w:val="00742234"/>
    <w:rsid w:val="007447C4"/>
    <w:rsid w:val="0075718F"/>
    <w:rsid w:val="007963A4"/>
    <w:rsid w:val="007A0137"/>
    <w:rsid w:val="007A4F0A"/>
    <w:rsid w:val="007A76BB"/>
    <w:rsid w:val="007C2B9E"/>
    <w:rsid w:val="007D5485"/>
    <w:rsid w:val="0082021B"/>
    <w:rsid w:val="00827545"/>
    <w:rsid w:val="0084431C"/>
    <w:rsid w:val="0085443E"/>
    <w:rsid w:val="00856117"/>
    <w:rsid w:val="00871B92"/>
    <w:rsid w:val="00875F37"/>
    <w:rsid w:val="008B7ECE"/>
    <w:rsid w:val="008C41D6"/>
    <w:rsid w:val="008E4AC6"/>
    <w:rsid w:val="008F76C3"/>
    <w:rsid w:val="00917A63"/>
    <w:rsid w:val="0099724A"/>
    <w:rsid w:val="009A42C1"/>
    <w:rsid w:val="009D4955"/>
    <w:rsid w:val="009E1988"/>
    <w:rsid w:val="009F36CA"/>
    <w:rsid w:val="009F778D"/>
    <w:rsid w:val="00A24258"/>
    <w:rsid w:val="00A544CA"/>
    <w:rsid w:val="00A5751E"/>
    <w:rsid w:val="00AA1F97"/>
    <w:rsid w:val="00AC3142"/>
    <w:rsid w:val="00AC5309"/>
    <w:rsid w:val="00AC5AD5"/>
    <w:rsid w:val="00AD4527"/>
    <w:rsid w:val="00AE5B11"/>
    <w:rsid w:val="00AF12F2"/>
    <w:rsid w:val="00AF2B6A"/>
    <w:rsid w:val="00AF49BD"/>
    <w:rsid w:val="00B47852"/>
    <w:rsid w:val="00B47A43"/>
    <w:rsid w:val="00C139C0"/>
    <w:rsid w:val="00C26391"/>
    <w:rsid w:val="00C5057C"/>
    <w:rsid w:val="00C932F4"/>
    <w:rsid w:val="00CB2C7E"/>
    <w:rsid w:val="00CE3F1C"/>
    <w:rsid w:val="00D02A66"/>
    <w:rsid w:val="00D22799"/>
    <w:rsid w:val="00D335C0"/>
    <w:rsid w:val="00D432E5"/>
    <w:rsid w:val="00D47C86"/>
    <w:rsid w:val="00D61DCF"/>
    <w:rsid w:val="00D66DC7"/>
    <w:rsid w:val="00D77756"/>
    <w:rsid w:val="00DB1581"/>
    <w:rsid w:val="00DB3CCB"/>
    <w:rsid w:val="00DD2C83"/>
    <w:rsid w:val="00DF2155"/>
    <w:rsid w:val="00E04E1C"/>
    <w:rsid w:val="00E2369C"/>
    <w:rsid w:val="00E3494A"/>
    <w:rsid w:val="00E35015"/>
    <w:rsid w:val="00E4158B"/>
    <w:rsid w:val="00EA40DA"/>
    <w:rsid w:val="00EB2F4C"/>
    <w:rsid w:val="00EB73CC"/>
    <w:rsid w:val="00EC0223"/>
    <w:rsid w:val="00EC0ECE"/>
    <w:rsid w:val="00F05919"/>
    <w:rsid w:val="00F222DC"/>
    <w:rsid w:val="00F30ED6"/>
    <w:rsid w:val="00F375E0"/>
    <w:rsid w:val="00F539AD"/>
    <w:rsid w:val="00F9015D"/>
    <w:rsid w:val="00FB691D"/>
    <w:rsid w:val="00FE2E22"/>
    <w:rsid w:val="00FE3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EED9E"/>
  <w15:chartTrackingRefBased/>
  <w15:docId w15:val="{BD2B6A51-D640-4D16-9C1F-805F856C3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7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77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77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77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77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77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77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77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77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7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77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77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77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77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77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7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7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78D"/>
    <w:rPr>
      <w:rFonts w:eastAsiaTheme="majorEastAsia" w:cstheme="majorBidi"/>
      <w:color w:val="272727" w:themeColor="text1" w:themeTint="D8"/>
    </w:rPr>
  </w:style>
  <w:style w:type="paragraph" w:styleId="Title">
    <w:name w:val="Title"/>
    <w:basedOn w:val="Normal"/>
    <w:next w:val="Normal"/>
    <w:link w:val="TitleChar"/>
    <w:uiPriority w:val="10"/>
    <w:qFormat/>
    <w:rsid w:val="009F77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7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7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7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78D"/>
    <w:pPr>
      <w:spacing w:before="160"/>
      <w:jc w:val="center"/>
    </w:pPr>
    <w:rPr>
      <w:i/>
      <w:iCs/>
      <w:color w:val="404040" w:themeColor="text1" w:themeTint="BF"/>
    </w:rPr>
  </w:style>
  <w:style w:type="character" w:customStyle="1" w:styleId="QuoteChar">
    <w:name w:val="Quote Char"/>
    <w:basedOn w:val="DefaultParagraphFont"/>
    <w:link w:val="Quote"/>
    <w:uiPriority w:val="29"/>
    <w:rsid w:val="009F778D"/>
    <w:rPr>
      <w:i/>
      <w:iCs/>
      <w:color w:val="404040" w:themeColor="text1" w:themeTint="BF"/>
    </w:rPr>
  </w:style>
  <w:style w:type="paragraph" w:styleId="ListParagraph">
    <w:name w:val="List Paragraph"/>
    <w:basedOn w:val="Normal"/>
    <w:uiPriority w:val="34"/>
    <w:qFormat/>
    <w:rsid w:val="009F778D"/>
    <w:pPr>
      <w:ind w:left="720"/>
      <w:contextualSpacing/>
    </w:pPr>
  </w:style>
  <w:style w:type="character" w:styleId="IntenseEmphasis">
    <w:name w:val="Intense Emphasis"/>
    <w:basedOn w:val="DefaultParagraphFont"/>
    <w:uiPriority w:val="21"/>
    <w:qFormat/>
    <w:rsid w:val="009F778D"/>
    <w:rPr>
      <w:i/>
      <w:iCs/>
      <w:color w:val="0F4761" w:themeColor="accent1" w:themeShade="BF"/>
    </w:rPr>
  </w:style>
  <w:style w:type="paragraph" w:styleId="IntenseQuote">
    <w:name w:val="Intense Quote"/>
    <w:basedOn w:val="Normal"/>
    <w:next w:val="Normal"/>
    <w:link w:val="IntenseQuoteChar"/>
    <w:uiPriority w:val="30"/>
    <w:qFormat/>
    <w:rsid w:val="009F7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778D"/>
    <w:rPr>
      <w:i/>
      <w:iCs/>
      <w:color w:val="0F4761" w:themeColor="accent1" w:themeShade="BF"/>
    </w:rPr>
  </w:style>
  <w:style w:type="character" w:styleId="IntenseReference">
    <w:name w:val="Intense Reference"/>
    <w:basedOn w:val="DefaultParagraphFont"/>
    <w:uiPriority w:val="32"/>
    <w:qFormat/>
    <w:rsid w:val="009F778D"/>
    <w:rPr>
      <w:b/>
      <w:bCs/>
      <w:smallCaps/>
      <w:color w:val="0F4761" w:themeColor="accent1" w:themeShade="BF"/>
      <w:spacing w:val="5"/>
    </w:rPr>
  </w:style>
  <w:style w:type="paragraph" w:styleId="Header">
    <w:name w:val="header"/>
    <w:basedOn w:val="Normal"/>
    <w:link w:val="HeaderChar"/>
    <w:uiPriority w:val="99"/>
    <w:unhideWhenUsed/>
    <w:rsid w:val="00AA1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F97"/>
  </w:style>
  <w:style w:type="paragraph" w:styleId="Footer">
    <w:name w:val="footer"/>
    <w:basedOn w:val="Normal"/>
    <w:link w:val="FooterChar"/>
    <w:uiPriority w:val="99"/>
    <w:unhideWhenUsed/>
    <w:rsid w:val="00AA1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F97"/>
  </w:style>
  <w:style w:type="character" w:styleId="Hyperlink">
    <w:name w:val="Hyperlink"/>
    <w:basedOn w:val="DefaultParagraphFont"/>
    <w:uiPriority w:val="99"/>
    <w:unhideWhenUsed/>
    <w:rsid w:val="00871B92"/>
    <w:rPr>
      <w:color w:val="467886" w:themeColor="hyperlink"/>
      <w:u w:val="single"/>
    </w:rPr>
  </w:style>
  <w:style w:type="character" w:styleId="UnresolvedMention">
    <w:name w:val="Unresolved Mention"/>
    <w:basedOn w:val="DefaultParagraphFont"/>
    <w:uiPriority w:val="99"/>
    <w:semiHidden/>
    <w:unhideWhenUsed/>
    <w:rsid w:val="00871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438219">
      <w:bodyDiv w:val="1"/>
      <w:marLeft w:val="0"/>
      <w:marRight w:val="0"/>
      <w:marTop w:val="0"/>
      <w:marBottom w:val="0"/>
      <w:divBdr>
        <w:top w:val="none" w:sz="0" w:space="0" w:color="auto"/>
        <w:left w:val="none" w:sz="0" w:space="0" w:color="auto"/>
        <w:bottom w:val="none" w:sz="0" w:space="0" w:color="auto"/>
        <w:right w:val="none" w:sz="0" w:space="0" w:color="auto"/>
      </w:divBdr>
    </w:div>
    <w:div w:id="153734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personal-development/john-driscoll-model-of-reflect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wb.gov.wales/storage/460a740a-7bf1-4c7b-b4ae-348ae380879b/professional-standards-further-education-teachers-work-based-learning-practitioners-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6AFD2-527D-4204-8DA4-17C497DA7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2810</TotalTime>
  <Pages>5</Pages>
  <Words>1359</Words>
  <Characters>7747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Salter</dc:creator>
  <cp:keywords/>
  <dc:description/>
  <cp:lastModifiedBy>Cat Salter</cp:lastModifiedBy>
  <cp:revision>133</cp:revision>
  <dcterms:created xsi:type="dcterms:W3CDTF">2024-12-04T21:18:00Z</dcterms:created>
  <dcterms:modified xsi:type="dcterms:W3CDTF">2024-12-06T21:14:00Z</dcterms:modified>
</cp:coreProperties>
</file>