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84D1B">
      <w:pPr>
        <w:pStyle w:val="2"/>
        <w:bidi w:val="0"/>
        <w:jc w:val="center"/>
        <w:rPr>
          <w:rFonts w:hint="default" w:ascii="Times New Roman" w:hAnsi="Times New Roman" w:cs="Times New Roman"/>
        </w:rPr>
      </w:pPr>
      <w:r>
        <w:rPr>
          <w:rFonts w:hint="default" w:ascii="Times New Roman" w:hAnsi="Times New Roman" w:cs="Times New Roman"/>
        </w:rPr>
        <w:t>A Correlation Study of MBTI Personality Types and English Writing Strategies</w:t>
      </w:r>
    </w:p>
    <w:p w14:paraId="62D37D4D">
      <w:pPr>
        <w:pStyle w:val="2"/>
        <w:numPr>
          <w:ilvl w:val="0"/>
          <w:numId w:val="1"/>
        </w:numPr>
        <w:bidi w:val="0"/>
        <w:rPr>
          <w:rFonts w:hint="default" w:ascii="Times New Roman" w:hAnsi="Times New Roman" w:cs="Times New Roman"/>
        </w:rPr>
      </w:pPr>
      <w:r>
        <w:rPr>
          <w:rFonts w:hint="default" w:ascii="Times New Roman" w:hAnsi="Times New Roman" w:cs="Times New Roman"/>
        </w:rPr>
        <w:t>Aims of the Investigation</w:t>
      </w:r>
    </w:p>
    <w:p w14:paraId="7736D039">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This study aim</w:t>
      </w:r>
      <w:r>
        <w:rPr>
          <w:rFonts w:hint="default" w:ascii="Times New Roman" w:hAnsi="Times New Roman" w:eastAsia="宋体" w:cs="Times New Roman"/>
          <w:b w:val="0"/>
          <w:bCs/>
          <w:sz w:val="24"/>
          <w:szCs w:val="24"/>
          <w:lang w:val="en-US" w:eastAsia="zh-CN"/>
        </w:rPr>
        <w:t>s</w:t>
      </w:r>
      <w:r>
        <w:rPr>
          <w:rFonts w:hint="default" w:ascii="Times New Roman" w:hAnsi="Times New Roman" w:cs="Times New Roman"/>
          <w:b w:val="0"/>
          <w:bCs/>
          <w:sz w:val="24"/>
          <w:szCs w:val="24"/>
        </w:rPr>
        <w:t xml:space="preserve"> to investigate the relationship between personality types—classified according to the Myers-Briggs Type Indicator (MBTI)—and the use of Language Learning Strategies (LLS) among learners of English as a Foreign Language (EFL).</w:t>
      </w:r>
    </w:p>
    <w:p w14:paraId="446D520E">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trike/>
          <w:dstrike w:val="0"/>
          <w:sz w:val="24"/>
          <w:szCs w:val="24"/>
        </w:rPr>
      </w:pPr>
      <w:r>
        <w:rPr>
          <w:rFonts w:hint="default" w:ascii="Times New Roman" w:hAnsi="Times New Roman" w:cs="Times New Roman"/>
          <w:b w:val="0"/>
          <w:bCs/>
          <w:sz w:val="24"/>
          <w:szCs w:val="24"/>
        </w:rPr>
        <w:t>It will further seek to generate pedagogical insights relevant to the field of Teaching English as a Foreign Language (TEFL). In particular, the findings are expected to shed light on how individual personality traits may influence learners’ strategic preferences, thereby offering guidance for the implementation of differentiated instruction and the promotion of learner autonomy in EFL classrooms.</w:t>
      </w:r>
    </w:p>
    <w:p w14:paraId="13AA7405">
      <w:pPr>
        <w:pStyle w:val="2"/>
        <w:numPr>
          <w:ilvl w:val="0"/>
          <w:numId w:val="1"/>
        </w:numPr>
        <w:bidi w:val="0"/>
        <w:rPr>
          <w:rFonts w:hint="default" w:ascii="Times New Roman" w:hAnsi="Times New Roman" w:cs="Times New Roman"/>
        </w:rPr>
      </w:pPr>
      <w:r>
        <w:rPr>
          <w:rFonts w:hint="default" w:ascii="Times New Roman" w:hAnsi="Times New Roman" w:cs="Times New Roman"/>
        </w:rPr>
        <w:t>The Rationale and Main Conceptual Themes</w:t>
      </w:r>
    </w:p>
    <w:p w14:paraId="31F621A1">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The MBTI</w:t>
      </w:r>
    </w:p>
    <w:p w14:paraId="572ECAAC">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The Myers-Briggs Type Indicator (MBTI), developed by Isabel Briggs Myers and Katherine Briggs during the Second World War, is grounded in Carl Jung’s theory of psychological types. Since its development, the MBTI has become one of the most widely applied personality assessment tools, used extensively in vocational guidance, educational contexts, and psychotherapy. It has also been increasingly adopted in language learning research to explore the role of personality in learners’ cognitive and behavioural patterns.</w:t>
      </w:r>
    </w:p>
    <w:p w14:paraId="648DB8BE">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eastAsia="宋体" w:cs="Times New Roman"/>
          <w:b w:val="0"/>
          <w:bCs/>
          <w:sz w:val="24"/>
          <w:szCs w:val="24"/>
          <w:lang w:val="en-US" w:eastAsia="zh-CN"/>
        </w:rPr>
      </w:pPr>
      <w:r>
        <w:rPr>
          <w:rFonts w:hint="default" w:ascii="Times New Roman" w:hAnsi="Times New Roman" w:cs="Times New Roman"/>
          <w:b w:val="0"/>
          <w:bCs/>
          <w:sz w:val="24"/>
          <w:szCs w:val="24"/>
        </w:rPr>
        <w:t>The MBTI is designed to assess individuals and generate descriptive profiles based on their personality preferences. It comprises four dichotomous dimensions, each representing a continuum between two opposing traits:</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Extraversion (E) vs. Introversion (I)</w:t>
      </w:r>
      <w:r>
        <w:rPr>
          <w:rStyle w:val="10"/>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Sensing (S) vs. Intuition (N)</w:t>
      </w:r>
      <w:r>
        <w:rPr>
          <w:rStyle w:val="10"/>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Thinking (T) vs. Feeling (F)</w:t>
      </w:r>
      <w:r>
        <w:rPr>
          <w:rStyle w:val="10"/>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Judging (J) vs. Perceiving (P)</w:t>
      </w:r>
      <w:r>
        <w:rPr>
          <w:rStyle w:val="10"/>
          <w:rFonts w:hint="default" w:ascii="Times New Roman" w:hAnsi="Times New Roman" w:eastAsia="宋体" w:cs="Times New Roman"/>
          <w:b w:val="0"/>
          <w:bCs/>
          <w:sz w:val="24"/>
          <w:szCs w:val="24"/>
          <w:lang w:val="en-US" w:eastAsia="zh-CN"/>
        </w:rPr>
        <w:t>.</w:t>
      </w:r>
    </w:p>
    <w:p w14:paraId="3790803A">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These four dimensions combine to form sixteen distinct personality types, such as ISTJ, ENFP, or INFJ. For instance, an individual identified as INFJ is characterised by a preference for Introversion, Intuition, Feeling, and Judging. Importantly, these classifications do not imply superiority or inferiority; rather, they reflect the environments and conditions in which individuals are most comfortable and function most effectively (Furnham &amp; Medhurst</w:t>
      </w:r>
      <w:r>
        <w:rPr>
          <w:rFonts w:hint="default" w:ascii="Times New Roman" w:hAnsi="Times New Roman" w:eastAsia="宋体" w:cs="Times New Roman"/>
          <w:b w:val="0"/>
          <w:bCs/>
          <w:sz w:val="24"/>
          <w:szCs w:val="24"/>
          <w:lang w:val="en-US" w:eastAsia="zh-CN"/>
        </w:rPr>
        <w:t>, 1995</w:t>
      </w:r>
      <w:r>
        <w:rPr>
          <w:rFonts w:hint="default" w:ascii="Times New Roman" w:hAnsi="Times New Roman" w:cs="Times New Roman"/>
          <w:b w:val="0"/>
          <w:bCs/>
          <w:sz w:val="24"/>
          <w:szCs w:val="24"/>
        </w:rPr>
        <w:t>).</w:t>
      </w:r>
    </w:p>
    <w:p w14:paraId="3F48AE8E">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eastAsia="宋体" w:cs="Times New Roman"/>
          <w:b w:val="0"/>
          <w:bCs/>
          <w:sz w:val="24"/>
          <w:szCs w:val="24"/>
          <w:lang w:val="en-US" w:eastAsia="zh-CN"/>
        </w:rPr>
      </w:pPr>
      <w:r>
        <w:rPr>
          <w:rFonts w:hint="default" w:ascii="Times New Roman" w:hAnsi="Times New Roman" w:cs="Times New Roman"/>
          <w:b w:val="0"/>
          <w:bCs/>
          <w:sz w:val="24"/>
          <w:szCs w:val="24"/>
        </w:rPr>
        <w:t>To better understand how MBTI personality preferences influence learning, it is useful to briefly examine the core characteristics of each dimension</w:t>
      </w:r>
      <w:r>
        <w:rPr>
          <w:rFonts w:hint="default" w:ascii="Times New Roman" w:hAnsi="Times New Roman" w:eastAsia="宋体" w:cs="Times New Roman"/>
          <w:b w:val="0"/>
          <w:bCs/>
          <w:sz w:val="24"/>
          <w:szCs w:val="24"/>
          <w:lang w:val="en-US" w:eastAsia="zh-CN"/>
        </w:rPr>
        <w:t>:</w:t>
      </w:r>
    </w:p>
    <w:p w14:paraId="3C39F0C7">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Style w:val="10"/>
          <w:rFonts w:hint="default" w:ascii="Times New Roman" w:hAnsi="Times New Roman" w:cs="Times New Roman"/>
          <w:b w:val="0"/>
          <w:bCs/>
          <w:sz w:val="24"/>
          <w:szCs w:val="24"/>
        </w:rPr>
        <w:t>Extroversion vs. Introversion</w:t>
      </w:r>
      <w:r>
        <w:rPr>
          <w:rFonts w:hint="default" w:ascii="Times New Roman" w:hAnsi="Times New Roman" w:cs="Times New Roman"/>
          <w:b w:val="0"/>
          <w:bCs/>
          <w:sz w:val="24"/>
          <w:szCs w:val="24"/>
        </w:rPr>
        <w:t>: Extroverts are energised by interaction, favouring discussion and collaborative tasks. Introverts prefer solitude and deep reflection, excelling in independent, structured learning.</w:t>
      </w:r>
    </w:p>
    <w:p w14:paraId="6BE4DF42">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Style w:val="10"/>
          <w:rFonts w:hint="default" w:ascii="Times New Roman" w:hAnsi="Times New Roman" w:cs="Times New Roman"/>
          <w:b w:val="0"/>
          <w:bCs/>
          <w:sz w:val="24"/>
          <w:szCs w:val="24"/>
        </w:rPr>
        <w:t>Sensing vs. Intuition</w:t>
      </w:r>
      <w:r>
        <w:rPr>
          <w:rFonts w:hint="default" w:ascii="Times New Roman" w:hAnsi="Times New Roman" w:cs="Times New Roman"/>
          <w:b w:val="0"/>
          <w:bCs/>
          <w:sz w:val="24"/>
          <w:szCs w:val="24"/>
        </w:rPr>
        <w:t>: Sensing types focus on concrete details and practical facts, while Intuitive individuals are drawn to patterns, theories, and abstract ideas.</w:t>
      </w:r>
    </w:p>
    <w:p w14:paraId="37EC05F3">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Style w:val="10"/>
          <w:rFonts w:hint="default" w:ascii="Times New Roman" w:hAnsi="Times New Roman" w:cs="Times New Roman"/>
          <w:b w:val="0"/>
          <w:bCs/>
          <w:sz w:val="24"/>
          <w:szCs w:val="24"/>
        </w:rPr>
        <w:t>Thinking vs. Feeling</w:t>
      </w:r>
      <w:r>
        <w:rPr>
          <w:rFonts w:hint="default" w:ascii="Times New Roman" w:hAnsi="Times New Roman" w:cs="Times New Roman"/>
          <w:b w:val="0"/>
          <w:bCs/>
          <w:sz w:val="24"/>
          <w:szCs w:val="24"/>
        </w:rPr>
        <w:t>: Thinkers prioritise logic and objectivity, often making decisions based on principles. In contrast, Feelers emphasise empathy and relationships, seeking harmony in their environment.</w:t>
      </w:r>
    </w:p>
    <w:p w14:paraId="2144E882">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Style w:val="10"/>
          <w:rFonts w:hint="default" w:ascii="Times New Roman" w:hAnsi="Times New Roman" w:cs="Times New Roman"/>
          <w:b w:val="0"/>
          <w:bCs/>
          <w:sz w:val="24"/>
          <w:szCs w:val="24"/>
        </w:rPr>
        <w:t>Judging vs. Perceiving</w:t>
      </w:r>
      <w:r>
        <w:rPr>
          <w:rFonts w:hint="default" w:ascii="Times New Roman" w:hAnsi="Times New Roman" w:cs="Times New Roman"/>
          <w:b w:val="0"/>
          <w:bCs/>
          <w:sz w:val="24"/>
          <w:szCs w:val="24"/>
        </w:rPr>
        <w:t>: Judging individuals value structure and planning, working methodically to meet deadlines. Perceivers, however, are flexible and spontaneous, preferring adaptability over rigid organisation.</w:t>
      </w:r>
    </w:p>
    <w:p w14:paraId="59DCFE6E">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These traits are expected to influence how learners engage with tasks and respond to instructional styles. Understanding such differences will provide the foundation for exploring how personality interacts with language learning strategies in this study.</w:t>
      </w:r>
    </w:p>
    <w:p w14:paraId="06477BD5">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eastAsia="宋体" w:cs="Times New Roman"/>
          <w:b w:val="0"/>
          <w:bCs/>
          <w:strike/>
          <w:dstrike w:val="0"/>
          <w:color w:val="0000FF"/>
          <w:kern w:val="0"/>
          <w:sz w:val="24"/>
          <w:szCs w:val="24"/>
          <w:lang w:val="en-US" w:eastAsia="zh-CN" w:bidi="ar"/>
        </w:rPr>
      </w:pPr>
      <w:r>
        <w:rPr>
          <w:rFonts w:hint="default" w:ascii="Times New Roman" w:hAnsi="Times New Roman" w:cs="Times New Roman"/>
          <w:b w:val="0"/>
          <w:bCs/>
          <w:sz w:val="24"/>
          <w:szCs w:val="24"/>
        </w:rPr>
        <w:t>In the context of education, the MBTI will be used in this study to support learners in recognising their preferred approaches to learning. It is also expected to help them understand and adapt to diverse teaching styles. For example, a student with a Sensing preference—who tends to value concrete facts and structured instruction—may find it challenging to engage with an Intuitive teacher who focuses on abstract concepts and theoretical exploration. Understanding such differences can encourage learners to adopt strategies that bridge the gap between their learning preferences and the instructional styles they encounter.</w:t>
      </w:r>
    </w:p>
    <w:p w14:paraId="43E2D1CD">
      <w:pPr>
        <w:pStyle w:val="3"/>
        <w:numPr>
          <w:ilvl w:val="1"/>
          <w:numId w:val="1"/>
        </w:numPr>
        <w:bidi w:val="0"/>
        <w:rPr>
          <w:rFonts w:hint="default" w:ascii="Times New Roman" w:hAnsi="Times New Roman" w:cs="Times New Roman"/>
        </w:rPr>
      </w:pPr>
      <w:r>
        <w:rPr>
          <w:rFonts w:hint="default" w:ascii="Times New Roman" w:hAnsi="Times New Roman" w:cs="Times New Roman"/>
          <w:lang w:val="en-US" w:eastAsia="zh-CN"/>
        </w:rPr>
        <w:t>Curry’s “Onion Model”</w:t>
      </w:r>
    </w:p>
    <w:p w14:paraId="21927283">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Over a five-year period of research conducted across the United States and Europe, Curry (1983) developed the well-known “onion model” for classifying cognitive and learning styles. This model was based on an extensive psychometric analysis of 21 learning style theories and associated instruments. According to Curry, learning behaviour is primarily governed by personality traits at the core, which are then mediated by cognitive processing preferences in the intermediate layer, and finally shaped by environmental interactions in the outermost layer (Curry, 1983).</w:t>
      </w:r>
    </w:p>
    <w:p w14:paraId="77387C4E">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Within this framework, instruments such as the Myers-Briggs Type Indicator (MBTI) are identified as effective tools for assessing personality preferences, which represent the innermost layer of the model. In the present study, the MBTI will be employed to measure these core personality traits. As personality preferences are positioned at the centre of the model, they are believed to play a fundamental role in directing learners’ behaviours—affecting how individuals perceive information, process input, solve problems, and make decisions. Consequently, personality is expected to have a significant influence on the ways in which learners approach and engage with the learning process.</w:t>
      </w:r>
    </w:p>
    <w:p w14:paraId="1FA30EE6">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drawing>
          <wp:inline distT="0" distB="0" distL="114300" distR="114300">
            <wp:extent cx="5273040" cy="1706245"/>
            <wp:effectExtent l="0" t="0" r="10160" b="825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5273040" cy="1706245"/>
                    </a:xfrm>
                    <a:prstGeom prst="rect">
                      <a:avLst/>
                    </a:prstGeom>
                    <a:noFill/>
                    <a:ln>
                      <a:noFill/>
                    </a:ln>
                  </pic:spPr>
                </pic:pic>
              </a:graphicData>
            </a:graphic>
          </wp:inline>
        </w:drawing>
      </w:r>
    </w:p>
    <w:p w14:paraId="29D35BD8">
      <w:pPr>
        <w:pStyle w:val="7"/>
        <w:keepNext w:val="0"/>
        <w:keepLines w:val="0"/>
        <w:widowControl/>
        <w:suppressLineNumbers w:val="0"/>
        <w:spacing w:before="0" w:beforeAutospacing="1" w:after="0" w:afterAutospacing="1"/>
        <w:ind w:left="0" w:right="0" w:firstLine="482" w:firstLineChars="200"/>
        <w:jc w:val="center"/>
        <w:rPr>
          <w:rFonts w:hint="default" w:ascii="Times New Roman" w:hAnsi="Times New Roman" w:eastAsia="宋体" w:cs="Times New Roman"/>
          <w:b/>
          <w:bCs w:val="0"/>
          <w:sz w:val="24"/>
          <w:szCs w:val="24"/>
          <w:lang w:val="en-US" w:eastAsia="zh-CN"/>
        </w:rPr>
      </w:pPr>
      <w:r>
        <w:rPr>
          <w:rFonts w:hint="default" w:ascii="Times New Roman" w:hAnsi="Times New Roman" w:eastAsia="宋体" w:cs="Times New Roman"/>
          <w:b/>
          <w:bCs w:val="0"/>
          <w:sz w:val="24"/>
          <w:szCs w:val="24"/>
          <w:lang w:val="en-US" w:eastAsia="zh-CN"/>
        </w:rPr>
        <w:t>Figure 1. Curry’s Onion Model</w:t>
      </w:r>
    </w:p>
    <w:p w14:paraId="56DB8723">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Learning Strategies</w:t>
      </w:r>
    </w:p>
    <w:p w14:paraId="7DAB6E18">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A variety of definitions of language learning strategies (LLSs) have been proposed by different scholars over the past decades. Although there is no universally agreed-upon definition, most descriptions emphasise the intentional, learner-directed nature of these strategies.</w:t>
      </w:r>
    </w:p>
    <w:p w14:paraId="2783B485">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Oxford and Ehrman (1995) described learning strategies as the specific steps learners take to enhance their learning outcomes. Similarly, Oxford (1990) argued that learning strategies play a particularly vital role in language acquisition, as they function as tools for active, autonomous involvement—both of which are considered essential for the development of communicative competence.</w:t>
      </w:r>
      <w:r>
        <w:rPr>
          <w:rFonts w:hint="default" w:ascii="Times New Roman" w:hAnsi="Times New Roman" w:eastAsia="宋体" w:cs="Times New Roman"/>
          <w:b w:val="0"/>
          <w:bCs/>
          <w:sz w:val="24"/>
          <w:szCs w:val="24"/>
          <w:lang w:val="en-US" w:eastAsia="zh-CN"/>
        </w:rPr>
        <w:t xml:space="preserve"> </w:t>
      </w:r>
      <w:r>
        <w:rPr>
          <w:rFonts w:hint="default" w:ascii="Times New Roman" w:hAnsi="Times New Roman" w:cs="Times New Roman"/>
          <w:b w:val="0"/>
          <w:bCs/>
          <w:sz w:val="24"/>
          <w:szCs w:val="24"/>
        </w:rPr>
        <w:t>Mitchell and Myles (1998) defined language learning strategies as the techniques or procedures that learners adopt in order to maximise the effectiveness of their language use. In a related perspective, O'Malley and Chamot (1990) characterised them as “the special thoughts or behaviours that individuals use to help them comprehend, learn, or retain new information”. Oxford (1990) further elaborated on this definition by emphasising that strategies are the deliberate actions taken by learners to make language learning more efficient, enjoyable, focused, and transferable to novel contexts.</w:t>
      </w:r>
    </w:p>
    <w:p w14:paraId="5D067323">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Despite the diversity of terminology, it is generally acknowledged that learning strategies are closely linked to learners' cognitive and behavioural engagement with the language acquisition process. Ellis (1994) offered a broader conceptualisation, suggesting that learning strategies involve mental or behavioural activities associated with specific stages of language learning or use. From this perspective, writing strategies may be understood as the behaviours or techniques learners employ during particular stages of the writing process—such as planning, drafting, and revising—when composing texts in English.</w:t>
      </w:r>
    </w:p>
    <w:p w14:paraId="44645EDA">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In this study, Oxford’s (1990) influential classification of LLSs will be adopted. This framework divides learning strategies into six major categories: memory, cognitive, compensation, metacognitive, affective, and social strategies. The first three—memory, cognitive, and compensation—are referred to as </w:t>
      </w:r>
      <w:r>
        <w:rPr>
          <w:rStyle w:val="11"/>
          <w:rFonts w:hint="default" w:ascii="Times New Roman" w:hAnsi="Times New Roman" w:cs="Times New Roman"/>
          <w:b w:val="0"/>
          <w:bCs/>
          <w:sz w:val="24"/>
          <w:szCs w:val="24"/>
        </w:rPr>
        <w:t>direct strategies</w:t>
      </w:r>
      <w:r>
        <w:rPr>
          <w:rFonts w:hint="default" w:ascii="Times New Roman" w:hAnsi="Times New Roman" w:cs="Times New Roman"/>
          <w:b w:val="0"/>
          <w:bCs/>
          <w:sz w:val="24"/>
          <w:szCs w:val="24"/>
        </w:rPr>
        <w:t xml:space="preserve">, as they require the learner to engage directly with the target language through mental processing. The remaining three—metacognitive, affective, and social strategies—are classified as </w:t>
      </w:r>
      <w:r>
        <w:rPr>
          <w:rStyle w:val="11"/>
          <w:rFonts w:hint="default" w:ascii="Times New Roman" w:hAnsi="Times New Roman" w:cs="Times New Roman"/>
          <w:b w:val="0"/>
          <w:bCs/>
          <w:sz w:val="24"/>
          <w:szCs w:val="24"/>
        </w:rPr>
        <w:t>indirect strategies</w:t>
      </w:r>
      <w:r>
        <w:rPr>
          <w:rFonts w:hint="default" w:ascii="Times New Roman" w:hAnsi="Times New Roman" w:cs="Times New Roman"/>
          <w:b w:val="0"/>
          <w:bCs/>
          <w:sz w:val="24"/>
          <w:szCs w:val="24"/>
        </w:rPr>
        <w:t>, which offer supportive conditions for learning without involving language use directly.</w:t>
      </w:r>
    </w:p>
    <w:p w14:paraId="16292AF9">
      <w:pPr>
        <w:pStyle w:val="7"/>
        <w:keepNext w:val="0"/>
        <w:keepLines w:val="0"/>
        <w:widowControl/>
        <w:suppressLineNumbers w:val="0"/>
        <w:spacing w:before="0" w:beforeAutospacing="1" w:after="0" w:afterAutospacing="1"/>
        <w:ind w:left="0" w:right="0" w:firstLine="482" w:firstLineChars="200"/>
        <w:jc w:val="center"/>
        <w:rPr>
          <w:rFonts w:hint="default" w:ascii="Times New Roman" w:hAnsi="Times New Roman" w:eastAsia="宋体" w:cs="Times New Roman"/>
          <w:b/>
          <w:bCs w:val="0"/>
          <w:sz w:val="24"/>
          <w:szCs w:val="24"/>
          <w:lang w:val="en-US" w:eastAsia="zh-CN"/>
        </w:rPr>
      </w:pPr>
      <w:r>
        <w:rPr>
          <w:rFonts w:hint="default" w:ascii="Times New Roman" w:hAnsi="Times New Roman" w:eastAsia="宋体" w:cs="Times New Roman"/>
          <w:b/>
          <w:bCs w:val="0"/>
          <w:sz w:val="24"/>
          <w:szCs w:val="24"/>
          <w:lang w:val="en-US" w:eastAsia="zh-CN"/>
        </w:rPr>
        <w:t xml:space="preserve">Table 1. The </w:t>
      </w:r>
      <w:r>
        <w:rPr>
          <w:rFonts w:hint="default" w:ascii="Times New Roman" w:hAnsi="Times New Roman" w:cs="Times New Roman"/>
          <w:b/>
          <w:bCs w:val="0"/>
          <w:sz w:val="24"/>
          <w:szCs w:val="24"/>
        </w:rPr>
        <w:t xml:space="preserve">classification </w:t>
      </w:r>
      <w:r>
        <w:rPr>
          <w:rFonts w:hint="default" w:ascii="Times New Roman" w:hAnsi="Times New Roman" w:eastAsia="宋体" w:cs="Times New Roman"/>
          <w:b/>
          <w:bCs w:val="0"/>
          <w:sz w:val="24"/>
          <w:szCs w:val="24"/>
          <w:lang w:val="en-US" w:eastAsia="zh-CN"/>
        </w:rPr>
        <w:t xml:space="preserve">of </w:t>
      </w:r>
      <w:r>
        <w:rPr>
          <w:rFonts w:hint="default" w:ascii="Times New Roman" w:hAnsi="Times New Roman" w:cs="Times New Roman"/>
          <w:b/>
          <w:bCs w:val="0"/>
          <w:sz w:val="24"/>
          <w:szCs w:val="24"/>
          <w:lang w:val="en-US" w:eastAsia="zh-CN"/>
        </w:rPr>
        <w:t>Learning Strategies</w:t>
      </w:r>
    </w:p>
    <w:tbl>
      <w:tblPr>
        <w:tblStyle w:val="8"/>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697"/>
        <w:gridCol w:w="3895"/>
      </w:tblGrid>
      <w:tr w14:paraId="17732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35" w:hRule="atLeast"/>
          <w:jc w:val="center"/>
        </w:trPr>
        <w:tc>
          <w:tcPr>
            <w:tcW w:w="2733" w:type="pct"/>
            <w:tcBorders>
              <w:top w:val="single" w:color="000000" w:sz="4" w:space="0"/>
              <w:left w:val="single" w:color="000000" w:sz="4" w:space="0"/>
              <w:bottom w:val="single" w:color="000000" w:sz="4" w:space="0"/>
              <w:right w:val="single" w:color="999999" w:sz="4" w:space="0"/>
            </w:tcBorders>
            <w:shd w:val="clear" w:color="auto" w:fill="000000"/>
            <w:tcMar>
              <w:top w:w="72" w:type="dxa"/>
              <w:left w:w="144" w:type="dxa"/>
              <w:bottom w:w="72" w:type="dxa"/>
              <w:right w:w="144" w:type="dxa"/>
            </w:tcMar>
            <w:vAlign w:val="top"/>
          </w:tcPr>
          <w:p w14:paraId="621A0DCA">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FFFFFF"/>
                <w:sz w:val="24"/>
                <w:szCs w:val="24"/>
              </w:rPr>
              <w:t>Generic Strategy Classification</w:t>
            </w:r>
          </w:p>
        </w:tc>
        <w:tc>
          <w:tcPr>
            <w:tcW w:w="2266" w:type="pct"/>
            <w:tcBorders>
              <w:top w:val="single" w:color="000000" w:sz="4" w:space="0"/>
              <w:left w:val="single" w:color="000000" w:sz="4" w:space="0"/>
              <w:bottom w:val="single" w:color="000000" w:sz="4" w:space="0"/>
              <w:right w:val="single" w:color="999999" w:sz="4" w:space="0"/>
            </w:tcBorders>
            <w:shd w:val="clear" w:color="auto" w:fill="000000"/>
            <w:tcMar>
              <w:top w:w="72" w:type="dxa"/>
              <w:left w:w="144" w:type="dxa"/>
              <w:bottom w:w="72" w:type="dxa"/>
              <w:right w:w="144" w:type="dxa"/>
            </w:tcMar>
            <w:vAlign w:val="top"/>
          </w:tcPr>
          <w:p w14:paraId="48EA28D2">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FFFFFF"/>
                <w:sz w:val="24"/>
                <w:szCs w:val="24"/>
              </w:rPr>
              <w:t>Representative Strategies</w:t>
            </w:r>
          </w:p>
        </w:tc>
      </w:tr>
      <w:tr w14:paraId="5A063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jc w:val="center"/>
        </w:trPr>
        <w:tc>
          <w:tcPr>
            <w:tcW w:w="2733" w:type="pct"/>
            <w:vMerge w:val="restart"/>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1A4AC03A">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Direct Strategies</w:t>
            </w:r>
          </w:p>
        </w:tc>
        <w:tc>
          <w:tcPr>
            <w:tcW w:w="2266" w:type="pct"/>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4BDF665F">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Memory Strategies</w:t>
            </w:r>
          </w:p>
        </w:tc>
      </w:tr>
      <w:tr w14:paraId="340C8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jc w:val="center"/>
        </w:trPr>
        <w:tc>
          <w:tcPr>
            <w:tcW w:w="2733" w:type="pct"/>
            <w:vMerge w:val="continue"/>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42CC5BEF">
            <w:pPr>
              <w:jc w:val="left"/>
              <w:rPr>
                <w:rFonts w:hint="default" w:ascii="Times New Roman" w:hAnsi="Times New Roman" w:cs="Times New Roman"/>
                <w:b w:val="0"/>
                <w:bCs/>
                <w:sz w:val="24"/>
                <w:szCs w:val="24"/>
              </w:rPr>
            </w:pPr>
          </w:p>
        </w:tc>
        <w:tc>
          <w:tcPr>
            <w:tcW w:w="2266" w:type="pct"/>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172FBDE3">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Cognitive Strategies</w:t>
            </w:r>
          </w:p>
        </w:tc>
      </w:tr>
      <w:tr w14:paraId="50033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jc w:val="center"/>
        </w:trPr>
        <w:tc>
          <w:tcPr>
            <w:tcW w:w="2733" w:type="pct"/>
            <w:vMerge w:val="continue"/>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200A0C1B">
            <w:pPr>
              <w:jc w:val="left"/>
              <w:rPr>
                <w:rFonts w:hint="default" w:ascii="Times New Roman" w:hAnsi="Times New Roman" w:cs="Times New Roman"/>
                <w:b w:val="0"/>
                <w:bCs/>
                <w:sz w:val="24"/>
                <w:szCs w:val="24"/>
              </w:rPr>
            </w:pPr>
          </w:p>
        </w:tc>
        <w:tc>
          <w:tcPr>
            <w:tcW w:w="2266" w:type="pct"/>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2754404D">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Compensation Strategies</w:t>
            </w:r>
          </w:p>
        </w:tc>
      </w:tr>
      <w:tr w14:paraId="64DF0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jc w:val="center"/>
        </w:trPr>
        <w:tc>
          <w:tcPr>
            <w:tcW w:w="2733" w:type="pct"/>
            <w:vMerge w:val="restart"/>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6F596F1C">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Indirect Strategies</w:t>
            </w:r>
          </w:p>
        </w:tc>
        <w:tc>
          <w:tcPr>
            <w:tcW w:w="2266" w:type="pct"/>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3F845F15">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Metacognitive Strategies</w:t>
            </w:r>
          </w:p>
        </w:tc>
      </w:tr>
      <w:tr w14:paraId="6325E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8" w:hRule="atLeast"/>
          <w:jc w:val="center"/>
        </w:trPr>
        <w:tc>
          <w:tcPr>
            <w:tcW w:w="2733" w:type="pct"/>
            <w:vMerge w:val="continue"/>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66D8E910">
            <w:pPr>
              <w:jc w:val="left"/>
              <w:rPr>
                <w:rFonts w:hint="default" w:ascii="Times New Roman" w:hAnsi="Times New Roman" w:cs="Times New Roman"/>
                <w:b w:val="0"/>
                <w:bCs/>
                <w:sz w:val="24"/>
                <w:szCs w:val="24"/>
              </w:rPr>
            </w:pPr>
          </w:p>
        </w:tc>
        <w:tc>
          <w:tcPr>
            <w:tcW w:w="2266" w:type="pct"/>
            <w:tcBorders>
              <w:top w:val="single" w:color="000000" w:sz="4" w:space="0"/>
              <w:left w:val="single" w:color="000000" w:sz="4" w:space="0"/>
              <w:bottom w:val="single" w:color="000000" w:sz="4" w:space="0"/>
              <w:right w:val="single" w:color="999999" w:sz="4" w:space="0"/>
            </w:tcBorders>
            <w:shd w:val="clear" w:color="auto" w:fill="FFFFFF"/>
            <w:tcMar>
              <w:top w:w="72" w:type="dxa"/>
              <w:left w:w="144" w:type="dxa"/>
              <w:bottom w:w="72" w:type="dxa"/>
              <w:right w:w="144" w:type="dxa"/>
            </w:tcMar>
            <w:vAlign w:val="top"/>
          </w:tcPr>
          <w:p w14:paraId="4C2A89DA">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Affective Strategies</w:t>
            </w:r>
          </w:p>
        </w:tc>
      </w:tr>
      <w:tr w14:paraId="6FD31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4" w:hRule="atLeast"/>
          <w:jc w:val="center"/>
        </w:trPr>
        <w:tc>
          <w:tcPr>
            <w:tcW w:w="2733" w:type="pct"/>
            <w:vMerge w:val="continue"/>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18887514">
            <w:pPr>
              <w:jc w:val="left"/>
              <w:rPr>
                <w:rFonts w:hint="default" w:ascii="Times New Roman" w:hAnsi="Times New Roman" w:cs="Times New Roman"/>
                <w:b w:val="0"/>
                <w:bCs/>
                <w:sz w:val="24"/>
                <w:szCs w:val="24"/>
              </w:rPr>
            </w:pPr>
          </w:p>
        </w:tc>
        <w:tc>
          <w:tcPr>
            <w:tcW w:w="2266" w:type="pct"/>
            <w:tcBorders>
              <w:top w:val="single" w:color="000000" w:sz="4" w:space="0"/>
              <w:left w:val="single" w:color="000000" w:sz="4" w:space="0"/>
              <w:bottom w:val="single" w:color="000000" w:sz="4" w:space="0"/>
              <w:right w:val="single" w:color="999999" w:sz="4" w:space="0"/>
            </w:tcBorders>
            <w:shd w:val="clear" w:color="auto" w:fill="999999"/>
            <w:tcMar>
              <w:top w:w="72" w:type="dxa"/>
              <w:left w:w="144" w:type="dxa"/>
              <w:bottom w:w="72" w:type="dxa"/>
              <w:right w:w="144" w:type="dxa"/>
            </w:tcMar>
            <w:vAlign w:val="top"/>
          </w:tcPr>
          <w:p w14:paraId="7C9ED33B">
            <w:pPr>
              <w:pStyle w:val="7"/>
              <w:keepNext w:val="0"/>
              <w:keepLines w:val="0"/>
              <w:widowControl/>
              <w:suppressLineNumbers w:val="0"/>
              <w:kinsoku/>
              <w:wordWrap/>
              <w:overflowPunct/>
              <w:jc w:val="left"/>
              <w:rPr>
                <w:rFonts w:hint="default" w:ascii="Times New Roman" w:hAnsi="Times New Roman" w:cs="Times New Roman"/>
                <w:b w:val="0"/>
                <w:bCs/>
                <w:sz w:val="24"/>
                <w:szCs w:val="24"/>
              </w:rPr>
            </w:pPr>
            <w:r>
              <w:rPr>
                <w:rFonts w:hint="default" w:ascii="Times New Roman" w:hAnsi="Times New Roman" w:cs="Times New Roman"/>
                <w:b w:val="0"/>
                <w:bCs/>
                <w:color w:val="000000"/>
                <w:sz w:val="24"/>
                <w:szCs w:val="24"/>
              </w:rPr>
              <w:t>Social Strategies</w:t>
            </w:r>
          </w:p>
        </w:tc>
      </w:tr>
    </w:tbl>
    <w:p w14:paraId="7834CA48">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lang w:val="en-US" w:eastAsia="zh-CN"/>
        </w:rPr>
      </w:pPr>
      <w:r>
        <w:rPr>
          <w:rStyle w:val="10"/>
          <w:rFonts w:hint="default" w:ascii="Times New Roman" w:hAnsi="Times New Roman" w:eastAsia="宋体" w:cs="Times New Roman"/>
          <w:b w:val="0"/>
          <w:bCs/>
          <w:sz w:val="24"/>
          <w:szCs w:val="24"/>
          <w:lang w:val="en-US" w:eastAsia="zh-CN"/>
        </w:rPr>
        <w:t>To be specific, m</w:t>
      </w:r>
      <w:r>
        <w:rPr>
          <w:rStyle w:val="10"/>
          <w:rFonts w:hint="default" w:ascii="Times New Roman" w:hAnsi="Times New Roman" w:cs="Times New Roman"/>
          <w:b w:val="0"/>
          <w:bCs/>
          <w:sz w:val="24"/>
          <w:szCs w:val="24"/>
        </w:rPr>
        <w:t>emory strategies</w:t>
      </w:r>
      <w:r>
        <w:rPr>
          <w:rFonts w:hint="default" w:ascii="Times New Roman" w:hAnsi="Times New Roman" w:cs="Times New Roman"/>
          <w:b w:val="0"/>
          <w:bCs/>
          <w:sz w:val="24"/>
          <w:szCs w:val="24"/>
        </w:rPr>
        <w:t xml:space="preserve"> help learners store and retrieve information through techniques such as grouping, associating images, using mnemonics, and physical actions.</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Compensation strategies</w:t>
      </w:r>
      <w:r>
        <w:rPr>
          <w:rFonts w:hint="default" w:ascii="Times New Roman" w:hAnsi="Times New Roman" w:cs="Times New Roman"/>
          <w:b w:val="0"/>
          <w:bCs/>
          <w:sz w:val="24"/>
          <w:szCs w:val="24"/>
        </w:rPr>
        <w:t xml:space="preserve"> enable learners to communicate despite gaps in their knowledge. These include intelligent guessing, using synonyms, or finding alternative ways to express ideas.</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Cognitive strategies</w:t>
      </w:r>
      <w:r>
        <w:rPr>
          <w:rFonts w:hint="default" w:ascii="Times New Roman" w:hAnsi="Times New Roman" w:cs="Times New Roman"/>
          <w:b w:val="0"/>
          <w:bCs/>
          <w:sz w:val="24"/>
          <w:szCs w:val="24"/>
        </w:rPr>
        <w:t xml:space="preserve"> involve direct interaction with the language, such as practising, summarising, analysing, and organising information to enhance understanding and production.</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Metacognitive strategies</w:t>
      </w:r>
      <w:r>
        <w:rPr>
          <w:rFonts w:hint="default" w:ascii="Times New Roman" w:hAnsi="Times New Roman" w:cs="Times New Roman"/>
          <w:b w:val="0"/>
          <w:bCs/>
          <w:sz w:val="24"/>
          <w:szCs w:val="24"/>
        </w:rPr>
        <w:t xml:space="preserve"> support learners in managing their learning. These include setting goals, planning tasks, and evaluating progress.</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Social strategies</w:t>
      </w:r>
      <w:r>
        <w:rPr>
          <w:rFonts w:hint="default" w:ascii="Times New Roman" w:hAnsi="Times New Roman" w:cs="Times New Roman"/>
          <w:b w:val="0"/>
          <w:bCs/>
          <w:sz w:val="24"/>
          <w:szCs w:val="24"/>
        </w:rPr>
        <w:t xml:space="preserve"> rely on interpersonal interaction, such as asking questions, collaborating with peers, and developing empathy to support language use in social contexts.</w:t>
      </w:r>
      <w:r>
        <w:rPr>
          <w:rFonts w:hint="default" w:ascii="Times New Roman" w:hAnsi="Times New Roman" w:eastAsia="宋体" w:cs="Times New Roman"/>
          <w:b w:val="0"/>
          <w:bCs/>
          <w:sz w:val="24"/>
          <w:szCs w:val="24"/>
          <w:lang w:val="en-US" w:eastAsia="zh-CN"/>
        </w:rPr>
        <w:t xml:space="preserve"> </w:t>
      </w:r>
      <w:r>
        <w:rPr>
          <w:rStyle w:val="10"/>
          <w:rFonts w:hint="default" w:ascii="Times New Roman" w:hAnsi="Times New Roman" w:cs="Times New Roman"/>
          <w:b w:val="0"/>
          <w:bCs/>
          <w:sz w:val="24"/>
          <w:szCs w:val="24"/>
        </w:rPr>
        <w:t>Affective strategies</w:t>
      </w:r>
      <w:r>
        <w:rPr>
          <w:rFonts w:hint="default" w:ascii="Times New Roman" w:hAnsi="Times New Roman" w:cs="Times New Roman"/>
          <w:b w:val="0"/>
          <w:bCs/>
          <w:sz w:val="24"/>
          <w:szCs w:val="24"/>
        </w:rPr>
        <w:t xml:space="preserve"> help learners regulate their emotions, motivation, and attitudes. Techniques include positive self-talk, keeping a reflective journal, and anxiety-reduction practices.</w:t>
      </w:r>
    </w:p>
    <w:p w14:paraId="6D5FACE4">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The Overall Rationale and Significance</w:t>
      </w:r>
    </w:p>
    <w:p w14:paraId="152FA5BA">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The rationale and significance of this study can be summarised as follows:</w:t>
      </w:r>
    </w:p>
    <w:p w14:paraId="49D78ED3">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In recent years, the Myers-Briggs Type Indicator (MBTI) has gained widespread popularity, particularly among younger learners, and has become a well-recognised personality classification tool. Given that MBTI enjoys a high level of awareness and acceptance among students, designing writing instruction strategies based on MBTI personality types may enhance students’ engagement and motivation, ultimately improving the quality of teaching and learning outcomes.</w:t>
      </w:r>
    </w:p>
    <w:p w14:paraId="53699FF4">
      <w:pPr>
        <w:jc w:val="left"/>
        <w:rPr>
          <w:rFonts w:hint="default" w:ascii="Times New Roman" w:hAnsi="Times New Roman" w:cs="Times New Roman"/>
          <w:b w:val="0"/>
          <w:bCs/>
          <w:sz w:val="24"/>
          <w:szCs w:val="24"/>
          <w:lang w:val="en-US" w:eastAsia="zh-CN"/>
        </w:rPr>
      </w:pPr>
    </w:p>
    <w:p w14:paraId="7E840037">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Although it may not be feasible to categorise students strictly according to their MBTI types in classroom settings, instructors can implement differentiated teaching strategies in lesson planning, task design, and homework assignments. By offering personalised options tailored to different MBTI personality types, students can select writing strategies that align with their individual traits. This approach has the potential to not only enrich students’ learning experiences but also strengthen their writing skills, contributing to overall improvements in instructional effectiveness.</w:t>
      </w:r>
    </w:p>
    <w:p w14:paraId="51CFD6EE">
      <w:pPr>
        <w:pStyle w:val="2"/>
        <w:numPr>
          <w:ilvl w:val="0"/>
          <w:numId w:val="1"/>
        </w:numPr>
        <w:bidi w:val="0"/>
        <w:rPr>
          <w:rFonts w:hint="default" w:ascii="Times New Roman" w:hAnsi="Times New Roman" w:cs="Times New Roman"/>
        </w:rPr>
      </w:pPr>
      <w:r>
        <w:rPr>
          <w:rFonts w:hint="default" w:ascii="Times New Roman" w:hAnsi="Times New Roman" w:cs="Times New Roman"/>
        </w:rPr>
        <w:t>Research Design</w:t>
      </w:r>
    </w:p>
    <w:p w14:paraId="15AA20C9">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Research Questions</w:t>
      </w:r>
    </w:p>
    <w:p w14:paraId="34CB0449">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(a) What are the distributions of personality types among the Chinese English majors? </w:t>
      </w:r>
    </w:p>
    <w:p w14:paraId="7DAE54D4">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(b) What kinds of strategies do the Chinese English majors prefer to take in writing? </w:t>
      </w:r>
    </w:p>
    <w:p w14:paraId="3700EF85">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 xml:space="preserve">(c) Are there significant correlations between personality types and writing strategies? If there are, what are they like? </w:t>
      </w:r>
    </w:p>
    <w:p w14:paraId="3CB334D8">
      <w:pPr>
        <w:ind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(d) How personalities affect the students’ using of writing strategies?</w:t>
      </w:r>
    </w:p>
    <w:p w14:paraId="4E210D06">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Subjects</w:t>
      </w:r>
    </w:p>
    <w:p w14:paraId="77D143A0">
      <w:pPr>
        <w:pStyle w:val="7"/>
        <w:keepNext w:val="0"/>
        <w:keepLines w:val="0"/>
        <w:widowControl/>
        <w:suppressLineNumbers w:val="0"/>
        <w:ind w:firstLine="480" w:firstLineChars="200"/>
        <w:jc w:val="left"/>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sz w:val="24"/>
          <w:szCs w:val="24"/>
        </w:rPr>
        <w:t>The participants will consist of approximately 100 final-year undergraduate students majoring in English at a university in China. Their ages typically range from 17 to 22, with an average age of around 20. The gender distribution is expected to be skewed, with a female-to-male ratio of approximately 5:1. All participants are anticipated to have begun their formal English education during middle school. They will be selected from five intact English classes.</w:t>
      </w:r>
    </w:p>
    <w:p w14:paraId="6706D495">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Instruments</w:t>
      </w:r>
    </w:p>
    <w:p w14:paraId="00CD7F07">
      <w:pPr>
        <w:pStyle w:val="7"/>
        <w:keepNext w:val="0"/>
        <w:keepLines w:val="0"/>
        <w:widowControl/>
        <w:suppressLineNumbers w:val="0"/>
        <w:ind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Two primary instruments will be employed for data collection in this study. The first will be the MBTI (Myers-Briggs Type Indicator) questionnaire, which participants will complete through the official MBTI website. This online platform, which provides access to the test free of charge, will serve to offer a comprehensive overview of the participants’ personality type distribution according to the MBTI framework.</w:t>
      </w:r>
    </w:p>
    <w:p w14:paraId="583CA41B">
      <w:pPr>
        <w:pStyle w:val="7"/>
        <w:keepNext w:val="0"/>
        <w:keepLines w:val="0"/>
        <w:widowControl/>
        <w:suppressLineNumbers w:val="0"/>
        <w:ind w:firstLine="480" w:firstLineChars="200"/>
        <w:jc w:val="left"/>
        <w:rPr>
          <w:rFonts w:hint="default" w:ascii="Times New Roman" w:hAnsi="Times New Roman" w:cs="Times New Roman"/>
          <w:b w:val="0"/>
          <w:bCs/>
          <w:strike w:val="0"/>
          <w:dstrike w:val="0"/>
          <w:sz w:val="24"/>
          <w:szCs w:val="24"/>
          <w:lang w:val="en-US" w:eastAsia="zh-CN"/>
        </w:rPr>
      </w:pPr>
      <w:r>
        <w:rPr>
          <w:rFonts w:hint="default" w:ascii="Times New Roman" w:hAnsi="Times New Roman" w:cs="Times New Roman"/>
          <w:b w:val="0"/>
          <w:bCs/>
          <w:sz w:val="24"/>
          <w:szCs w:val="24"/>
        </w:rPr>
        <w:t>The second instrument will be the Strategy Inventory for Language Learning (SILL), a widely recognised questionnaire developed by Rebecca L. Oxford. It is designed to examine the learning strategies utilised by language learners, and for the purpose of this study, it will be used to determine the principal writing strategies adopted by the participants. The SILL framework categorises strategies into six distinct types: memory, cognitive, compensation, metacognitive, affective, and social, offering a structured approach to analysing learners' strategic preferences.</w:t>
      </w:r>
    </w:p>
    <w:p w14:paraId="65E8727E">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Data Collection</w:t>
      </w:r>
    </w:p>
    <w:p w14:paraId="7A193630">
      <w:pPr>
        <w:ind w:firstLine="480" w:firstLineChars="200"/>
        <w:jc w:val="left"/>
        <w:rPr>
          <w:rFonts w:hint="default" w:ascii="Times New Roman" w:hAnsi="Times New Roman" w:cs="Times New Roman"/>
          <w:b w:val="0"/>
          <w:bCs/>
          <w:strike w:val="0"/>
          <w:dstrike w:val="0"/>
          <w:sz w:val="24"/>
          <w:szCs w:val="24"/>
          <w:lang w:val="en-US" w:eastAsia="zh-CN"/>
        </w:rPr>
      </w:pPr>
      <w:r>
        <w:rPr>
          <w:rFonts w:hint="default" w:ascii="Times New Roman" w:hAnsi="Times New Roman" w:eastAsia="宋体" w:cs="Times New Roman"/>
          <w:b w:val="0"/>
          <w:bCs/>
          <w:sz w:val="24"/>
          <w:szCs w:val="24"/>
        </w:rPr>
        <w:t>Participants will be required to complete both the MBTI and SILL questionnaires. Prior to the administration of the instruments, the researcher will provide clear and detailed instructions to ensure that all participants fully understand how to respond to each item. They will be explicitly informed that their participation is entirely unrelated to any form of academic assessment or teacher evaluation. Furthermore, they will be assured that all responses will be treated with strict confidentiality and used solely for research purposes. The distribution of both questionnaires will take place during scheduled English classes to ensure convenience and consistency across the sample.</w:t>
      </w:r>
    </w:p>
    <w:p w14:paraId="0CDA615D">
      <w:pPr>
        <w:pStyle w:val="3"/>
        <w:numPr>
          <w:ilvl w:val="1"/>
          <w:numId w:val="1"/>
        </w:numPr>
        <w:bidi w:val="0"/>
        <w:rPr>
          <w:rFonts w:hint="default" w:ascii="Times New Roman" w:hAnsi="Times New Roman" w:cs="Times New Roman"/>
          <w:lang w:val="en-US" w:eastAsia="zh-CN"/>
        </w:rPr>
      </w:pPr>
      <w:r>
        <w:rPr>
          <w:rFonts w:hint="default" w:ascii="Times New Roman" w:hAnsi="Times New Roman" w:cs="Times New Roman"/>
          <w:lang w:val="en-US" w:eastAsia="zh-CN"/>
        </w:rPr>
        <w:t>Data Analysis</w:t>
      </w:r>
    </w:p>
    <w:p w14:paraId="05A1E45F">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The Statistical Package for the Social Sciences (SPSS) will be utilised to analyse the data collected in this study. The analysis will be carried out in three stages.</w:t>
      </w:r>
    </w:p>
    <w:p w14:paraId="1612B579">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First, descriptive statistics will be generated to summarise the distribution of MBTI personality types among the participants.</w:t>
      </w:r>
    </w:p>
    <w:p w14:paraId="38BD4FC6">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rPr>
      </w:pPr>
      <w:r>
        <w:rPr>
          <w:rFonts w:hint="default" w:ascii="Times New Roman" w:hAnsi="Times New Roman" w:cs="Times New Roman"/>
          <w:b w:val="0"/>
          <w:bCs/>
          <w:sz w:val="24"/>
          <w:szCs w:val="24"/>
        </w:rPr>
        <w:t>Second, data obtained from the writing strategy questionnaire will also be subjected to descriptive statistical analysis, in order to identify the predominant writing strategies employed by the students.</w:t>
      </w:r>
    </w:p>
    <w:p w14:paraId="0814AC8B">
      <w:pPr>
        <w:pStyle w:val="7"/>
        <w:keepNext w:val="0"/>
        <w:keepLines w:val="0"/>
        <w:widowControl/>
        <w:suppressLineNumbers w:val="0"/>
        <w:spacing w:before="0" w:beforeAutospacing="1" w:after="0" w:afterAutospacing="1"/>
        <w:ind w:left="0" w:right="0" w:firstLine="480" w:firstLineChars="200"/>
        <w:jc w:val="left"/>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rPr>
        <w:t>Finally, a Pearson correlation analysis will be conducted to explore the potential relationship between students’ personality types and their preferred English writing strategies.</w:t>
      </w:r>
    </w:p>
    <w:p w14:paraId="70F3C31F">
      <w:pPr>
        <w:pStyle w:val="2"/>
        <w:numPr>
          <w:ilvl w:val="0"/>
          <w:numId w:val="1"/>
        </w:numPr>
        <w:bidi w:val="0"/>
        <w:rPr>
          <w:rFonts w:hint="default" w:ascii="Times New Roman" w:hAnsi="Times New Roman" w:cs="Times New Roman"/>
        </w:rPr>
      </w:pPr>
      <w:r>
        <w:rPr>
          <w:rFonts w:hint="default" w:ascii="Times New Roman" w:hAnsi="Times New Roman" w:cs="Times New Roman"/>
        </w:rPr>
        <w:t>Ethical Issues</w:t>
      </w:r>
    </w:p>
    <w:p w14:paraId="08A3CC27">
      <w:pPr>
        <w:ind w:firstLine="480" w:firstLineChars="200"/>
        <w:jc w:val="left"/>
        <w:rPr>
          <w:rFonts w:hint="default" w:ascii="Times New Roman" w:hAnsi="Times New Roman" w:cs="Times New Roman"/>
          <w:b w:val="0"/>
          <w:bCs/>
          <w:strike w:val="0"/>
          <w:dstrike w:val="0"/>
          <w:sz w:val="24"/>
          <w:szCs w:val="24"/>
        </w:rPr>
      </w:pPr>
      <w:r>
        <w:rPr>
          <w:rFonts w:hint="default" w:ascii="Times New Roman" w:hAnsi="Times New Roman" w:eastAsia="宋体" w:cs="Times New Roman"/>
          <w:b w:val="0"/>
          <w:bCs/>
          <w:sz w:val="24"/>
          <w:szCs w:val="24"/>
        </w:rPr>
        <w:t>This study will adhere to the ethical guidelines set out by the British Educational Research Association (BERA), ensuring that participants’ rights, dignity, and well-being are fully respected throughout the research process.</w:t>
      </w:r>
    </w:p>
    <w:p w14:paraId="5B0D78C0">
      <w:pPr>
        <w:pStyle w:val="3"/>
        <w:numPr>
          <w:ilvl w:val="1"/>
          <w:numId w:val="1"/>
        </w:numPr>
        <w:bidi w:val="0"/>
        <w:rPr>
          <w:rFonts w:hint="default" w:ascii="Times New Roman" w:hAnsi="Times New Roman" w:cs="Times New Roman"/>
        </w:rPr>
      </w:pPr>
      <w:r>
        <w:rPr>
          <w:rFonts w:hint="default" w:ascii="Times New Roman" w:hAnsi="Times New Roman" w:cs="Times New Roman"/>
        </w:rPr>
        <w:t>Informed Consent</w:t>
      </w:r>
    </w:p>
    <w:p w14:paraId="0C258E85">
      <w:pPr>
        <w:ind w:firstLine="480" w:firstLineChars="200"/>
        <w:jc w:val="left"/>
        <w:rPr>
          <w:rFonts w:hint="default" w:ascii="Times New Roman" w:hAnsi="Times New Roman" w:cs="Times New Roman"/>
          <w:b w:val="0"/>
          <w:bCs/>
          <w:strike w:val="0"/>
          <w:dstrike w:val="0"/>
          <w:sz w:val="24"/>
          <w:szCs w:val="24"/>
        </w:rPr>
      </w:pPr>
      <w:r>
        <w:rPr>
          <w:rFonts w:hint="default" w:ascii="Times New Roman" w:hAnsi="Times New Roman" w:eastAsia="宋体" w:cs="Times New Roman"/>
          <w:b w:val="0"/>
          <w:bCs/>
          <w:sz w:val="24"/>
          <w:szCs w:val="24"/>
        </w:rPr>
        <w:t>All participants will be thoroughly informed about the nature and objectives of the study, including the procedures involved and their rights as research subjects. They will be made aware that their participation is entirely voluntary and that they may withdraw from the study at any stage without providing a reason. Prior to participation, each student will be required to sign a formal consent form indicating their agreement to take part in the research.</w:t>
      </w:r>
    </w:p>
    <w:p w14:paraId="6B6E6AAB">
      <w:pPr>
        <w:pStyle w:val="3"/>
        <w:numPr>
          <w:ilvl w:val="1"/>
          <w:numId w:val="1"/>
        </w:numPr>
        <w:bidi w:val="0"/>
        <w:rPr>
          <w:rFonts w:hint="default" w:ascii="Times New Roman" w:hAnsi="Times New Roman" w:cs="Times New Roman"/>
          <w:lang w:val="en-GB" w:eastAsia="en-GB"/>
        </w:rPr>
      </w:pPr>
      <w:r>
        <w:rPr>
          <w:rFonts w:hint="default" w:ascii="Times New Roman" w:hAnsi="Times New Roman" w:cs="Times New Roman"/>
          <w:lang w:val="en-GB" w:eastAsia="en-GB"/>
        </w:rPr>
        <w:t xml:space="preserve">Confidentiality and Anonymity </w:t>
      </w:r>
    </w:p>
    <w:p w14:paraId="3A8CB415">
      <w:pPr>
        <w:ind w:firstLine="480" w:firstLineChars="200"/>
        <w:jc w:val="left"/>
        <w:rPr>
          <w:rFonts w:hint="default" w:ascii="Times New Roman" w:hAnsi="Times New Roman" w:cs="Times New Roman"/>
          <w:b w:val="0"/>
          <w:bCs/>
          <w:strike w:val="0"/>
          <w:dstrike w:val="0"/>
          <w:sz w:val="24"/>
          <w:szCs w:val="24"/>
        </w:rPr>
      </w:pPr>
      <w:r>
        <w:rPr>
          <w:rFonts w:hint="default" w:ascii="Times New Roman" w:hAnsi="Times New Roman" w:eastAsia="宋体" w:cs="Times New Roman"/>
          <w:b w:val="0"/>
          <w:bCs/>
          <w:sz w:val="24"/>
          <w:szCs w:val="24"/>
        </w:rPr>
        <w:t>To protect participants’ identities, all data collected—including responses to questionnaires and any interview materials—will be anonymised. Personal information, such as names or institutional affiliations, will be replaced with unique codes to ensure that individuals cannot be identified. Furthermore, all data will be stored securely, with access restricted solely to the researcher.</w:t>
      </w:r>
    </w:p>
    <w:p w14:paraId="480B7225">
      <w:pPr>
        <w:pStyle w:val="3"/>
        <w:numPr>
          <w:ilvl w:val="1"/>
          <w:numId w:val="1"/>
        </w:numPr>
        <w:bidi w:val="0"/>
        <w:rPr>
          <w:rFonts w:hint="default" w:ascii="Times New Roman" w:hAnsi="Times New Roman" w:cs="Times New Roman"/>
          <w:lang w:val="en-GB" w:eastAsia="en-GB"/>
        </w:rPr>
      </w:pPr>
      <w:r>
        <w:rPr>
          <w:rFonts w:hint="default" w:ascii="Times New Roman" w:hAnsi="Times New Roman" w:cs="Times New Roman"/>
          <w:lang w:val="en-GB" w:eastAsia="en-GB"/>
        </w:rPr>
        <w:t>Non-Maleficence</w:t>
      </w:r>
    </w:p>
    <w:p w14:paraId="13EA47B0">
      <w:pPr>
        <w:ind w:firstLine="480" w:firstLineChars="200"/>
        <w:jc w:val="left"/>
        <w:rPr>
          <w:rFonts w:hint="default" w:ascii="Times New Roman" w:hAnsi="Times New Roman" w:cs="Times New Roman"/>
          <w:b w:val="0"/>
          <w:bCs/>
          <w:strike w:val="0"/>
          <w:dstrike w:val="0"/>
          <w:sz w:val="24"/>
          <w:szCs w:val="24"/>
        </w:rPr>
      </w:pPr>
      <w:r>
        <w:rPr>
          <w:rFonts w:hint="default" w:ascii="Times New Roman" w:hAnsi="Times New Roman" w:eastAsia="宋体" w:cs="Times New Roman"/>
          <w:b w:val="0"/>
          <w:bCs/>
          <w:sz w:val="24"/>
          <w:szCs w:val="24"/>
        </w:rPr>
        <w:t>The research design will ensure that participants are not exposed to any form of harm or psychological discomfort. Participation will have no bearing on students’ academic assessments or classroom experiences. The study will be conducted in a manner that upholds the principle of non-maleficence, ensuring that no participant is placed at a disadvantage as a result of their involvement.</w:t>
      </w:r>
    </w:p>
    <w:p w14:paraId="562A3D51">
      <w:pPr>
        <w:pStyle w:val="3"/>
        <w:numPr>
          <w:ilvl w:val="1"/>
          <w:numId w:val="1"/>
        </w:numPr>
        <w:bidi w:val="0"/>
        <w:rPr>
          <w:rFonts w:hint="default" w:ascii="Times New Roman" w:hAnsi="Times New Roman" w:cs="Times New Roman"/>
          <w:lang w:val="en-GB" w:eastAsia="en-GB"/>
        </w:rPr>
      </w:pPr>
      <w:r>
        <w:rPr>
          <w:rFonts w:hint="default" w:ascii="Times New Roman" w:hAnsi="Times New Roman" w:cs="Times New Roman"/>
          <w:lang w:val="en-GB" w:eastAsia="en-GB"/>
        </w:rPr>
        <w:t>Right to Withdraw</w:t>
      </w:r>
    </w:p>
    <w:p w14:paraId="09EEA808">
      <w:pPr>
        <w:ind w:firstLine="480" w:firstLineChars="200"/>
        <w:jc w:val="left"/>
        <w:rPr>
          <w:rFonts w:hint="default" w:ascii="Times New Roman" w:hAnsi="Times New Roman" w:cs="Times New Roman"/>
          <w:b w:val="0"/>
          <w:bCs/>
          <w:strike w:val="0"/>
          <w:dstrike w:val="0"/>
          <w:sz w:val="24"/>
          <w:szCs w:val="24"/>
        </w:rPr>
      </w:pPr>
      <w:r>
        <w:rPr>
          <w:rFonts w:hint="default" w:ascii="Times New Roman" w:hAnsi="Times New Roman" w:eastAsia="宋体" w:cs="Times New Roman"/>
          <w:b w:val="0"/>
          <w:bCs/>
          <w:sz w:val="24"/>
          <w:szCs w:val="24"/>
        </w:rPr>
        <w:t>Participants will retain the right to withdraw from the study at any time, without facing any negative consequences. Should a participant choose to withdraw, any data associated with them will be permanently removed from the dataset and will not be included in the final analysis.</w:t>
      </w:r>
    </w:p>
    <w:p w14:paraId="29861675">
      <w:pPr>
        <w:pStyle w:val="2"/>
        <w:numPr>
          <w:ilvl w:val="0"/>
          <w:numId w:val="1"/>
        </w:numPr>
        <w:bidi w:val="0"/>
        <w:rPr>
          <w:rFonts w:hint="default" w:ascii="Times New Roman" w:hAnsi="Times New Roman" w:cs="Times New Roman"/>
        </w:rPr>
      </w:pPr>
      <w:r>
        <w:rPr>
          <w:rFonts w:hint="default" w:ascii="Times New Roman" w:hAnsi="Times New Roman" w:cs="Times New Roman"/>
          <w:lang w:val="en-US" w:eastAsia="zh-CN"/>
        </w:rPr>
        <w:t xml:space="preserve">Research </w:t>
      </w:r>
      <w:r>
        <w:rPr>
          <w:rFonts w:hint="default" w:ascii="Times New Roman" w:hAnsi="Times New Roman" w:cs="Times New Roman"/>
        </w:rPr>
        <w:t>Timetable</w:t>
      </w:r>
    </w:p>
    <w:p w14:paraId="44C2C439">
      <w:pPr>
        <w:ind w:firstLine="480" w:firstLineChars="200"/>
        <w:jc w:val="left"/>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The Gantt chart provided outlines the timeline for the proposed research project, detailing the various tasks and their corresponding durations. It begins with literature review and progresses through the stages of research design, ethics approval, participant recruitment, data collection, and analysis. Each task is clearly mapped out across a 12-month period, demonstrating a structured approach to the research process. This timeline ensures that all phases of the project are completed in a timely and organised manner, contributing to the overall success of the study.</w:t>
      </w:r>
    </w:p>
    <w:p w14:paraId="1C24AEFC">
      <w:pPr>
        <w:ind w:firstLine="482" w:firstLineChars="200"/>
        <w:jc w:val="center"/>
        <w:rPr>
          <w:rFonts w:hint="default" w:ascii="Times New Roman" w:hAnsi="Times New Roman" w:eastAsia="宋体" w:cs="Times New Roman"/>
          <w:b w:val="0"/>
          <w:bCs/>
          <w:sz w:val="24"/>
          <w:szCs w:val="24"/>
          <w:lang w:val="en-US"/>
        </w:rPr>
      </w:pPr>
      <w:r>
        <w:rPr>
          <w:rFonts w:hint="default" w:ascii="Times New Roman" w:hAnsi="Times New Roman" w:eastAsia="宋体" w:cs="Times New Roman"/>
          <w:b/>
          <w:bCs w:val="0"/>
          <w:sz w:val="24"/>
          <w:szCs w:val="24"/>
          <w:lang w:val="en-US" w:eastAsia="zh-CN"/>
        </w:rPr>
        <w:t>Table 2.</w:t>
      </w:r>
      <w:r>
        <w:rPr>
          <w:rFonts w:hint="eastAsia" w:eastAsia="宋体" w:cs="Times New Roman"/>
          <w:b/>
          <w:bCs w:val="0"/>
          <w:sz w:val="24"/>
          <w:szCs w:val="24"/>
          <w:lang w:val="en-US" w:eastAsia="zh-CN"/>
        </w:rPr>
        <w:t xml:space="preserve"> </w:t>
      </w:r>
      <w:bookmarkStart w:id="0" w:name="_GoBack"/>
      <w:bookmarkEnd w:id="0"/>
      <w:r>
        <w:rPr>
          <w:rFonts w:hint="default" w:ascii="Times New Roman" w:hAnsi="Times New Roman" w:eastAsia="宋体" w:cs="Times New Roman"/>
          <w:b/>
          <w:bCs w:val="0"/>
          <w:sz w:val="24"/>
          <w:szCs w:val="24"/>
          <w:lang w:val="en-US" w:eastAsia="zh-CN"/>
        </w:rPr>
        <w:t>Gantt Chart of the Research Timetable</w:t>
      </w:r>
    </w:p>
    <w:p w14:paraId="684A0255">
      <w:pPr>
        <w:ind w:firstLine="480" w:firstLineChars="200"/>
        <w:jc w:val="center"/>
        <w:rPr>
          <w:rFonts w:hint="default" w:ascii="Times New Roman" w:hAnsi="Times New Roman" w:cs="Times New Roman"/>
          <w:b w:val="0"/>
          <w:bCs/>
          <w:sz w:val="24"/>
          <w:szCs w:val="24"/>
        </w:rPr>
      </w:pPr>
      <w:r>
        <w:rPr>
          <w:rFonts w:hint="default" w:ascii="Times New Roman" w:hAnsi="Times New Roman" w:cs="Times New Roman"/>
          <w:b w:val="0"/>
          <w:bCs/>
          <w:sz w:val="24"/>
          <w:szCs w:val="24"/>
        </w:rPr>
        <w:drawing>
          <wp:inline distT="0" distB="0" distL="114300" distR="114300">
            <wp:extent cx="5527675" cy="2087245"/>
            <wp:effectExtent l="0" t="0" r="9525" b="8255"/>
            <wp:docPr id="7" name="图片 6" descr="d3f61b0f420ea15383654b4d01349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d3f61b0f420ea15383654b4d01349c8"/>
                    <pic:cNvPicPr>
                      <a:picLocks noChangeAspect="1"/>
                    </pic:cNvPicPr>
                  </pic:nvPicPr>
                  <pic:blipFill>
                    <a:blip r:embed="rId5"/>
                    <a:stretch>
                      <a:fillRect/>
                    </a:stretch>
                  </pic:blipFill>
                  <pic:spPr>
                    <a:xfrm>
                      <a:off x="0" y="0"/>
                      <a:ext cx="5527675" cy="2087245"/>
                    </a:xfrm>
                    <a:prstGeom prst="rect">
                      <a:avLst/>
                    </a:prstGeom>
                  </pic:spPr>
                </pic:pic>
              </a:graphicData>
            </a:graphic>
          </wp:inline>
        </w:drawing>
      </w:r>
    </w:p>
    <w:p w14:paraId="53F095CA">
      <w:pPr>
        <w:pStyle w:val="2"/>
        <w:bidi w:val="0"/>
        <w:rPr>
          <w:rFonts w:hint="default" w:ascii="Times New Roman" w:hAnsi="Times New Roman" w:cs="Times New Roman"/>
          <w:lang w:val="en-US" w:eastAsia="zh-CN"/>
        </w:rPr>
      </w:pPr>
      <w:r>
        <w:rPr>
          <w:rFonts w:hint="default" w:ascii="Times New Roman" w:hAnsi="Times New Roman" w:cs="Times New Roman"/>
          <w:lang w:val="en-US" w:eastAsia="zh-CN"/>
        </w:rPr>
        <w:t>References</w:t>
      </w:r>
    </w:p>
    <w:p w14:paraId="1680BBA0">
      <w:pPr>
        <w:ind w:firstLine="400" w:firstLineChars="200"/>
        <w:rPr>
          <w:rFonts w:hint="default" w:ascii="Times New Roman" w:hAnsi="Times New Roman" w:cs="Times New Roman"/>
          <w:color w:val="auto"/>
          <w:sz w:val="20"/>
          <w:szCs w:val="20"/>
          <w:lang w:val="en-US" w:eastAsia="zh-CN"/>
        </w:rPr>
      </w:pPr>
      <w:r>
        <w:rPr>
          <w:rFonts w:hint="default" w:ascii="Times New Roman" w:hAnsi="Times New Roman" w:eastAsia="宋体" w:cs="Times New Roman"/>
          <w:color w:val="auto"/>
          <w:sz w:val="20"/>
          <w:szCs w:val="20"/>
        </w:rPr>
        <w:t xml:space="preserve">16Personalities. (n.d.). </w:t>
      </w:r>
      <w:r>
        <w:rPr>
          <w:rStyle w:val="11"/>
          <w:rFonts w:hint="default" w:ascii="Times New Roman" w:hAnsi="Times New Roman" w:eastAsia="宋体" w:cs="Times New Roman"/>
          <w:color w:val="auto"/>
          <w:sz w:val="20"/>
          <w:szCs w:val="20"/>
        </w:rPr>
        <w:t>MBTI Personality Types</w:t>
      </w:r>
      <w:r>
        <w:rPr>
          <w:rFonts w:hint="default" w:ascii="Times New Roman" w:hAnsi="Times New Roman" w:eastAsia="宋体" w:cs="Times New Roman"/>
          <w:color w:val="auto"/>
          <w:sz w:val="20"/>
          <w:szCs w:val="20"/>
        </w:rPr>
        <w:t xml:space="preserve">. 16Personalities. Available at: </w:t>
      </w:r>
      <w:r>
        <w:rPr>
          <w:rFonts w:hint="default" w:ascii="Times New Roman" w:hAnsi="Times New Roman" w:eastAsia="宋体" w:cs="Times New Roman"/>
          <w:color w:val="auto"/>
          <w:sz w:val="20"/>
          <w:szCs w:val="20"/>
        </w:rPr>
        <w:fldChar w:fldCharType="begin"/>
      </w:r>
      <w:r>
        <w:rPr>
          <w:rFonts w:hint="default" w:ascii="Times New Roman" w:hAnsi="Times New Roman" w:eastAsia="宋体" w:cs="Times New Roman"/>
          <w:color w:val="auto"/>
          <w:sz w:val="20"/>
          <w:szCs w:val="20"/>
        </w:rPr>
        <w:instrText xml:space="preserve"> HYPERLINK "https://www.16personalities.com/" \t "_new" </w:instrText>
      </w:r>
      <w:r>
        <w:rPr>
          <w:rFonts w:hint="default" w:ascii="Times New Roman" w:hAnsi="Times New Roman" w:eastAsia="宋体" w:cs="Times New Roman"/>
          <w:color w:val="auto"/>
          <w:sz w:val="20"/>
          <w:szCs w:val="20"/>
        </w:rPr>
        <w:fldChar w:fldCharType="separate"/>
      </w:r>
      <w:r>
        <w:rPr>
          <w:rStyle w:val="12"/>
          <w:rFonts w:hint="default" w:ascii="Times New Roman" w:hAnsi="Times New Roman" w:eastAsia="宋体" w:cs="Times New Roman"/>
          <w:color w:val="auto"/>
          <w:sz w:val="20"/>
          <w:szCs w:val="20"/>
        </w:rPr>
        <w:t>https://www.16personalities.com/</w:t>
      </w:r>
      <w:r>
        <w:rPr>
          <w:rFonts w:hint="default" w:ascii="Times New Roman" w:hAnsi="Times New Roman" w:eastAsia="宋体" w:cs="Times New Roman"/>
          <w:color w:val="auto"/>
          <w:sz w:val="20"/>
          <w:szCs w:val="20"/>
        </w:rPr>
        <w:fldChar w:fldCharType="end"/>
      </w:r>
      <w:r>
        <w:rPr>
          <w:rFonts w:hint="default" w:ascii="Times New Roman" w:hAnsi="Times New Roman" w:eastAsia="宋体" w:cs="Times New Roman"/>
          <w:color w:val="auto"/>
          <w:sz w:val="20"/>
          <w:szCs w:val="20"/>
        </w:rPr>
        <w:t xml:space="preserve"> (Accessed: 7 April 2025).</w:t>
      </w:r>
    </w:p>
    <w:p w14:paraId="30DBC3FF">
      <w:pPr>
        <w:ind w:firstLine="400" w:firstLineChars="200"/>
        <w:rPr>
          <w:rFonts w:hint="default"/>
          <w:lang w:val="en-US" w:eastAsia="zh-CN"/>
        </w:rPr>
      </w:pPr>
      <w:r>
        <w:rPr>
          <w:rFonts w:hint="default"/>
          <w:lang w:val="en-US" w:eastAsia="zh-CN"/>
        </w:rPr>
        <w:t>British Educational Research Association (BERA). (2018). Ethical Guidelines for Educational Research (4th ed.). London: BERA.</w:t>
      </w:r>
    </w:p>
    <w:p w14:paraId="612F7C18">
      <w:pPr>
        <w:ind w:firstLine="400" w:firstLineChars="200"/>
        <w:rPr>
          <w:rFonts w:hint="default"/>
          <w:lang w:val="en-US" w:eastAsia="zh-CN"/>
        </w:rPr>
      </w:pPr>
      <w:r>
        <w:rPr>
          <w:rFonts w:hint="default"/>
          <w:lang w:val="en-US" w:eastAsia="zh-CN"/>
        </w:rPr>
        <w:t>Curry, L. (1983) 'An Organization of Learning Style Theory and Constructs', ERIC Document, 235, pp. 185-204.</w:t>
      </w:r>
    </w:p>
    <w:p w14:paraId="1F0D43B2">
      <w:pPr>
        <w:ind w:firstLine="400" w:firstLineChars="200"/>
        <w:rPr>
          <w:rFonts w:hint="default"/>
          <w:lang w:val="en-US" w:eastAsia="zh-CN"/>
        </w:rPr>
      </w:pPr>
      <w:r>
        <w:rPr>
          <w:rFonts w:hint="default"/>
          <w:lang w:val="en-US" w:eastAsia="zh-CN"/>
        </w:rPr>
        <w:t>Ellis, R. (1992) 'Comprehension and the acquisition of grammatical knowledge in a second language', in Courchãene, R.J. (ed.) Comprehension-based second language teaching, Ottawa: University of Ottawa Press, pp. 19-37.</w:t>
      </w:r>
    </w:p>
    <w:p w14:paraId="7B1B583D">
      <w:pPr>
        <w:ind w:firstLine="400" w:firstLineChars="200"/>
        <w:rPr>
          <w:rFonts w:hint="default"/>
          <w:lang w:val="en-US" w:eastAsia="zh-CN"/>
        </w:rPr>
      </w:pPr>
      <w:r>
        <w:rPr>
          <w:rFonts w:hint="default"/>
          <w:lang w:val="en-US" w:eastAsia="zh-CN"/>
        </w:rPr>
        <w:t>Ellis, R. (1994) The Study of Second Language Acquisition, Shanghai: Shanghai Foreign Language Education Press.</w:t>
      </w:r>
    </w:p>
    <w:p w14:paraId="5EB063C1">
      <w:pPr>
        <w:ind w:firstLine="400" w:firstLineChars="200"/>
        <w:rPr>
          <w:rFonts w:hint="default"/>
          <w:lang w:val="en-US" w:eastAsia="zh-CN"/>
        </w:rPr>
      </w:pPr>
      <w:r>
        <w:rPr>
          <w:rFonts w:hint="default"/>
          <w:lang w:val="en-US" w:eastAsia="zh-CN"/>
        </w:rPr>
        <w:t>Furnham, A. &amp; Medhurst, S. (1995) 'Personality Correlates of Academic Seminar Behavior: a Study of Four Instruments', Personality and Individual Differences, 19(2), pp. 197-208.</w:t>
      </w:r>
    </w:p>
    <w:p w14:paraId="0FD20626">
      <w:pPr>
        <w:ind w:firstLine="400" w:firstLineChars="200"/>
        <w:rPr>
          <w:rFonts w:hint="default"/>
          <w:lang w:val="en-US" w:eastAsia="zh-CN"/>
        </w:rPr>
      </w:pPr>
      <w:r>
        <w:rPr>
          <w:rFonts w:hint="default"/>
          <w:lang w:val="en-US" w:eastAsia="zh-CN"/>
        </w:rPr>
        <w:t>Gibbons, P. (2007) Scaffolding Language, Scaffolding Learning: Teaching Second Language Learners in the Mainstream Classroom, Portsmouth: Heinemann.</w:t>
      </w:r>
    </w:p>
    <w:p w14:paraId="6F9BFB95">
      <w:pPr>
        <w:ind w:firstLine="400" w:firstLineChars="200"/>
        <w:rPr>
          <w:rFonts w:hint="default"/>
          <w:lang w:val="en-US" w:eastAsia="zh-CN"/>
        </w:rPr>
      </w:pPr>
      <w:r>
        <w:rPr>
          <w:rFonts w:hint="default"/>
          <w:lang w:val="en-US" w:eastAsia="zh-CN"/>
        </w:rPr>
        <w:t>Harmer, J. (2007) The Practice of English Language Teaching, 4th ed., Harlow: Longman Pearson.</w:t>
      </w:r>
    </w:p>
    <w:p w14:paraId="46F0A60A">
      <w:pPr>
        <w:ind w:firstLine="400" w:firstLineChars="200"/>
        <w:rPr>
          <w:rFonts w:hint="default"/>
          <w:lang w:val="en-US" w:eastAsia="zh-CN"/>
        </w:rPr>
      </w:pPr>
      <w:r>
        <w:rPr>
          <w:rFonts w:hint="default"/>
          <w:lang w:val="en-US" w:eastAsia="zh-CN"/>
        </w:rPr>
        <w:t>Krashen, S.D. (1981) 'Bilingual education and second language acquisition theory', in Schooling and language minority students: A theoretical framework, California State Department of Education, pp. 51-79.</w:t>
      </w:r>
    </w:p>
    <w:p w14:paraId="74F978D0">
      <w:pPr>
        <w:ind w:firstLine="400" w:firstLineChars="200"/>
        <w:rPr>
          <w:rFonts w:hint="default"/>
          <w:lang w:val="en-US" w:eastAsia="zh-CN"/>
        </w:rPr>
      </w:pPr>
      <w:r>
        <w:rPr>
          <w:rFonts w:hint="default"/>
          <w:lang w:val="en-US" w:eastAsia="zh-CN"/>
        </w:rPr>
        <w:t>Krashen, S.D. (1995) The Input Hypothesis: Issues and Implications, New York: Longman.</w:t>
      </w:r>
    </w:p>
    <w:p w14:paraId="6F9A2D19">
      <w:pPr>
        <w:ind w:firstLine="400" w:firstLineChars="200"/>
        <w:rPr>
          <w:rFonts w:hint="default"/>
          <w:lang w:val="en-US" w:eastAsia="zh-CN"/>
        </w:rPr>
      </w:pPr>
      <w:r>
        <w:rPr>
          <w:rFonts w:hint="default"/>
          <w:lang w:val="en-US" w:eastAsia="zh-CN"/>
        </w:rPr>
        <w:t>Long, M. (2015) Second Language Acquisition and Task-Based Language Teaching, Oxford: Wiley Blackwell.</w:t>
      </w:r>
    </w:p>
    <w:p w14:paraId="48C2DA15">
      <w:pPr>
        <w:ind w:firstLine="400" w:firstLineChars="200"/>
        <w:rPr>
          <w:rFonts w:hint="default"/>
          <w:lang w:val="en-US" w:eastAsia="zh-CN"/>
        </w:rPr>
      </w:pPr>
      <w:r>
        <w:rPr>
          <w:rFonts w:hint="default"/>
          <w:lang w:val="en-US" w:eastAsia="zh-CN"/>
        </w:rPr>
        <w:t>Mitchell, R. &amp; Myles, F. (1998) Second Language Learning Theories, London: Arnold.</w:t>
      </w:r>
    </w:p>
    <w:p w14:paraId="48CF465C">
      <w:pPr>
        <w:ind w:firstLine="400" w:firstLineChars="200"/>
        <w:rPr>
          <w:rFonts w:hint="default"/>
          <w:lang w:val="en-US" w:eastAsia="zh-CN"/>
        </w:rPr>
      </w:pPr>
      <w:r>
        <w:rPr>
          <w:rFonts w:hint="default"/>
          <w:lang w:val="en-US" w:eastAsia="zh-CN"/>
        </w:rPr>
        <w:t>Nuttall, C. (2005) Teaching Reading Skills to Foreign Language Learners, 3rd ed., Oxford: Macmillan.</w:t>
      </w:r>
    </w:p>
    <w:p w14:paraId="431D2FC8">
      <w:pPr>
        <w:ind w:firstLine="400" w:firstLineChars="200"/>
        <w:rPr>
          <w:rFonts w:hint="default"/>
          <w:lang w:val="en-US" w:eastAsia="zh-CN"/>
        </w:rPr>
      </w:pPr>
      <w:r>
        <w:rPr>
          <w:rFonts w:hint="default"/>
          <w:lang w:val="en-US" w:eastAsia="zh-CN"/>
        </w:rPr>
        <w:t>O'Malley, J.M. &amp; Chamot, A.U. (1990) Learning Strategies in Second Language Acquisition, Cambridge: Cambridge University Press.</w:t>
      </w:r>
    </w:p>
    <w:p w14:paraId="4DAF5F79">
      <w:pPr>
        <w:ind w:firstLine="400" w:firstLineChars="200"/>
        <w:rPr>
          <w:rFonts w:hint="default"/>
          <w:lang w:val="en-US" w:eastAsia="zh-CN"/>
        </w:rPr>
      </w:pPr>
      <w:r>
        <w:rPr>
          <w:rFonts w:hint="default"/>
          <w:lang w:val="en-US" w:eastAsia="zh-CN"/>
        </w:rPr>
        <w:t>Oxford, R.L. &amp; Ehrman, M.E. (1995) 'Adults' Language Learning Strategies in an Intensive Foreign Language Program in the United States', System, 23(3), pp. 359-386.</w:t>
      </w:r>
    </w:p>
    <w:p w14:paraId="00E30FE7">
      <w:pPr>
        <w:ind w:firstLine="400" w:firstLineChars="200"/>
        <w:rPr>
          <w:rFonts w:hint="default"/>
          <w:lang w:val="en-US" w:eastAsia="zh-CN"/>
        </w:rPr>
      </w:pPr>
      <w:r>
        <w:rPr>
          <w:rFonts w:hint="default"/>
          <w:lang w:val="en-US" w:eastAsia="zh-CN"/>
        </w:rPr>
        <w:t>Oxford, R.L. (1990a) Language Learning Strategies: What Every Teacher Should Know, New York: Newbury House Publishers.</w:t>
      </w:r>
    </w:p>
    <w:p w14:paraId="6B22DEF3">
      <w:pPr>
        <w:ind w:firstLine="400" w:firstLineChars="200"/>
        <w:rPr>
          <w:rFonts w:hint="default"/>
          <w:lang w:val="en-US" w:eastAsia="zh-CN"/>
        </w:rPr>
      </w:pPr>
      <w:r>
        <w:rPr>
          <w:rFonts w:hint="default"/>
          <w:lang w:val="en-US" w:eastAsia="zh-CN"/>
        </w:rPr>
        <w:t>Scrivener, J. (2005) Learning Teaching, Oxford: Macmillan.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25543F"/>
    <w:multiLevelType w:val="multilevel"/>
    <w:tmpl w:val="6525543F"/>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9E764F"/>
    <w:rsid w:val="00C91C98"/>
    <w:rsid w:val="055569A2"/>
    <w:rsid w:val="0752704A"/>
    <w:rsid w:val="08C94F2B"/>
    <w:rsid w:val="08DE70B8"/>
    <w:rsid w:val="0B4B60CB"/>
    <w:rsid w:val="0C54431B"/>
    <w:rsid w:val="0D305579"/>
    <w:rsid w:val="0DA6000F"/>
    <w:rsid w:val="0EBD33B9"/>
    <w:rsid w:val="104D639F"/>
    <w:rsid w:val="143C7835"/>
    <w:rsid w:val="18843BFA"/>
    <w:rsid w:val="1D9D72B5"/>
    <w:rsid w:val="1DAF6046"/>
    <w:rsid w:val="1EB4069A"/>
    <w:rsid w:val="1FD61FB0"/>
    <w:rsid w:val="227A07F8"/>
    <w:rsid w:val="228C07E7"/>
    <w:rsid w:val="25423C43"/>
    <w:rsid w:val="2B18445C"/>
    <w:rsid w:val="2CC408FA"/>
    <w:rsid w:val="2D9E764F"/>
    <w:rsid w:val="30316060"/>
    <w:rsid w:val="324E27FD"/>
    <w:rsid w:val="32813B0A"/>
    <w:rsid w:val="37446E77"/>
    <w:rsid w:val="3AFB1ED1"/>
    <w:rsid w:val="3F9C4DCF"/>
    <w:rsid w:val="4291177F"/>
    <w:rsid w:val="444C672F"/>
    <w:rsid w:val="48DB23DE"/>
    <w:rsid w:val="50325428"/>
    <w:rsid w:val="50F13288"/>
    <w:rsid w:val="52AB1567"/>
    <w:rsid w:val="5314147A"/>
    <w:rsid w:val="5B3A1ABE"/>
    <w:rsid w:val="5D287CD1"/>
    <w:rsid w:val="5E1629CC"/>
    <w:rsid w:val="60D97379"/>
    <w:rsid w:val="62272277"/>
    <w:rsid w:val="65FF1F03"/>
    <w:rsid w:val="665C7BF8"/>
    <w:rsid w:val="676B0BCD"/>
    <w:rsid w:val="6A0F34F8"/>
    <w:rsid w:val="6ADA02C1"/>
    <w:rsid w:val="6D3E1502"/>
    <w:rsid w:val="6D527242"/>
    <w:rsid w:val="70EC28BD"/>
    <w:rsid w:val="731D1633"/>
    <w:rsid w:val="7491663D"/>
    <w:rsid w:val="7820410C"/>
    <w:rsid w:val="787E7C64"/>
    <w:rsid w:val="78E977D3"/>
    <w:rsid w:val="79B535BA"/>
    <w:rsid w:val="79B61ECB"/>
    <w:rsid w:val="79DE0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caption"/>
    <w:basedOn w:val="1"/>
    <w:next w:val="1"/>
    <w:semiHidden/>
    <w:unhideWhenUsed/>
    <w:qFormat/>
    <w:uiPriority w:val="0"/>
    <w:rPr>
      <w:rFonts w:ascii="Arial" w:hAnsi="Arial" w:eastAsia="黑体"/>
      <w:sz w:val="20"/>
    </w:rPr>
  </w:style>
  <w:style w:type="paragraph" w:styleId="6">
    <w:name w:val="annotation text"/>
    <w:basedOn w:val="1"/>
    <w:semiHidden/>
    <w:unhideWhenUsed/>
    <w:qFormat/>
    <w:uiPriority w:val="0"/>
    <w:pPr>
      <w:jc w:val="left"/>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qFormat/>
    <w:uiPriority w:val="0"/>
    <w:rPr>
      <w:color w:val="0000FF"/>
      <w:u w:val="single"/>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2504</Words>
  <Characters>15705</Characters>
  <Lines>0</Lines>
  <Paragraphs>0</Paragraphs>
  <TotalTime>4</TotalTime>
  <ScaleCrop>false</ScaleCrop>
  <LinksUpToDate>false</LinksUpToDate>
  <CharactersWithSpaces>18123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2025-04-07T15:53:00Z</dcterms:created>
  <dc:creator>Chérie</dc:creator>
  <cp:lastModifiedBy>Chérie</cp:lastModifiedBy>
  <dcterms:modified xsi:type="dcterms:W3CDTF">2025-04-07T18:14:49Z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E66187174FD540539AD0A388C12647B1_13</vt:lpwstr>
  </property>
  <property fmtid="{D5CDD505-2E9C-101B-9397-08002B2CF9AE}" pid="4" name="KSOTemplateDocerSaveRecord">
    <vt:lpwstr>eyJoZGlkIjoiMzBiMTJjNjliNDk4NmY0NzE0NjJhNGU0OGFjOWU3ZTciLCJ1c2VySWQiOiIyMDA2NjgzNjEifQ==</vt:lpwstr>
  </property>
</Properties>
</file>