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F98" w:rsidRPr="0049245C" w:rsidRDefault="00133F98">
      <w:pPr>
        <w:pStyle w:val="Normal1"/>
        <w:spacing w:line="360" w:lineRule="auto"/>
        <w:rPr>
          <w:rFonts w:ascii="Times New Roman" w:eastAsia="Times New Roman" w:hAnsi="Times New Roman" w:cs="Times New Roman"/>
          <w:b/>
          <w:i/>
          <w:sz w:val="28"/>
          <w:szCs w:val="28"/>
          <w:lang w:val="en-GB"/>
        </w:rPr>
      </w:pPr>
    </w:p>
    <w:p w:rsidR="00133F98" w:rsidRDefault="00133F98">
      <w:pPr>
        <w:pStyle w:val="Normal1"/>
        <w:spacing w:line="360" w:lineRule="auto"/>
        <w:jc w:val="center"/>
        <w:rPr>
          <w:rFonts w:ascii="Times New Roman" w:eastAsia="Times New Roman" w:hAnsi="Times New Roman" w:cs="Times New Roman"/>
          <w:b/>
          <w:i/>
          <w:sz w:val="28"/>
          <w:szCs w:val="28"/>
        </w:rPr>
      </w:pPr>
    </w:p>
    <w:p w:rsidR="00133F98" w:rsidRDefault="00133F98">
      <w:pPr>
        <w:pStyle w:val="Normal1"/>
        <w:spacing w:line="360" w:lineRule="auto"/>
        <w:jc w:val="center"/>
        <w:rPr>
          <w:rFonts w:ascii="Merriweather" w:eastAsia="Merriweather" w:hAnsi="Merriweather" w:cs="Merriweather"/>
          <w:b/>
          <w:i/>
          <w:sz w:val="32"/>
          <w:szCs w:val="32"/>
        </w:rPr>
      </w:pPr>
    </w:p>
    <w:p w:rsidR="00133F98" w:rsidRDefault="00331D25">
      <w:pPr>
        <w:pStyle w:val="Normal1"/>
        <w:spacing w:line="360" w:lineRule="auto"/>
        <w:jc w:val="center"/>
        <w:rPr>
          <w:rFonts w:ascii="Merriweather" w:eastAsia="Merriweather" w:hAnsi="Merriweather" w:cs="Merriweather"/>
          <w:b/>
          <w:i/>
          <w:sz w:val="32"/>
          <w:szCs w:val="32"/>
        </w:rPr>
      </w:pPr>
      <w:r>
        <w:rPr>
          <w:rFonts w:ascii="Merriweather" w:eastAsia="Merriweather" w:hAnsi="Merriweather" w:cs="Merriweather"/>
          <w:b/>
          <w:i/>
          <w:sz w:val="32"/>
          <w:szCs w:val="32"/>
        </w:rPr>
        <w:t xml:space="preserve">LEVEL 7 </w:t>
      </w:r>
      <w:r w:rsidR="00524F9B">
        <w:rPr>
          <w:rFonts w:ascii="Merriweather" w:eastAsia="Merriweather" w:hAnsi="Merriweather" w:cs="Merriweather"/>
          <w:b/>
          <w:i/>
          <w:sz w:val="32"/>
          <w:szCs w:val="32"/>
        </w:rPr>
        <w:t xml:space="preserve"> Draft </w:t>
      </w:r>
      <w:r>
        <w:rPr>
          <w:rFonts w:ascii="Merriweather" w:eastAsia="Merriweather" w:hAnsi="Merriweather" w:cs="Merriweather"/>
          <w:b/>
          <w:i/>
          <w:sz w:val="32"/>
          <w:szCs w:val="32"/>
        </w:rPr>
        <w:t>ASSESSMENT</w:t>
      </w:r>
    </w:p>
    <w:p w:rsidR="00133F98" w:rsidRDefault="00133F98">
      <w:pPr>
        <w:pStyle w:val="Normal1"/>
        <w:spacing w:line="360" w:lineRule="auto"/>
        <w:rPr>
          <w:rFonts w:ascii="Merriweather" w:eastAsia="Merriweather" w:hAnsi="Merriweather" w:cs="Merriweather"/>
          <w:b/>
          <w:i/>
          <w:sz w:val="32"/>
          <w:szCs w:val="32"/>
        </w:rPr>
      </w:pPr>
    </w:p>
    <w:p w:rsidR="00133F98" w:rsidRDefault="00331D25">
      <w:pPr>
        <w:pStyle w:val="Normal1"/>
        <w:spacing w:line="360" w:lineRule="auto"/>
        <w:jc w:val="center"/>
        <w:rPr>
          <w:rFonts w:ascii="Merriweather" w:eastAsia="Merriweather" w:hAnsi="Merriweather" w:cs="Merriweather"/>
          <w:b/>
          <w:i/>
          <w:sz w:val="32"/>
          <w:szCs w:val="32"/>
        </w:rPr>
      </w:pPr>
      <w:r>
        <w:rPr>
          <w:rFonts w:ascii="Merriweather" w:eastAsia="Merriweather" w:hAnsi="Merriweather" w:cs="Merriweather"/>
          <w:b/>
          <w:i/>
          <w:sz w:val="32"/>
          <w:szCs w:val="32"/>
        </w:rPr>
        <w:t>Programme: MBA- Master of Business Administration</w:t>
      </w:r>
    </w:p>
    <w:p w:rsidR="00133F98" w:rsidRDefault="00133F98">
      <w:pPr>
        <w:pStyle w:val="Normal1"/>
        <w:spacing w:line="360" w:lineRule="auto"/>
        <w:jc w:val="center"/>
        <w:rPr>
          <w:rFonts w:ascii="Merriweather" w:eastAsia="Merriweather" w:hAnsi="Merriweather" w:cs="Merriweather"/>
          <w:b/>
          <w:i/>
          <w:sz w:val="32"/>
          <w:szCs w:val="32"/>
        </w:rPr>
      </w:pPr>
    </w:p>
    <w:p w:rsidR="00133F98" w:rsidRDefault="00331D25">
      <w:pPr>
        <w:pStyle w:val="Normal1"/>
        <w:spacing w:line="360" w:lineRule="auto"/>
        <w:jc w:val="center"/>
        <w:rPr>
          <w:rFonts w:ascii="Merriweather" w:eastAsia="Merriweather" w:hAnsi="Merriweather" w:cs="Merriweather"/>
          <w:b/>
          <w:i/>
          <w:sz w:val="32"/>
          <w:szCs w:val="32"/>
        </w:rPr>
      </w:pPr>
      <w:r>
        <w:rPr>
          <w:rFonts w:ascii="Merriweather" w:eastAsia="Merriweather" w:hAnsi="Merriweather" w:cs="Merriweather"/>
          <w:b/>
          <w:i/>
          <w:sz w:val="32"/>
          <w:szCs w:val="32"/>
        </w:rPr>
        <w:t>Module: Managing People</w:t>
      </w:r>
    </w:p>
    <w:p w:rsidR="00133F98" w:rsidRDefault="00133F98">
      <w:pPr>
        <w:pStyle w:val="Normal1"/>
        <w:spacing w:line="360" w:lineRule="auto"/>
        <w:jc w:val="center"/>
        <w:rPr>
          <w:rFonts w:ascii="Merriweather" w:eastAsia="Merriweather" w:hAnsi="Merriweather" w:cs="Merriweather"/>
          <w:b/>
          <w:i/>
          <w:sz w:val="32"/>
          <w:szCs w:val="32"/>
        </w:rPr>
      </w:pPr>
    </w:p>
    <w:p w:rsidR="00133F98" w:rsidRDefault="00331D25">
      <w:pPr>
        <w:pStyle w:val="Normal1"/>
        <w:spacing w:line="360" w:lineRule="auto"/>
        <w:jc w:val="center"/>
        <w:rPr>
          <w:rFonts w:ascii="Merriweather" w:eastAsia="Merriweather" w:hAnsi="Merriweather" w:cs="Merriweather"/>
          <w:b/>
          <w:i/>
          <w:sz w:val="32"/>
          <w:szCs w:val="32"/>
        </w:rPr>
      </w:pPr>
      <w:r>
        <w:rPr>
          <w:rFonts w:ascii="Merriweather" w:eastAsia="Merriweather" w:hAnsi="Merriweather" w:cs="Merriweather"/>
          <w:b/>
          <w:i/>
          <w:sz w:val="32"/>
          <w:szCs w:val="32"/>
        </w:rPr>
        <w:t xml:space="preserve">Module code: LCMB7011 </w:t>
      </w:r>
    </w:p>
    <w:p w:rsidR="00133F98" w:rsidRDefault="00133F98">
      <w:pPr>
        <w:pStyle w:val="Normal1"/>
        <w:spacing w:line="360" w:lineRule="auto"/>
        <w:rPr>
          <w:rFonts w:ascii="Merriweather" w:eastAsia="Merriweather" w:hAnsi="Merriweather" w:cs="Merriweather"/>
          <w:b/>
          <w:i/>
          <w:sz w:val="32"/>
          <w:szCs w:val="32"/>
        </w:rPr>
      </w:pPr>
    </w:p>
    <w:p w:rsidR="00133F98" w:rsidRPr="00905325" w:rsidRDefault="00331D25">
      <w:pPr>
        <w:pStyle w:val="Normal1"/>
        <w:spacing w:line="360" w:lineRule="auto"/>
        <w:jc w:val="center"/>
        <w:rPr>
          <w:rFonts w:ascii="Merriweather" w:eastAsia="Merriweather" w:hAnsi="Merriweather" w:cs="Merriweather"/>
          <w:b/>
          <w:i/>
          <w:sz w:val="42"/>
          <w:szCs w:val="32"/>
        </w:rPr>
      </w:pPr>
      <w:r w:rsidRPr="00905325">
        <w:rPr>
          <w:rFonts w:ascii="Merriweather" w:eastAsia="Merriweather" w:hAnsi="Merriweather" w:cs="Merriweather"/>
          <w:b/>
          <w:i/>
          <w:sz w:val="42"/>
          <w:szCs w:val="32"/>
        </w:rPr>
        <w:t>Title: Bridging HR Challenges in International Context: A Case Study of Spain and India</w:t>
      </w:r>
    </w:p>
    <w:p w:rsidR="00133F98" w:rsidRDefault="00133F98">
      <w:pPr>
        <w:pStyle w:val="Normal1"/>
        <w:spacing w:line="360" w:lineRule="auto"/>
        <w:jc w:val="center"/>
        <w:rPr>
          <w:rFonts w:ascii="Merriweather" w:eastAsia="Merriweather" w:hAnsi="Merriweather" w:cs="Merriweather"/>
          <w:b/>
          <w:sz w:val="32"/>
          <w:szCs w:val="32"/>
        </w:rPr>
      </w:pPr>
    </w:p>
    <w:p w:rsidR="00905325" w:rsidRDefault="00905325" w:rsidP="00905325">
      <w:pPr>
        <w:pStyle w:val="Normal1"/>
        <w:spacing w:line="360" w:lineRule="auto"/>
        <w:rPr>
          <w:rFonts w:ascii="Merriweather" w:eastAsia="Merriweather" w:hAnsi="Merriweather" w:cs="Merriweather"/>
          <w:b/>
          <w:sz w:val="32"/>
          <w:szCs w:val="32"/>
        </w:rPr>
      </w:pPr>
    </w:p>
    <w:p w:rsidR="00905325" w:rsidRDefault="00905325" w:rsidP="00905325">
      <w:pPr>
        <w:pStyle w:val="Normal1"/>
        <w:spacing w:line="360" w:lineRule="auto"/>
        <w:rPr>
          <w:rFonts w:ascii="Merriweather" w:eastAsia="Merriweather" w:hAnsi="Merriweather" w:cs="Merriweather"/>
          <w:b/>
          <w:sz w:val="32"/>
          <w:szCs w:val="32"/>
        </w:rPr>
      </w:pPr>
    </w:p>
    <w:p w:rsidR="00133F98" w:rsidRDefault="00331D25" w:rsidP="00905325">
      <w:pPr>
        <w:pStyle w:val="Normal1"/>
        <w:spacing w:line="360" w:lineRule="auto"/>
        <w:rPr>
          <w:rFonts w:ascii="Merriweather" w:eastAsia="Merriweather" w:hAnsi="Merriweather" w:cs="Merriweather"/>
          <w:b/>
          <w:sz w:val="32"/>
          <w:szCs w:val="32"/>
        </w:rPr>
      </w:pPr>
      <w:r>
        <w:rPr>
          <w:rFonts w:ascii="Merriweather" w:eastAsia="Merriweather" w:hAnsi="Merriweather" w:cs="Merriweather"/>
          <w:b/>
          <w:sz w:val="32"/>
          <w:szCs w:val="32"/>
        </w:rPr>
        <w:t>Student Name:</w:t>
      </w:r>
      <w:r w:rsidR="002D1F65">
        <w:rPr>
          <w:rFonts w:ascii="Merriweather" w:eastAsia="Merriweather" w:hAnsi="Merriweather" w:cs="Merriweather"/>
          <w:b/>
          <w:sz w:val="32"/>
          <w:szCs w:val="32"/>
        </w:rPr>
        <w:t xml:space="preserve"> </w:t>
      </w:r>
      <w:proofErr w:type="spellStart"/>
      <w:r w:rsidR="002D1F65">
        <w:rPr>
          <w:rFonts w:ascii="Merriweather" w:eastAsia="Merriweather" w:hAnsi="Merriweather" w:cs="Merriweather"/>
          <w:b/>
          <w:sz w:val="32"/>
          <w:szCs w:val="32"/>
        </w:rPr>
        <w:t>Abhishek</w:t>
      </w:r>
      <w:proofErr w:type="spellEnd"/>
      <w:r w:rsidR="002D1F65">
        <w:rPr>
          <w:rFonts w:ascii="Merriweather" w:eastAsia="Merriweather" w:hAnsi="Merriweather" w:cs="Merriweather"/>
          <w:b/>
          <w:sz w:val="32"/>
          <w:szCs w:val="32"/>
        </w:rPr>
        <w:t xml:space="preserve"> Patel</w:t>
      </w:r>
    </w:p>
    <w:p w:rsidR="00133F98" w:rsidRDefault="00331D25" w:rsidP="00905325">
      <w:pPr>
        <w:pStyle w:val="Normal1"/>
        <w:spacing w:line="360" w:lineRule="auto"/>
        <w:rPr>
          <w:rFonts w:ascii="Merriweather" w:eastAsia="Merriweather" w:hAnsi="Merriweather" w:cs="Merriweather"/>
          <w:b/>
          <w:sz w:val="32"/>
          <w:szCs w:val="32"/>
        </w:rPr>
      </w:pPr>
      <w:r>
        <w:rPr>
          <w:rFonts w:ascii="Merriweather" w:eastAsia="Merriweather" w:hAnsi="Merriweather" w:cs="Merriweather"/>
          <w:b/>
          <w:sz w:val="32"/>
          <w:szCs w:val="32"/>
        </w:rPr>
        <w:t>Student ID:</w:t>
      </w:r>
      <w:r w:rsidR="002D1F65">
        <w:rPr>
          <w:rFonts w:ascii="Merriweather" w:eastAsia="Merriweather" w:hAnsi="Merriweather" w:cs="Merriweather"/>
          <w:b/>
          <w:sz w:val="32"/>
          <w:szCs w:val="32"/>
        </w:rPr>
        <w:t xml:space="preserve"> 2239555</w:t>
      </w:r>
    </w:p>
    <w:p w:rsidR="0009190F" w:rsidRDefault="0009190F" w:rsidP="00905325">
      <w:pPr>
        <w:pStyle w:val="Normal1"/>
        <w:spacing w:line="360" w:lineRule="auto"/>
        <w:rPr>
          <w:rFonts w:ascii="Merriweather" w:eastAsia="Merriweather" w:hAnsi="Merriweather" w:cs="Merriweather"/>
          <w:b/>
          <w:sz w:val="32"/>
          <w:szCs w:val="32"/>
        </w:rPr>
      </w:pPr>
      <w:r>
        <w:rPr>
          <w:rFonts w:ascii="Merriweather" w:eastAsia="Merriweather" w:hAnsi="Merriweather" w:cs="Merriweather"/>
          <w:b/>
          <w:sz w:val="32"/>
          <w:szCs w:val="32"/>
        </w:rPr>
        <w:t xml:space="preserve">Lecturer Name: </w:t>
      </w:r>
      <w:proofErr w:type="spellStart"/>
      <w:r>
        <w:rPr>
          <w:rFonts w:ascii="Merriweather" w:eastAsia="Merriweather" w:hAnsi="Merriweather" w:cs="Merriweather"/>
          <w:b/>
          <w:sz w:val="32"/>
          <w:szCs w:val="32"/>
        </w:rPr>
        <w:t>Rexon</w:t>
      </w:r>
      <w:proofErr w:type="spellEnd"/>
      <w:r>
        <w:rPr>
          <w:rFonts w:ascii="Merriweather" w:eastAsia="Merriweather" w:hAnsi="Merriweather" w:cs="Merriweather"/>
          <w:b/>
          <w:sz w:val="32"/>
          <w:szCs w:val="32"/>
        </w:rPr>
        <w:t xml:space="preserve"> </w:t>
      </w:r>
      <w:proofErr w:type="spellStart"/>
      <w:r>
        <w:rPr>
          <w:rFonts w:ascii="Merriweather" w:eastAsia="Merriweather" w:hAnsi="Merriweather" w:cs="Merriweather"/>
          <w:b/>
          <w:sz w:val="32"/>
          <w:szCs w:val="32"/>
        </w:rPr>
        <w:t>Nting</w:t>
      </w:r>
      <w:proofErr w:type="spellEnd"/>
    </w:p>
    <w:p w:rsidR="002D1F65" w:rsidRDefault="00331D25" w:rsidP="00905325">
      <w:pPr>
        <w:pStyle w:val="Normal1"/>
        <w:spacing w:line="360" w:lineRule="auto"/>
        <w:rPr>
          <w:rFonts w:ascii="Merriweather" w:eastAsia="Merriweather" w:hAnsi="Merriweather" w:cs="Merriweather"/>
          <w:b/>
          <w:sz w:val="32"/>
          <w:szCs w:val="32"/>
        </w:rPr>
      </w:pPr>
      <w:r>
        <w:rPr>
          <w:rFonts w:ascii="Merriweather" w:eastAsia="Merriweather" w:hAnsi="Merriweather" w:cs="Merriweather"/>
          <w:b/>
          <w:sz w:val="32"/>
          <w:szCs w:val="32"/>
        </w:rPr>
        <w:t>Date of Submission:</w:t>
      </w:r>
    </w:p>
    <w:p w:rsidR="00901A30" w:rsidRDefault="006541C9" w:rsidP="00905325">
      <w:pPr>
        <w:pStyle w:val="Normal1"/>
        <w:spacing w:line="360" w:lineRule="auto"/>
        <w:rPr>
          <w:rFonts w:ascii="Merriweather" w:eastAsia="Merriweather" w:hAnsi="Merriweather" w:cs="Merriweather"/>
          <w:b/>
          <w:sz w:val="32"/>
          <w:szCs w:val="32"/>
        </w:rPr>
      </w:pPr>
      <w:r>
        <w:rPr>
          <w:rFonts w:ascii="Merriweather" w:eastAsia="Merriweather" w:hAnsi="Merriweather" w:cs="Merriweather"/>
          <w:b/>
          <w:sz w:val="32"/>
          <w:szCs w:val="32"/>
        </w:rPr>
        <w:t>Word Count: 6878</w:t>
      </w:r>
    </w:p>
    <w:p w:rsidR="00133F98" w:rsidRPr="00F43059" w:rsidRDefault="00331D25" w:rsidP="00F43059">
      <w:pPr>
        <w:pStyle w:val="Normal1"/>
        <w:spacing w:line="360" w:lineRule="auto"/>
        <w:jc w:val="center"/>
        <w:rPr>
          <w:rFonts w:ascii="Merriweather" w:eastAsia="Merriweather" w:hAnsi="Merriweather" w:cs="Merriweather"/>
          <w:b/>
          <w:sz w:val="32"/>
          <w:szCs w:val="32"/>
        </w:rPr>
      </w:pPr>
      <w:r>
        <w:rPr>
          <w:rFonts w:ascii="Merriweather" w:eastAsia="Merriweather" w:hAnsi="Merriweather" w:cs="Merriweather"/>
          <w:b/>
          <w:sz w:val="28"/>
          <w:szCs w:val="28"/>
        </w:rPr>
        <w:lastRenderedPageBreak/>
        <w:t>Table of contents</w:t>
      </w:r>
    </w:p>
    <w:p w:rsidR="00133F98" w:rsidRDefault="00133F98">
      <w:pPr>
        <w:pStyle w:val="Normal1"/>
        <w:rPr>
          <w:rFonts w:ascii="Merriweather" w:eastAsia="Merriweather" w:hAnsi="Merriweather" w:cs="Merriweather"/>
          <w:b/>
          <w:sz w:val="28"/>
          <w:szCs w:val="28"/>
        </w:rPr>
      </w:pPr>
    </w:p>
    <w:sdt>
      <w:sdtPr>
        <w:rPr>
          <w:b w:val="0"/>
          <w:noProof w:val="0"/>
        </w:rPr>
        <w:id w:val="1895010438"/>
        <w:docPartObj>
          <w:docPartGallery w:val="Table of Contents"/>
          <w:docPartUnique/>
        </w:docPartObj>
      </w:sdtPr>
      <w:sdtContent>
        <w:p w:rsidR="00B14AB3" w:rsidRPr="003B2CD1" w:rsidRDefault="00290D9F" w:rsidP="003B2CD1">
          <w:pPr>
            <w:pStyle w:val="TOC1"/>
            <w:rPr>
              <w:rFonts w:ascii="Times New Roman" w:eastAsiaTheme="minorEastAsia" w:hAnsi="Times New Roman" w:cs="Times New Roman"/>
              <w:sz w:val="24"/>
              <w:szCs w:val="24"/>
              <w:lang w:val="en-US"/>
            </w:rPr>
          </w:pPr>
          <w:r w:rsidRPr="00290D9F">
            <w:fldChar w:fldCharType="begin"/>
          </w:r>
          <w:r w:rsidR="00331D25">
            <w:rPr>
              <w:rStyle w:val="IndexLink"/>
              <w:rFonts w:ascii="Times New Roman" w:eastAsia="Times New Roman" w:hAnsi="Times New Roman" w:cs="Times New Roman"/>
              <w:webHidden/>
              <w:color w:val="000000"/>
              <w:sz w:val="24"/>
              <w:szCs w:val="24"/>
            </w:rPr>
            <w:instrText>TOC \z \o "1-9" \u \t "Heading 1,1,Heading 2,2,Heading 3,3,Heading 4,4,Heading 5,5,Heading 6,6" \h</w:instrText>
          </w:r>
          <w:r w:rsidRPr="00290D9F">
            <w:rPr>
              <w:rStyle w:val="IndexLink"/>
              <w:color w:val="000000"/>
            </w:rPr>
            <w:fldChar w:fldCharType="separate"/>
          </w:r>
          <w:hyperlink w:anchor="_Toc153879492" w:history="1">
            <w:r w:rsidR="00B14AB3" w:rsidRPr="003B2CD1">
              <w:rPr>
                <w:rStyle w:val="Hyperlink"/>
                <w:rFonts w:ascii="Times New Roman" w:hAnsi="Times New Roman" w:cs="Times New Roman"/>
                <w:sz w:val="24"/>
                <w:szCs w:val="24"/>
              </w:rPr>
              <w:t>1.0 Introduction</w:t>
            </w:r>
            <w:r w:rsidR="00B14AB3" w:rsidRPr="003B2CD1">
              <w:rPr>
                <w:rFonts w:ascii="Times New Roman" w:hAnsi="Times New Roman" w:cs="Times New Roman"/>
                <w:webHidden/>
                <w:sz w:val="24"/>
                <w:szCs w:val="24"/>
              </w:rPr>
              <w:tab/>
            </w:r>
            <w:r w:rsidRPr="003B2CD1">
              <w:rPr>
                <w:rFonts w:ascii="Times New Roman" w:hAnsi="Times New Roman" w:cs="Times New Roman"/>
                <w:webHidden/>
                <w:sz w:val="24"/>
                <w:szCs w:val="24"/>
              </w:rPr>
              <w:fldChar w:fldCharType="begin"/>
            </w:r>
            <w:r w:rsidR="00B14AB3" w:rsidRPr="003B2CD1">
              <w:rPr>
                <w:rFonts w:ascii="Times New Roman" w:hAnsi="Times New Roman" w:cs="Times New Roman"/>
                <w:webHidden/>
                <w:sz w:val="24"/>
                <w:szCs w:val="24"/>
              </w:rPr>
              <w:instrText xml:space="preserve"> PAGEREF _Toc153879492 \h </w:instrText>
            </w:r>
            <w:r w:rsidRPr="003B2CD1">
              <w:rPr>
                <w:rFonts w:ascii="Times New Roman" w:hAnsi="Times New Roman" w:cs="Times New Roman"/>
                <w:webHidden/>
                <w:sz w:val="24"/>
                <w:szCs w:val="24"/>
              </w:rPr>
            </w:r>
            <w:r w:rsidRPr="003B2CD1">
              <w:rPr>
                <w:rFonts w:ascii="Times New Roman" w:hAnsi="Times New Roman" w:cs="Times New Roman"/>
                <w:webHidden/>
                <w:sz w:val="24"/>
                <w:szCs w:val="24"/>
              </w:rPr>
              <w:fldChar w:fldCharType="separate"/>
            </w:r>
            <w:r w:rsidR="004E4750">
              <w:rPr>
                <w:rFonts w:ascii="Times New Roman" w:hAnsi="Times New Roman" w:cs="Times New Roman"/>
                <w:webHidden/>
                <w:sz w:val="24"/>
                <w:szCs w:val="24"/>
              </w:rPr>
              <w:t>4</w:t>
            </w:r>
            <w:r w:rsidRPr="003B2CD1">
              <w:rPr>
                <w:rFonts w:ascii="Times New Roman" w:hAnsi="Times New Roman" w:cs="Times New Roman"/>
                <w:webHidden/>
                <w:sz w:val="24"/>
                <w:szCs w:val="24"/>
              </w:rPr>
              <w:fldChar w:fldCharType="end"/>
            </w:r>
          </w:hyperlink>
        </w:p>
        <w:p w:rsidR="00B14AB3" w:rsidRPr="003B2CD1" w:rsidRDefault="00290D9F" w:rsidP="003B2CD1">
          <w:pPr>
            <w:pStyle w:val="TOC1"/>
            <w:rPr>
              <w:rFonts w:ascii="Times New Roman" w:eastAsiaTheme="minorEastAsia" w:hAnsi="Times New Roman" w:cs="Times New Roman"/>
              <w:sz w:val="24"/>
              <w:szCs w:val="24"/>
              <w:lang w:val="en-US"/>
            </w:rPr>
          </w:pPr>
          <w:hyperlink w:anchor="_Toc153879493" w:history="1">
            <w:r w:rsidR="00B14AB3" w:rsidRPr="003B2CD1">
              <w:rPr>
                <w:rStyle w:val="Hyperlink"/>
                <w:rFonts w:ascii="Times New Roman" w:hAnsi="Times New Roman" w:cs="Times New Roman"/>
                <w:sz w:val="24"/>
                <w:szCs w:val="24"/>
              </w:rPr>
              <w:t>2.0 Contemporary and Ethical Issues in International Human Resource Management: A Comparative Analysis of Spain and India</w:t>
            </w:r>
            <w:r w:rsidR="00B14AB3" w:rsidRPr="003B2CD1">
              <w:rPr>
                <w:rFonts w:ascii="Times New Roman" w:hAnsi="Times New Roman" w:cs="Times New Roman"/>
                <w:webHidden/>
                <w:sz w:val="24"/>
                <w:szCs w:val="24"/>
              </w:rPr>
              <w:tab/>
            </w:r>
            <w:r w:rsidRPr="003B2CD1">
              <w:rPr>
                <w:rFonts w:ascii="Times New Roman" w:hAnsi="Times New Roman" w:cs="Times New Roman"/>
                <w:webHidden/>
                <w:sz w:val="24"/>
                <w:szCs w:val="24"/>
              </w:rPr>
              <w:fldChar w:fldCharType="begin"/>
            </w:r>
            <w:r w:rsidR="00B14AB3" w:rsidRPr="003B2CD1">
              <w:rPr>
                <w:rFonts w:ascii="Times New Roman" w:hAnsi="Times New Roman" w:cs="Times New Roman"/>
                <w:webHidden/>
                <w:sz w:val="24"/>
                <w:szCs w:val="24"/>
              </w:rPr>
              <w:instrText xml:space="preserve"> PAGEREF _Toc153879493 \h </w:instrText>
            </w:r>
            <w:r w:rsidRPr="003B2CD1">
              <w:rPr>
                <w:rFonts w:ascii="Times New Roman" w:hAnsi="Times New Roman" w:cs="Times New Roman"/>
                <w:webHidden/>
                <w:sz w:val="24"/>
                <w:szCs w:val="24"/>
              </w:rPr>
            </w:r>
            <w:r w:rsidRPr="003B2CD1">
              <w:rPr>
                <w:rFonts w:ascii="Times New Roman" w:hAnsi="Times New Roman" w:cs="Times New Roman"/>
                <w:webHidden/>
                <w:sz w:val="24"/>
                <w:szCs w:val="24"/>
              </w:rPr>
              <w:fldChar w:fldCharType="separate"/>
            </w:r>
            <w:r w:rsidR="004E4750">
              <w:rPr>
                <w:rFonts w:ascii="Times New Roman" w:hAnsi="Times New Roman" w:cs="Times New Roman"/>
                <w:webHidden/>
                <w:sz w:val="24"/>
                <w:szCs w:val="24"/>
              </w:rPr>
              <w:t>5</w:t>
            </w:r>
            <w:r w:rsidRPr="003B2CD1">
              <w:rPr>
                <w:rFonts w:ascii="Times New Roman" w:hAnsi="Times New Roman" w:cs="Times New Roman"/>
                <w:webHidden/>
                <w:sz w:val="24"/>
                <w:szCs w:val="24"/>
              </w:rPr>
              <w:fldChar w:fldCharType="end"/>
            </w:r>
          </w:hyperlink>
        </w:p>
        <w:p w:rsidR="00B14AB3" w:rsidRPr="000A087E" w:rsidRDefault="00290D9F" w:rsidP="000A087E">
          <w:pPr>
            <w:pStyle w:val="TOC2"/>
            <w:rPr>
              <w:rFonts w:eastAsiaTheme="minorEastAsia"/>
              <w:lang w:val="en-US"/>
            </w:rPr>
          </w:pPr>
          <w:hyperlink w:anchor="_Toc153879494" w:history="1">
            <w:r w:rsidR="00B14AB3" w:rsidRPr="000A087E">
              <w:rPr>
                <w:rStyle w:val="Hyperlink"/>
              </w:rPr>
              <w:t>2.1 Contemporary Issues in IHRM in Spain: A Nuanced Exploration</w:t>
            </w:r>
            <w:r w:rsidR="00B14AB3" w:rsidRPr="000A087E">
              <w:rPr>
                <w:webHidden/>
              </w:rPr>
              <w:tab/>
            </w:r>
            <w:r w:rsidRPr="000A087E">
              <w:rPr>
                <w:webHidden/>
              </w:rPr>
              <w:fldChar w:fldCharType="begin"/>
            </w:r>
            <w:r w:rsidR="00B14AB3" w:rsidRPr="000A087E">
              <w:rPr>
                <w:webHidden/>
              </w:rPr>
              <w:instrText xml:space="preserve"> PAGEREF _Toc153879494 \h </w:instrText>
            </w:r>
            <w:r w:rsidRPr="000A087E">
              <w:rPr>
                <w:webHidden/>
              </w:rPr>
            </w:r>
            <w:r w:rsidRPr="000A087E">
              <w:rPr>
                <w:webHidden/>
              </w:rPr>
              <w:fldChar w:fldCharType="separate"/>
            </w:r>
            <w:r w:rsidR="004E4750">
              <w:rPr>
                <w:webHidden/>
              </w:rPr>
              <w:t>5</w:t>
            </w:r>
            <w:r w:rsidRPr="000A087E">
              <w:rPr>
                <w:webHidden/>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495" w:history="1">
            <w:r w:rsidR="00B14AB3" w:rsidRPr="003B2CD1">
              <w:rPr>
                <w:rStyle w:val="Hyperlink"/>
                <w:rFonts w:ascii="Times New Roman" w:hAnsi="Times New Roman" w:cs="Times New Roman"/>
                <w:noProof/>
                <w:sz w:val="24"/>
                <w:szCs w:val="24"/>
              </w:rPr>
              <w:t>2.1.1 Work-Life Balance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_Toc153879495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5</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496" w:history="1">
            <w:r w:rsidR="00B14AB3" w:rsidRPr="003B2CD1">
              <w:rPr>
                <w:rStyle w:val="Hyperlink"/>
                <w:rFonts w:ascii="Times New Roman" w:hAnsi="Times New Roman" w:cs="Times New Roman"/>
                <w:noProof/>
                <w:sz w:val="24"/>
                <w:szCs w:val="24"/>
              </w:rPr>
              <w:t>2.1.2 Diversity and Inclusion</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_Toc153879496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5</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497" w:history="1">
            <w:r w:rsidR="00B14AB3" w:rsidRPr="003B2CD1">
              <w:rPr>
                <w:rStyle w:val="Hyperlink"/>
                <w:rFonts w:ascii="Times New Roman" w:hAnsi="Times New Roman" w:cs="Times New Roman"/>
                <w:noProof/>
                <w:sz w:val="24"/>
                <w:szCs w:val="24"/>
              </w:rPr>
              <w:t>2.1.3 Technological Integration</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_Toc153879497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6</w:t>
            </w:r>
            <w:r w:rsidRPr="003B2CD1">
              <w:rPr>
                <w:rFonts w:ascii="Times New Roman" w:hAnsi="Times New Roman" w:cs="Times New Roman"/>
                <w:noProof/>
                <w:webHidden/>
                <w:sz w:val="24"/>
                <w:szCs w:val="24"/>
              </w:rPr>
              <w:fldChar w:fldCharType="end"/>
            </w:r>
          </w:hyperlink>
        </w:p>
        <w:p w:rsidR="00B14AB3" w:rsidRPr="003B2CD1" w:rsidRDefault="00290D9F" w:rsidP="000A087E">
          <w:pPr>
            <w:pStyle w:val="TOC2"/>
            <w:rPr>
              <w:rFonts w:eastAsiaTheme="minorEastAsia"/>
              <w:lang w:val="en-US"/>
            </w:rPr>
          </w:pPr>
          <w:hyperlink w:anchor="_Toc153879498" w:history="1">
            <w:r w:rsidR="00B14AB3" w:rsidRPr="003B2CD1">
              <w:rPr>
                <w:rStyle w:val="Hyperlink"/>
              </w:rPr>
              <w:t>2.2 Ethical Considerations in Spanish IHRM: Navigating Beyond Legal Boundaries</w:t>
            </w:r>
            <w:r w:rsidR="00B14AB3" w:rsidRPr="003B2CD1">
              <w:rPr>
                <w:webHidden/>
              </w:rPr>
              <w:tab/>
            </w:r>
            <w:r w:rsidRPr="003B2CD1">
              <w:rPr>
                <w:webHidden/>
              </w:rPr>
              <w:fldChar w:fldCharType="begin"/>
            </w:r>
            <w:r w:rsidR="00B14AB3" w:rsidRPr="003B2CD1">
              <w:rPr>
                <w:webHidden/>
              </w:rPr>
              <w:instrText xml:space="preserve"> PAGEREF _Toc153879498 \h </w:instrText>
            </w:r>
            <w:r w:rsidRPr="003B2CD1">
              <w:rPr>
                <w:webHidden/>
              </w:rPr>
            </w:r>
            <w:r w:rsidRPr="003B2CD1">
              <w:rPr>
                <w:webHidden/>
              </w:rPr>
              <w:fldChar w:fldCharType="separate"/>
            </w:r>
            <w:r w:rsidR="004E4750">
              <w:rPr>
                <w:webHidden/>
              </w:rPr>
              <w:t>6</w:t>
            </w:r>
            <w:r w:rsidRPr="003B2CD1">
              <w:rPr>
                <w:webHidden/>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499" w:history="1">
            <w:r w:rsidR="00B14AB3" w:rsidRPr="003B2CD1">
              <w:rPr>
                <w:rStyle w:val="Hyperlink"/>
                <w:rFonts w:ascii="Times New Roman" w:hAnsi="Times New Roman" w:cs="Times New Roman"/>
                <w:noProof/>
                <w:sz w:val="24"/>
                <w:szCs w:val="24"/>
              </w:rPr>
              <w:t>2.2.1 Corporate Social Responsibility (CSR)</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_Toc153879499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6</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00" w:history="1">
            <w:r w:rsidR="00B14AB3" w:rsidRPr="003B2CD1">
              <w:rPr>
                <w:rStyle w:val="Hyperlink"/>
                <w:rFonts w:ascii="Times New Roman" w:hAnsi="Times New Roman" w:cs="Times New Roman"/>
                <w:noProof/>
                <w:sz w:val="24"/>
                <w:szCs w:val="24"/>
              </w:rPr>
              <w:t>2.2.2 Privacy and Data Protection</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_Toc153879500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7</w:t>
            </w:r>
            <w:r w:rsidRPr="003B2CD1">
              <w:rPr>
                <w:rFonts w:ascii="Times New Roman" w:hAnsi="Times New Roman" w:cs="Times New Roman"/>
                <w:noProof/>
                <w:webHidden/>
                <w:sz w:val="24"/>
                <w:szCs w:val="24"/>
              </w:rPr>
              <w:fldChar w:fldCharType="end"/>
            </w:r>
          </w:hyperlink>
        </w:p>
        <w:p w:rsidR="00B14AB3" w:rsidRPr="003B2CD1" w:rsidRDefault="00290D9F" w:rsidP="000A087E">
          <w:pPr>
            <w:pStyle w:val="TOC2"/>
            <w:rPr>
              <w:rFonts w:eastAsiaTheme="minorEastAsia"/>
              <w:lang w:val="en-US"/>
            </w:rPr>
          </w:pPr>
          <w:hyperlink w:anchor="_Toc153879501" w:history="1">
            <w:r w:rsidR="00B14AB3" w:rsidRPr="003B2CD1">
              <w:rPr>
                <w:rStyle w:val="Hyperlink"/>
              </w:rPr>
              <w:t>2.3 Contemporary Challenges in Indian IHRM: Navigating Dynamics in a Developing Landscape</w:t>
            </w:r>
            <w:r w:rsidR="00B14AB3" w:rsidRPr="003B2CD1">
              <w:rPr>
                <w:webHidden/>
              </w:rPr>
              <w:tab/>
            </w:r>
            <w:r w:rsidRPr="003B2CD1">
              <w:rPr>
                <w:webHidden/>
              </w:rPr>
              <w:fldChar w:fldCharType="begin"/>
            </w:r>
            <w:r w:rsidR="00B14AB3" w:rsidRPr="003B2CD1">
              <w:rPr>
                <w:webHidden/>
              </w:rPr>
              <w:instrText xml:space="preserve"> PAGEREF _Toc153879501 \h </w:instrText>
            </w:r>
            <w:r w:rsidRPr="003B2CD1">
              <w:rPr>
                <w:webHidden/>
              </w:rPr>
            </w:r>
            <w:r w:rsidRPr="003B2CD1">
              <w:rPr>
                <w:webHidden/>
              </w:rPr>
              <w:fldChar w:fldCharType="separate"/>
            </w:r>
            <w:r w:rsidR="004E4750">
              <w:rPr>
                <w:webHidden/>
              </w:rPr>
              <w:t>7</w:t>
            </w:r>
            <w:r w:rsidRPr="003B2CD1">
              <w:rPr>
                <w:webHidden/>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02" w:history="1">
            <w:r w:rsidR="00B14AB3" w:rsidRPr="003B2CD1">
              <w:rPr>
                <w:rStyle w:val="Hyperlink"/>
                <w:rFonts w:ascii="Times New Roman" w:hAnsi="Times New Roman" w:cs="Times New Roman"/>
                <w:noProof/>
                <w:sz w:val="24"/>
                <w:szCs w:val="24"/>
              </w:rPr>
              <w:t>2.3.1 Formalization of Employment in India:</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_Toc153879502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7</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03" w:history="1">
            <w:r w:rsidR="00B14AB3" w:rsidRPr="003B2CD1">
              <w:rPr>
                <w:rStyle w:val="Hyperlink"/>
                <w:rFonts w:ascii="Times New Roman" w:hAnsi="Times New Roman" w:cs="Times New Roman"/>
                <w:noProof/>
                <w:sz w:val="24"/>
                <w:szCs w:val="24"/>
              </w:rPr>
              <w:t>2.3.1.1 Navigating the Transition:</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_Toc153879503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7</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04" w:history="1">
            <w:r w:rsidR="00B14AB3" w:rsidRPr="003B2CD1">
              <w:rPr>
                <w:rStyle w:val="Hyperlink"/>
                <w:rFonts w:ascii="Times New Roman" w:hAnsi="Times New Roman" w:cs="Times New Roman"/>
                <w:noProof/>
                <w:sz w:val="24"/>
                <w:szCs w:val="24"/>
              </w:rPr>
              <w:t>2.3.1.2 Challenges Amidst Formalization:</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_Toc153879504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8</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05" w:history="1">
            <w:r w:rsidR="00B14AB3" w:rsidRPr="003B2CD1">
              <w:rPr>
                <w:rStyle w:val="Hyperlink"/>
                <w:rFonts w:ascii="Times New Roman" w:hAnsi="Times New Roman" w:cs="Times New Roman"/>
                <w:noProof/>
                <w:sz w:val="24"/>
                <w:szCs w:val="24"/>
              </w:rPr>
              <w:t>2.3.1.3 Demographic Diversity in India: Navigating Inclusive Workforce Strategies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_Toc153879505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8</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06" w:history="1">
            <w:r w:rsidR="00B14AB3" w:rsidRPr="003B2CD1">
              <w:rPr>
                <w:rStyle w:val="Hyperlink"/>
                <w:rFonts w:ascii="Times New Roman" w:hAnsi="Times New Roman" w:cs="Times New Roman"/>
                <w:noProof/>
                <w:sz w:val="24"/>
                <w:szCs w:val="24"/>
              </w:rPr>
              <w:t>2.3.1.4 Addressing Socio-Economic Disparities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_Toc153879506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8</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07" w:history="1">
            <w:r w:rsidR="00B14AB3" w:rsidRPr="003B2CD1">
              <w:rPr>
                <w:rStyle w:val="Hyperlink"/>
                <w:rFonts w:ascii="Times New Roman" w:hAnsi="Times New Roman" w:cs="Times New Roman"/>
                <w:noProof/>
                <w:sz w:val="24"/>
                <w:szCs w:val="24"/>
              </w:rPr>
              <w:t>2.3.1.5 Labor Force Participation Among Females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_Toc153879507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9</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08" w:history="1">
            <w:r w:rsidR="00B14AB3" w:rsidRPr="003B2CD1">
              <w:rPr>
                <w:rStyle w:val="Hyperlink"/>
                <w:rFonts w:ascii="Times New Roman" w:hAnsi="Times New Roman" w:cs="Times New Roman"/>
                <w:noProof/>
                <w:sz w:val="24"/>
                <w:szCs w:val="24"/>
              </w:rPr>
              <w:t>2.3.1.6 Gender Disparities in Executive Positions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_Toc153879508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9</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09" w:history="1">
            <w:r w:rsidR="00B14AB3" w:rsidRPr="003B2CD1">
              <w:rPr>
                <w:rStyle w:val="Hyperlink"/>
                <w:rFonts w:ascii="Times New Roman" w:hAnsi="Times New Roman" w:cs="Times New Roman"/>
                <w:noProof/>
                <w:sz w:val="24"/>
                <w:szCs w:val="24"/>
              </w:rPr>
              <w:t>2.3.1.7 Companies Act of 2013: A Legislative Push for Diversity</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_Toc153879509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9</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10" w:history="1">
            <w:r w:rsidR="00B14AB3" w:rsidRPr="003B2CD1">
              <w:rPr>
                <w:rStyle w:val="Hyperlink"/>
                <w:rFonts w:ascii="Times New Roman" w:hAnsi="Times New Roman" w:cs="Times New Roman"/>
                <w:noProof/>
                <w:sz w:val="24"/>
                <w:szCs w:val="24"/>
              </w:rPr>
              <w:t>2.3.2 Ethical Considerations in Indian Human Resource Management: A Commitment to Fairness and Social Justice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_Toc153879510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9</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11" w:history="1">
            <w:r w:rsidR="00B14AB3" w:rsidRPr="003B2CD1">
              <w:rPr>
                <w:rStyle w:val="Hyperlink"/>
                <w:rFonts w:ascii="Times New Roman" w:hAnsi="Times New Roman" w:cs="Times New Roman"/>
                <w:noProof/>
                <w:sz w:val="24"/>
                <w:szCs w:val="24"/>
              </w:rPr>
              <w:t>2.3.2.1 Inclusive Hiring Practices: Fostering Equitable Opportunities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_Toc153879511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9</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12" w:history="1">
            <w:r w:rsidR="00B14AB3" w:rsidRPr="003B2CD1">
              <w:rPr>
                <w:rStyle w:val="Hyperlink"/>
                <w:rFonts w:ascii="Times New Roman" w:hAnsi="Times New Roman" w:cs="Times New Roman"/>
                <w:noProof/>
                <w:sz w:val="24"/>
                <w:szCs w:val="24"/>
              </w:rPr>
              <w:t>2.3.2.2 Labor Law Adherence: Safeguarding Workers' Rights in a Dynamic Landscape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_Toc153879512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10</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13" w:history="1">
            <w:r w:rsidR="00B14AB3" w:rsidRPr="003B2CD1">
              <w:rPr>
                <w:rStyle w:val="Hyperlink"/>
                <w:rFonts w:ascii="Times New Roman" w:hAnsi="Times New Roman" w:cs="Times New Roman"/>
                <w:noProof/>
                <w:sz w:val="24"/>
                <w:szCs w:val="24"/>
              </w:rPr>
              <w:t>2.3.2.3 Balancing Business Objectives with Ethical Responsibilities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_Toc153879513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10</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14" w:history="1">
            <w:r w:rsidR="00B14AB3" w:rsidRPr="003B2CD1">
              <w:rPr>
                <w:rStyle w:val="Hyperlink"/>
                <w:rFonts w:ascii="Times New Roman" w:hAnsi="Times New Roman" w:cs="Times New Roman"/>
                <w:noProof/>
                <w:sz w:val="24"/>
                <w:szCs w:val="24"/>
              </w:rPr>
              <w:t>2.3.2.4 Ethical Leadership: Navigating Moral Complexities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_Toc153879514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11</w:t>
            </w:r>
            <w:r w:rsidRPr="003B2CD1">
              <w:rPr>
                <w:rFonts w:ascii="Times New Roman" w:hAnsi="Times New Roman" w:cs="Times New Roman"/>
                <w:noProof/>
                <w:webHidden/>
                <w:sz w:val="24"/>
                <w:szCs w:val="24"/>
              </w:rPr>
              <w:fldChar w:fldCharType="end"/>
            </w:r>
          </w:hyperlink>
        </w:p>
        <w:p w:rsidR="00B14AB3" w:rsidRPr="003B2CD1" w:rsidRDefault="00290D9F" w:rsidP="003B2CD1">
          <w:pPr>
            <w:pStyle w:val="TOC1"/>
            <w:rPr>
              <w:rFonts w:ascii="Times New Roman" w:eastAsiaTheme="minorEastAsia" w:hAnsi="Times New Roman" w:cs="Times New Roman"/>
              <w:sz w:val="24"/>
              <w:szCs w:val="24"/>
              <w:lang w:val="en-US"/>
            </w:rPr>
          </w:pPr>
          <w:hyperlink w:anchor="_Toc153879515" w:history="1">
            <w:r w:rsidR="00B14AB3" w:rsidRPr="003B2CD1">
              <w:rPr>
                <w:rStyle w:val="Hyperlink"/>
                <w:rFonts w:ascii="Times New Roman" w:hAnsi="Times New Roman" w:cs="Times New Roman"/>
                <w:sz w:val="24"/>
                <w:szCs w:val="24"/>
              </w:rPr>
              <w:t>3.0 Analyzing Institutional Arrangements in Spain and India: Impact on HR Practices</w:t>
            </w:r>
            <w:r w:rsidR="00B14AB3" w:rsidRPr="003B2CD1">
              <w:rPr>
                <w:rFonts w:ascii="Times New Roman" w:hAnsi="Times New Roman" w:cs="Times New Roman"/>
                <w:webHidden/>
                <w:sz w:val="24"/>
                <w:szCs w:val="24"/>
              </w:rPr>
              <w:tab/>
            </w:r>
            <w:r w:rsidRPr="003B2CD1">
              <w:rPr>
                <w:rFonts w:ascii="Times New Roman" w:hAnsi="Times New Roman" w:cs="Times New Roman"/>
                <w:webHidden/>
                <w:sz w:val="24"/>
                <w:szCs w:val="24"/>
              </w:rPr>
              <w:fldChar w:fldCharType="begin"/>
            </w:r>
            <w:r w:rsidR="00B14AB3" w:rsidRPr="003B2CD1">
              <w:rPr>
                <w:rFonts w:ascii="Times New Roman" w:hAnsi="Times New Roman" w:cs="Times New Roman"/>
                <w:webHidden/>
                <w:sz w:val="24"/>
                <w:szCs w:val="24"/>
              </w:rPr>
              <w:instrText xml:space="preserve"> PAGEREF _Toc153879515 \h </w:instrText>
            </w:r>
            <w:r w:rsidRPr="003B2CD1">
              <w:rPr>
                <w:rFonts w:ascii="Times New Roman" w:hAnsi="Times New Roman" w:cs="Times New Roman"/>
                <w:webHidden/>
                <w:sz w:val="24"/>
                <w:szCs w:val="24"/>
              </w:rPr>
            </w:r>
            <w:r w:rsidRPr="003B2CD1">
              <w:rPr>
                <w:rFonts w:ascii="Times New Roman" w:hAnsi="Times New Roman" w:cs="Times New Roman"/>
                <w:webHidden/>
                <w:sz w:val="24"/>
                <w:szCs w:val="24"/>
              </w:rPr>
              <w:fldChar w:fldCharType="separate"/>
            </w:r>
            <w:r w:rsidR="004E4750">
              <w:rPr>
                <w:rFonts w:ascii="Times New Roman" w:hAnsi="Times New Roman" w:cs="Times New Roman"/>
                <w:webHidden/>
                <w:sz w:val="24"/>
                <w:szCs w:val="24"/>
              </w:rPr>
              <w:t>11</w:t>
            </w:r>
            <w:r w:rsidRPr="003B2CD1">
              <w:rPr>
                <w:rFonts w:ascii="Times New Roman" w:hAnsi="Times New Roman" w:cs="Times New Roman"/>
                <w:webHidden/>
                <w:sz w:val="24"/>
                <w:szCs w:val="24"/>
              </w:rPr>
              <w:fldChar w:fldCharType="end"/>
            </w:r>
          </w:hyperlink>
        </w:p>
        <w:p w:rsidR="00B14AB3" w:rsidRPr="003B2CD1" w:rsidRDefault="00290D9F" w:rsidP="000A087E">
          <w:pPr>
            <w:pStyle w:val="TOC2"/>
            <w:rPr>
              <w:rFonts w:eastAsiaTheme="minorEastAsia"/>
              <w:lang w:val="en-US"/>
            </w:rPr>
          </w:pPr>
          <w:hyperlink w:anchor="_Toc153879516" w:history="1">
            <w:r w:rsidR="00B14AB3" w:rsidRPr="003B2CD1">
              <w:rPr>
                <w:rStyle w:val="Hyperlink"/>
              </w:rPr>
              <w:t>3.1 Spain's Institutional Landscape: A Comprehensive Exploration</w:t>
            </w:r>
            <w:r w:rsidR="00B14AB3" w:rsidRPr="003B2CD1">
              <w:rPr>
                <w:webHidden/>
              </w:rPr>
              <w:tab/>
            </w:r>
            <w:r w:rsidRPr="003B2CD1">
              <w:rPr>
                <w:webHidden/>
              </w:rPr>
              <w:fldChar w:fldCharType="begin"/>
            </w:r>
            <w:r w:rsidR="00B14AB3" w:rsidRPr="003B2CD1">
              <w:rPr>
                <w:webHidden/>
              </w:rPr>
              <w:instrText xml:space="preserve"> PAGEREF _Toc153879516 \h </w:instrText>
            </w:r>
            <w:r w:rsidRPr="003B2CD1">
              <w:rPr>
                <w:webHidden/>
              </w:rPr>
            </w:r>
            <w:r w:rsidRPr="003B2CD1">
              <w:rPr>
                <w:webHidden/>
              </w:rPr>
              <w:fldChar w:fldCharType="separate"/>
            </w:r>
            <w:r w:rsidR="004E4750">
              <w:rPr>
                <w:webHidden/>
              </w:rPr>
              <w:t>11</w:t>
            </w:r>
            <w:r w:rsidRPr="003B2CD1">
              <w:rPr>
                <w:webHidden/>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17" w:history="1">
            <w:r w:rsidR="00B14AB3" w:rsidRPr="003B2CD1">
              <w:rPr>
                <w:rStyle w:val="Hyperlink"/>
                <w:rFonts w:ascii="Times New Roman" w:hAnsi="Times New Roman" w:cs="Times New Roman"/>
                <w:noProof/>
                <w:sz w:val="24"/>
                <w:szCs w:val="24"/>
              </w:rPr>
              <w:t>3.1.1 Job Design and Employee Involvement</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_Toc153879517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11</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18" w:history="1">
            <w:r w:rsidR="00B14AB3" w:rsidRPr="003B2CD1">
              <w:rPr>
                <w:rStyle w:val="Hyperlink"/>
                <w:rFonts w:ascii="Times New Roman" w:hAnsi="Times New Roman" w:cs="Times New Roman"/>
                <w:noProof/>
                <w:sz w:val="24"/>
                <w:szCs w:val="24"/>
              </w:rPr>
              <w:t>3.1.2 Employee Involvement Challenges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_Toc153879518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12</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19" w:history="1">
            <w:r w:rsidR="00B14AB3" w:rsidRPr="003B2CD1">
              <w:rPr>
                <w:rStyle w:val="Hyperlink"/>
                <w:rFonts w:ascii="Times New Roman" w:hAnsi="Times New Roman" w:cs="Times New Roman"/>
                <w:noProof/>
                <w:sz w:val="24"/>
                <w:szCs w:val="24"/>
              </w:rPr>
              <w:t>3.1.3 Recruitment and Selection Methods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_Toc153879519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13</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0" w:history="1">
            <w:r w:rsidR="00B14AB3" w:rsidRPr="003B2CD1">
              <w:rPr>
                <w:rStyle w:val="Hyperlink"/>
                <w:rFonts w:ascii="Times New Roman" w:hAnsi="Times New Roman" w:cs="Times New Roman"/>
                <w:noProof/>
                <w:sz w:val="24"/>
                <w:szCs w:val="24"/>
              </w:rPr>
              <w:t>3.1.4 Welfare of Employees and Trade Union Influence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_Toc153879520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13</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1" w:history="1">
            <w:r w:rsidR="00B14AB3" w:rsidRPr="003B2CD1">
              <w:rPr>
                <w:rStyle w:val="Hyperlink"/>
                <w:rFonts w:ascii="Times New Roman" w:hAnsi="Times New Roman" w:cs="Times New Roman"/>
                <w:noProof/>
                <w:sz w:val="24"/>
                <w:szCs w:val="24"/>
              </w:rPr>
              <w:t>3.1.5 Training and Career Management</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_Toc153879521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14</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2" w:history="1">
            <w:r w:rsidR="00B14AB3" w:rsidRPr="003B2CD1">
              <w:rPr>
                <w:rStyle w:val="Hyperlink"/>
                <w:rFonts w:ascii="Times New Roman" w:hAnsi="Times New Roman" w:cs="Times New Roman"/>
                <w:noProof/>
                <w:sz w:val="24"/>
                <w:szCs w:val="24"/>
              </w:rPr>
              <w:t>3.1.6 Trade Unions in Spain</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_Toc153879522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14</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3" w:history="1">
            <w:r w:rsidR="00B14AB3" w:rsidRPr="003B2CD1">
              <w:rPr>
                <w:rStyle w:val="Hyperlink"/>
                <w:rFonts w:ascii="Times New Roman" w:hAnsi="Times New Roman" w:cs="Times New Roman"/>
                <w:noProof/>
                <w:sz w:val="24"/>
                <w:szCs w:val="24"/>
              </w:rPr>
              <w:t>3.1.7 Employment Landscape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_Toc153879523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15</w:t>
            </w:r>
            <w:r w:rsidRPr="003B2CD1">
              <w:rPr>
                <w:rFonts w:ascii="Times New Roman" w:hAnsi="Times New Roman" w:cs="Times New Roman"/>
                <w:noProof/>
                <w:webHidden/>
                <w:sz w:val="24"/>
                <w:szCs w:val="24"/>
              </w:rPr>
              <w:fldChar w:fldCharType="end"/>
            </w:r>
          </w:hyperlink>
        </w:p>
        <w:p w:rsidR="00B14AB3" w:rsidRPr="003B2CD1" w:rsidRDefault="00290D9F" w:rsidP="000A087E">
          <w:pPr>
            <w:pStyle w:val="TOC2"/>
            <w:rPr>
              <w:rFonts w:eastAsiaTheme="minorEastAsia"/>
              <w:lang w:val="en-US"/>
            </w:rPr>
          </w:pPr>
          <w:hyperlink w:anchor="_Toc153879524" w:history="1">
            <w:r w:rsidR="00B14AB3" w:rsidRPr="003B2CD1">
              <w:rPr>
                <w:rStyle w:val="Hyperlink"/>
              </w:rPr>
              <w:t>3.2 India's Institutional Landscape: Navigating Diversity in HR Practices</w:t>
            </w:r>
            <w:r w:rsidR="00B14AB3" w:rsidRPr="003B2CD1">
              <w:rPr>
                <w:webHidden/>
              </w:rPr>
              <w:tab/>
            </w:r>
            <w:r w:rsidRPr="003B2CD1">
              <w:rPr>
                <w:webHidden/>
              </w:rPr>
              <w:fldChar w:fldCharType="begin"/>
            </w:r>
            <w:r w:rsidR="00B14AB3" w:rsidRPr="003B2CD1">
              <w:rPr>
                <w:webHidden/>
              </w:rPr>
              <w:instrText xml:space="preserve"> PAGEREF _Toc153879524 \h </w:instrText>
            </w:r>
            <w:r w:rsidRPr="003B2CD1">
              <w:rPr>
                <w:webHidden/>
              </w:rPr>
            </w:r>
            <w:r w:rsidRPr="003B2CD1">
              <w:rPr>
                <w:webHidden/>
              </w:rPr>
              <w:fldChar w:fldCharType="separate"/>
            </w:r>
            <w:r w:rsidR="004E4750">
              <w:rPr>
                <w:webHidden/>
              </w:rPr>
              <w:t>15</w:t>
            </w:r>
            <w:r w:rsidRPr="003B2CD1">
              <w:rPr>
                <w:webHidden/>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5" w:history="1">
            <w:r w:rsidR="00B14AB3" w:rsidRPr="003B2CD1">
              <w:rPr>
                <w:rStyle w:val="Hyperlink"/>
                <w:rFonts w:ascii="Times New Roman" w:hAnsi="Times New Roman" w:cs="Times New Roman"/>
                <w:noProof/>
                <w:sz w:val="24"/>
                <w:szCs w:val="24"/>
              </w:rPr>
              <w:t>3.2.1 Investment in Training and Development</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_Toc153879525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15</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6" w:history="1">
            <w:r w:rsidR="00B14AB3" w:rsidRPr="003B2CD1">
              <w:rPr>
                <w:rStyle w:val="Hyperlink"/>
                <w:rFonts w:ascii="Times New Roman" w:hAnsi="Times New Roman" w:cs="Times New Roman"/>
                <w:noProof/>
                <w:sz w:val="24"/>
                <w:szCs w:val="24"/>
              </w:rPr>
              <w:t>3.2.2 Recruitment and Selection</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_Toc153879526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15</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7" w:history="1">
            <w:r w:rsidR="00B14AB3" w:rsidRPr="003B2CD1">
              <w:rPr>
                <w:rStyle w:val="Hyperlink"/>
                <w:rFonts w:ascii="Times New Roman" w:hAnsi="Times New Roman" w:cs="Times New Roman"/>
                <w:noProof/>
                <w:sz w:val="24"/>
                <w:szCs w:val="24"/>
              </w:rPr>
              <w:t>3.2.3 Welfare of Employees</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_Toc153879527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16</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28" w:history="1">
            <w:r w:rsidR="00B14AB3" w:rsidRPr="003B2CD1">
              <w:rPr>
                <w:rStyle w:val="Hyperlink"/>
                <w:rFonts w:ascii="Times New Roman" w:hAnsi="Times New Roman" w:cs="Times New Roman"/>
                <w:noProof/>
                <w:sz w:val="24"/>
                <w:szCs w:val="24"/>
              </w:rPr>
              <w:t>3.2.4 Trade Union Membership and Influence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_Toc153879528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17</w:t>
            </w:r>
            <w:r w:rsidRPr="003B2CD1">
              <w:rPr>
                <w:rFonts w:ascii="Times New Roman" w:hAnsi="Times New Roman" w:cs="Times New Roman"/>
                <w:noProof/>
                <w:webHidden/>
                <w:sz w:val="24"/>
                <w:szCs w:val="24"/>
              </w:rPr>
              <w:fldChar w:fldCharType="end"/>
            </w:r>
          </w:hyperlink>
        </w:p>
        <w:p w:rsidR="00B14AB3" w:rsidRPr="003B2CD1" w:rsidRDefault="00290D9F" w:rsidP="000A087E">
          <w:pPr>
            <w:pStyle w:val="TOC2"/>
            <w:rPr>
              <w:rFonts w:eastAsiaTheme="minorEastAsia"/>
              <w:lang w:val="en-US"/>
            </w:rPr>
          </w:pPr>
          <w:hyperlink w:anchor="_Toc153879529" w:history="1">
            <w:r w:rsidR="00B14AB3" w:rsidRPr="003B2CD1">
              <w:rPr>
                <w:rStyle w:val="Hyperlink"/>
              </w:rPr>
              <w:t>3.3 Managing Workplace Culture Diversity: Navigating Differences Across Spain and India</w:t>
            </w:r>
            <w:r w:rsidR="00B14AB3" w:rsidRPr="003B2CD1">
              <w:rPr>
                <w:webHidden/>
              </w:rPr>
              <w:tab/>
            </w:r>
            <w:r w:rsidRPr="003B2CD1">
              <w:rPr>
                <w:webHidden/>
              </w:rPr>
              <w:fldChar w:fldCharType="begin"/>
            </w:r>
            <w:r w:rsidR="00B14AB3" w:rsidRPr="003B2CD1">
              <w:rPr>
                <w:webHidden/>
              </w:rPr>
              <w:instrText xml:space="preserve"> PAGEREF _Toc153879529 \h </w:instrText>
            </w:r>
            <w:r w:rsidRPr="003B2CD1">
              <w:rPr>
                <w:webHidden/>
              </w:rPr>
            </w:r>
            <w:r w:rsidRPr="003B2CD1">
              <w:rPr>
                <w:webHidden/>
              </w:rPr>
              <w:fldChar w:fldCharType="separate"/>
            </w:r>
            <w:r w:rsidR="004E4750">
              <w:rPr>
                <w:webHidden/>
              </w:rPr>
              <w:t>17</w:t>
            </w:r>
            <w:r w:rsidRPr="003B2CD1">
              <w:rPr>
                <w:webHidden/>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30" w:history="1">
            <w:r w:rsidR="00B14AB3" w:rsidRPr="003B2CD1">
              <w:rPr>
                <w:rStyle w:val="Hyperlink"/>
                <w:rFonts w:ascii="Times New Roman" w:hAnsi="Times New Roman" w:cs="Times New Roman"/>
                <w:noProof/>
                <w:sz w:val="24"/>
                <w:szCs w:val="24"/>
              </w:rPr>
              <w:t>3.3.1 Understanding Workplace Culture Differences Between Spain and India:</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_Toc153879530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17</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31" w:history="1">
            <w:r w:rsidR="00B14AB3" w:rsidRPr="003B2CD1">
              <w:rPr>
                <w:rStyle w:val="Hyperlink"/>
                <w:rFonts w:ascii="Times New Roman" w:hAnsi="Times New Roman" w:cs="Times New Roman"/>
                <w:noProof/>
                <w:sz w:val="24"/>
                <w:szCs w:val="24"/>
              </w:rPr>
              <w:t>3.3.1.1 Spain: A Developed Country Perspective: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_Toc153879531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17</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4"/>
            <w:tabs>
              <w:tab w:val="right" w:leader="dot" w:pos="9016"/>
            </w:tabs>
            <w:spacing w:before="240"/>
            <w:rPr>
              <w:rFonts w:ascii="Times New Roman" w:eastAsiaTheme="minorEastAsia" w:hAnsi="Times New Roman" w:cs="Times New Roman"/>
              <w:noProof/>
              <w:sz w:val="24"/>
              <w:szCs w:val="24"/>
              <w:lang w:val="en-US"/>
            </w:rPr>
          </w:pPr>
          <w:hyperlink w:anchor="_Toc153879532" w:history="1">
            <w:r w:rsidR="00B14AB3" w:rsidRPr="003B2CD1">
              <w:rPr>
                <w:rStyle w:val="Hyperlink"/>
                <w:rFonts w:ascii="Times New Roman" w:hAnsi="Times New Roman" w:cs="Times New Roman"/>
                <w:noProof/>
                <w:sz w:val="24"/>
                <w:szCs w:val="24"/>
              </w:rPr>
              <w:t>3.3.1.2 India: A Developing Country Perspective:</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_Toc153879532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18</w:t>
            </w:r>
            <w:r w:rsidRPr="003B2CD1">
              <w:rPr>
                <w:rFonts w:ascii="Times New Roman" w:hAnsi="Times New Roman" w:cs="Times New Roman"/>
                <w:noProof/>
                <w:webHidden/>
                <w:sz w:val="24"/>
                <w:szCs w:val="24"/>
              </w:rPr>
              <w:fldChar w:fldCharType="end"/>
            </w:r>
          </w:hyperlink>
        </w:p>
        <w:p w:rsidR="00B14AB3" w:rsidRPr="003B2CD1" w:rsidRDefault="00290D9F" w:rsidP="00452F4A">
          <w:pPr>
            <w:pStyle w:val="TOC3"/>
            <w:rPr>
              <w:rFonts w:ascii="Times New Roman" w:eastAsiaTheme="minorEastAsia" w:hAnsi="Times New Roman" w:cs="Times New Roman"/>
              <w:noProof/>
              <w:sz w:val="24"/>
              <w:szCs w:val="24"/>
              <w:lang w:val="en-US"/>
            </w:rPr>
          </w:pPr>
          <w:hyperlink w:anchor="_Toc153879533" w:history="1">
            <w:r w:rsidR="00B14AB3" w:rsidRPr="003B2CD1">
              <w:rPr>
                <w:rStyle w:val="Hyperlink"/>
                <w:rFonts w:ascii="Times New Roman" w:hAnsi="Times New Roman" w:cs="Times New Roman"/>
                <w:noProof/>
                <w:sz w:val="24"/>
                <w:szCs w:val="24"/>
              </w:rPr>
              <w:t>3.3.2 Managing Human Relationships Across Spanish and Indian Cultures: A Strategic Approach</w:t>
            </w:r>
            <w:r w:rsidR="00B14AB3" w:rsidRPr="003B2CD1">
              <w:rPr>
                <w:rFonts w:ascii="Times New Roman" w:hAnsi="Times New Roman" w:cs="Times New Roman"/>
                <w:noProof/>
                <w:webHidden/>
                <w:sz w:val="24"/>
                <w:szCs w:val="24"/>
              </w:rPr>
              <w:tab/>
            </w:r>
            <w:r w:rsidRPr="003B2CD1">
              <w:rPr>
                <w:rFonts w:ascii="Times New Roman" w:hAnsi="Times New Roman" w:cs="Times New Roman"/>
                <w:noProof/>
                <w:webHidden/>
                <w:sz w:val="24"/>
                <w:szCs w:val="24"/>
              </w:rPr>
              <w:fldChar w:fldCharType="begin"/>
            </w:r>
            <w:r w:rsidR="00B14AB3" w:rsidRPr="003B2CD1">
              <w:rPr>
                <w:rFonts w:ascii="Times New Roman" w:hAnsi="Times New Roman" w:cs="Times New Roman"/>
                <w:noProof/>
                <w:webHidden/>
                <w:sz w:val="24"/>
                <w:szCs w:val="24"/>
              </w:rPr>
              <w:instrText xml:space="preserve"> PAGEREF _Toc153879533 \h </w:instrText>
            </w:r>
            <w:r w:rsidRPr="003B2CD1">
              <w:rPr>
                <w:rFonts w:ascii="Times New Roman" w:hAnsi="Times New Roman" w:cs="Times New Roman"/>
                <w:noProof/>
                <w:webHidden/>
                <w:sz w:val="24"/>
                <w:szCs w:val="24"/>
              </w:rPr>
            </w:r>
            <w:r w:rsidRPr="003B2CD1">
              <w:rPr>
                <w:rFonts w:ascii="Times New Roman" w:hAnsi="Times New Roman" w:cs="Times New Roman"/>
                <w:noProof/>
                <w:webHidden/>
                <w:sz w:val="24"/>
                <w:szCs w:val="24"/>
              </w:rPr>
              <w:fldChar w:fldCharType="separate"/>
            </w:r>
            <w:r w:rsidR="004E4750">
              <w:rPr>
                <w:rFonts w:ascii="Times New Roman" w:hAnsi="Times New Roman" w:cs="Times New Roman"/>
                <w:noProof/>
                <w:webHidden/>
                <w:sz w:val="24"/>
                <w:szCs w:val="24"/>
              </w:rPr>
              <w:t>19</w:t>
            </w:r>
            <w:r w:rsidRPr="003B2CD1">
              <w:rPr>
                <w:rFonts w:ascii="Times New Roman" w:hAnsi="Times New Roman" w:cs="Times New Roman"/>
                <w:noProof/>
                <w:webHidden/>
                <w:sz w:val="24"/>
                <w:szCs w:val="24"/>
              </w:rPr>
              <w:fldChar w:fldCharType="end"/>
            </w:r>
          </w:hyperlink>
        </w:p>
        <w:p w:rsidR="00B14AB3" w:rsidRPr="003B2CD1" w:rsidRDefault="00290D9F" w:rsidP="003B2CD1">
          <w:pPr>
            <w:pStyle w:val="TOC1"/>
            <w:rPr>
              <w:rFonts w:ascii="Times New Roman" w:eastAsiaTheme="minorEastAsia" w:hAnsi="Times New Roman" w:cs="Times New Roman"/>
              <w:sz w:val="24"/>
              <w:szCs w:val="24"/>
              <w:lang w:val="en-US"/>
            </w:rPr>
          </w:pPr>
          <w:hyperlink w:anchor="_Toc153879534" w:history="1">
            <w:r w:rsidR="00B14AB3" w:rsidRPr="003B2CD1">
              <w:rPr>
                <w:rStyle w:val="Hyperlink"/>
                <w:rFonts w:ascii="Times New Roman" w:hAnsi="Times New Roman" w:cs="Times New Roman"/>
                <w:sz w:val="24"/>
                <w:szCs w:val="24"/>
              </w:rPr>
              <w:t>4.0 Conclusion</w:t>
            </w:r>
            <w:r w:rsidR="00B14AB3" w:rsidRPr="003B2CD1">
              <w:rPr>
                <w:rFonts w:ascii="Times New Roman" w:hAnsi="Times New Roman" w:cs="Times New Roman"/>
                <w:webHidden/>
                <w:sz w:val="24"/>
                <w:szCs w:val="24"/>
              </w:rPr>
              <w:tab/>
            </w:r>
            <w:r w:rsidRPr="003B2CD1">
              <w:rPr>
                <w:rFonts w:ascii="Times New Roman" w:hAnsi="Times New Roman" w:cs="Times New Roman"/>
                <w:webHidden/>
                <w:sz w:val="24"/>
                <w:szCs w:val="24"/>
              </w:rPr>
              <w:fldChar w:fldCharType="begin"/>
            </w:r>
            <w:r w:rsidR="00B14AB3" w:rsidRPr="003B2CD1">
              <w:rPr>
                <w:rFonts w:ascii="Times New Roman" w:hAnsi="Times New Roman" w:cs="Times New Roman"/>
                <w:webHidden/>
                <w:sz w:val="24"/>
                <w:szCs w:val="24"/>
              </w:rPr>
              <w:instrText xml:space="preserve"> PAGEREF _Toc153879534 \h </w:instrText>
            </w:r>
            <w:r w:rsidRPr="003B2CD1">
              <w:rPr>
                <w:rFonts w:ascii="Times New Roman" w:hAnsi="Times New Roman" w:cs="Times New Roman"/>
                <w:webHidden/>
                <w:sz w:val="24"/>
                <w:szCs w:val="24"/>
              </w:rPr>
            </w:r>
            <w:r w:rsidRPr="003B2CD1">
              <w:rPr>
                <w:rFonts w:ascii="Times New Roman" w:hAnsi="Times New Roman" w:cs="Times New Roman"/>
                <w:webHidden/>
                <w:sz w:val="24"/>
                <w:szCs w:val="24"/>
              </w:rPr>
              <w:fldChar w:fldCharType="separate"/>
            </w:r>
            <w:r w:rsidR="004E4750">
              <w:rPr>
                <w:rFonts w:ascii="Times New Roman" w:hAnsi="Times New Roman" w:cs="Times New Roman"/>
                <w:webHidden/>
                <w:sz w:val="24"/>
                <w:szCs w:val="24"/>
              </w:rPr>
              <w:t>23</w:t>
            </w:r>
            <w:r w:rsidRPr="003B2CD1">
              <w:rPr>
                <w:rFonts w:ascii="Times New Roman" w:hAnsi="Times New Roman" w:cs="Times New Roman"/>
                <w:webHidden/>
                <w:sz w:val="24"/>
                <w:szCs w:val="24"/>
              </w:rPr>
              <w:fldChar w:fldCharType="end"/>
            </w:r>
          </w:hyperlink>
        </w:p>
        <w:p w:rsidR="00B14AB3" w:rsidRDefault="00290D9F" w:rsidP="003B2CD1">
          <w:pPr>
            <w:pStyle w:val="TOC1"/>
            <w:rPr>
              <w:rFonts w:asciiTheme="minorHAnsi" w:eastAsiaTheme="minorEastAsia" w:hAnsiTheme="minorHAnsi" w:cstheme="minorBidi"/>
              <w:lang w:val="en-US"/>
            </w:rPr>
          </w:pPr>
          <w:hyperlink w:anchor="_Toc153879535" w:history="1">
            <w:r w:rsidR="00B14AB3" w:rsidRPr="003B2CD1">
              <w:rPr>
                <w:rStyle w:val="Hyperlink"/>
                <w:rFonts w:ascii="Times New Roman" w:hAnsi="Times New Roman" w:cs="Times New Roman"/>
                <w:sz w:val="24"/>
                <w:szCs w:val="24"/>
              </w:rPr>
              <w:t>5.0 Reference List</w:t>
            </w:r>
            <w:r w:rsidR="00B14AB3" w:rsidRPr="003B2CD1">
              <w:rPr>
                <w:rFonts w:ascii="Times New Roman" w:hAnsi="Times New Roman" w:cs="Times New Roman"/>
                <w:webHidden/>
                <w:sz w:val="24"/>
                <w:szCs w:val="24"/>
              </w:rPr>
              <w:tab/>
            </w:r>
            <w:r w:rsidRPr="003B2CD1">
              <w:rPr>
                <w:rFonts w:ascii="Times New Roman" w:hAnsi="Times New Roman" w:cs="Times New Roman"/>
                <w:webHidden/>
                <w:sz w:val="24"/>
                <w:szCs w:val="24"/>
              </w:rPr>
              <w:fldChar w:fldCharType="begin"/>
            </w:r>
            <w:r w:rsidR="00B14AB3" w:rsidRPr="003B2CD1">
              <w:rPr>
                <w:rFonts w:ascii="Times New Roman" w:hAnsi="Times New Roman" w:cs="Times New Roman"/>
                <w:webHidden/>
                <w:sz w:val="24"/>
                <w:szCs w:val="24"/>
              </w:rPr>
              <w:instrText xml:space="preserve"> PAGEREF _Toc153879535 \h </w:instrText>
            </w:r>
            <w:r w:rsidRPr="003B2CD1">
              <w:rPr>
                <w:rFonts w:ascii="Times New Roman" w:hAnsi="Times New Roman" w:cs="Times New Roman"/>
                <w:webHidden/>
                <w:sz w:val="24"/>
                <w:szCs w:val="24"/>
              </w:rPr>
            </w:r>
            <w:r w:rsidRPr="003B2CD1">
              <w:rPr>
                <w:rFonts w:ascii="Times New Roman" w:hAnsi="Times New Roman" w:cs="Times New Roman"/>
                <w:webHidden/>
                <w:sz w:val="24"/>
                <w:szCs w:val="24"/>
              </w:rPr>
              <w:fldChar w:fldCharType="separate"/>
            </w:r>
            <w:r w:rsidR="004E4750">
              <w:rPr>
                <w:rFonts w:ascii="Times New Roman" w:hAnsi="Times New Roman" w:cs="Times New Roman"/>
                <w:webHidden/>
                <w:sz w:val="24"/>
                <w:szCs w:val="24"/>
              </w:rPr>
              <w:t>24</w:t>
            </w:r>
            <w:r w:rsidRPr="003B2CD1">
              <w:rPr>
                <w:rFonts w:ascii="Times New Roman" w:hAnsi="Times New Roman" w:cs="Times New Roman"/>
                <w:webHidden/>
                <w:sz w:val="24"/>
                <w:szCs w:val="24"/>
              </w:rPr>
              <w:fldChar w:fldCharType="end"/>
            </w:r>
          </w:hyperlink>
        </w:p>
        <w:p w:rsidR="00B14AB3" w:rsidRPr="00DB08B0" w:rsidRDefault="00290D9F" w:rsidP="00DB08B0">
          <w:pPr>
            <w:pStyle w:val="Normal1"/>
            <w:widowControl w:val="0"/>
            <w:tabs>
              <w:tab w:val="right" w:leader="dot" w:pos="9025"/>
            </w:tabs>
            <w:spacing w:before="6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fldChar w:fldCharType="end"/>
          </w:r>
        </w:p>
      </w:sdtContent>
    </w:sdt>
    <w:p w:rsidR="00133F98" w:rsidRDefault="00331D25">
      <w:pPr>
        <w:pStyle w:val="Heading1"/>
      </w:pPr>
      <w:r>
        <w:t xml:space="preserve"> </w:t>
      </w:r>
      <w:bookmarkStart w:id="0" w:name="_Toc153879492"/>
      <w:r>
        <w:t>1.0 Introduction</w:t>
      </w:r>
      <w:bookmarkEnd w:id="0"/>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Navigating the intricacies of managing people on an international scale is a multifaceted challenge that demands a nuanced understanding of diverse elements. As the appointed Head of HR transitioning from the developed landscape of Spain to the dynamic environment of India, this role necessitates a keen awareness of the unique interplay between human resources regulations, cultural disparities, language dynamics and divergent work styles. The task at hand involves not just managing a workforce but orchestrating a symphony of factors that define the success of a global team. On the other hand, this transitional leadership role beckons an exploration of contemporary and ethical issues prevalent in international human resource management. Understanding and addressing these issues are paramount for fostering a workplace that is not only compliant but also reflective of the broader societal and ethical landscape. Furthermore, an in-depth analysis of the institutional arrangements in both Spain and India is indispensable. On the other hand, this includes delving into the regulatory frameworks that shape HR practices understanding the implications on training and development, recruitment, employee welfare and the dynamics of trade union memberships. In addition, recognizing the distinct influences of these institutional structures allows for the formulation of tailored strategies that align with the unique socio-economic contexts of each country. Cultural differences present yet another layer of complexity. Effective human relationship management hinges on a critical analysis of the diverse workplace cultures existing between Spain and India. From communication norms to conflict resolution mechanisms, each cultural facet significantly impacts the overall team dynamics. Successfully navigating these differences becomes pivotal for fostering collaboration and productivity in a cross-cultural setting. On the other hand, this introduction sets the stage for a comprehensive exploration of the challenges and opportunities that lie at the intersection of developed and developing contexts. The subsequent sections delve deeper into contemporary issues, institutional intricacies and cultural dynamics offering strategic insights to guide the HR leader in steering the workforce towards success in this distinctive international landscape.</w:t>
      </w:r>
    </w:p>
    <w:p w:rsidR="00133F98" w:rsidRDefault="00331D25">
      <w:pPr>
        <w:pStyle w:val="Heading1"/>
      </w:pPr>
      <w:bookmarkStart w:id="1" w:name="_Toc153879493"/>
      <w:r>
        <w:lastRenderedPageBreak/>
        <w:t>2.0 Contemporary and Ethical Issues in International Human Resource Management: A Comparative Analysis of Spain and India</w:t>
      </w:r>
      <w:bookmarkEnd w:id="1"/>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International Human Resource Management (IHRM) poses unique challenges for companies engaging in cross-border operations. Understanding and navigating contemporary and ethical issues is crucial for sustainable and responsible business practices. On the other hand, this analysis explores the specific challenges faced by companies operating in two distinct countries: Spain and India.</w:t>
      </w:r>
    </w:p>
    <w:p w:rsidR="00133F98" w:rsidRDefault="00331D25">
      <w:pPr>
        <w:pStyle w:val="Heading2"/>
      </w:pPr>
      <w:bookmarkStart w:id="2" w:name="_Toc153879494"/>
      <w:r>
        <w:t>2.1 Contemporary Issues in IHRM in Spain: A Nuanced Exploration</w:t>
      </w:r>
      <w:bookmarkEnd w:id="2"/>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Spain, the contemporary landscape of IHRM is shaped by a well-established legal framework and a focus on the psychological contract between employers and employees. However, challenges persist:</w:t>
      </w:r>
    </w:p>
    <w:p w:rsidR="00133F98" w:rsidRDefault="00331D25">
      <w:pPr>
        <w:pStyle w:val="Heading3"/>
      </w:pPr>
      <w:bookmarkStart w:id="3" w:name="_Toc153879495"/>
      <w:r>
        <w:t>2.1.1 Work-Life Balance</w:t>
      </w:r>
      <w:bookmarkEnd w:id="3"/>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Work-life balance has emerged as a paramount contemporary issue in the field of International Human Resource Management (IHRM) in Spain. The cultural emphasis on achieving a harmonious equilibrium between professional responsibilities and personal life necessitates a strategic and empathetic approach from companies. According to a recent survey conducted by the Spanish Institute for Economic Studies a substantial 68% of the Spanish workforce values a healthy work-life balance </w:t>
      </w:r>
      <w:r w:rsidRPr="00F7650D">
        <w:rPr>
          <w:rFonts w:ascii="Times New Roman" w:eastAsia="Times New Roman" w:hAnsi="Times New Roman" w:cs="Times New Roman"/>
          <w:color w:val="000000" w:themeColor="text1"/>
          <w:sz w:val="24"/>
          <w:szCs w:val="24"/>
        </w:rPr>
        <w:t>(Cabrera et al., 2005).</w:t>
      </w:r>
      <w:r>
        <w:rPr>
          <w:rFonts w:ascii="Times New Roman" w:eastAsia="Times New Roman" w:hAnsi="Times New Roman" w:cs="Times New Roman"/>
          <w:sz w:val="24"/>
          <w:szCs w:val="24"/>
        </w:rPr>
        <w:t xml:space="preserve"> On the other side, this signifies a profound societal expectation that employers need to acknowledge and incorporate into their organizational practices. Companies adapting to this cultural norm often implement flexible work schedules and remote work options. The impact of such initiatives is evident in Spain's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Force Survey, which reports a notable 15% increase in employee satisfaction among companies that have successfully introduced flexible working arrangements (</w:t>
      </w:r>
      <w:proofErr w:type="gramStart"/>
      <w:r>
        <w:rPr>
          <w:rFonts w:ascii="Times New Roman" w:eastAsia="Times New Roman" w:hAnsi="Times New Roman" w:cs="Times New Roman"/>
          <w:sz w:val="24"/>
          <w:szCs w:val="24"/>
        </w:rPr>
        <w:t>Labourbureau.gov.in.,</w:t>
      </w:r>
      <w:proofErr w:type="gramEnd"/>
      <w:r>
        <w:rPr>
          <w:rFonts w:ascii="Times New Roman" w:eastAsia="Times New Roman" w:hAnsi="Times New Roman" w:cs="Times New Roman"/>
          <w:sz w:val="24"/>
          <w:szCs w:val="24"/>
        </w:rPr>
        <w:t xml:space="preserve"> 2021). In addition, this demonstrates that aligning organizational policies with the cultural inclination towards work-life balance not only fosters a positive work environment but also contributes to enhanced employee well-being and satisfaction (</w:t>
      </w:r>
      <w:proofErr w:type="gramStart"/>
      <w:r>
        <w:rPr>
          <w:rFonts w:ascii="Times New Roman" w:eastAsia="Times New Roman" w:hAnsi="Times New Roman" w:cs="Times New Roman"/>
          <w:sz w:val="24"/>
          <w:szCs w:val="24"/>
        </w:rPr>
        <w:t>CEDEFOP.,</w:t>
      </w:r>
      <w:proofErr w:type="gramEnd"/>
      <w:r>
        <w:rPr>
          <w:rFonts w:ascii="Times New Roman" w:eastAsia="Times New Roman" w:hAnsi="Times New Roman" w:cs="Times New Roman"/>
          <w:sz w:val="24"/>
          <w:szCs w:val="24"/>
        </w:rPr>
        <w:t xml:space="preserve"> 2021).</w:t>
      </w:r>
    </w:p>
    <w:p w:rsidR="00133F98" w:rsidRDefault="00331D25">
      <w:pPr>
        <w:pStyle w:val="Heading3"/>
      </w:pPr>
      <w:bookmarkStart w:id="4" w:name="_Toc153879496"/>
      <w:r>
        <w:t>2.1.2 Diversity and Inclusion</w:t>
      </w:r>
      <w:bookmarkEnd w:id="4"/>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Diversity and inclusion have become pivotal considerations for companies engaging in cross-border operations in Spain. The global discourse on the significance of diversity in the </w:t>
      </w:r>
      <w:r>
        <w:rPr>
          <w:rFonts w:ascii="Times New Roman" w:eastAsia="Times New Roman" w:hAnsi="Times New Roman" w:cs="Times New Roman"/>
          <w:sz w:val="24"/>
          <w:szCs w:val="24"/>
        </w:rPr>
        <w:lastRenderedPageBreak/>
        <w:t xml:space="preserve">workplace has prompted Spanish businesses to actively address this dimension of IHRM. According to data from the Spanish Ministry of </w:t>
      </w:r>
      <w:proofErr w:type="spellStart"/>
      <w:r>
        <w:rPr>
          <w:rFonts w:ascii="Times New Roman" w:eastAsia="Times New Roman" w:hAnsi="Times New Roman" w:cs="Times New Roman"/>
          <w:sz w:val="24"/>
          <w:szCs w:val="24"/>
        </w:rPr>
        <w:t>Labor</w:t>
      </w:r>
      <w:proofErr w:type="spellEnd"/>
      <w:r>
        <w:rPr>
          <w:rFonts w:ascii="Times New Roman" w:eastAsia="Times New Roman" w:hAnsi="Times New Roman" w:cs="Times New Roman"/>
          <w:sz w:val="24"/>
          <w:szCs w:val="24"/>
        </w:rPr>
        <w:t xml:space="preserve"> an impressive 82% of companies in Spain have implemented gender equality policies. Along with this, it reflects a conscious effort to provide equal opportunities and eliminate gender-based disparities in the workplace (Holm-</w:t>
      </w:r>
      <w:proofErr w:type="spellStart"/>
      <w:r>
        <w:rPr>
          <w:rFonts w:ascii="Times New Roman" w:eastAsia="Times New Roman" w:hAnsi="Times New Roman" w:cs="Times New Roman"/>
          <w:sz w:val="24"/>
          <w:szCs w:val="24"/>
        </w:rPr>
        <w:t>Detlev</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Köhler</w:t>
      </w:r>
      <w:proofErr w:type="spellEnd"/>
      <w:r>
        <w:rPr>
          <w:rFonts w:ascii="Times New Roman" w:eastAsia="Times New Roman" w:hAnsi="Times New Roman" w:cs="Times New Roman"/>
          <w:sz w:val="24"/>
          <w:szCs w:val="24"/>
        </w:rPr>
        <w:t>., 2021). The research from the Spanish Business Federation for Equality Opportunities underscores the positive correlation between diverse leadership and business performance. Companies with diverse leadership structures experience a 12% higher profit margin than their counterparts. Beyond policy implementation successfully navigating diversity and inclusion issues requires fostering an inclusive workplace culture. Achieving this involves understanding and embracing the diverse demographics of Spain's workforce including considerations of ethnicity, age and cultural background (Holm-</w:t>
      </w:r>
      <w:proofErr w:type="spellStart"/>
      <w:r>
        <w:rPr>
          <w:rFonts w:ascii="Times New Roman" w:eastAsia="Times New Roman" w:hAnsi="Times New Roman" w:cs="Times New Roman"/>
          <w:sz w:val="24"/>
          <w:szCs w:val="24"/>
        </w:rPr>
        <w:t>Detlev</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Köhler</w:t>
      </w:r>
      <w:proofErr w:type="spellEnd"/>
      <w:r>
        <w:rPr>
          <w:rFonts w:ascii="Times New Roman" w:eastAsia="Times New Roman" w:hAnsi="Times New Roman" w:cs="Times New Roman"/>
          <w:sz w:val="24"/>
          <w:szCs w:val="24"/>
        </w:rPr>
        <w:t>., 2021).</w:t>
      </w:r>
    </w:p>
    <w:p w:rsidR="00133F98" w:rsidRDefault="00331D25">
      <w:pPr>
        <w:pStyle w:val="Heading3"/>
      </w:pPr>
      <w:bookmarkStart w:id="5" w:name="_Toc153879497"/>
      <w:r>
        <w:t>2.1.3 Technological Integration</w:t>
      </w:r>
      <w:bookmarkEnd w:id="5"/>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Spain's commitment to technological advancement presents both opportunities and challenges for companies engaging in international business activities.  However, this transformation also necessitates a concerted effort to adapt the workforce to the demands of a technologically driven environment. On the flip side, this study conducted by the Spanish Association for Human Resource Management reveals that 64% of companies face challenges in </w:t>
      </w:r>
      <w:proofErr w:type="spellStart"/>
      <w:r>
        <w:rPr>
          <w:rFonts w:ascii="Times New Roman" w:eastAsia="Times New Roman" w:hAnsi="Times New Roman" w:cs="Times New Roman"/>
          <w:sz w:val="24"/>
          <w:szCs w:val="24"/>
        </w:rPr>
        <w:t>upskilling</w:t>
      </w:r>
      <w:proofErr w:type="spellEnd"/>
      <w:r>
        <w:rPr>
          <w:rFonts w:ascii="Times New Roman" w:eastAsia="Times New Roman" w:hAnsi="Times New Roman" w:cs="Times New Roman"/>
          <w:sz w:val="24"/>
          <w:szCs w:val="24"/>
        </w:rPr>
        <w:t xml:space="preserve"> their employees to meet the requirements of a technologically evolving landscape (</w:t>
      </w:r>
      <w:proofErr w:type="gramStart"/>
      <w:r>
        <w:rPr>
          <w:rFonts w:ascii="Times New Roman" w:eastAsia="Times New Roman" w:hAnsi="Times New Roman" w:cs="Times New Roman"/>
          <w:sz w:val="24"/>
          <w:szCs w:val="24"/>
        </w:rPr>
        <w:t>Labourbureau.gov.in.,</w:t>
      </w:r>
      <w:proofErr w:type="gramEnd"/>
      <w:r>
        <w:rPr>
          <w:rFonts w:ascii="Times New Roman" w:eastAsia="Times New Roman" w:hAnsi="Times New Roman" w:cs="Times New Roman"/>
          <w:sz w:val="24"/>
          <w:szCs w:val="24"/>
        </w:rPr>
        <w:t xml:space="preserve"> 2021). Along with this, proactive strategies are imperative to bridge this digital skills gap. On the contrary, it involves implementing targeted training programs collaborating with educational institutions and fostering a culture of continuous learning within organizations.</w:t>
      </w:r>
    </w:p>
    <w:p w:rsidR="00133F98" w:rsidRDefault="00331D25">
      <w:pPr>
        <w:pStyle w:val="Heading2"/>
      </w:pPr>
      <w:bookmarkStart w:id="6" w:name="_Toc153879498"/>
      <w:r>
        <w:t>2.2 Ethical Considerations in Spanish IHRM: Navigating Beyond Legal Boundaries</w:t>
      </w:r>
      <w:bookmarkEnd w:id="6"/>
    </w:p>
    <w:p w:rsidR="00133F98" w:rsidRDefault="00331D25">
      <w:pPr>
        <w:pStyle w:val="Heading3"/>
      </w:pPr>
      <w:bookmarkStart w:id="7" w:name="_Toc153879499"/>
      <w:r>
        <w:t>2.2.1 Corporate Social Responsibility (CSR)</w:t>
      </w:r>
      <w:bookmarkEnd w:id="7"/>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Spain, ethical considerations stretch beyond mere legal compliance, encompassing a multifaceted approach to Corporate Social Responsibility (CSR). Stakeholders ranging from employees to consumers have elevated their expectations regarding ethical business practices (</w:t>
      </w:r>
      <w:proofErr w:type="spellStart"/>
      <w:r>
        <w:rPr>
          <w:rFonts w:ascii="Times New Roman" w:eastAsia="Times New Roman" w:hAnsi="Times New Roman" w:cs="Times New Roman"/>
          <w:sz w:val="24"/>
          <w:szCs w:val="24"/>
        </w:rPr>
        <w:t>Shrm</w:t>
      </w:r>
      <w:proofErr w:type="spellEnd"/>
      <w:r>
        <w:rPr>
          <w:rFonts w:ascii="Times New Roman" w:eastAsia="Times New Roman" w:hAnsi="Times New Roman" w:cs="Times New Roman"/>
          <w:sz w:val="24"/>
          <w:szCs w:val="24"/>
        </w:rPr>
        <w:t xml:space="preserve">, 2020). On the other hand, the Companies are now under increased scrutiny to showcase a genuine commitment to CSR, environmental sustainability and positive social </w:t>
      </w:r>
      <w:r>
        <w:rPr>
          <w:rFonts w:ascii="Times New Roman" w:eastAsia="Times New Roman" w:hAnsi="Times New Roman" w:cs="Times New Roman"/>
          <w:sz w:val="24"/>
          <w:szCs w:val="24"/>
        </w:rPr>
        <w:lastRenderedPageBreak/>
        <w:t>impact. On the other hand, the Spanish Corporate Social Responsibility Observatory indicates a growing emphasis on CSR initiatives. Notably, 72% of Spanish companies have integrated CSR principles into their strategic planning. On the flip side, it signifies a paradigm shift wherein businesses are recognizing the symbiotic relationship between corporate success and societal well-being. In addition, the Successful integration of CSR practices not only enhances the company's reputation but also fosters a sense of pride and loyalty among employees and consumers alike (Oecd.org., 2021).</w:t>
      </w:r>
    </w:p>
    <w:p w:rsidR="00133F98" w:rsidRDefault="00331D25">
      <w:pPr>
        <w:pStyle w:val="Heading3"/>
      </w:pPr>
      <w:bookmarkStart w:id="8" w:name="_Toc153879500"/>
      <w:r>
        <w:t>2.2.2 Privacy and Data Protection</w:t>
      </w:r>
      <w:bookmarkEnd w:id="8"/>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surge in remote work and the pervasive influence of digitalization have accentuated the ethical challenges associated with privacy and data protection in the Spanish IHRM landscape. Amidst the realm of legal adherence, enterprises grapple not only with meeting regulatory requirements but also with the pressing need to shield employee privacy per the General Data Protection Regulation (GDPR) and Spain's Organic Law on Data Protection and Guarantee of Digital Rights. Ensuring alignment with these regulations transcends a mere legal obligation; it emerges as a fundamental ethical duty (</w:t>
      </w:r>
      <w:proofErr w:type="spellStart"/>
      <w:proofErr w:type="gramStart"/>
      <w:r>
        <w:rPr>
          <w:rFonts w:ascii="Times New Roman" w:eastAsia="Times New Roman" w:hAnsi="Times New Roman" w:cs="Times New Roman"/>
          <w:sz w:val="24"/>
          <w:szCs w:val="24"/>
        </w:rPr>
        <w:t>Shrm</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2020). Breaches of these standards can incur substantial penalties and tarnish the company's standing. Recent instances, such as the legal action taken against a prominent Spanish tech entity for mishandling employee data, underscore the profound gravity of privacy apprehensions. To confront these challenges, companies are allocating resources to fortified </w:t>
      </w:r>
      <w:proofErr w:type="spellStart"/>
      <w:r>
        <w:rPr>
          <w:rFonts w:ascii="Times New Roman" w:eastAsia="Times New Roman" w:hAnsi="Times New Roman" w:cs="Times New Roman"/>
          <w:sz w:val="24"/>
          <w:szCs w:val="24"/>
        </w:rPr>
        <w:t>cybersecurity</w:t>
      </w:r>
      <w:proofErr w:type="spellEnd"/>
      <w:r>
        <w:rPr>
          <w:rFonts w:ascii="Times New Roman" w:eastAsia="Times New Roman" w:hAnsi="Times New Roman" w:cs="Times New Roman"/>
          <w:sz w:val="24"/>
          <w:szCs w:val="24"/>
        </w:rPr>
        <w:t xml:space="preserve"> measures, engaging in routine privacy impact assessments, and cultivating a culture of data awareness among their workforce (Zhang et al., 2009). Proactively disclosing information about data management practices is fast becoming a distinguishing feature of ethically conscientious organizations, fostering trust among both employees and stakeholders.</w:t>
      </w:r>
    </w:p>
    <w:p w:rsidR="00133F98" w:rsidRDefault="00331D25">
      <w:pPr>
        <w:pStyle w:val="Heading2"/>
      </w:pPr>
      <w:bookmarkStart w:id="9" w:name="_Toc153879501"/>
      <w:r>
        <w:t>2.3 Contemporary Challenges in Indian IHRM: Navigating Dynamics in a Developing Landscape</w:t>
      </w:r>
      <w:bookmarkEnd w:id="9"/>
    </w:p>
    <w:p w:rsidR="00133F98" w:rsidRDefault="00331D25">
      <w:pPr>
        <w:pStyle w:val="Heading3"/>
      </w:pPr>
      <w:bookmarkStart w:id="10" w:name="_Toc153879502"/>
      <w:r>
        <w:t>2.3.1 Formalization of Employment in India:</w:t>
      </w:r>
      <w:bookmarkEnd w:id="10"/>
    </w:p>
    <w:p w:rsidR="00133F98" w:rsidRDefault="00331D25">
      <w:pPr>
        <w:pStyle w:val="Heading4"/>
      </w:pPr>
      <w:bookmarkStart w:id="11" w:name="_Toc153879503"/>
      <w:r>
        <w:t>2.3.1.1 Navigating the Transition:</w:t>
      </w:r>
      <w:bookmarkEnd w:id="11"/>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trajectory of its economic evolution, India contends with the intricate task of shifting from informal to formal employment frameworks. This transformation gains momentum through initiatives such as the Goods and Services Tax (GST) and the digitization of financial services. Despite the intent to establish job stability and augment earnings, the actual scenario </w:t>
      </w:r>
      <w:r>
        <w:rPr>
          <w:rFonts w:ascii="Times New Roman" w:eastAsia="Times New Roman" w:hAnsi="Times New Roman" w:cs="Times New Roman"/>
          <w:sz w:val="24"/>
          <w:szCs w:val="24"/>
        </w:rPr>
        <w:lastRenderedPageBreak/>
        <w:t>is nuanced (Zhang et al., 2009). Despite advancements in formalization, a significant segment of the labour force persists within the informal sector (</w:t>
      </w:r>
      <w:proofErr w:type="gramStart"/>
      <w:r>
        <w:rPr>
          <w:rFonts w:ascii="Times New Roman" w:eastAsia="Times New Roman" w:hAnsi="Times New Roman" w:cs="Times New Roman"/>
          <w:sz w:val="24"/>
          <w:szCs w:val="24"/>
        </w:rPr>
        <w:t>Labourbureau.gov.in.,</w:t>
      </w:r>
      <w:proofErr w:type="gramEnd"/>
      <w:r>
        <w:rPr>
          <w:rFonts w:ascii="Times New Roman" w:eastAsia="Times New Roman" w:hAnsi="Times New Roman" w:cs="Times New Roman"/>
          <w:sz w:val="24"/>
          <w:szCs w:val="24"/>
        </w:rPr>
        <w:t xml:space="preserve"> 2021). </w:t>
      </w:r>
    </w:p>
    <w:p w:rsidR="00133F98" w:rsidRDefault="00331D25">
      <w:pPr>
        <w:pStyle w:val="Normal1"/>
        <w:jc w:val="center"/>
      </w:pPr>
      <w:r>
        <w:rPr>
          <w:noProof/>
          <w:lang w:val="en-US"/>
        </w:rPr>
        <w:drawing>
          <wp:inline distT="0" distB="0" distL="0" distR="0">
            <wp:extent cx="3381375" cy="2409825"/>
            <wp:effectExtent l="0" t="0" r="0" b="0"/>
            <wp:docPr id="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5.png"/>
                    <pic:cNvPicPr>
                      <a:picLocks noChangeAspect="1" noChangeArrowheads="1"/>
                    </pic:cNvPicPr>
                  </pic:nvPicPr>
                  <pic:blipFill>
                    <a:blip r:embed="rId8" cstate="print"/>
                    <a:stretch>
                      <a:fillRect/>
                    </a:stretch>
                  </pic:blipFill>
                  <pic:spPr bwMode="auto">
                    <a:xfrm>
                      <a:off x="0" y="0"/>
                      <a:ext cx="3381375" cy="2409825"/>
                    </a:xfrm>
                    <a:prstGeom prst="rect">
                      <a:avLst/>
                    </a:prstGeom>
                  </pic:spPr>
                </pic:pic>
              </a:graphicData>
            </a:graphic>
          </wp:inline>
        </w:drawing>
      </w:r>
    </w:p>
    <w:p w:rsidR="00133F98" w:rsidRDefault="00331D25">
      <w:pPr>
        <w:pStyle w:val="Normal1"/>
        <w:jc w:val="center"/>
      </w:pPr>
      <w:r>
        <w:t>Fig 1: Estimated Human resource management technology market size in India in 2021</w:t>
      </w:r>
    </w:p>
    <w:p w:rsidR="00133F98" w:rsidRDefault="00331D25">
      <w:pPr>
        <w:pStyle w:val="Normal1"/>
        <w:jc w:val="center"/>
      </w:pPr>
      <w:r>
        <w:t>(Source: Statista.com, 2023)</w:t>
      </w:r>
    </w:p>
    <w:p w:rsidR="00133F98" w:rsidRDefault="00133F98">
      <w:pPr>
        <w:pStyle w:val="Normal1"/>
        <w:jc w:val="center"/>
        <w:rPr>
          <w:b/>
        </w:rPr>
      </w:pPr>
    </w:p>
    <w:p w:rsidR="00133F98" w:rsidRDefault="00331D25">
      <w:pPr>
        <w:pStyle w:val="Heading4"/>
      </w:pPr>
      <w:bookmarkStart w:id="12" w:name="_Toc153879504"/>
      <w:r>
        <w:t xml:space="preserve">2.3.1.2 Challenges </w:t>
      </w:r>
      <w:proofErr w:type="gramStart"/>
      <w:r>
        <w:t>Amidst</w:t>
      </w:r>
      <w:proofErr w:type="gramEnd"/>
      <w:r>
        <w:t xml:space="preserve"> Formalization:</w:t>
      </w:r>
      <w:bookmarkEnd w:id="12"/>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drive towards formalization encounters impediments, notably grappling with apprehensions about job security and wage disparities prevailing within the informal sector. The shift from agricultural employment to industry and services, a customary trajectory in structural transformation, faces resistance. Rural labourers, often classified as self-employed or engaged in casual wage labour, contribute significantly to the resilience of the informal economy. According to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the HR technology market in India reached an estimated value of approximately 1.1 billion dollars in 2021. Within this dynamic landscape, expenditures on hiring amounted to around 480 million U.S. dollars, underscoring the pivotal role of workforce acquisition and management in the evolving Indian employment paradigm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2023). Companies must adeptly navigate these challenges to uphold equitable labour practices and ensure the well-being of workers amid this transformative phase.</w:t>
      </w:r>
    </w:p>
    <w:p w:rsidR="00133F98" w:rsidRDefault="00331D25">
      <w:pPr>
        <w:pStyle w:val="Heading4"/>
        <w:rPr>
          <w:rFonts w:ascii="Times New Roman" w:eastAsia="Times New Roman" w:hAnsi="Times New Roman" w:cs="Times New Roman"/>
          <w:sz w:val="24"/>
          <w:szCs w:val="24"/>
        </w:rPr>
      </w:pPr>
      <w:bookmarkStart w:id="13" w:name="_Toc153879505"/>
      <w:r>
        <w:t>2.3.1.3 Demographic Diversity in India: Navigating Inclusive Workforce Strategies</w:t>
      </w:r>
      <w:bookmarkEnd w:id="13"/>
    </w:p>
    <w:p w:rsidR="00133F98" w:rsidRDefault="00331D25">
      <w:pPr>
        <w:pStyle w:val="Heading4"/>
      </w:pPr>
      <w:bookmarkStart w:id="14" w:name="_Toc153879506"/>
      <w:r>
        <w:t>2.3.1.4 Addressing Socio-Economic Disparities</w:t>
      </w:r>
      <w:bookmarkEnd w:id="14"/>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core of fostering inclusive workforce management in India is the imperative to tackle socio-economic disparities. A nuanced approach is indispensable to cultivate a work environment characterized by equity. Companies must acknowledge and address the distinct </w:t>
      </w:r>
      <w:r>
        <w:rPr>
          <w:rFonts w:ascii="Times New Roman" w:eastAsia="Times New Roman" w:hAnsi="Times New Roman" w:cs="Times New Roman"/>
          <w:sz w:val="24"/>
          <w:szCs w:val="24"/>
        </w:rPr>
        <w:lastRenderedPageBreak/>
        <w:t>needs of employees hailing from diverse backgrounds, ensuring that avenues for growth and advancement are accessible to all.</w:t>
      </w:r>
    </w:p>
    <w:p w:rsidR="00133F98" w:rsidRDefault="00331D25">
      <w:pPr>
        <w:pStyle w:val="Heading4"/>
      </w:pPr>
      <w:bookmarkStart w:id="15" w:name="_Toc153879507"/>
      <w:r>
        <w:t xml:space="preserve">2.3.1.5 </w:t>
      </w:r>
      <w:proofErr w:type="spellStart"/>
      <w:r>
        <w:t>Labor</w:t>
      </w:r>
      <w:proofErr w:type="spellEnd"/>
      <w:r>
        <w:t xml:space="preserve"> Force Participation </w:t>
      </w:r>
      <w:proofErr w:type="gramStart"/>
      <w:r>
        <w:t>Among</w:t>
      </w:r>
      <w:proofErr w:type="gramEnd"/>
      <w:r>
        <w:t xml:space="preserve"> Females</w:t>
      </w:r>
      <w:bookmarkEnd w:id="15"/>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intricate tapestry of India's demographic landscape, a salient facet emerges—the progressive ascent in female labour force engagement, attaining an approximate threshold of 24 per cent in the year 2022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2023). While this denotes strides in societal advancement, it concurrently illuminates a substantive segment of the female populace that remains largely unexplored in the realm of occupational involvement. Enterprises must embark on a thorough exploration of the causative factors contributing to this disparity and ardently endeavour to foster an ecosystem conducive to the empowerment and bolstering of women within the professional sphere (Cabrera et al., 2005).</w:t>
      </w:r>
    </w:p>
    <w:p w:rsidR="00133F98" w:rsidRDefault="00331D25">
      <w:pPr>
        <w:pStyle w:val="Heading4"/>
      </w:pPr>
      <w:bookmarkStart w:id="16" w:name="_Toc153879508"/>
      <w:r>
        <w:t>2.3.1.6 Gender Disparities in Executive Positions</w:t>
      </w:r>
      <w:bookmarkEnd w:id="16"/>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notable progress, the upper echelons of executive roles in India persist in manifesting a considerable gender disjunction. This incongruity accentuates the urgency for </w:t>
      </w:r>
      <w:proofErr w:type="spellStart"/>
      <w:r>
        <w:rPr>
          <w:rFonts w:ascii="Times New Roman" w:eastAsia="Times New Roman" w:hAnsi="Times New Roman" w:cs="Times New Roman"/>
          <w:sz w:val="24"/>
          <w:szCs w:val="24"/>
        </w:rPr>
        <w:t>preemptive</w:t>
      </w:r>
      <w:proofErr w:type="spellEnd"/>
      <w:r>
        <w:rPr>
          <w:rFonts w:ascii="Times New Roman" w:eastAsia="Times New Roman" w:hAnsi="Times New Roman" w:cs="Times New Roman"/>
          <w:sz w:val="24"/>
          <w:szCs w:val="24"/>
        </w:rPr>
        <w:t xml:space="preserve"> initiatives geared towards amplifying gender inclusivity within leadership domains. It becomes imperative for corporations to transcend mere symbolic actions and institute all-encompassing frameworks that establish an equitable terrain for individuals of every gender.</w:t>
      </w:r>
    </w:p>
    <w:p w:rsidR="00133F98" w:rsidRDefault="00331D25">
      <w:pPr>
        <w:pStyle w:val="Heading4"/>
      </w:pPr>
      <w:bookmarkStart w:id="17" w:name="_Toc153879509"/>
      <w:r>
        <w:t>2.3.1.7 Companies Act of 2013: A Legislative Push for Diversity</w:t>
      </w:r>
      <w:bookmarkEnd w:id="17"/>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Companies Act of 2013 stipulated the obligatory appointment of at least one woman director to the board for specific companies—a legislative impetus towards fostering gender diversity. While this mandate marked a significant stride in bridging the gender gap within leadership, persistent challenges endure (Holm-</w:t>
      </w:r>
      <w:proofErr w:type="spellStart"/>
      <w:r>
        <w:rPr>
          <w:rFonts w:ascii="Times New Roman" w:eastAsia="Times New Roman" w:hAnsi="Times New Roman" w:cs="Times New Roman"/>
          <w:sz w:val="24"/>
          <w:szCs w:val="24"/>
        </w:rPr>
        <w:t>Detlev</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Köhler</w:t>
      </w:r>
      <w:proofErr w:type="spellEnd"/>
      <w:r>
        <w:rPr>
          <w:rFonts w:ascii="Times New Roman" w:eastAsia="Times New Roman" w:hAnsi="Times New Roman" w:cs="Times New Roman"/>
          <w:sz w:val="24"/>
          <w:szCs w:val="24"/>
        </w:rPr>
        <w:t>., 2021). Some entities have endeavoured to sidestep the regulation by designating family members as women directors, underscoring the imperative for continual oversight and refinement of such statutory frameworks.</w:t>
      </w:r>
    </w:p>
    <w:p w:rsidR="00133F98" w:rsidRDefault="00331D25">
      <w:pPr>
        <w:pStyle w:val="Heading3"/>
      </w:pPr>
      <w:bookmarkStart w:id="18" w:name="_Toc153879510"/>
      <w:r>
        <w:t>2.3.2 Ethical Considerations in Indian Human Resource Management: A Commitment to Fairness and Social Justice</w:t>
      </w:r>
      <w:bookmarkEnd w:id="18"/>
    </w:p>
    <w:p w:rsidR="00133F98" w:rsidRDefault="00331D25">
      <w:pPr>
        <w:pStyle w:val="Heading4"/>
      </w:pPr>
      <w:bookmarkStart w:id="19" w:name="_Toc153879511"/>
      <w:r>
        <w:t>2.3.2.1 Inclusive Hiring Practices: Fostering Equitable Opportunities</w:t>
      </w:r>
      <w:bookmarkEnd w:id="19"/>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primary ethical considerations in Indian IHRM revolves around inclusive hiring practices. Ethical recruitment transcends the conventional boundaries emphasizing the need to provide equitable opportunities to individuals from diverse socio-economic backgrounds. </w:t>
      </w:r>
      <w:r>
        <w:rPr>
          <w:rFonts w:ascii="Times New Roman" w:eastAsia="Times New Roman" w:hAnsi="Times New Roman" w:cs="Times New Roman"/>
          <w:sz w:val="24"/>
          <w:szCs w:val="24"/>
        </w:rPr>
        <w:lastRenderedPageBreak/>
        <w:t>In a country where historical disparities persist, companies must proactively combat ingrained biases to create a level playing field for all applicants (</w:t>
      </w:r>
      <w:proofErr w:type="spellStart"/>
      <w:r>
        <w:rPr>
          <w:rFonts w:ascii="Times New Roman" w:eastAsia="Times New Roman" w:hAnsi="Times New Roman" w:cs="Times New Roman"/>
          <w:sz w:val="24"/>
          <w:szCs w:val="24"/>
        </w:rPr>
        <w:t>Malik</w:t>
      </w:r>
      <w:proofErr w:type="spellEnd"/>
      <w:r>
        <w:rPr>
          <w:rFonts w:ascii="Times New Roman" w:eastAsia="Times New Roman" w:hAnsi="Times New Roman" w:cs="Times New Roman"/>
          <w:sz w:val="24"/>
          <w:szCs w:val="24"/>
        </w:rPr>
        <w:t xml:space="preserve"> et al., 2019). On the flip side, it involves implementing strategies that go beyond token diversity and inclusion efforts ensuring that the hiring process is genuinely inclusive and reflective of the rich diversity that defines India.</w:t>
      </w:r>
    </w:p>
    <w:p w:rsidR="00133F98" w:rsidRDefault="00331D25">
      <w:pPr>
        <w:pStyle w:val="Normal1"/>
        <w:jc w:val="center"/>
      </w:pPr>
      <w:r>
        <w:rPr>
          <w:noProof/>
          <w:lang w:val="en-US"/>
        </w:rPr>
        <w:drawing>
          <wp:inline distT="0" distB="0" distL="0" distR="0">
            <wp:extent cx="3381375" cy="2409825"/>
            <wp:effectExtent l="0" t="0" r="0" b="0"/>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a:picLocks noChangeAspect="1" noChangeArrowheads="1"/>
                    </pic:cNvPicPr>
                  </pic:nvPicPr>
                  <pic:blipFill>
                    <a:blip r:embed="rId8" cstate="print"/>
                    <a:stretch>
                      <a:fillRect/>
                    </a:stretch>
                  </pic:blipFill>
                  <pic:spPr bwMode="auto">
                    <a:xfrm>
                      <a:off x="0" y="0"/>
                      <a:ext cx="3381375" cy="2409825"/>
                    </a:xfrm>
                    <a:prstGeom prst="rect">
                      <a:avLst/>
                    </a:prstGeom>
                  </pic:spPr>
                </pic:pic>
              </a:graphicData>
            </a:graphic>
          </wp:inline>
        </w:drawing>
      </w:r>
    </w:p>
    <w:p w:rsidR="00133F98" w:rsidRDefault="00331D25">
      <w:pPr>
        <w:pStyle w:val="Normal1"/>
        <w:jc w:val="center"/>
      </w:pPr>
      <w:r>
        <w:t xml:space="preserve">Fig 2: Leading challenges with </w:t>
      </w:r>
      <w:proofErr w:type="spellStart"/>
      <w:r>
        <w:t>onboarding</w:t>
      </w:r>
      <w:proofErr w:type="spellEnd"/>
      <w:r>
        <w:t xml:space="preserve"> according to HR Worldwide in 2018</w:t>
      </w:r>
    </w:p>
    <w:p w:rsidR="00133F98" w:rsidRDefault="00331D25">
      <w:pPr>
        <w:pStyle w:val="Normal1"/>
        <w:jc w:val="center"/>
      </w:pPr>
      <w:r>
        <w:t>(Source: Statista.com, 2023)</w:t>
      </w:r>
    </w:p>
    <w:p w:rsidR="00133F98" w:rsidRDefault="00133F98">
      <w:pPr>
        <w:pStyle w:val="Normal1"/>
        <w:jc w:val="center"/>
      </w:pPr>
    </w:p>
    <w:p w:rsidR="00133F98" w:rsidRDefault="00331D25">
      <w:pPr>
        <w:pStyle w:val="Heading4"/>
      </w:pPr>
      <w:bookmarkStart w:id="20" w:name="_Toc153879512"/>
      <w:r>
        <w:t xml:space="preserve">2.3.2.2 </w:t>
      </w:r>
      <w:proofErr w:type="spellStart"/>
      <w:r>
        <w:t>Labor</w:t>
      </w:r>
      <w:proofErr w:type="spellEnd"/>
      <w:r>
        <w:t xml:space="preserve"> Law Adherence: Safeguarding Workers' Rights in a Dynamic Landscape</w:t>
      </w:r>
      <w:bookmarkEnd w:id="20"/>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ethical terrain of Indian International Human Resource Management (IHRM), abiding by labour laws transcends being a mere legal duty as well and it assumes the mantle of a moral imperative. The fluidity of the contemporary work milieu, characterized by technological progressions and evolving employment frameworks, demands a vigilant stance to ensure meticulous adherence to labour regulations (Brewster et al., 2016). On the flip side, this ethical commitment extends beyond perfunctory compliance with the law; it acts as a bulwark for the rights of workers assuring equitable and just treatment. Corporations are tasked with adeptly navigating the intricacies of the perpetually shifting legal panorama to cultivate workplaces where the well-being of employees takes precedence (</w:t>
      </w:r>
      <w:proofErr w:type="spellStart"/>
      <w:r>
        <w:rPr>
          <w:rFonts w:ascii="Times New Roman" w:eastAsia="Times New Roman" w:hAnsi="Times New Roman" w:cs="Times New Roman"/>
          <w:sz w:val="24"/>
          <w:szCs w:val="24"/>
        </w:rPr>
        <w:t>Mäki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Soudakova</w:t>
      </w:r>
      <w:proofErr w:type="spellEnd"/>
      <w:r>
        <w:rPr>
          <w:rFonts w:ascii="Times New Roman" w:eastAsia="Times New Roman" w:hAnsi="Times New Roman" w:cs="Times New Roman"/>
          <w:sz w:val="24"/>
          <w:szCs w:val="24"/>
        </w:rPr>
        <w:t>, 2008).</w:t>
      </w:r>
    </w:p>
    <w:p w:rsidR="00133F98" w:rsidRDefault="00331D25">
      <w:pPr>
        <w:pStyle w:val="Heading4"/>
      </w:pPr>
      <w:bookmarkStart w:id="21" w:name="_Toc153879513"/>
      <w:r>
        <w:t>2.3.2.3 Balancing Business Objectives with Ethical Responsibilities</w:t>
      </w:r>
      <w:bookmarkEnd w:id="21"/>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considerations in Indian IHRM extend beyond compliance to a delicate balance between business objectives and social responsibility. On the other hand, companies need to introspect and align their strategies with ethical principles, recognizing that success should </w:t>
      </w:r>
      <w:r>
        <w:rPr>
          <w:rFonts w:ascii="Times New Roman" w:eastAsia="Times New Roman" w:hAnsi="Times New Roman" w:cs="Times New Roman"/>
          <w:sz w:val="24"/>
          <w:szCs w:val="24"/>
        </w:rPr>
        <w:lastRenderedPageBreak/>
        <w:t>not come at the expense of fairness and social justice (Singh, 2016). Along with this, it involves fostering a culture where ethical decision-making is ingrained into the organizational ethos and leaders prioritize values alongside profitability.</w:t>
      </w:r>
    </w:p>
    <w:p w:rsidR="00133F98" w:rsidRDefault="00331D25">
      <w:pPr>
        <w:pStyle w:val="Heading4"/>
      </w:pPr>
      <w:bookmarkStart w:id="22" w:name="_Toc153879514"/>
      <w:r>
        <w:t>2.3.2.4 Ethical Leadership: Navigating Moral Complexities</w:t>
      </w:r>
      <w:bookmarkEnd w:id="22"/>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ethical considerations require ethical leadership as well and Leaders in Indian IHRM must navigate moral complexities with a keen understanding of the socio-cultural fabric. On the other hand, it involves fostering a culture of transparency, accountability and integrity (</w:t>
      </w:r>
      <w:proofErr w:type="spellStart"/>
      <w:r>
        <w:rPr>
          <w:rFonts w:ascii="Times New Roman" w:eastAsia="Times New Roman" w:hAnsi="Times New Roman" w:cs="Times New Roman"/>
          <w:sz w:val="24"/>
          <w:szCs w:val="24"/>
        </w:rPr>
        <w:t>Mäki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Soudakova</w:t>
      </w:r>
      <w:proofErr w:type="spellEnd"/>
      <w:r>
        <w:rPr>
          <w:rFonts w:ascii="Times New Roman" w:eastAsia="Times New Roman" w:hAnsi="Times New Roman" w:cs="Times New Roman"/>
          <w:sz w:val="24"/>
          <w:szCs w:val="24"/>
        </w:rPr>
        <w:t>, 2008). Along with this, by setting the right tone at the top, leaders can influence the entire organizational ecosystem ensuring that ethical considerations are not sidelined but integrated into every facet of decision-making.</w:t>
      </w:r>
    </w:p>
    <w:p w:rsidR="00133F98" w:rsidRDefault="00331D25">
      <w:pPr>
        <w:pStyle w:val="Heading1"/>
      </w:pPr>
      <w:bookmarkStart w:id="23" w:name="_Toc153879515"/>
      <w:r>
        <w:t>3.0 Analyzing Institutional Arrangements in Spain and India: Impact on HR Practices</w:t>
      </w:r>
      <w:bookmarkEnd w:id="23"/>
    </w:p>
    <w:p w:rsidR="00133F98" w:rsidRDefault="00331D25">
      <w:pPr>
        <w:pStyle w:val="Heading2"/>
      </w:pPr>
      <w:bookmarkStart w:id="24" w:name="_Toc153879516"/>
      <w:r>
        <w:t>3.1 Spain's Institutional Landscape: A Comprehensive Exploration</w:t>
      </w:r>
      <w:bookmarkEnd w:id="24"/>
    </w:p>
    <w:p w:rsidR="00133F98" w:rsidRDefault="00331D25">
      <w:pPr>
        <w:pStyle w:val="Heading3"/>
      </w:pPr>
      <w:bookmarkStart w:id="25" w:name="_Toc153879517"/>
      <w:r>
        <w:t>3.1.1 Job Design and Employee Involvement</w:t>
      </w:r>
      <w:bookmarkEnd w:id="25"/>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nature of job design in Spain has exhibited resistance to embracing new forms, particularly evident in studies of manufacturing firms. In the year 2015, approximately 77.3% of the nation's enterprises extended various training initiatives to their workforce underscoring a dedication to augmenting the skills and efficacy of employees (</w:t>
      </w: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2023a). Workers frequently find themselves immersed in mundane, repetitive duties characterized by limited autonomy. </w:t>
      </w:r>
    </w:p>
    <w:p w:rsidR="00133F98" w:rsidRDefault="00331D25">
      <w:pPr>
        <w:pStyle w:val="Normal1"/>
        <w:jc w:val="center"/>
      </w:pPr>
      <w:r>
        <w:rPr>
          <w:noProof/>
          <w:lang w:val="en-US"/>
        </w:rPr>
        <w:drawing>
          <wp:inline distT="0" distB="0" distL="0" distR="0">
            <wp:extent cx="3381375" cy="2409825"/>
            <wp:effectExtent l="0" t="0" r="0" b="0"/>
            <wp:docPr id="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png"/>
                    <pic:cNvPicPr>
                      <a:picLocks noChangeAspect="1" noChangeArrowheads="1"/>
                    </pic:cNvPicPr>
                  </pic:nvPicPr>
                  <pic:blipFill>
                    <a:blip r:embed="rId8" cstate="print"/>
                    <a:stretch>
                      <a:fillRect/>
                    </a:stretch>
                  </pic:blipFill>
                  <pic:spPr bwMode="auto">
                    <a:xfrm>
                      <a:off x="0" y="0"/>
                      <a:ext cx="3381375" cy="2409825"/>
                    </a:xfrm>
                    <a:prstGeom prst="rect">
                      <a:avLst/>
                    </a:prstGeom>
                  </pic:spPr>
                </pic:pic>
              </a:graphicData>
            </a:graphic>
          </wp:inline>
        </w:drawing>
      </w:r>
    </w:p>
    <w:p w:rsidR="00133F98" w:rsidRDefault="00331D25">
      <w:pPr>
        <w:pStyle w:val="Normal1"/>
        <w:jc w:val="center"/>
        <w:rPr>
          <w:rFonts w:ascii="Times New Roman" w:eastAsia="Times New Roman" w:hAnsi="Times New Roman" w:cs="Times New Roman"/>
        </w:rPr>
      </w:pPr>
      <w:r>
        <w:rPr>
          <w:rFonts w:ascii="Times New Roman" w:eastAsia="Times New Roman" w:hAnsi="Times New Roman" w:cs="Times New Roman"/>
        </w:rPr>
        <w:t>Fig 3: Human Resources experts to assess the online reputation of their job candidates</w:t>
      </w:r>
    </w:p>
    <w:p w:rsidR="00133F98" w:rsidRDefault="00331D25">
      <w:pPr>
        <w:pStyle w:val="Normal1"/>
        <w:jc w:val="center"/>
        <w:rPr>
          <w:rFonts w:ascii="Times New Roman" w:eastAsia="Times New Roman" w:hAnsi="Times New Roman" w:cs="Times New Roman"/>
        </w:rPr>
      </w:pPr>
      <w:r>
        <w:rPr>
          <w:rFonts w:ascii="Times New Roman" w:eastAsia="Times New Roman" w:hAnsi="Times New Roman" w:cs="Times New Roman"/>
        </w:rPr>
        <w:t>(Source: Statista.com, 2023)</w:t>
      </w:r>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Despite the introduction of enhancement teams and suggestion systems, the involvement of </w:t>
      </w:r>
      <w:proofErr w:type="gramStart"/>
      <w:r>
        <w:rPr>
          <w:rFonts w:ascii="Times New Roman" w:eastAsia="Times New Roman" w:hAnsi="Times New Roman" w:cs="Times New Roman"/>
          <w:sz w:val="24"/>
          <w:szCs w:val="24"/>
        </w:rPr>
        <w:t>employees</w:t>
      </w:r>
      <w:proofErr w:type="gramEnd"/>
      <w:r>
        <w:rPr>
          <w:rFonts w:ascii="Times New Roman" w:eastAsia="Times New Roman" w:hAnsi="Times New Roman" w:cs="Times New Roman"/>
          <w:sz w:val="24"/>
          <w:szCs w:val="24"/>
        </w:rPr>
        <w:t xml:space="preserve"> remains confined. As per the Ministry of Employment and Social Security's </w:t>
      </w:r>
      <w:proofErr w:type="spellStart"/>
      <w:r>
        <w:rPr>
          <w:rFonts w:ascii="Times New Roman" w:eastAsia="Times New Roman" w:hAnsi="Times New Roman" w:cs="Times New Roman"/>
          <w:sz w:val="24"/>
          <w:szCs w:val="24"/>
        </w:rPr>
        <w:t>quinquennial</w:t>
      </w:r>
      <w:proofErr w:type="spellEnd"/>
      <w:r>
        <w:rPr>
          <w:rFonts w:ascii="Times New Roman" w:eastAsia="Times New Roman" w:hAnsi="Times New Roman" w:cs="Times New Roman"/>
          <w:sz w:val="24"/>
          <w:szCs w:val="24"/>
        </w:rPr>
        <w:t xml:space="preserve"> survey on ongoing vocational training, the proportion of workers participating in training courses witnessed an ascent from 45.4% in 2010 to 52.2% in 2015 (Brewster et al., 2016).</w:t>
      </w:r>
    </w:p>
    <w:p w:rsidR="00133F98" w:rsidRDefault="00331D25">
      <w:pPr>
        <w:pStyle w:val="Normal1"/>
        <w:jc w:val="center"/>
      </w:pPr>
      <w:r>
        <w:rPr>
          <w:noProof/>
          <w:lang w:val="en-US"/>
        </w:rPr>
        <w:drawing>
          <wp:inline distT="0" distB="0" distL="0" distR="0">
            <wp:extent cx="3253105" cy="2231390"/>
            <wp:effectExtent l="0" t="0" r="0" b="0"/>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noChangeArrowheads="1"/>
                    </pic:cNvPicPr>
                  </pic:nvPicPr>
                  <pic:blipFill>
                    <a:blip r:embed="rId9" cstate="print"/>
                    <a:stretch>
                      <a:fillRect/>
                    </a:stretch>
                  </pic:blipFill>
                  <pic:spPr bwMode="auto">
                    <a:xfrm>
                      <a:off x="0" y="0"/>
                      <a:ext cx="3253105" cy="2231390"/>
                    </a:xfrm>
                    <a:prstGeom prst="rect">
                      <a:avLst/>
                    </a:prstGeom>
                  </pic:spPr>
                </pic:pic>
              </a:graphicData>
            </a:graphic>
          </wp:inline>
        </w:drawing>
      </w:r>
    </w:p>
    <w:p w:rsidR="00133F98" w:rsidRDefault="00331D25">
      <w:pPr>
        <w:pStyle w:val="Normal1"/>
        <w:jc w:val="center"/>
      </w:pPr>
      <w:r>
        <w:t>Fig 4: Spain: Employment from 2014 to 2024</w:t>
      </w:r>
    </w:p>
    <w:p w:rsidR="00133F98" w:rsidRDefault="00331D25">
      <w:pPr>
        <w:pStyle w:val="Normal1"/>
        <w:jc w:val="center"/>
      </w:pPr>
      <w:r>
        <w:t>(Source: Statista.com, 2023)</w:t>
      </w:r>
    </w:p>
    <w:p w:rsidR="00133F98" w:rsidRDefault="00331D25">
      <w:pPr>
        <w:pStyle w:val="Heading3"/>
      </w:pPr>
      <w:bookmarkStart w:id="26" w:name="_Toc153879518"/>
      <w:r>
        <w:t>3.1.2 Employee Involvement Challenges</w:t>
      </w:r>
      <w:bookmarkEnd w:id="26"/>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Spain, a conspicuous hurdle emerges as </w:t>
      </w:r>
      <w:proofErr w:type="gramStart"/>
      <w:r>
        <w:rPr>
          <w:rFonts w:ascii="Times New Roman" w:eastAsia="Times New Roman" w:hAnsi="Times New Roman" w:cs="Times New Roman"/>
          <w:sz w:val="24"/>
          <w:szCs w:val="24"/>
        </w:rPr>
        <w:t>companies</w:t>
      </w:r>
      <w:proofErr w:type="gramEnd"/>
      <w:r>
        <w:rPr>
          <w:rFonts w:ascii="Times New Roman" w:eastAsia="Times New Roman" w:hAnsi="Times New Roman" w:cs="Times New Roman"/>
          <w:sz w:val="24"/>
          <w:szCs w:val="24"/>
        </w:rPr>
        <w:t xml:space="preserve"> exhibit a proclivity to withhold information from their workforce, giving rise to a significant void in internal communication and the flow of ongoing feedback. The research underscores that Spanish managerial figures harbour reservations regarding the augmentation of employee involvement, </w:t>
      </w:r>
      <w:proofErr w:type="spellStart"/>
      <w:r>
        <w:rPr>
          <w:rFonts w:ascii="Times New Roman" w:eastAsia="Times New Roman" w:hAnsi="Times New Roman" w:cs="Times New Roman"/>
          <w:sz w:val="24"/>
          <w:szCs w:val="24"/>
        </w:rPr>
        <w:t>fueled</w:t>
      </w:r>
      <w:proofErr w:type="spellEnd"/>
      <w:r>
        <w:rPr>
          <w:rFonts w:ascii="Times New Roman" w:eastAsia="Times New Roman" w:hAnsi="Times New Roman" w:cs="Times New Roman"/>
          <w:sz w:val="24"/>
          <w:szCs w:val="24"/>
        </w:rPr>
        <w:t xml:space="preserve"> by apprehensions surrounding potential encroachments on their authoritative domain (</w:t>
      </w:r>
      <w:proofErr w:type="spellStart"/>
      <w:r>
        <w:rPr>
          <w:rFonts w:ascii="Times New Roman" w:eastAsia="Times New Roman" w:hAnsi="Times New Roman" w:cs="Times New Roman"/>
          <w:sz w:val="24"/>
          <w:szCs w:val="24"/>
        </w:rPr>
        <w:t>Agrawal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Thite</w:t>
      </w:r>
      <w:proofErr w:type="spellEnd"/>
      <w:r>
        <w:rPr>
          <w:rFonts w:ascii="Times New Roman" w:eastAsia="Times New Roman" w:hAnsi="Times New Roman" w:cs="Times New Roman"/>
          <w:sz w:val="24"/>
          <w:szCs w:val="24"/>
        </w:rPr>
        <w:t>, 2003). Teams dedicated to enhancement and systems facilitating suggestions, although extant, have only recently begun to gain traction. The statistical insights further unveil that a substantial 43.6% of companies engaged in training endeavours in 2015-2019 allocated an annual budget explicitly earmarked for the purpose, underscoring a tangible financial dedication to the nurturing of employee competencies (Brewster et al. 2016).</w:t>
      </w:r>
    </w:p>
    <w:p w:rsidR="00133F98" w:rsidRDefault="00331D25">
      <w:pPr>
        <w:pStyle w:val="Normal1"/>
        <w:jc w:val="center"/>
      </w:pPr>
      <w:r>
        <w:rPr>
          <w:noProof/>
          <w:lang w:val="en-US"/>
        </w:rPr>
        <w:lastRenderedPageBreak/>
        <w:drawing>
          <wp:inline distT="0" distB="0" distL="0" distR="0">
            <wp:extent cx="3381375" cy="2409825"/>
            <wp:effectExtent l="0" t="0" r="0" b="0"/>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png"/>
                    <pic:cNvPicPr>
                      <a:picLocks noChangeAspect="1" noChangeArrowheads="1"/>
                    </pic:cNvPicPr>
                  </pic:nvPicPr>
                  <pic:blipFill>
                    <a:blip r:embed="rId8" cstate="print"/>
                    <a:stretch>
                      <a:fillRect/>
                    </a:stretch>
                  </pic:blipFill>
                  <pic:spPr bwMode="auto">
                    <a:xfrm>
                      <a:off x="0" y="0"/>
                      <a:ext cx="3381375" cy="2409825"/>
                    </a:xfrm>
                    <a:prstGeom prst="rect">
                      <a:avLst/>
                    </a:prstGeom>
                  </pic:spPr>
                </pic:pic>
              </a:graphicData>
            </a:graphic>
          </wp:inline>
        </w:drawing>
      </w:r>
    </w:p>
    <w:p w:rsidR="00133F98" w:rsidRDefault="00331D25">
      <w:pPr>
        <w:pStyle w:val="Normal1"/>
        <w:jc w:val="center"/>
        <w:rPr>
          <w:rFonts w:ascii="Times New Roman" w:eastAsia="Times New Roman" w:hAnsi="Times New Roman" w:cs="Times New Roman"/>
        </w:rPr>
      </w:pPr>
      <w:r>
        <w:rPr>
          <w:rFonts w:ascii="Times New Roman" w:eastAsia="Times New Roman" w:hAnsi="Times New Roman" w:cs="Times New Roman"/>
        </w:rPr>
        <w:t>Fig 5: Human resources applications</w:t>
      </w:r>
    </w:p>
    <w:p w:rsidR="00133F98" w:rsidRDefault="00331D25">
      <w:pPr>
        <w:pStyle w:val="Normal1"/>
        <w:jc w:val="center"/>
        <w:rPr>
          <w:rFonts w:ascii="Times New Roman" w:eastAsia="Times New Roman" w:hAnsi="Times New Roman" w:cs="Times New Roman"/>
        </w:rPr>
      </w:pPr>
      <w:r>
        <w:rPr>
          <w:rFonts w:ascii="Times New Roman" w:eastAsia="Times New Roman" w:hAnsi="Times New Roman" w:cs="Times New Roman"/>
        </w:rPr>
        <w:t>(Source: statista.com, 2023)</w:t>
      </w:r>
    </w:p>
    <w:p w:rsidR="00133F98" w:rsidRDefault="00331D25">
      <w:pPr>
        <w:pStyle w:val="Heading3"/>
      </w:pPr>
      <w:bookmarkStart w:id="27" w:name="_Toc153879519"/>
      <w:r>
        <w:t>3.1.3 Recruitment and Selection Methods</w:t>
      </w:r>
      <w:bookmarkEnd w:id="27"/>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Recruitment practices in Spain lean towards informality, with a strong reliance on personal contacts, unsolicited applications, and internal advertising. The interview process, accompanied by testing, holds significant weight in the selection process. Notably, internal promotions are highly favoured, particularly at lower to medium organizational levels. </w:t>
      </w:r>
    </w:p>
    <w:p w:rsidR="00133F98" w:rsidRDefault="00331D25">
      <w:pPr>
        <w:pStyle w:val="Heading3"/>
      </w:pPr>
      <w:bookmarkStart w:id="28" w:name="_Toc153879520"/>
      <w:r>
        <w:t>3.1.4 Welfare of Employees and Trade Union Influence</w:t>
      </w:r>
      <w:bookmarkEnd w:id="28"/>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historically Spain has relied on seniority for promotions, there is a discernible shift towards merit-based criteria. On the other hand, Improvement teams and suggestion systems underscore a growing emphasis on the welfare of employees (Brewster et al., 2016). However, challenges persist in internal communication and continuous feedback. Trade union membership indicative of employee participation in decision-</w:t>
      </w:r>
      <w:proofErr w:type="gramStart"/>
      <w:r>
        <w:rPr>
          <w:rFonts w:ascii="Times New Roman" w:eastAsia="Times New Roman" w:hAnsi="Times New Roman" w:cs="Times New Roman"/>
          <w:sz w:val="24"/>
          <w:szCs w:val="24"/>
        </w:rPr>
        <w:t>making,</w:t>
      </w:r>
      <w:proofErr w:type="gramEnd"/>
      <w:r>
        <w:rPr>
          <w:rFonts w:ascii="Times New Roman" w:eastAsia="Times New Roman" w:hAnsi="Times New Roman" w:cs="Times New Roman"/>
          <w:sz w:val="24"/>
          <w:szCs w:val="24"/>
        </w:rPr>
        <w:t xml:space="preserve"> remains relatively low. According to the survey, less than a third (30.8%) of companies integrated and organized training activities as part of a training plan in 2015 reflecting potential gaps in strategic planning for employee development (Oecd.org., 2021).</w:t>
      </w:r>
    </w:p>
    <w:p w:rsidR="00133F98" w:rsidRDefault="00331D25">
      <w:pPr>
        <w:pStyle w:val="Normal1"/>
        <w:jc w:val="center"/>
      </w:pPr>
      <w:r>
        <w:rPr>
          <w:noProof/>
          <w:lang w:val="en-US"/>
        </w:rPr>
        <w:lastRenderedPageBreak/>
        <w:drawing>
          <wp:inline distT="0" distB="0" distL="0" distR="0">
            <wp:extent cx="3691255" cy="27406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0" cstate="print"/>
                    <a:stretch>
                      <a:fillRect/>
                    </a:stretch>
                  </pic:blipFill>
                  <pic:spPr bwMode="auto">
                    <a:xfrm>
                      <a:off x="0" y="0"/>
                      <a:ext cx="3691255" cy="2740660"/>
                    </a:xfrm>
                    <a:prstGeom prst="rect">
                      <a:avLst/>
                    </a:prstGeom>
                  </pic:spPr>
                </pic:pic>
              </a:graphicData>
            </a:graphic>
          </wp:inline>
        </w:drawing>
      </w:r>
    </w:p>
    <w:p w:rsidR="00133F98" w:rsidRDefault="00331D25">
      <w:pPr>
        <w:pStyle w:val="Normal1"/>
        <w:jc w:val="center"/>
      </w:pPr>
      <w:r>
        <w:t>Fig 6: Most in-demand apprenticeships and vocational training in the Spanish labour market in 2020</w:t>
      </w:r>
    </w:p>
    <w:p w:rsidR="00133F98" w:rsidRDefault="00331D25">
      <w:pPr>
        <w:pStyle w:val="Normal1"/>
        <w:jc w:val="center"/>
      </w:pPr>
      <w:r>
        <w:t>(Source: Statista.com, 2023)</w:t>
      </w:r>
    </w:p>
    <w:p w:rsidR="00133F98" w:rsidRDefault="00331D25">
      <w:pPr>
        <w:pStyle w:val="Heading3"/>
      </w:pPr>
      <w:bookmarkStart w:id="29" w:name="_Toc153879521"/>
      <w:r>
        <w:t>3.1.5 Training and Career Management</w:t>
      </w:r>
      <w:bookmarkEnd w:id="29"/>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Recognizing the indispensable role of training in navigating the ever-shifting environmental dynamics Spain acknowledges the imperative for perpetual learning. Nevertheless, the entrenched conventions of job design and the limited engagement of employees present formidable obstacles to the integration of cutting-edge training methodologies. The inclination towards outsourcing for recruitment and selection operations signifies a cognizance of the value of external proficiency in talent acquisition. The survey additionally discloses that specific sectors, notably automobile manufacturing (at 89%) and information and communications (at 83.7%) boasted the highest proportion of companies delivering training in 2015, accentuating sector-specific nuances in training provisioning (Brewster et al. 2016).</w:t>
      </w:r>
    </w:p>
    <w:p w:rsidR="00133F98" w:rsidRDefault="00331D25">
      <w:pPr>
        <w:pStyle w:val="Heading3"/>
      </w:pPr>
      <w:bookmarkStart w:id="30" w:name="_Toc153879522"/>
      <w:r>
        <w:t>3.1.6 Trade Unions in Spain</w:t>
      </w:r>
      <w:bookmarkEnd w:id="30"/>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scrutinizing the evolution of labour associations in Spain, as delineated in the furnished content, an intricate panorama emerges moulded by historical, ideological, and political variables. Post the demise of </w:t>
      </w:r>
      <w:proofErr w:type="gramStart"/>
      <w:r>
        <w:rPr>
          <w:rFonts w:ascii="Times New Roman" w:eastAsia="Times New Roman" w:hAnsi="Times New Roman" w:cs="Times New Roman"/>
          <w:sz w:val="24"/>
          <w:szCs w:val="24"/>
        </w:rPr>
        <w:t>dictator</w:t>
      </w:r>
      <w:proofErr w:type="gramEnd"/>
      <w:r>
        <w:rPr>
          <w:rFonts w:ascii="Times New Roman" w:eastAsia="Times New Roman" w:hAnsi="Times New Roman" w:cs="Times New Roman"/>
          <w:sz w:val="24"/>
          <w:szCs w:val="24"/>
        </w:rPr>
        <w:t xml:space="preserve"> Francisco Franco in 1975, CCOO trade unions assumed a pivotal role in steering the course of democratic transition. The provided empirical data further augments this historical backdrop, spotlighting fluctuations in educational provisions contingent on the magnitude and sector of enterprises. On the other hand, the right to </w:t>
      </w:r>
      <w:r>
        <w:rPr>
          <w:rFonts w:ascii="Times New Roman" w:eastAsia="Times New Roman" w:hAnsi="Times New Roman" w:cs="Times New Roman"/>
          <w:sz w:val="24"/>
          <w:szCs w:val="24"/>
        </w:rPr>
        <w:lastRenderedPageBreak/>
        <w:t>collective bargaining is recognised by Article 37.1 of the Spanish Constitution of 1978 (CE) to represent the workers in bargaining employees and try to advance the case of the workers – pay and conditions. They act as a channel of communication between the management and the workers – both up and down. To elucidate, the dispensation of training exhibits a spectrum, ranging from 70.6% in enterprises employing five to nine individuals, ascending to a staggering 99.5% in those with a workforce numbering 500 or more as this underscores the influence of organizational size on training practices (Labourbureau.gov.in., 2021).</w:t>
      </w:r>
    </w:p>
    <w:p w:rsidR="00133F98" w:rsidRDefault="00331D25">
      <w:pPr>
        <w:pStyle w:val="Heading3"/>
      </w:pPr>
      <w:bookmarkStart w:id="31" w:name="_Toc153879523"/>
      <w:r>
        <w:t>3.1.7 Employment Landscape</w:t>
      </w:r>
      <w:bookmarkEnd w:id="31"/>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employment landscape in Spain, as forecasted for 2023 reveals key indicators. The unemployment rate is projected to be 11.84%, with approximately 5.12 million unemployed people. The employment rate is forecasted to be 57.93% with around 25.06 million employed people (</w:t>
      </w:r>
      <w:proofErr w:type="gramStart"/>
      <w:r>
        <w:rPr>
          <w:rFonts w:ascii="Times New Roman" w:eastAsia="Times New Roman" w:hAnsi="Times New Roman" w:cs="Times New Roman"/>
          <w:sz w:val="24"/>
          <w:szCs w:val="24"/>
        </w:rPr>
        <w:t>Europa.eu.,</w:t>
      </w:r>
      <w:proofErr w:type="gramEnd"/>
      <w:r>
        <w:rPr>
          <w:rFonts w:ascii="Times New Roman" w:eastAsia="Times New Roman" w:hAnsi="Times New Roman" w:cs="Times New Roman"/>
          <w:sz w:val="24"/>
          <w:szCs w:val="24"/>
        </w:rPr>
        <w:t xml:space="preserve"> 2018). These forecasts provide a contextual backdrop indicating the potential challenges and opportunities in Spain's labour market.</w:t>
      </w:r>
    </w:p>
    <w:p w:rsidR="00133F98" w:rsidRDefault="00331D25">
      <w:pPr>
        <w:pStyle w:val="Heading2"/>
      </w:pPr>
      <w:bookmarkStart w:id="32" w:name="_Toc153879524"/>
      <w:r>
        <w:t>3.2 India's Institutional Landscape: Navigating Diversity in HR Practices</w:t>
      </w:r>
      <w:bookmarkEnd w:id="32"/>
    </w:p>
    <w:p w:rsidR="00133F98" w:rsidRDefault="00331D25">
      <w:pPr>
        <w:pStyle w:val="Heading3"/>
      </w:pPr>
      <w:bookmarkStart w:id="33" w:name="_Toc153879525"/>
      <w:r>
        <w:t>3.2.1 Investment in Training and Development</w:t>
      </w:r>
      <w:bookmarkEnd w:id="33"/>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a melting pot of cultures and demographics, encounters unique challenges in transitioning from informal to formal employment structures. On the flip side, HR faces the intricate task of ensuring fair labour practices while navigating the dynamic landscape of evolving labour laws. The burgeoning HR technology market underlines the imperative for </w:t>
      </w:r>
      <w:proofErr w:type="spellStart"/>
      <w:r>
        <w:rPr>
          <w:rFonts w:ascii="Times New Roman" w:eastAsia="Times New Roman" w:hAnsi="Times New Roman" w:cs="Times New Roman"/>
          <w:sz w:val="24"/>
          <w:szCs w:val="24"/>
        </w:rPr>
        <w:t>upskilling</w:t>
      </w:r>
      <w:proofErr w:type="spellEnd"/>
      <w:r>
        <w:rPr>
          <w:rFonts w:ascii="Times New Roman" w:eastAsia="Times New Roman" w:hAnsi="Times New Roman" w:cs="Times New Roman"/>
          <w:sz w:val="24"/>
          <w:szCs w:val="24"/>
        </w:rPr>
        <w:t xml:space="preserve"> to align with the rapid digital transformations shaping the Indian workforce. </w:t>
      </w:r>
      <w:proofErr w:type="gramStart"/>
      <w:r>
        <w:rPr>
          <w:rFonts w:ascii="Times New Roman" w:eastAsia="Times New Roman" w:hAnsi="Times New Roman" w:cs="Times New Roman"/>
          <w:sz w:val="24"/>
          <w:szCs w:val="24"/>
        </w:rPr>
        <w:t xml:space="preserve">According to the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(2023), out of 19,816 registered workers' unions in India, only 2,849 unions (14.4%) submitted the required returns. On the other hand, this underscores the need for more comprehensive compliance and transparency in HR practices. The average membership per workers' union was 3,710 in state unions and 3,527 in central unions. The diverse workforce demands tailored training approaches that acknowledge varying educational backgrounds and skill levels. </w:t>
      </w:r>
      <w:proofErr w:type="spellStart"/>
      <w:r>
        <w:rPr>
          <w:rFonts w:ascii="Times New Roman" w:eastAsia="Times New Roman" w:hAnsi="Times New Roman" w:cs="Times New Roman"/>
          <w:sz w:val="24"/>
          <w:szCs w:val="24"/>
        </w:rPr>
        <w:t>Upskilling</w:t>
      </w:r>
      <w:proofErr w:type="spellEnd"/>
      <w:r>
        <w:rPr>
          <w:rFonts w:ascii="Times New Roman" w:eastAsia="Times New Roman" w:hAnsi="Times New Roman" w:cs="Times New Roman"/>
          <w:sz w:val="24"/>
          <w:szCs w:val="24"/>
        </w:rPr>
        <w:t xml:space="preserve"> initiatives become essential not only for employee growth but also for harnessing the full potential of India's demographic dividend (Salvador-</w:t>
      </w:r>
      <w:proofErr w:type="spellStart"/>
      <w:r>
        <w:rPr>
          <w:rFonts w:ascii="Times New Roman" w:eastAsia="Times New Roman" w:hAnsi="Times New Roman" w:cs="Times New Roman"/>
          <w:sz w:val="24"/>
          <w:szCs w:val="24"/>
        </w:rPr>
        <w:t>Gómez</w:t>
      </w:r>
      <w:proofErr w:type="spellEnd"/>
      <w:r>
        <w:rPr>
          <w:rFonts w:ascii="Times New Roman" w:eastAsia="Times New Roman" w:hAnsi="Times New Roman" w:cs="Times New Roman"/>
          <w:sz w:val="24"/>
          <w:szCs w:val="24"/>
        </w:rPr>
        <w:t xml:space="preserve"> et al., 2023).</w:t>
      </w:r>
    </w:p>
    <w:p w:rsidR="00133F98" w:rsidRDefault="00331D25">
      <w:pPr>
        <w:pStyle w:val="Heading3"/>
      </w:pPr>
      <w:bookmarkStart w:id="34" w:name="_Toc153879526"/>
      <w:r>
        <w:t>3.2.2 Recruitment and Selection</w:t>
      </w:r>
      <w:bookmarkEnd w:id="34"/>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India's recruitment methods reflect a shift towards increased formality. While traditional methods like internal promotion persist there is a notable rise in press advertising, </w:t>
      </w:r>
      <w:proofErr w:type="spellStart"/>
      <w:r>
        <w:rPr>
          <w:rFonts w:ascii="Times New Roman" w:eastAsia="Times New Roman" w:hAnsi="Times New Roman" w:cs="Times New Roman"/>
          <w:sz w:val="24"/>
          <w:szCs w:val="24"/>
        </w:rPr>
        <w:lastRenderedPageBreak/>
        <w:t>headhunters</w:t>
      </w:r>
      <w:proofErr w:type="spellEnd"/>
      <w:r>
        <w:rPr>
          <w:rFonts w:ascii="Times New Roman" w:eastAsia="Times New Roman" w:hAnsi="Times New Roman" w:cs="Times New Roman"/>
          <w:sz w:val="24"/>
          <w:szCs w:val="24"/>
        </w:rPr>
        <w:t>, and temporary work agencies. On the other hand, this evolution aligns with the growing complexity of the job market and the need for specialized skills (Salvador-</w:t>
      </w:r>
      <w:proofErr w:type="spellStart"/>
      <w:r>
        <w:rPr>
          <w:rFonts w:ascii="Times New Roman" w:eastAsia="Times New Roman" w:hAnsi="Times New Roman" w:cs="Times New Roman"/>
          <w:sz w:val="24"/>
          <w:szCs w:val="24"/>
        </w:rPr>
        <w:t>Gómez</w:t>
      </w:r>
      <w:proofErr w:type="spellEnd"/>
      <w:r>
        <w:rPr>
          <w:rFonts w:ascii="Times New Roman" w:eastAsia="Times New Roman" w:hAnsi="Times New Roman" w:cs="Times New Roman"/>
          <w:sz w:val="24"/>
          <w:szCs w:val="24"/>
        </w:rPr>
        <w:t xml:space="preserve"> et al., 2023). The statistical outlook for employment in India anticipates a 7.34% unemployment rate in the year 2023, projecting around 87.41 million individuals without gainful employment. In stark contrast, the employment rate is poised to reach 51.38%, encompassing an estimated 0.61 billion people actively engaged in various occupations (</w:t>
      </w:r>
      <w:proofErr w:type="gramStart"/>
      <w:r>
        <w:rPr>
          <w:rFonts w:ascii="Times New Roman" w:eastAsia="Times New Roman" w:hAnsi="Times New Roman" w:cs="Times New Roman"/>
          <w:sz w:val="24"/>
          <w:szCs w:val="24"/>
        </w:rPr>
        <w:t>Europa.eu.,</w:t>
      </w:r>
      <w:proofErr w:type="gramEnd"/>
      <w:r>
        <w:rPr>
          <w:rFonts w:ascii="Times New Roman" w:eastAsia="Times New Roman" w:hAnsi="Times New Roman" w:cs="Times New Roman"/>
          <w:sz w:val="24"/>
          <w:szCs w:val="24"/>
        </w:rPr>
        <w:t xml:space="preserve"> 2018). These numerical representations underscore the critical need for effective recruitment methodologies to grapple with the intricacies of unemployment and the ever-shifting dynamics of the job market. The focal point on technical proficiencies during interviews aligns seamlessly with a global trend acknowledging the paramount significance of acclimating to technological progress. This transformation in recruitment approaches signifies a forward-thinking strategy aimed at harmonizing the workforce with the exigencies of a swiftly advancing economy.</w:t>
      </w:r>
    </w:p>
    <w:p w:rsidR="00133F98" w:rsidRDefault="00331D25">
      <w:pPr>
        <w:pStyle w:val="Normal1"/>
        <w:jc w:val="center"/>
      </w:pPr>
      <w:r>
        <w:rPr>
          <w:noProof/>
          <w:lang w:val="en-US"/>
        </w:rPr>
        <w:drawing>
          <wp:inline distT="0" distB="0" distL="0" distR="0">
            <wp:extent cx="3381375" cy="2409825"/>
            <wp:effectExtent l="0" t="0" r="0" b="0"/>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noChangeArrowheads="1"/>
                    </pic:cNvPicPr>
                  </pic:nvPicPr>
                  <pic:blipFill>
                    <a:blip r:embed="rId8" cstate="print"/>
                    <a:stretch>
                      <a:fillRect/>
                    </a:stretch>
                  </pic:blipFill>
                  <pic:spPr bwMode="auto">
                    <a:xfrm>
                      <a:off x="0" y="0"/>
                      <a:ext cx="3381375" cy="2409825"/>
                    </a:xfrm>
                    <a:prstGeom prst="rect">
                      <a:avLst/>
                    </a:prstGeom>
                  </pic:spPr>
                </pic:pic>
              </a:graphicData>
            </a:graphic>
          </wp:inline>
        </w:drawing>
      </w:r>
    </w:p>
    <w:p w:rsidR="00133F98" w:rsidRDefault="00331D25">
      <w:pPr>
        <w:pStyle w:val="Normal1"/>
        <w:jc w:val="center"/>
        <w:rPr>
          <w:rFonts w:ascii="Times New Roman" w:eastAsia="Times New Roman" w:hAnsi="Times New Roman" w:cs="Times New Roman"/>
        </w:rPr>
      </w:pPr>
      <w:r>
        <w:rPr>
          <w:rFonts w:ascii="Times New Roman" w:eastAsia="Times New Roman" w:hAnsi="Times New Roman" w:cs="Times New Roman"/>
        </w:rPr>
        <w:t xml:space="preserve">Fig 7: Leading challenges with </w:t>
      </w:r>
      <w:proofErr w:type="spellStart"/>
      <w:r>
        <w:rPr>
          <w:rFonts w:ascii="Times New Roman" w:eastAsia="Times New Roman" w:hAnsi="Times New Roman" w:cs="Times New Roman"/>
        </w:rPr>
        <w:t>onboarding</w:t>
      </w:r>
      <w:proofErr w:type="spellEnd"/>
      <w:r>
        <w:rPr>
          <w:rFonts w:ascii="Times New Roman" w:eastAsia="Times New Roman" w:hAnsi="Times New Roman" w:cs="Times New Roman"/>
        </w:rPr>
        <w:t xml:space="preserve"> according to HR Worldwide in 2018</w:t>
      </w:r>
    </w:p>
    <w:p w:rsidR="00133F98" w:rsidRDefault="00331D25">
      <w:pPr>
        <w:pStyle w:val="Normal1"/>
        <w:jc w:val="center"/>
        <w:rPr>
          <w:rFonts w:ascii="Times New Roman" w:eastAsia="Times New Roman" w:hAnsi="Times New Roman" w:cs="Times New Roman"/>
        </w:rPr>
      </w:pPr>
      <w:r>
        <w:rPr>
          <w:rFonts w:ascii="Times New Roman" w:eastAsia="Times New Roman" w:hAnsi="Times New Roman" w:cs="Times New Roman"/>
        </w:rPr>
        <w:t>(Source: Statista.com, 2023)</w:t>
      </w:r>
    </w:p>
    <w:p w:rsidR="00133F98" w:rsidRDefault="00331D25">
      <w:pPr>
        <w:pStyle w:val="Heading3"/>
      </w:pPr>
      <w:bookmarkStart w:id="35" w:name="_Toc153879527"/>
      <w:r>
        <w:t>3.2.3 Welfare of Employees</w:t>
      </w:r>
      <w:bookmarkEnd w:id="35"/>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vast demographic diversity in India necessitates inclusive HR strategies to address socio-economic disparities. Gender equality is a key focus area in witnessing regulatory interventions such as mandates for women directors on boards. The formalization of the workforce, driven by initiatives like the Goods and Services Tax (GST) underscores the need for structured welfare programs. According to gender ratio data from 2018 to 2020 India recorded approximately 907 women for every 1,000 men. In the corresponding timeframe, </w:t>
      </w:r>
      <w:r>
        <w:rPr>
          <w:rFonts w:ascii="Times New Roman" w:eastAsia="Times New Roman" w:hAnsi="Times New Roman" w:cs="Times New Roman"/>
          <w:sz w:val="24"/>
          <w:szCs w:val="24"/>
        </w:rPr>
        <w:lastRenderedPageBreak/>
        <w:t>rural regions witnessed a diminished gender ratio (</w:t>
      </w:r>
      <w:proofErr w:type="gramStart"/>
      <w:r>
        <w:rPr>
          <w:rFonts w:ascii="Times New Roman" w:eastAsia="Times New Roman" w:hAnsi="Times New Roman" w:cs="Times New Roman"/>
          <w:sz w:val="24"/>
          <w:szCs w:val="24"/>
        </w:rPr>
        <w:t>Europa.eu.,</w:t>
      </w:r>
      <w:proofErr w:type="gramEnd"/>
      <w:r>
        <w:rPr>
          <w:rFonts w:ascii="Times New Roman" w:eastAsia="Times New Roman" w:hAnsi="Times New Roman" w:cs="Times New Roman"/>
          <w:sz w:val="24"/>
          <w:szCs w:val="24"/>
        </w:rPr>
        <w:t xml:space="preserve"> 2018). These statistics underscore the imperative need for human resource strategies that embrace gender inclusivity, fostering equilibrium and fairness within the professional sphere. India's human resource landscape is transforming to ensure that individuals from diverse backgrounds share equal prospects for advancement and growth. Inclusivity not only catalyzes social justice but also cultivates a more concordant and fruitful work milieu (</w:t>
      </w:r>
      <w:proofErr w:type="spellStart"/>
      <w:proofErr w:type="gramStart"/>
      <w:r>
        <w:rPr>
          <w:rFonts w:ascii="Times New Roman" w:eastAsia="Times New Roman" w:hAnsi="Times New Roman" w:cs="Times New Roman"/>
          <w:sz w:val="24"/>
          <w:szCs w:val="24"/>
        </w:rPr>
        <w:t>Shrm</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2020).</w:t>
      </w:r>
    </w:p>
    <w:p w:rsidR="00133F98" w:rsidRDefault="00331D25">
      <w:pPr>
        <w:pStyle w:val="Heading3"/>
      </w:pPr>
      <w:bookmarkStart w:id="36" w:name="_Toc153879528"/>
      <w:r>
        <w:t>3.2.4 Trade Union Membership and Influence</w:t>
      </w:r>
      <w:bookmarkEnd w:id="36"/>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Trade unions play a significant role in advocating for labour rights and social justice in India. With a vast informal sector bridging the gap between formal and informal employment remains a challenge (</w:t>
      </w:r>
      <w:proofErr w:type="gramStart"/>
      <w:r>
        <w:rPr>
          <w:rFonts w:ascii="Times New Roman" w:eastAsia="Times New Roman" w:hAnsi="Times New Roman" w:cs="Times New Roman"/>
          <w:sz w:val="24"/>
          <w:szCs w:val="24"/>
        </w:rPr>
        <w:t>Labourbureau.gov.in.,</w:t>
      </w:r>
      <w:proofErr w:type="gramEnd"/>
      <w:r>
        <w:rPr>
          <w:rFonts w:ascii="Times New Roman" w:eastAsia="Times New Roman" w:hAnsi="Times New Roman" w:cs="Times New Roman"/>
          <w:sz w:val="24"/>
          <w:szCs w:val="24"/>
        </w:rPr>
        <w:t xml:space="preserve"> 2021). The Trade Unions Act of 1926 laid the foundation for conferring legal status to registered trade unions and providing them with immunity from civil suits and criminal prosecution. However, the gap between the number of registered unions and those submitting returns highlights a need for increased compliance and transparency (</w:t>
      </w:r>
      <w:proofErr w:type="spellStart"/>
      <w:proofErr w:type="gramStart"/>
      <w:r>
        <w:rPr>
          <w:rFonts w:ascii="Times New Roman" w:eastAsia="Times New Roman" w:hAnsi="Times New Roman" w:cs="Times New Roman"/>
          <w:sz w:val="24"/>
          <w:szCs w:val="24"/>
        </w:rPr>
        <w:t>Shrm</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2020). The current employment scenario with a forecasted unemployment rate of 7.34% in 2023 further emphasizes the importance of robust trade unions in safeguarding workers' interests as well Currently 23.5% of employees belong to a Trade Union – halved since 1980.</w:t>
      </w:r>
    </w:p>
    <w:p w:rsidR="00133F98" w:rsidRDefault="00331D25">
      <w:pPr>
        <w:pStyle w:val="Heading2"/>
      </w:pPr>
      <w:bookmarkStart w:id="37" w:name="_Toc153879529"/>
      <w:r>
        <w:t xml:space="preserve">3.3 Managing Workplace Culture Diversity: Navigating Differences </w:t>
      </w:r>
      <w:proofErr w:type="gramStart"/>
      <w:r>
        <w:t>Across</w:t>
      </w:r>
      <w:proofErr w:type="gramEnd"/>
      <w:r>
        <w:t xml:space="preserve"> Spain and India</w:t>
      </w:r>
      <w:bookmarkEnd w:id="37"/>
    </w:p>
    <w:p w:rsidR="00133F98" w:rsidRDefault="00331D25">
      <w:pPr>
        <w:pStyle w:val="Heading3"/>
      </w:pPr>
      <w:bookmarkStart w:id="38" w:name="_Toc153879530"/>
      <w:r>
        <w:t xml:space="preserve">3.3.1 Understanding Workplace Culture Differences </w:t>
      </w:r>
      <w:proofErr w:type="gramStart"/>
      <w:r>
        <w:t>Between</w:t>
      </w:r>
      <w:proofErr w:type="gramEnd"/>
      <w:r>
        <w:t xml:space="preserve"> Spain and India:</w:t>
      </w:r>
      <w:bookmarkEnd w:id="38"/>
    </w:p>
    <w:p w:rsidR="00133F98" w:rsidRDefault="00331D25">
      <w:pPr>
        <w:pStyle w:val="Heading4"/>
      </w:pPr>
      <w:bookmarkStart w:id="39" w:name="_Toc153879531"/>
      <w:r>
        <w:t>3.3.1.1 Spain: A Developed Country Perspective:</w:t>
      </w:r>
      <w:bookmarkEnd w:id="39"/>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realm of workplace culture, Spain stands as a beacon of tradition and stability. As a developed country, its approach to job design reflects a deeply ingrained reliance on seniority for promotions. On the other hand, this is particularly evident in large manufacturing firms, where job roles are characterized by a blend of tradition and monotony (Barge-Caballero et al., 2023). Workers, operating within this framework experience limited autonomy as close supervision remains the norm, symbolizing a commitment to established norms. One of the defining features of Spain's workplace culture is its resistance to change. On the flip side, it is palpable in the slow adoption of innovative work structures such as job enrichment or autonomous workgroups. The emphasis on stability and a preference for the familiar is evident throughout the organizational landscape (Barge-Caballero et al., 2023). The </w:t>
      </w:r>
      <w:r>
        <w:rPr>
          <w:rFonts w:ascii="Times New Roman" w:eastAsia="Times New Roman" w:hAnsi="Times New Roman" w:cs="Times New Roman"/>
          <w:sz w:val="24"/>
          <w:szCs w:val="24"/>
        </w:rPr>
        <w:lastRenderedPageBreak/>
        <w:t>reluctance to embrace radical shifts underscores a commitment to preserving the status quo, which can be observed in the cautious incorporation of improvement teams and suggestion systems. Employee participation in Spain is characterized by caution and a gradual evolution. Improvement teams and suggestion systems while present, have made their way into the organizational fabric slowly (Pereira and Scott</w:t>
      </w:r>
      <w:proofErr w:type="gramStart"/>
      <w:r>
        <w:rPr>
          <w:rFonts w:ascii="Times New Roman" w:eastAsia="Times New Roman" w:hAnsi="Times New Roman" w:cs="Times New Roman"/>
          <w:sz w:val="24"/>
          <w:szCs w:val="24"/>
        </w:rPr>
        <w:t>,  2015</w:t>
      </w:r>
      <w:proofErr w:type="gramEnd"/>
      <w:r>
        <w:rPr>
          <w:rFonts w:ascii="Times New Roman" w:eastAsia="Times New Roman" w:hAnsi="Times New Roman" w:cs="Times New Roman"/>
          <w:sz w:val="24"/>
          <w:szCs w:val="24"/>
        </w:rPr>
        <w:t>). On the other hand, this cautious approach aligns with a prevailing cultural value – the importance placed on stability and adherence to established norms. In addition, Improvement teams despite being the most widely used participation system leave room for improvement. There is a noticeable gap in internal communication and continuous feedback revealing a need for greater connectivity within the organizational structure (Pereira and Scott</w:t>
      </w:r>
      <w:proofErr w:type="gramStart"/>
      <w:r>
        <w:rPr>
          <w:rFonts w:ascii="Times New Roman" w:eastAsia="Times New Roman" w:hAnsi="Times New Roman" w:cs="Times New Roman"/>
          <w:sz w:val="24"/>
          <w:szCs w:val="24"/>
        </w:rPr>
        <w:t>,  2015</w:t>
      </w:r>
      <w:proofErr w:type="gramEnd"/>
      <w:r>
        <w:rPr>
          <w:rFonts w:ascii="Times New Roman" w:eastAsia="Times New Roman" w:hAnsi="Times New Roman" w:cs="Times New Roman"/>
          <w:sz w:val="24"/>
          <w:szCs w:val="24"/>
        </w:rPr>
        <w:t>). On the other hand, Spanish companies tend to shy away from extensive job rotation or teamwork as these concepts challenge the preference for a stable and conservative work environment.</w:t>
      </w:r>
    </w:p>
    <w:p w:rsidR="00133F98" w:rsidRDefault="00331D25">
      <w:pPr>
        <w:pStyle w:val="Heading4"/>
      </w:pPr>
      <w:bookmarkStart w:id="40" w:name="_Toc153879532"/>
      <w:r>
        <w:t>3.3.1.2 India: A Developing Country Perspective:</w:t>
      </w:r>
      <w:bookmarkEnd w:id="40"/>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Contrasting Spain's deeply entrenched workplace traditions India as a developing country, unfolds a diverse tapestry of workplace culture undergoing rapid transformation. The nation grapples with the multifaceted challenges of transitioning from informal to formal employment structures (</w:t>
      </w:r>
      <w:proofErr w:type="spellStart"/>
      <w:r>
        <w:rPr>
          <w:rFonts w:ascii="Times New Roman" w:eastAsia="Times New Roman" w:hAnsi="Times New Roman" w:cs="Times New Roman"/>
          <w:sz w:val="24"/>
          <w:szCs w:val="24"/>
        </w:rPr>
        <w:t>Budhwar</w:t>
      </w:r>
      <w:proofErr w:type="spellEnd"/>
      <w:proofErr w:type="gramStart"/>
      <w:r>
        <w:rPr>
          <w:rFonts w:ascii="Times New Roman" w:eastAsia="Times New Roman" w:hAnsi="Times New Roman" w:cs="Times New Roman"/>
          <w:sz w:val="24"/>
          <w:szCs w:val="24"/>
        </w:rPr>
        <w:t>,  2012</w:t>
      </w:r>
      <w:proofErr w:type="gramEnd"/>
      <w:r>
        <w:rPr>
          <w:rFonts w:ascii="Times New Roman" w:eastAsia="Times New Roman" w:hAnsi="Times New Roman" w:cs="Times New Roman"/>
          <w:sz w:val="24"/>
          <w:szCs w:val="24"/>
        </w:rPr>
        <w:t xml:space="preserve">). At the heart of this transition lies a complex human resources challenge, requiring a delicate balance to ensure fair labour practices and compliance with evolving labour laws. India's workplace landscape is witnessing a significant transformation propelled by a burgeoning HR technology market. The imperative of continuous </w:t>
      </w:r>
      <w:proofErr w:type="spellStart"/>
      <w:r>
        <w:rPr>
          <w:rFonts w:ascii="Times New Roman" w:eastAsia="Times New Roman" w:hAnsi="Times New Roman" w:cs="Times New Roman"/>
          <w:sz w:val="24"/>
          <w:szCs w:val="24"/>
        </w:rPr>
        <w:t>upskilling</w:t>
      </w:r>
      <w:proofErr w:type="spellEnd"/>
      <w:r>
        <w:rPr>
          <w:rFonts w:ascii="Times New Roman" w:eastAsia="Times New Roman" w:hAnsi="Times New Roman" w:cs="Times New Roman"/>
          <w:sz w:val="24"/>
          <w:szCs w:val="24"/>
        </w:rPr>
        <w:t xml:space="preserve"> has taken centre stage to align with the sweeping wave of digital transformations. On the other hand, recruitment methods in India are in a state of evolution marked by a discernible shift towards press advertising, </w:t>
      </w:r>
      <w:proofErr w:type="spellStart"/>
      <w:r>
        <w:rPr>
          <w:rFonts w:ascii="Times New Roman" w:eastAsia="Times New Roman" w:hAnsi="Times New Roman" w:cs="Times New Roman"/>
          <w:sz w:val="24"/>
          <w:szCs w:val="24"/>
        </w:rPr>
        <w:t>headhunters</w:t>
      </w:r>
      <w:proofErr w:type="spellEnd"/>
      <w:r>
        <w:rPr>
          <w:rFonts w:ascii="Times New Roman" w:eastAsia="Times New Roman" w:hAnsi="Times New Roman" w:cs="Times New Roman"/>
          <w:sz w:val="24"/>
          <w:szCs w:val="24"/>
        </w:rPr>
        <w:t xml:space="preserve"> and temporary work agencies (</w:t>
      </w:r>
      <w:proofErr w:type="spellStart"/>
      <w:r>
        <w:rPr>
          <w:rFonts w:ascii="Times New Roman" w:eastAsia="Times New Roman" w:hAnsi="Times New Roman" w:cs="Times New Roman"/>
          <w:sz w:val="24"/>
          <w:szCs w:val="24"/>
        </w:rPr>
        <w:t>Rao</w:t>
      </w:r>
      <w:proofErr w:type="spellEnd"/>
      <w:r>
        <w:rPr>
          <w:rFonts w:ascii="Times New Roman" w:eastAsia="Times New Roman" w:hAnsi="Times New Roman" w:cs="Times New Roman"/>
          <w:sz w:val="24"/>
          <w:szCs w:val="24"/>
        </w:rPr>
        <w:t xml:space="preserve">, 2008). Along with this, </w:t>
      </w:r>
      <w:proofErr w:type="gramStart"/>
      <w:r>
        <w:rPr>
          <w:rFonts w:ascii="Times New Roman" w:eastAsia="Times New Roman" w:hAnsi="Times New Roman" w:cs="Times New Roman"/>
          <w:sz w:val="24"/>
          <w:szCs w:val="24"/>
        </w:rPr>
        <w:t>Internal</w:t>
      </w:r>
      <w:proofErr w:type="gramEnd"/>
      <w:r>
        <w:rPr>
          <w:rFonts w:ascii="Times New Roman" w:eastAsia="Times New Roman" w:hAnsi="Times New Roman" w:cs="Times New Roman"/>
          <w:sz w:val="24"/>
          <w:szCs w:val="24"/>
        </w:rPr>
        <w:t xml:space="preserve"> promotion is a notable feature that occupies a significant place in the organizational hierarchy, particularly at lower to medium organizational levels (Brewster et al., 2016). On the flip side, it reflects a deep-seated commitment to nurturing talent from within fostering a sense of loyalty and continuity. The diverse demographic landscape of India adds another layer to its workplace culture as well and inclusive strategies are imperative to address socio-economic disparities stemming from this diversity. Along with this, Initiatives like the Goods and Services Tax (GST) underscore a growing emphasis on formalizing the workforce reflecting an overarching commitment to </w:t>
      </w:r>
      <w:r>
        <w:rPr>
          <w:rFonts w:ascii="Times New Roman" w:eastAsia="Times New Roman" w:hAnsi="Times New Roman" w:cs="Times New Roman"/>
          <w:sz w:val="24"/>
          <w:szCs w:val="24"/>
        </w:rPr>
        <w:lastRenderedPageBreak/>
        <w:t>aligning with global economic standards (Singh, 2016). As India strides towards a more formalized employment structure its workplace culture becomes a dynamic tapestry woven with the threads of tradition and the urgency of contemporary change (Jackson et al. 2014).</w:t>
      </w:r>
    </w:p>
    <w:p w:rsidR="00133F98" w:rsidRDefault="00331D25">
      <w:pPr>
        <w:pStyle w:val="Heading3"/>
      </w:pPr>
      <w:bookmarkStart w:id="41" w:name="_Toc153879533"/>
      <w:r>
        <w:t xml:space="preserve">3.3.2 Managing Human Relationships </w:t>
      </w:r>
      <w:proofErr w:type="gramStart"/>
      <w:r>
        <w:t>Across</w:t>
      </w:r>
      <w:proofErr w:type="gramEnd"/>
      <w:r>
        <w:t xml:space="preserve"> Spanish and Indian Cultures: A Strategic Approach</w:t>
      </w:r>
      <w:bookmarkEnd w:id="41"/>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Cultural Sensitivity Training</w:t>
      </w:r>
    </w:p>
    <w:p w:rsidR="00133F98" w:rsidRDefault="00331D25">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Spain, where tradition and stability are deeply ingrained in the workplace culture, cultural sensitivity training becomes a pivotal component. On the flip side, this training ought to delve into the historical reliance on seniority for promotions, emphasizing the significance of respecting established norms (</w:t>
      </w:r>
      <w:proofErr w:type="spellStart"/>
      <w:r>
        <w:rPr>
          <w:rFonts w:ascii="Times New Roman" w:eastAsia="Times New Roman" w:hAnsi="Times New Roman" w:cs="Times New Roman"/>
          <w:sz w:val="24"/>
          <w:szCs w:val="24"/>
        </w:rPr>
        <w:t>Balcells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Justino</w:t>
      </w:r>
      <w:proofErr w:type="spellEnd"/>
      <w:r>
        <w:rPr>
          <w:rFonts w:ascii="Times New Roman" w:eastAsia="Times New Roman" w:hAnsi="Times New Roman" w:cs="Times New Roman"/>
          <w:sz w:val="24"/>
          <w:szCs w:val="24"/>
        </w:rPr>
        <w:t>, 2014). Spanish employees value stability and may approach change cautiously. Understanding and appreciating this cultural aspect enables employees to navigate their roles more effectively.</w:t>
      </w:r>
    </w:p>
    <w:p w:rsidR="00133F98" w:rsidRDefault="00331D25">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the training should address the diverse demographic landscape emphasizing the importance of inclusivity and understanding socio-economic disparities. With a growing HR technology market employees need to be prepared for digital transformations (</w:t>
      </w:r>
      <w:proofErr w:type="spellStart"/>
      <w:r>
        <w:rPr>
          <w:rFonts w:ascii="Times New Roman" w:eastAsia="Times New Roman" w:hAnsi="Times New Roman" w:cs="Times New Roman"/>
          <w:sz w:val="24"/>
          <w:szCs w:val="24"/>
        </w:rPr>
        <w:t>Balcells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Justino</w:t>
      </w:r>
      <w:proofErr w:type="spellEnd"/>
      <w:r>
        <w:rPr>
          <w:rFonts w:ascii="Times New Roman" w:eastAsia="Times New Roman" w:hAnsi="Times New Roman" w:cs="Times New Roman"/>
          <w:sz w:val="24"/>
          <w:szCs w:val="24"/>
        </w:rPr>
        <w:t>, 2014). Cultural sensitivity training in India ought to foster an open mindset promoting acceptance of diverse perspectives and practices.</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Diverse Hiring Practices</w:t>
      </w:r>
    </w:p>
    <w:p w:rsidR="00133F98" w:rsidRDefault="00331D25">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Spain, where workplace roles are often traditional and monotonous introducing diversity in hiring practices can bring about positive change. Embracing varied backgrounds and experiences can inject innovation into a conservative work environment (Pereira and </w:t>
      </w:r>
      <w:proofErr w:type="spellStart"/>
      <w:r>
        <w:rPr>
          <w:rFonts w:ascii="Times New Roman" w:eastAsia="Times New Roman" w:hAnsi="Times New Roman" w:cs="Times New Roman"/>
          <w:sz w:val="24"/>
          <w:szCs w:val="24"/>
        </w:rPr>
        <w:t>Fontinha</w:t>
      </w:r>
      <w:proofErr w:type="spellEnd"/>
      <w:r>
        <w:rPr>
          <w:rFonts w:ascii="Times New Roman" w:eastAsia="Times New Roman" w:hAnsi="Times New Roman" w:cs="Times New Roman"/>
          <w:sz w:val="24"/>
          <w:szCs w:val="24"/>
        </w:rPr>
        <w:t>, 2014). Along with this, by recruiting individuals with different perspectives companies in Spain can enhance their adaptability and resilience in an ever-changing global landscape.</w:t>
      </w:r>
    </w:p>
    <w:p w:rsidR="00133F98" w:rsidRDefault="00331D25">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diverse hiring practices align with the commitment to addressing socio-economic disparities. The emphasis on internal promotion, especially at lower to medium organizational levels ought to be complemented by hiring external talent to create a balanced and dynamic workforce (</w:t>
      </w:r>
      <w:proofErr w:type="spellStart"/>
      <w:r>
        <w:rPr>
          <w:rFonts w:ascii="Times New Roman" w:eastAsia="Times New Roman" w:hAnsi="Times New Roman" w:cs="Times New Roman"/>
          <w:sz w:val="24"/>
          <w:szCs w:val="24"/>
        </w:rPr>
        <w:t>Balcells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Justino</w:t>
      </w:r>
      <w:proofErr w:type="spellEnd"/>
      <w:r>
        <w:rPr>
          <w:rFonts w:ascii="Times New Roman" w:eastAsia="Times New Roman" w:hAnsi="Times New Roman" w:cs="Times New Roman"/>
          <w:sz w:val="24"/>
          <w:szCs w:val="24"/>
        </w:rPr>
        <w:t xml:space="preserve">, 2014). On the flip </w:t>
      </w:r>
      <w:r>
        <w:rPr>
          <w:rFonts w:ascii="Times New Roman" w:eastAsia="Times New Roman" w:hAnsi="Times New Roman" w:cs="Times New Roman"/>
          <w:sz w:val="24"/>
          <w:szCs w:val="24"/>
        </w:rPr>
        <w:lastRenderedPageBreak/>
        <w:t>side, this approach fosters an environment that values both experience from within and fresh insights from external sources.</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Communication Protocols</w:t>
      </w:r>
    </w:p>
    <w:p w:rsidR="00133F98" w:rsidRDefault="00331D25">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Clear communication protocols are essential for managing human relationships across different cultures. In Spain, where stability is valued establishing transparent and consistent communication channels helps mitigate resistance to change. Employees ought to be well-informed about any organizational shifts and their concerns should be addressed promptly to maintain stability and trust (</w:t>
      </w:r>
      <w:proofErr w:type="spellStart"/>
      <w:r>
        <w:rPr>
          <w:rFonts w:ascii="Times New Roman" w:eastAsia="Times New Roman" w:hAnsi="Times New Roman" w:cs="Times New Roman"/>
          <w:sz w:val="24"/>
          <w:szCs w:val="24"/>
        </w:rPr>
        <w:t>Malik</w:t>
      </w:r>
      <w:proofErr w:type="spellEnd"/>
      <w:r>
        <w:rPr>
          <w:rFonts w:ascii="Times New Roman" w:eastAsia="Times New Roman" w:hAnsi="Times New Roman" w:cs="Times New Roman"/>
          <w:sz w:val="24"/>
          <w:szCs w:val="24"/>
        </w:rPr>
        <w:t xml:space="preserve"> et al., 2019).</w:t>
      </w:r>
    </w:p>
    <w:p w:rsidR="00133F98" w:rsidRDefault="00331D25">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where the HR technology market is rapidly evolving organizations need to be open to dynamic communication styles. On the other hand, implementing digital communication tools and platforms fosters an environment where employees can adapt to technological changes seamlessly (Tung, 2016). In addition, regular updates and interactive communication channels enhance engagement and create a more connected workforce.</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Cross-Cultural Teams</w:t>
      </w:r>
    </w:p>
    <w:p w:rsidR="00133F98" w:rsidRDefault="00331D25">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Forming cross-cultural teams is a strategic move in both Spain and India. In Spain, where conservatism prevails such teams bring in fresh perspectives and innovative ideas, challenging traditional norms positively. These teams can act as catalysts for change, promoting a more dynamic and adaptive work culture.</w:t>
      </w:r>
    </w:p>
    <w:p w:rsidR="00133F98" w:rsidRDefault="00331D25">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with its diverse demographic landscape cross-cultural teams capitalize on the richness of different perspectives (</w:t>
      </w:r>
      <w:proofErr w:type="spellStart"/>
      <w:r>
        <w:rPr>
          <w:rFonts w:ascii="Times New Roman" w:eastAsia="Times New Roman" w:hAnsi="Times New Roman" w:cs="Times New Roman"/>
          <w:sz w:val="24"/>
          <w:szCs w:val="24"/>
        </w:rPr>
        <w:t>Camelo-Ordaz</w:t>
      </w:r>
      <w:proofErr w:type="spellEnd"/>
      <w:r>
        <w:rPr>
          <w:rFonts w:ascii="Times New Roman" w:eastAsia="Times New Roman" w:hAnsi="Times New Roman" w:cs="Times New Roman"/>
          <w:sz w:val="24"/>
          <w:szCs w:val="24"/>
        </w:rPr>
        <w:t xml:space="preserve"> et al., 2011). On the other hand, collaborative efforts become essential for addressing challenges and fostering creativity. On the flip side, this approach aligns with the inclusive strategies required to bridge socio-economic disparities and promote a harmonious work environment (Stokes et al., 2016).</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Mentorship Programs</w:t>
      </w:r>
    </w:p>
    <w:p w:rsidR="00133F98" w:rsidRDefault="00331D25">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Mentorship programs play a crucial role in managing human relationships in both Spain and India. In Spain, where there is a noticeable gap in internal communication, mentorship programs can facilitate smoother information flow within the organization (Stokes et al., 2016). In addition, mentors can provide guidance and insights, helping employees navigate the conservative work environment more effectively.</w:t>
      </w:r>
    </w:p>
    <w:p w:rsidR="00133F98" w:rsidRDefault="00331D25">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India, where internal promotion is emphasized, mentorship programs contribute to talent development. They serve as a bridge between experienced professionals and those rising through the ranks ensuring a transfer of knowledge and skills. On the reverse side, this approach aligns with India's commitment to nurturing talent from within the organization (Tung, 2016).</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Conflict Resolution Protocols</w:t>
      </w:r>
    </w:p>
    <w:p w:rsidR="00133F98" w:rsidRDefault="00331D25">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Clear conflict resolution protocols are vital for maintaining positive human relationships across diverse workplace cultures. In Spain, where resistance to change is evident conflict resolution should be approached with an understanding of the cultural roots of disagreements (</w:t>
      </w:r>
      <w:proofErr w:type="spellStart"/>
      <w:r>
        <w:rPr>
          <w:rFonts w:ascii="Times New Roman" w:eastAsia="Times New Roman" w:hAnsi="Times New Roman" w:cs="Times New Roman"/>
          <w:sz w:val="24"/>
          <w:szCs w:val="24"/>
        </w:rPr>
        <w:t>Camelo-Ordaz</w:t>
      </w:r>
      <w:proofErr w:type="spellEnd"/>
      <w:r>
        <w:rPr>
          <w:rFonts w:ascii="Times New Roman" w:eastAsia="Times New Roman" w:hAnsi="Times New Roman" w:cs="Times New Roman"/>
          <w:sz w:val="24"/>
          <w:szCs w:val="24"/>
        </w:rPr>
        <w:t xml:space="preserve"> et al., 2011). On the contrary, solutions ought to be framed in a way that aligns with stability and gradual transformation.</w:t>
      </w:r>
    </w:p>
    <w:p w:rsidR="00133F98" w:rsidRDefault="00331D25">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with its multifaceted HR challenges conflict resolution protocols ought to be flexible and adaptive as well as consider the evolving labour laws and diverse workforce solutions ought to be crafted to address the specific concerns arising from socio-economic disparities and technological transformations (</w:t>
      </w:r>
      <w:proofErr w:type="spellStart"/>
      <w:r>
        <w:rPr>
          <w:rFonts w:ascii="Times New Roman" w:eastAsia="Times New Roman" w:hAnsi="Times New Roman" w:cs="Times New Roman"/>
          <w:sz w:val="24"/>
          <w:szCs w:val="24"/>
        </w:rPr>
        <w:t>Agrawal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Thite</w:t>
      </w:r>
      <w:proofErr w:type="spellEnd"/>
      <w:r>
        <w:rPr>
          <w:rFonts w:ascii="Times New Roman" w:eastAsia="Times New Roman" w:hAnsi="Times New Roman" w:cs="Times New Roman"/>
          <w:sz w:val="24"/>
          <w:szCs w:val="24"/>
        </w:rPr>
        <w:t>, 2003). In addition, Cultural intelligence in conflict resolution is paramount for fostering a collaborative work environment.</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Flexibility in Work Practices</w:t>
      </w:r>
    </w:p>
    <w:p w:rsidR="00133F98" w:rsidRDefault="00331D25">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Spain, introducing measured flexibility in work practices is crucial to accommodate the preference for stability. While maintaining traditional aspects organizations can incorporate flexible hours or remote work options providing employees with a sense of stability while adapting to modern work trends (Campos‐</w:t>
      </w:r>
      <w:proofErr w:type="spellStart"/>
      <w:r>
        <w:rPr>
          <w:rFonts w:ascii="Times New Roman" w:eastAsia="Times New Roman" w:hAnsi="Times New Roman" w:cs="Times New Roman"/>
          <w:sz w:val="24"/>
          <w:szCs w:val="24"/>
        </w:rPr>
        <w:t>García</w:t>
      </w:r>
      <w:proofErr w:type="spellEnd"/>
      <w:r>
        <w:rPr>
          <w:rFonts w:ascii="Times New Roman" w:eastAsia="Times New Roman" w:hAnsi="Times New Roman" w:cs="Times New Roman"/>
          <w:sz w:val="24"/>
          <w:szCs w:val="24"/>
        </w:rPr>
        <w:t xml:space="preserve"> et al., 2023).</w:t>
      </w:r>
    </w:p>
    <w:p w:rsidR="00133F98" w:rsidRDefault="00331D25">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adapting to diverse work practices is essential to align with the evolving HR technology landscape as well as offering flexible work hours remote work options and embracing digital collaboration tools to cater to the needs of a workforce navigating a rapidly changing technological environment (</w:t>
      </w:r>
      <w:proofErr w:type="spellStart"/>
      <w:r>
        <w:rPr>
          <w:rFonts w:ascii="Times New Roman" w:eastAsia="Times New Roman" w:hAnsi="Times New Roman" w:cs="Times New Roman"/>
          <w:sz w:val="24"/>
          <w:szCs w:val="24"/>
        </w:rPr>
        <w:t>Agrawal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Thite</w:t>
      </w:r>
      <w:proofErr w:type="spellEnd"/>
      <w:r>
        <w:rPr>
          <w:rFonts w:ascii="Times New Roman" w:eastAsia="Times New Roman" w:hAnsi="Times New Roman" w:cs="Times New Roman"/>
          <w:sz w:val="24"/>
          <w:szCs w:val="24"/>
        </w:rPr>
        <w:t>, 2003). On the reverse side, this flexibility enhances employee satisfaction and contributes to a positive workplace culture.</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Regular Check-Ins</w:t>
      </w:r>
    </w:p>
    <w:p w:rsidR="00133F98" w:rsidRDefault="00331D25">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Regular check-ins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instrumental in gauging employee comfort levels and addressing concerns proactively. In Spain, where the cautious approach to change prevails frequent check-ins provide a platform for employees to express their thoughts and ensure that their concerns are acknowledged (Campos‐</w:t>
      </w:r>
      <w:proofErr w:type="spellStart"/>
      <w:r>
        <w:rPr>
          <w:rFonts w:ascii="Times New Roman" w:eastAsia="Times New Roman" w:hAnsi="Times New Roman" w:cs="Times New Roman"/>
          <w:sz w:val="24"/>
          <w:szCs w:val="24"/>
        </w:rPr>
        <w:t>García</w:t>
      </w:r>
      <w:proofErr w:type="spellEnd"/>
      <w:r>
        <w:rPr>
          <w:rFonts w:ascii="Times New Roman" w:eastAsia="Times New Roman" w:hAnsi="Times New Roman" w:cs="Times New Roman"/>
          <w:sz w:val="24"/>
          <w:szCs w:val="24"/>
        </w:rPr>
        <w:t xml:space="preserve"> et al., 2023).</w:t>
      </w:r>
    </w:p>
    <w:p w:rsidR="00133F98" w:rsidRDefault="00331D25">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India, regular check-ins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essential to adapt to the evolving HR technology market. They create a continuous feedback loop, allowing organizations to stay abreast of changing employee needs and expectations (</w:t>
      </w:r>
      <w:proofErr w:type="spellStart"/>
      <w:r>
        <w:rPr>
          <w:rFonts w:ascii="Times New Roman" w:eastAsia="Times New Roman" w:hAnsi="Times New Roman" w:cs="Times New Roman"/>
          <w:sz w:val="24"/>
          <w:szCs w:val="24"/>
        </w:rPr>
        <w:t>Malik</w:t>
      </w:r>
      <w:proofErr w:type="spellEnd"/>
      <w:r>
        <w:rPr>
          <w:rFonts w:ascii="Times New Roman" w:eastAsia="Times New Roman" w:hAnsi="Times New Roman" w:cs="Times New Roman"/>
          <w:sz w:val="24"/>
          <w:szCs w:val="24"/>
        </w:rPr>
        <w:t xml:space="preserve"> et al., 2019). On the contrary, this approach fosters a dynamic work environment where communication is ongoing and responsive to evolving challenges (</w:t>
      </w:r>
      <w:proofErr w:type="spellStart"/>
      <w:r>
        <w:rPr>
          <w:rFonts w:ascii="Times New Roman" w:eastAsia="Times New Roman" w:hAnsi="Times New Roman" w:cs="Times New Roman"/>
          <w:sz w:val="24"/>
          <w:szCs w:val="24"/>
        </w:rPr>
        <w:t>Agrawal</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Thite</w:t>
      </w:r>
      <w:proofErr w:type="spellEnd"/>
      <w:r>
        <w:rPr>
          <w:rFonts w:ascii="Times New Roman" w:eastAsia="Times New Roman" w:hAnsi="Times New Roman" w:cs="Times New Roman"/>
          <w:sz w:val="24"/>
          <w:szCs w:val="24"/>
        </w:rPr>
        <w:t>, 2003).</w:t>
      </w:r>
    </w:p>
    <w:p w:rsidR="00133F98" w:rsidRDefault="00331D25">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Leadership Training</w:t>
      </w:r>
    </w:p>
    <w:p w:rsidR="00133F98" w:rsidRDefault="00331D25">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training is imperative in both Spain and India incorporating cultural intelligence. In Spain, where the work environment is conservative leaders need to navigate change effectively while ensuring stability (Stokes et al., 2016). Training ought to focus on fostering leadership qualities that align with the cultural nuances of the workforce (Zhang et al. 2009).</w:t>
      </w:r>
    </w:p>
    <w:p w:rsidR="00133F98" w:rsidRDefault="00331D25">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India, leadership training ought to equip leaders with the skills to manage a diverse and evolving workforce. Understanding socio-economic disparities embracing technological advancements and promoting inclusivity should be central to leadership development programs (Stokes et al., 2016). Along with this, it ensures that leaders can effectively guide their teams through the complexities of the evolving HR landscape.</w:t>
      </w:r>
    </w:p>
    <w:p w:rsidR="00133F98" w:rsidRDefault="00133F98">
      <w:pPr>
        <w:pStyle w:val="Normal1"/>
        <w:spacing w:line="360" w:lineRule="auto"/>
        <w:jc w:val="both"/>
        <w:rPr>
          <w:rFonts w:ascii="Times New Roman" w:eastAsia="Times New Roman" w:hAnsi="Times New Roman" w:cs="Times New Roman"/>
          <w:b/>
          <w:sz w:val="24"/>
          <w:szCs w:val="24"/>
        </w:rPr>
      </w:pPr>
    </w:p>
    <w:p w:rsidR="00770867" w:rsidRDefault="00770867">
      <w:pPr>
        <w:pStyle w:val="Heading1"/>
      </w:pPr>
      <w:bookmarkStart w:id="42" w:name="_Toc153879534"/>
    </w:p>
    <w:p w:rsidR="00770867" w:rsidRDefault="00770867">
      <w:pPr>
        <w:pStyle w:val="Heading1"/>
      </w:pPr>
    </w:p>
    <w:p w:rsidR="00770867" w:rsidRDefault="00770867">
      <w:pPr>
        <w:pStyle w:val="Heading1"/>
      </w:pPr>
    </w:p>
    <w:p w:rsidR="00770867" w:rsidRDefault="00770867">
      <w:pPr>
        <w:pStyle w:val="Heading1"/>
      </w:pPr>
    </w:p>
    <w:p w:rsidR="00770867" w:rsidRDefault="00770867" w:rsidP="00770867">
      <w:pPr>
        <w:pStyle w:val="Normal1"/>
      </w:pPr>
    </w:p>
    <w:p w:rsidR="00770867" w:rsidRPr="00770867" w:rsidRDefault="00770867" w:rsidP="00770867">
      <w:pPr>
        <w:pStyle w:val="Normal1"/>
      </w:pPr>
    </w:p>
    <w:p w:rsidR="00133F98" w:rsidRDefault="00331D25">
      <w:pPr>
        <w:pStyle w:val="Heading1"/>
      </w:pPr>
      <w:r>
        <w:lastRenderedPageBreak/>
        <w:t>4.0 Conclusion</w:t>
      </w:r>
      <w:bookmarkEnd w:id="42"/>
    </w:p>
    <w:p w:rsidR="00133F98" w:rsidRDefault="00331D25">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 this report has provided a comprehensive analysis of the challenges and opportunities of managing human resources in Spain and India taking into account institutional arrangements, training, development, recruitment and selection welfare of employees, trade union dynamics and managing workplace culture differences. The report has also explored strategies for managing human relationships across different cultures recognizing the importance of cultural sensitivity training, diverse hiring practices, communication protocols, cross-cultural teams, mentorship programs, conflict resolution protocols, flexibility in work practices, regular check-ins and leadership training. These strategies are essential for navigating the complexities of managing human resources in both Spain and India where traditional values coexist with contemporary challenges. On the flip side, by adopting a strategic approach that incorporates cultural intelligence and adaptability, organizations can foster positive human relationships and create a harmonious work environment that aligns with the evolving institutional arrangements and HR trends in both countries. Ultimately, this report highlights the need for a nuanced understanding of the unique contexts of Spain and India in managing human resources and the importance of tailored approaches that balance tradition with innovation and adaptability.</w:t>
      </w:r>
    </w:p>
    <w:p w:rsidR="00133F98" w:rsidRDefault="00331D25">
      <w:pPr>
        <w:pStyle w:val="Normal1"/>
        <w:spacing w:line="360" w:lineRule="auto"/>
        <w:jc w:val="both"/>
        <w:rPr>
          <w:rFonts w:ascii="Times New Roman" w:eastAsia="Times New Roman" w:hAnsi="Times New Roman" w:cs="Times New Roman"/>
          <w:b/>
          <w:sz w:val="24"/>
          <w:szCs w:val="24"/>
        </w:rPr>
      </w:pPr>
      <w:r>
        <w:br w:type="page"/>
      </w:r>
    </w:p>
    <w:p w:rsidR="00133F98" w:rsidRDefault="00331D25">
      <w:pPr>
        <w:pStyle w:val="Heading1"/>
      </w:pPr>
      <w:bookmarkStart w:id="43" w:name="_Toc153879535"/>
      <w:r>
        <w:lastRenderedPageBreak/>
        <w:t>5.0 Reference List</w:t>
      </w:r>
      <w:bookmarkEnd w:id="43"/>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Pereira, V. and </w:t>
      </w:r>
      <w:proofErr w:type="spellStart"/>
      <w:r>
        <w:rPr>
          <w:rFonts w:ascii="Times New Roman" w:eastAsia="Times New Roman" w:hAnsi="Times New Roman" w:cs="Times New Roman"/>
          <w:sz w:val="24"/>
          <w:szCs w:val="24"/>
        </w:rPr>
        <w:t>Fontinha</w:t>
      </w:r>
      <w:proofErr w:type="spellEnd"/>
      <w:r>
        <w:rPr>
          <w:rFonts w:ascii="Times New Roman" w:eastAsia="Times New Roman" w:hAnsi="Times New Roman" w:cs="Times New Roman"/>
          <w:sz w:val="24"/>
          <w:szCs w:val="24"/>
        </w:rPr>
        <w:t>, R., 2014.</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Global talent management in knowledge intensive firms in Europe and India.</w:t>
      </w:r>
      <w:proofErr w:type="gramEnd"/>
      <w:r>
        <w:rPr>
          <w:rFonts w:ascii="Times New Roman" w:eastAsia="Times New Roman" w:hAnsi="Times New Roman" w:cs="Times New Roman"/>
          <w:sz w:val="24"/>
          <w:szCs w:val="24"/>
        </w:rPr>
        <w:t xml:space="preserve"> In Global talent management: challenges, strategies, and opportunities (pp. 183-196). Cham: Springer International Publishing.</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Balcells</w:t>
      </w:r>
      <w:proofErr w:type="spellEnd"/>
      <w:r>
        <w:rPr>
          <w:rFonts w:ascii="Times New Roman" w:eastAsia="Times New Roman" w:hAnsi="Times New Roman" w:cs="Times New Roman"/>
          <w:sz w:val="24"/>
          <w:szCs w:val="24"/>
        </w:rPr>
        <w:t xml:space="preserve">, L. and </w:t>
      </w:r>
      <w:proofErr w:type="spellStart"/>
      <w:r>
        <w:rPr>
          <w:rFonts w:ascii="Times New Roman" w:eastAsia="Times New Roman" w:hAnsi="Times New Roman" w:cs="Times New Roman"/>
          <w:sz w:val="24"/>
          <w:szCs w:val="24"/>
        </w:rPr>
        <w:t>Justino</w:t>
      </w:r>
      <w:proofErr w:type="spellEnd"/>
      <w:r>
        <w:rPr>
          <w:rFonts w:ascii="Times New Roman" w:eastAsia="Times New Roman" w:hAnsi="Times New Roman" w:cs="Times New Roman"/>
          <w:sz w:val="24"/>
          <w:szCs w:val="24"/>
        </w:rPr>
        <w:t xml:space="preserve">, P., 2014. Bridging micro and macro approaches on civil wars and political violence: issues, challenges, and the way forward. </w:t>
      </w:r>
      <w:proofErr w:type="gramStart"/>
      <w:r>
        <w:rPr>
          <w:rFonts w:ascii="Times New Roman" w:eastAsia="Times New Roman" w:hAnsi="Times New Roman" w:cs="Times New Roman"/>
          <w:sz w:val="24"/>
          <w:szCs w:val="24"/>
        </w:rPr>
        <w:t>Journal of Conflict Resolution, 58(8), pp.1343-1359.</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Jackson, S.E., Schuler, R.S. and Jiang, K., 2014. </w:t>
      </w:r>
      <w:proofErr w:type="gramStart"/>
      <w:r>
        <w:rPr>
          <w:rFonts w:ascii="Times New Roman" w:eastAsia="Times New Roman" w:hAnsi="Times New Roman" w:cs="Times New Roman"/>
          <w:sz w:val="24"/>
          <w:szCs w:val="24"/>
        </w:rPr>
        <w:t xml:space="preserve">An </w:t>
      </w:r>
      <w:proofErr w:type="spellStart"/>
      <w:r>
        <w:rPr>
          <w:rFonts w:ascii="Times New Roman" w:eastAsia="Times New Roman" w:hAnsi="Times New Roman" w:cs="Times New Roman"/>
          <w:sz w:val="24"/>
          <w:szCs w:val="24"/>
        </w:rPr>
        <w:t>aspirational</w:t>
      </w:r>
      <w:proofErr w:type="spellEnd"/>
      <w:r>
        <w:rPr>
          <w:rFonts w:ascii="Times New Roman" w:eastAsia="Times New Roman" w:hAnsi="Times New Roman" w:cs="Times New Roman"/>
          <w:sz w:val="24"/>
          <w:szCs w:val="24"/>
        </w:rPr>
        <w:t xml:space="preserve"> framework for strategic human resource management.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Academy of Management Annals, 8(1), pp.1-56.</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Rao</w:t>
      </w:r>
      <w:proofErr w:type="spellEnd"/>
      <w:r>
        <w:rPr>
          <w:rFonts w:ascii="Times New Roman" w:eastAsia="Times New Roman" w:hAnsi="Times New Roman" w:cs="Times New Roman"/>
          <w:sz w:val="24"/>
          <w:szCs w:val="24"/>
        </w:rPr>
        <w:t>, P.L., 2008. International human resource management: Text and cases. Excel Books India.</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Budhwar</w:t>
      </w:r>
      <w:proofErr w:type="spellEnd"/>
      <w:r>
        <w:rPr>
          <w:rFonts w:ascii="Times New Roman" w:eastAsia="Times New Roman" w:hAnsi="Times New Roman" w:cs="Times New Roman"/>
          <w:sz w:val="24"/>
          <w:szCs w:val="24"/>
        </w:rPr>
        <w:t xml:space="preserve">, P., 2012. Management of human resources in foreign firms operating in India: the role of HR in country-specific headquarters. </w:t>
      </w:r>
      <w:proofErr w:type="gramStart"/>
      <w:r>
        <w:rPr>
          <w:rFonts w:ascii="Times New Roman" w:eastAsia="Times New Roman" w:hAnsi="Times New Roman" w:cs="Times New Roman"/>
          <w:sz w:val="24"/>
          <w:szCs w:val="24"/>
        </w:rPr>
        <w:t>The International Journal of Human Resource Management, 23(12), pp.2514-2531.</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Pereira, V. and Scott, P., 2015.</w:t>
      </w:r>
      <w:proofErr w:type="gramEnd"/>
      <w:r>
        <w:rPr>
          <w:rFonts w:ascii="Times New Roman" w:eastAsia="Times New Roman" w:hAnsi="Times New Roman" w:cs="Times New Roman"/>
          <w:sz w:val="24"/>
          <w:szCs w:val="24"/>
        </w:rPr>
        <w:t xml:space="preserve"> Neither Western nor Indian: HRM policy in an Indian multinational. In The rise of multinationals from emerging economies: achieving a new balance (pp. 99-114). London: Palgrave Macmillan UK.</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Barge-Caballero, E., </w:t>
      </w:r>
      <w:proofErr w:type="spellStart"/>
      <w:r>
        <w:rPr>
          <w:rFonts w:ascii="Times New Roman" w:eastAsia="Times New Roman" w:hAnsi="Times New Roman" w:cs="Times New Roman"/>
          <w:sz w:val="24"/>
          <w:szCs w:val="24"/>
        </w:rPr>
        <w:t>González-Vílchez</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Almenar-Bonet</w:t>
      </w:r>
      <w:proofErr w:type="spellEnd"/>
      <w:r>
        <w:rPr>
          <w:rFonts w:ascii="Times New Roman" w:eastAsia="Times New Roman" w:hAnsi="Times New Roman" w:cs="Times New Roman"/>
          <w:sz w:val="24"/>
          <w:szCs w:val="24"/>
        </w:rPr>
        <w:t xml:space="preserve">, L., </w:t>
      </w:r>
      <w:proofErr w:type="spellStart"/>
      <w:r>
        <w:rPr>
          <w:rFonts w:ascii="Times New Roman" w:eastAsia="Times New Roman" w:hAnsi="Times New Roman" w:cs="Times New Roman"/>
          <w:sz w:val="24"/>
          <w:szCs w:val="24"/>
        </w:rPr>
        <w:t>Carmena</w:t>
      </w:r>
      <w:proofErr w:type="spellEnd"/>
      <w:r>
        <w:rPr>
          <w:rFonts w:ascii="Times New Roman" w:eastAsia="Times New Roman" w:hAnsi="Times New Roman" w:cs="Times New Roman"/>
          <w:sz w:val="24"/>
          <w:szCs w:val="24"/>
        </w:rPr>
        <w:t xml:space="preserve">, M.D.G.C., </w:t>
      </w:r>
      <w:proofErr w:type="spellStart"/>
      <w:r>
        <w:rPr>
          <w:rFonts w:ascii="Times New Roman" w:eastAsia="Times New Roman" w:hAnsi="Times New Roman" w:cs="Times New Roman"/>
          <w:sz w:val="24"/>
          <w:szCs w:val="24"/>
        </w:rPr>
        <w:t>González</w:t>
      </w:r>
      <w:proofErr w:type="spellEnd"/>
      <w:r>
        <w:rPr>
          <w:rFonts w:ascii="Times New Roman" w:eastAsia="Times New Roman" w:hAnsi="Times New Roman" w:cs="Times New Roman"/>
          <w:sz w:val="24"/>
          <w:szCs w:val="24"/>
        </w:rPr>
        <w:t xml:space="preserve">-Costello, J., </w:t>
      </w:r>
      <w:proofErr w:type="spellStart"/>
      <w:r>
        <w:rPr>
          <w:rFonts w:ascii="Times New Roman" w:eastAsia="Times New Roman" w:hAnsi="Times New Roman" w:cs="Times New Roman"/>
          <w:sz w:val="24"/>
          <w:szCs w:val="24"/>
        </w:rPr>
        <w:t>Gómez-Bueno</w:t>
      </w:r>
      <w:proofErr w:type="spellEnd"/>
      <w:r>
        <w:rPr>
          <w:rFonts w:ascii="Times New Roman" w:eastAsia="Times New Roman" w:hAnsi="Times New Roman" w:cs="Times New Roman"/>
          <w:sz w:val="24"/>
          <w:szCs w:val="24"/>
        </w:rPr>
        <w:t>, M., Castel-</w:t>
      </w:r>
      <w:proofErr w:type="spellStart"/>
      <w:r>
        <w:rPr>
          <w:rFonts w:ascii="Times New Roman" w:eastAsia="Times New Roman" w:hAnsi="Times New Roman" w:cs="Times New Roman"/>
          <w:sz w:val="24"/>
          <w:szCs w:val="24"/>
        </w:rPr>
        <w:t>Lavilla</w:t>
      </w:r>
      <w:proofErr w:type="spellEnd"/>
      <w:r>
        <w:rPr>
          <w:rFonts w:ascii="Times New Roman" w:eastAsia="Times New Roman" w:hAnsi="Times New Roman" w:cs="Times New Roman"/>
          <w:sz w:val="24"/>
          <w:szCs w:val="24"/>
        </w:rPr>
        <w:t>, M.Á., Lambert-</w:t>
      </w:r>
      <w:proofErr w:type="spellStart"/>
      <w:r>
        <w:rPr>
          <w:rFonts w:ascii="Times New Roman" w:eastAsia="Times New Roman" w:hAnsi="Times New Roman" w:cs="Times New Roman"/>
          <w:sz w:val="24"/>
          <w:szCs w:val="24"/>
        </w:rPr>
        <w:t>Rodríguez</w:t>
      </w:r>
      <w:proofErr w:type="spellEnd"/>
      <w:r>
        <w:rPr>
          <w:rFonts w:ascii="Times New Roman" w:eastAsia="Times New Roman" w:hAnsi="Times New Roman" w:cs="Times New Roman"/>
          <w:sz w:val="24"/>
          <w:szCs w:val="24"/>
        </w:rPr>
        <w:t xml:space="preserve">, J.L., </w:t>
      </w:r>
      <w:proofErr w:type="spellStart"/>
      <w:r>
        <w:rPr>
          <w:rFonts w:ascii="Times New Roman" w:eastAsia="Times New Roman" w:hAnsi="Times New Roman" w:cs="Times New Roman"/>
          <w:sz w:val="24"/>
          <w:szCs w:val="24"/>
        </w:rPr>
        <w:t>Martínez-Sellés</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Mirabet-Pérez</w:t>
      </w:r>
      <w:proofErr w:type="spellEnd"/>
      <w:r>
        <w:rPr>
          <w:rFonts w:ascii="Times New Roman" w:eastAsia="Times New Roman" w:hAnsi="Times New Roman" w:cs="Times New Roman"/>
          <w:sz w:val="24"/>
          <w:szCs w:val="24"/>
        </w:rPr>
        <w:t xml:space="preserve">, S. and De la </w:t>
      </w:r>
      <w:proofErr w:type="spellStart"/>
      <w:r>
        <w:rPr>
          <w:rFonts w:ascii="Times New Roman" w:eastAsia="Times New Roman" w:hAnsi="Times New Roman" w:cs="Times New Roman"/>
          <w:sz w:val="24"/>
          <w:szCs w:val="24"/>
        </w:rPr>
        <w:t>Fuente-Galán</w:t>
      </w:r>
      <w:proofErr w:type="spellEnd"/>
      <w:r>
        <w:rPr>
          <w:rFonts w:ascii="Times New Roman" w:eastAsia="Times New Roman" w:hAnsi="Times New Roman" w:cs="Times New Roman"/>
          <w:sz w:val="24"/>
          <w:szCs w:val="24"/>
        </w:rPr>
        <w:t>, L., 2023.</w:t>
      </w:r>
      <w:proofErr w:type="gramEnd"/>
      <w:r>
        <w:rPr>
          <w:rFonts w:ascii="Times New Roman" w:eastAsia="Times New Roman" w:hAnsi="Times New Roman" w:cs="Times New Roman"/>
          <w:sz w:val="24"/>
          <w:szCs w:val="24"/>
        </w:rPr>
        <w:t xml:space="preserve"> Temporal trends in the use and outcomes of temporary mechanical circulatory support as a bridge to cardiac transplantation in Spain. </w:t>
      </w:r>
      <w:proofErr w:type="gramStart"/>
      <w:r>
        <w:rPr>
          <w:rFonts w:ascii="Times New Roman" w:eastAsia="Times New Roman" w:hAnsi="Times New Roman" w:cs="Times New Roman"/>
          <w:sz w:val="24"/>
          <w:szCs w:val="24"/>
        </w:rPr>
        <w:t>Final report of the ASIS-TC study.</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Journal of Heart and Lung Transplantation, 42(4), pp.488-502.</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Salvador-</w:t>
      </w:r>
      <w:proofErr w:type="spellStart"/>
      <w:r>
        <w:rPr>
          <w:rFonts w:ascii="Times New Roman" w:eastAsia="Times New Roman" w:hAnsi="Times New Roman" w:cs="Times New Roman"/>
          <w:sz w:val="24"/>
          <w:szCs w:val="24"/>
        </w:rPr>
        <w:t>Gómez</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Bou-Llusar</w:t>
      </w:r>
      <w:proofErr w:type="spellEnd"/>
      <w:r>
        <w:rPr>
          <w:rFonts w:ascii="Times New Roman" w:eastAsia="Times New Roman" w:hAnsi="Times New Roman" w:cs="Times New Roman"/>
          <w:sz w:val="24"/>
          <w:szCs w:val="24"/>
        </w:rPr>
        <w:t xml:space="preserve">, J.C. and </w:t>
      </w:r>
      <w:proofErr w:type="spellStart"/>
      <w:r>
        <w:rPr>
          <w:rFonts w:ascii="Times New Roman" w:eastAsia="Times New Roman" w:hAnsi="Times New Roman" w:cs="Times New Roman"/>
          <w:sz w:val="24"/>
          <w:szCs w:val="24"/>
        </w:rPr>
        <w:t>Beltrán-Martín</w:t>
      </w:r>
      <w:proofErr w:type="spellEnd"/>
      <w:r>
        <w:rPr>
          <w:rFonts w:ascii="Times New Roman" w:eastAsia="Times New Roman" w:hAnsi="Times New Roman" w:cs="Times New Roman"/>
          <w:sz w:val="24"/>
          <w:szCs w:val="24"/>
        </w:rPr>
        <w:t>, I., 2023.</w:t>
      </w:r>
      <w:proofErr w:type="gramEnd"/>
      <w:r>
        <w:rPr>
          <w:rFonts w:ascii="Times New Roman" w:eastAsia="Times New Roman" w:hAnsi="Times New Roman" w:cs="Times New Roman"/>
          <w:sz w:val="24"/>
          <w:szCs w:val="24"/>
        </w:rPr>
        <w:t xml:space="preserve"> A multi-actor perspective on the effectiveness of human resource management implementation: an empirical analysis based on the ability-motivation-opportunity framework. </w:t>
      </w:r>
      <w:proofErr w:type="gramStart"/>
      <w:r>
        <w:rPr>
          <w:rFonts w:ascii="Times New Roman" w:eastAsia="Times New Roman" w:hAnsi="Times New Roman" w:cs="Times New Roman"/>
          <w:sz w:val="24"/>
          <w:szCs w:val="24"/>
        </w:rPr>
        <w:t>The International Journal of Human Resource Management, 34(20), pp.3963-4002.</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133F98">
      <w:pPr>
        <w:pStyle w:val="Normal1"/>
        <w:jc w:val="both"/>
        <w:rPr>
          <w:rFonts w:ascii="Times New Roman" w:eastAsia="Times New Roman" w:hAnsi="Times New Roman" w:cs="Times New Roman"/>
          <w:sz w:val="24"/>
          <w:szCs w:val="24"/>
        </w:rPr>
      </w:pPr>
    </w:p>
    <w:p w:rsidR="00133F98" w:rsidRDefault="00133F98">
      <w:pPr>
        <w:pStyle w:val="Normal1"/>
        <w:jc w:val="both"/>
        <w:rPr>
          <w:rFonts w:ascii="Times New Roman" w:eastAsia="Times New Roman" w:hAnsi="Times New Roman" w:cs="Times New Roman"/>
          <w:sz w:val="24"/>
          <w:szCs w:val="24"/>
        </w:rPr>
      </w:pP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lastRenderedPageBreak/>
        <w:t>Statista</w:t>
      </w:r>
      <w:proofErr w:type="spellEnd"/>
      <w:r>
        <w:rPr>
          <w:rFonts w:ascii="Times New Roman" w:eastAsia="Times New Roman" w:hAnsi="Times New Roman" w:cs="Times New Roman"/>
          <w:sz w:val="24"/>
          <w:szCs w:val="24"/>
        </w:rPr>
        <w:t>, 2023.</w:t>
      </w:r>
      <w:proofErr w:type="gramEnd"/>
      <w:r>
        <w:rPr>
          <w:rFonts w:ascii="Times New Roman" w:eastAsia="Times New Roman" w:hAnsi="Times New Roman" w:cs="Times New Roman"/>
          <w:sz w:val="24"/>
          <w:szCs w:val="24"/>
        </w:rPr>
        <w:t xml:space="preserve"> Spain: Employment from 2014 to 2024.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1">
        <w:r>
          <w:rPr>
            <w:rFonts w:ascii="Times New Roman" w:eastAsia="Times New Roman" w:hAnsi="Times New Roman" w:cs="Times New Roman"/>
            <w:color w:val="1155CC"/>
            <w:sz w:val="24"/>
            <w:szCs w:val="24"/>
            <w:u w:val="single"/>
          </w:rPr>
          <w:t>https://www.statista.com/statistics/275314/employment-in-spain/</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2023.</w:t>
      </w:r>
      <w:proofErr w:type="gramEnd"/>
      <w:r>
        <w:rPr>
          <w:rFonts w:ascii="Times New Roman" w:eastAsia="Times New Roman" w:hAnsi="Times New Roman" w:cs="Times New Roman"/>
          <w:sz w:val="24"/>
          <w:szCs w:val="24"/>
        </w:rPr>
        <w:t xml:space="preserve"> Human resources applications implemented in the last 12 months worldwide in 2019, by type.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color w:val="1155CC"/>
            <w:sz w:val="24"/>
            <w:szCs w:val="24"/>
            <w:u w:val="single"/>
          </w:rPr>
          <w:t>https://www.statista.com/statistics/1085944/human-resources-applications-implemented-worldwide/</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2023.</w:t>
      </w:r>
      <w:proofErr w:type="gramEnd"/>
      <w:r>
        <w:rPr>
          <w:rFonts w:ascii="Times New Roman" w:eastAsia="Times New Roman" w:hAnsi="Times New Roman" w:cs="Times New Roman"/>
          <w:sz w:val="24"/>
          <w:szCs w:val="24"/>
        </w:rPr>
        <w:t xml:space="preserve"> Estimated Human resource management technology market size in India in 2021, by </w:t>
      </w:r>
      <w:proofErr w:type="gramStart"/>
      <w:r>
        <w:rPr>
          <w:rFonts w:ascii="Times New Roman" w:eastAsia="Times New Roman" w:hAnsi="Times New Roman" w:cs="Times New Roman"/>
          <w:sz w:val="24"/>
          <w:szCs w:val="24"/>
        </w:rPr>
        <w:t>sector(</w:t>
      </w:r>
      <w:proofErr w:type="gramEnd"/>
      <w:r>
        <w:rPr>
          <w:rFonts w:ascii="Times New Roman" w:eastAsia="Times New Roman" w:hAnsi="Times New Roman" w:cs="Times New Roman"/>
          <w:sz w:val="24"/>
          <w:szCs w:val="24"/>
        </w:rPr>
        <w:t xml:space="preserve">in million U.S. dollars).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3">
        <w:r>
          <w:rPr>
            <w:rFonts w:ascii="Times New Roman" w:eastAsia="Times New Roman" w:hAnsi="Times New Roman" w:cs="Times New Roman"/>
            <w:color w:val="1155CC"/>
            <w:sz w:val="24"/>
            <w:szCs w:val="24"/>
            <w:u w:val="single"/>
          </w:rPr>
          <w:t>https://www.statista.com/statistics/1299134/india-estimated-hr-technology-market-size-by-sector/</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2023.</w:t>
      </w:r>
      <w:proofErr w:type="gramEnd"/>
      <w:r>
        <w:rPr>
          <w:rFonts w:ascii="Times New Roman" w:eastAsia="Times New Roman" w:hAnsi="Times New Roman" w:cs="Times New Roman"/>
          <w:sz w:val="24"/>
          <w:szCs w:val="24"/>
        </w:rPr>
        <w:t xml:space="preserve"> Social networks visited by Human Resources experts to assess the online reputation of their job candidates in Spain in 2019.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4">
        <w:r>
          <w:rPr>
            <w:rFonts w:ascii="Times New Roman" w:eastAsia="Times New Roman" w:hAnsi="Times New Roman" w:cs="Times New Roman"/>
            <w:color w:val="1155CC"/>
            <w:sz w:val="24"/>
            <w:szCs w:val="24"/>
            <w:u w:val="single"/>
          </w:rPr>
          <w:t>https://www.statista.com/statistics/773546/networks-social-visited-by-rr-h-h-for-know-reputation-the-on-line-from-the-candidates-to-a-work/</w:t>
        </w:r>
      </w:hyperlink>
      <w:r>
        <w:rPr>
          <w:rFonts w:ascii="Times New Roman" w:eastAsia="Times New Roman" w:hAnsi="Times New Roman" w:cs="Times New Roman"/>
          <w:sz w:val="24"/>
          <w:szCs w:val="24"/>
        </w:rPr>
        <w:t xml:space="preserve"> [Accessed on: 03/12/2023]</w:t>
      </w: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2023.</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Leading challenges with </w:t>
      </w:r>
      <w:proofErr w:type="spellStart"/>
      <w:r>
        <w:rPr>
          <w:rFonts w:ascii="Times New Roman" w:eastAsia="Times New Roman" w:hAnsi="Times New Roman" w:cs="Times New Roman"/>
          <w:sz w:val="24"/>
          <w:szCs w:val="24"/>
        </w:rPr>
        <w:t>onboarding</w:t>
      </w:r>
      <w:proofErr w:type="spellEnd"/>
      <w:r>
        <w:rPr>
          <w:rFonts w:ascii="Times New Roman" w:eastAsia="Times New Roman" w:hAnsi="Times New Roman" w:cs="Times New Roman"/>
          <w:sz w:val="24"/>
          <w:szCs w:val="24"/>
        </w:rPr>
        <w:t xml:space="preserve"> according to HR Worldwide in 2018.</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5">
        <w:r>
          <w:rPr>
            <w:rFonts w:ascii="Times New Roman" w:eastAsia="Times New Roman" w:hAnsi="Times New Roman" w:cs="Times New Roman"/>
            <w:color w:val="1155CC"/>
            <w:sz w:val="24"/>
            <w:szCs w:val="24"/>
            <w:u w:val="single"/>
          </w:rPr>
          <w:t>https://www.statista.com/statistics/950216/onboarding-challenges-hr-worldwide/</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Cabrera, Elizabeth and </w:t>
      </w:r>
      <w:proofErr w:type="spellStart"/>
      <w:r>
        <w:rPr>
          <w:rFonts w:ascii="Times New Roman" w:eastAsia="Times New Roman" w:hAnsi="Times New Roman" w:cs="Times New Roman"/>
          <w:sz w:val="24"/>
          <w:szCs w:val="24"/>
        </w:rPr>
        <w:t>Carretero-Gómez</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Jose.,</w:t>
      </w:r>
      <w:proofErr w:type="gramEnd"/>
      <w:r>
        <w:rPr>
          <w:rFonts w:ascii="Times New Roman" w:eastAsia="Times New Roman" w:hAnsi="Times New Roman" w:cs="Times New Roman"/>
          <w:sz w:val="24"/>
          <w:szCs w:val="24"/>
        </w:rPr>
        <w:t xml:space="preserve"> 2005. Human Resource Management in Spain: Are Cultural Barriers Preventing the Adoption of Global Practices</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Management Research: Journal of the </w:t>
      </w:r>
      <w:proofErr w:type="spellStart"/>
      <w:r>
        <w:rPr>
          <w:rFonts w:ascii="Times New Roman" w:eastAsia="Times New Roman" w:hAnsi="Times New Roman" w:cs="Times New Roman"/>
          <w:sz w:val="24"/>
          <w:szCs w:val="24"/>
        </w:rPr>
        <w:t>Iberoamerican</w:t>
      </w:r>
      <w:proofErr w:type="spellEnd"/>
      <w:r>
        <w:rPr>
          <w:rFonts w:ascii="Times New Roman" w:eastAsia="Times New Roman" w:hAnsi="Times New Roman" w:cs="Times New Roman"/>
          <w:sz w:val="24"/>
          <w:szCs w:val="24"/>
        </w:rPr>
        <w:t xml:space="preserve"> Academy of Management. 3. 149-160. </w:t>
      </w:r>
      <w:hyperlink r:id="rId16">
        <w:r>
          <w:rPr>
            <w:rFonts w:ascii="Times New Roman" w:eastAsia="Times New Roman" w:hAnsi="Times New Roman" w:cs="Times New Roman"/>
            <w:color w:val="1155CC"/>
            <w:sz w:val="24"/>
            <w:szCs w:val="24"/>
            <w:u w:val="single"/>
          </w:rPr>
          <w:t>http://dx.doi.org/10.1108/15365430580001319</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2023.</w:t>
      </w:r>
      <w:proofErr w:type="gramEnd"/>
      <w:r>
        <w:rPr>
          <w:rFonts w:ascii="Times New Roman" w:eastAsia="Times New Roman" w:hAnsi="Times New Roman" w:cs="Times New Roman"/>
          <w:sz w:val="24"/>
          <w:szCs w:val="24"/>
        </w:rPr>
        <w:t xml:space="preserve"> Most in-demand apprenticeships and vocational training in the Spanish labour market in 2020, by field.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color w:val="1155CC"/>
            <w:sz w:val="24"/>
            <w:szCs w:val="24"/>
            <w:u w:val="single"/>
          </w:rPr>
          <w:t>https://www.statista.com/statistics/1150528/most-demanded-vocational-training-degrees-in-the-job-market-spain/</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CEDEFOP.,</w:t>
      </w:r>
      <w:proofErr w:type="gramEnd"/>
      <w:r>
        <w:rPr>
          <w:rFonts w:ascii="Times New Roman" w:eastAsia="Times New Roman" w:hAnsi="Times New Roman" w:cs="Times New Roman"/>
          <w:sz w:val="24"/>
          <w:szCs w:val="24"/>
        </w:rPr>
        <w:t xml:space="preserve"> 2021. Spain: companies training their employees rising to more than 75%.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8">
        <w:r>
          <w:rPr>
            <w:rFonts w:ascii="Times New Roman" w:eastAsia="Times New Roman" w:hAnsi="Times New Roman" w:cs="Times New Roman"/>
            <w:color w:val="1155CC"/>
            <w:sz w:val="24"/>
            <w:szCs w:val="24"/>
            <w:u w:val="single"/>
          </w:rPr>
          <w:t>https://www.cedefop.europa.eu/en/news/spain-companies-training-their-employees-rising-more-75</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Holm-</w:t>
      </w:r>
      <w:proofErr w:type="spellStart"/>
      <w:r>
        <w:rPr>
          <w:rFonts w:ascii="Times New Roman" w:eastAsia="Times New Roman" w:hAnsi="Times New Roman" w:cs="Times New Roman"/>
          <w:sz w:val="24"/>
          <w:szCs w:val="24"/>
        </w:rPr>
        <w:t>Detlev</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Köhler</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2021. </w:t>
      </w:r>
      <w:proofErr w:type="gramStart"/>
      <w:r>
        <w:rPr>
          <w:rFonts w:ascii="Times New Roman" w:eastAsia="Times New Roman" w:hAnsi="Times New Roman" w:cs="Times New Roman"/>
          <w:sz w:val="24"/>
          <w:szCs w:val="24"/>
        </w:rPr>
        <w:t>TRADE UNIONS IN SPAIN |Structural Conditions and Current Challenges.</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19">
        <w:r>
          <w:rPr>
            <w:rFonts w:ascii="Times New Roman" w:eastAsia="Times New Roman" w:hAnsi="Times New Roman" w:cs="Times New Roman"/>
            <w:color w:val="1155CC"/>
            <w:sz w:val="24"/>
            <w:szCs w:val="24"/>
            <w:u w:val="single"/>
          </w:rPr>
          <w:t>https://library.fes.de/pdf-files/bueros/madrid/17814.pdf</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2023. </w:t>
      </w:r>
      <w:proofErr w:type="gramStart"/>
      <w:r>
        <w:rPr>
          <w:rFonts w:ascii="Times New Roman" w:eastAsia="Times New Roman" w:hAnsi="Times New Roman" w:cs="Times New Roman"/>
          <w:sz w:val="24"/>
          <w:szCs w:val="24"/>
        </w:rPr>
        <w:t xml:space="preserve">Employment - Spain |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xml:space="preserve"> market forecast.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20">
        <w:r>
          <w:rPr>
            <w:rFonts w:ascii="Times New Roman" w:eastAsia="Times New Roman" w:hAnsi="Times New Roman" w:cs="Times New Roman"/>
            <w:color w:val="1155CC"/>
            <w:sz w:val="24"/>
            <w:szCs w:val="24"/>
            <w:u w:val="single"/>
          </w:rPr>
          <w:t>https://www.statista.com/outlook/co/socioeconomic-indicators/employment/spain</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Labourbureau.gov.in.,</w:t>
      </w:r>
      <w:proofErr w:type="gramEnd"/>
      <w:r>
        <w:rPr>
          <w:rFonts w:ascii="Times New Roman" w:eastAsia="Times New Roman" w:hAnsi="Times New Roman" w:cs="Times New Roman"/>
          <w:sz w:val="24"/>
          <w:szCs w:val="24"/>
        </w:rPr>
        <w:t xml:space="preserve"> 2021. </w:t>
      </w:r>
      <w:proofErr w:type="gramStart"/>
      <w:r>
        <w:rPr>
          <w:rFonts w:ascii="Times New Roman" w:eastAsia="Times New Roman" w:hAnsi="Times New Roman" w:cs="Times New Roman"/>
          <w:sz w:val="24"/>
          <w:szCs w:val="24"/>
        </w:rPr>
        <w:t>TRADE UNIONS IN INDIA 2020.</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21">
        <w:r>
          <w:rPr>
            <w:rFonts w:ascii="Times New Roman" w:eastAsia="Times New Roman" w:hAnsi="Times New Roman" w:cs="Times New Roman"/>
            <w:color w:val="1155CC"/>
            <w:sz w:val="24"/>
            <w:szCs w:val="24"/>
            <w:u w:val="single"/>
          </w:rPr>
          <w:t>https://labourbureau.gov.in/uploads/pdf/TU-2020-report.pdf</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2023a. Gender ratio in India 2018-2020, by region.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22">
        <w:r>
          <w:rPr>
            <w:rFonts w:ascii="Times New Roman" w:eastAsia="Times New Roman" w:hAnsi="Times New Roman" w:cs="Times New Roman"/>
            <w:color w:val="1155CC"/>
            <w:sz w:val="24"/>
            <w:szCs w:val="24"/>
            <w:u w:val="single"/>
          </w:rPr>
          <w:t>https://www.statista.com/statistics/1303286/india-urban-and-rural-gender-ratio/</w:t>
        </w:r>
      </w:hyperlink>
      <w:r>
        <w:rPr>
          <w:rFonts w:ascii="Times New Roman" w:eastAsia="Times New Roman" w:hAnsi="Times New Roman" w:cs="Times New Roman"/>
          <w:sz w:val="24"/>
          <w:szCs w:val="24"/>
        </w:rPr>
        <w:t>[Accessed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Oecd.org.,</w:t>
      </w:r>
      <w:proofErr w:type="gramEnd"/>
      <w:r>
        <w:rPr>
          <w:rFonts w:ascii="Times New Roman" w:eastAsia="Times New Roman" w:hAnsi="Times New Roman" w:cs="Times New Roman"/>
          <w:sz w:val="24"/>
          <w:szCs w:val="24"/>
        </w:rPr>
        <w:t xml:space="preserve"> 2021. </w:t>
      </w:r>
      <w:proofErr w:type="gramStart"/>
      <w:r>
        <w:rPr>
          <w:rFonts w:ascii="Times New Roman" w:eastAsia="Times New Roman" w:hAnsi="Times New Roman" w:cs="Times New Roman"/>
          <w:sz w:val="24"/>
          <w:szCs w:val="24"/>
        </w:rPr>
        <w:t>OECD Economic Surveys Spain.</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23">
        <w:r>
          <w:rPr>
            <w:rFonts w:ascii="Times New Roman" w:eastAsia="Times New Roman" w:hAnsi="Times New Roman" w:cs="Times New Roman"/>
            <w:color w:val="1155CC"/>
            <w:sz w:val="24"/>
            <w:szCs w:val="24"/>
            <w:u w:val="single"/>
          </w:rPr>
          <w:t>https://www.oecd.org/economy/surveys/Spain-2021-OECD-economic-survey-overview.pdf</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Europa.eu.,</w:t>
      </w:r>
      <w:proofErr w:type="gramEnd"/>
      <w:r>
        <w:rPr>
          <w:rFonts w:ascii="Times New Roman" w:eastAsia="Times New Roman" w:hAnsi="Times New Roman" w:cs="Times New Roman"/>
          <w:sz w:val="24"/>
          <w:szCs w:val="24"/>
        </w:rPr>
        <w:t xml:space="preserve"> 2018. </w:t>
      </w:r>
      <w:proofErr w:type="gramStart"/>
      <w:r>
        <w:rPr>
          <w:rFonts w:ascii="Times New Roman" w:eastAsia="Times New Roman" w:hAnsi="Times New Roman" w:cs="Times New Roman"/>
          <w:sz w:val="24"/>
          <w:szCs w:val="24"/>
        </w:rPr>
        <w:t>Gender Equality Policies in Spain - Update.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24">
        <w:r>
          <w:rPr>
            <w:rFonts w:ascii="Times New Roman" w:eastAsia="Times New Roman" w:hAnsi="Times New Roman" w:cs="Times New Roman"/>
            <w:color w:val="1155CC"/>
            <w:sz w:val="24"/>
            <w:szCs w:val="24"/>
            <w:u w:val="single"/>
          </w:rPr>
          <w:t>https://www.europarl.europa.eu/RegData/etudes/STUD/2016/583112/IPOL_STU(2016)583112_EN.pdf</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Shrm</w:t>
      </w:r>
      <w:proofErr w:type="spellEnd"/>
      <w:r>
        <w:rPr>
          <w:rFonts w:ascii="Times New Roman" w:eastAsia="Times New Roman" w:hAnsi="Times New Roman" w:cs="Times New Roman"/>
          <w:sz w:val="24"/>
          <w:szCs w:val="24"/>
        </w:rPr>
        <w:t>. 2020.</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Upskilling</w:t>
      </w:r>
      <w:proofErr w:type="spellEnd"/>
      <w:r>
        <w:rPr>
          <w:rFonts w:ascii="Times New Roman" w:eastAsia="Times New Roman" w:hAnsi="Times New Roman" w:cs="Times New Roman"/>
          <w:sz w:val="24"/>
          <w:szCs w:val="24"/>
        </w:rPr>
        <w:t xml:space="preserve"> benefits companies and employees. </w:t>
      </w:r>
      <w:proofErr w:type="gramStart"/>
      <w:r>
        <w:rPr>
          <w:rFonts w:ascii="Times New Roman" w:eastAsia="Times New Roman" w:hAnsi="Times New Roman" w:cs="Times New Roman"/>
          <w:sz w:val="24"/>
          <w:szCs w:val="24"/>
        </w:rPr>
        <w:t>SHRM.</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[Online].</w:t>
      </w:r>
      <w:proofErr w:type="gramEnd"/>
      <w:r>
        <w:rPr>
          <w:rFonts w:ascii="Times New Roman" w:eastAsia="Times New Roman" w:hAnsi="Times New Roman" w:cs="Times New Roman"/>
          <w:sz w:val="24"/>
          <w:szCs w:val="24"/>
        </w:rPr>
        <w:t xml:space="preserve"> Available at: </w:t>
      </w:r>
      <w:hyperlink r:id="rId25">
        <w:r>
          <w:rPr>
            <w:rFonts w:ascii="Times New Roman" w:eastAsia="Times New Roman" w:hAnsi="Times New Roman" w:cs="Times New Roman"/>
            <w:color w:val="1155CC"/>
            <w:sz w:val="24"/>
            <w:szCs w:val="24"/>
            <w:u w:val="single"/>
          </w:rPr>
          <w:t>https://www.shrm.org/hr-today/news/hr-magazine/summer2020/pages/upskilling-benefits-companies-and-employees.aspx</w:t>
        </w:r>
      </w:hyperlink>
      <w:r>
        <w:rPr>
          <w:rFonts w:ascii="Times New Roman" w:eastAsia="Times New Roman" w:hAnsi="Times New Roman" w:cs="Times New Roman"/>
          <w:sz w:val="24"/>
          <w:szCs w:val="24"/>
        </w:rPr>
        <w:t xml:space="preserve"> [Accessed on: 03/12/2023]</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Zhang, Y., Dolan, S., </w:t>
      </w:r>
      <w:proofErr w:type="spellStart"/>
      <w:r>
        <w:rPr>
          <w:rFonts w:ascii="Times New Roman" w:eastAsia="Times New Roman" w:hAnsi="Times New Roman" w:cs="Times New Roman"/>
          <w:sz w:val="24"/>
          <w:szCs w:val="24"/>
        </w:rPr>
        <w:t>Lingham</w:t>
      </w:r>
      <w:proofErr w:type="spellEnd"/>
      <w:r>
        <w:rPr>
          <w:rFonts w:ascii="Times New Roman" w:eastAsia="Times New Roman" w:hAnsi="Times New Roman" w:cs="Times New Roman"/>
          <w:sz w:val="24"/>
          <w:szCs w:val="24"/>
        </w:rPr>
        <w:t xml:space="preserve">, T. and Altman, Y., 2009. International strategic human resource management: a comparative case analysis of Spanish firms in China. </w:t>
      </w:r>
      <w:proofErr w:type="gramStart"/>
      <w:r>
        <w:rPr>
          <w:rFonts w:ascii="Times New Roman" w:eastAsia="Times New Roman" w:hAnsi="Times New Roman" w:cs="Times New Roman"/>
          <w:sz w:val="24"/>
          <w:szCs w:val="24"/>
        </w:rPr>
        <w:t>Management and Organization Review, 5(2), pp.195-222.</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Malik</w:t>
      </w:r>
      <w:proofErr w:type="spellEnd"/>
      <w:r>
        <w:rPr>
          <w:rFonts w:ascii="Times New Roman" w:eastAsia="Times New Roman" w:hAnsi="Times New Roman" w:cs="Times New Roman"/>
          <w:sz w:val="24"/>
          <w:szCs w:val="24"/>
        </w:rPr>
        <w:t xml:space="preserve">, A., Pereira, V. and </w:t>
      </w:r>
      <w:proofErr w:type="spellStart"/>
      <w:r>
        <w:rPr>
          <w:rFonts w:ascii="Times New Roman" w:eastAsia="Times New Roman" w:hAnsi="Times New Roman" w:cs="Times New Roman"/>
          <w:sz w:val="24"/>
          <w:szCs w:val="24"/>
        </w:rPr>
        <w:t>Tarba</w:t>
      </w:r>
      <w:proofErr w:type="spellEnd"/>
      <w:r>
        <w:rPr>
          <w:rFonts w:ascii="Times New Roman" w:eastAsia="Times New Roman" w:hAnsi="Times New Roman" w:cs="Times New Roman"/>
          <w:sz w:val="24"/>
          <w:szCs w:val="24"/>
        </w:rPr>
        <w:t>, S., 2019.</w:t>
      </w:r>
      <w:proofErr w:type="gramEnd"/>
      <w:r>
        <w:rPr>
          <w:rFonts w:ascii="Times New Roman" w:eastAsia="Times New Roman" w:hAnsi="Times New Roman" w:cs="Times New Roman"/>
          <w:sz w:val="24"/>
          <w:szCs w:val="24"/>
        </w:rPr>
        <w:t xml:space="preserve"> The role of HRM practices in product development: Contextual ambidexterity in a US MNC’s subsidiary in India. </w:t>
      </w:r>
      <w:proofErr w:type="gramStart"/>
      <w:r>
        <w:rPr>
          <w:rFonts w:ascii="Times New Roman" w:eastAsia="Times New Roman" w:hAnsi="Times New Roman" w:cs="Times New Roman"/>
          <w:sz w:val="24"/>
          <w:szCs w:val="24"/>
        </w:rPr>
        <w:t>The International Journal of Human Resource Management, 30(4), pp.536-564.</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Brewster, C., </w:t>
      </w:r>
      <w:proofErr w:type="spellStart"/>
      <w:r>
        <w:rPr>
          <w:rFonts w:ascii="Times New Roman" w:eastAsia="Times New Roman" w:hAnsi="Times New Roman" w:cs="Times New Roman"/>
          <w:sz w:val="24"/>
          <w:szCs w:val="24"/>
        </w:rPr>
        <w:t>Houldsworth</w:t>
      </w:r>
      <w:proofErr w:type="spellEnd"/>
      <w:r>
        <w:rPr>
          <w:rFonts w:ascii="Times New Roman" w:eastAsia="Times New Roman" w:hAnsi="Times New Roman" w:cs="Times New Roman"/>
          <w:sz w:val="24"/>
          <w:szCs w:val="24"/>
        </w:rPr>
        <w:t xml:space="preserve">, E., Sparrow, P. and Vernon, G., 2016. </w:t>
      </w:r>
      <w:proofErr w:type="gramStart"/>
      <w:r>
        <w:rPr>
          <w:rFonts w:ascii="Times New Roman" w:eastAsia="Times New Roman" w:hAnsi="Times New Roman" w:cs="Times New Roman"/>
          <w:sz w:val="24"/>
          <w:szCs w:val="24"/>
        </w:rPr>
        <w:t>International human resource management.</w:t>
      </w:r>
      <w:proofErr w:type="gram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Kogan</w:t>
      </w:r>
      <w:proofErr w:type="spellEnd"/>
      <w:r>
        <w:rPr>
          <w:rFonts w:ascii="Times New Roman" w:eastAsia="Times New Roman" w:hAnsi="Times New Roman" w:cs="Times New Roman"/>
          <w:sz w:val="24"/>
          <w:szCs w:val="24"/>
        </w:rPr>
        <w:t xml:space="preserve"> Page Publishers.</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Singh, A., 2016. The process of social value creation: A multiple-case study on social entrepreneurship in India. </w:t>
      </w:r>
      <w:proofErr w:type="gramStart"/>
      <w:r>
        <w:rPr>
          <w:rFonts w:ascii="Times New Roman" w:eastAsia="Times New Roman" w:hAnsi="Times New Roman" w:cs="Times New Roman"/>
          <w:sz w:val="24"/>
          <w:szCs w:val="24"/>
        </w:rPr>
        <w:t>Springer.</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Mäki</w:t>
      </w:r>
      <w:proofErr w:type="spellEnd"/>
      <w:r>
        <w:rPr>
          <w:rFonts w:ascii="Times New Roman" w:eastAsia="Times New Roman" w:hAnsi="Times New Roman" w:cs="Times New Roman"/>
          <w:sz w:val="24"/>
          <w:szCs w:val="24"/>
        </w:rPr>
        <w:t xml:space="preserve">, D. and </w:t>
      </w:r>
      <w:proofErr w:type="spellStart"/>
      <w:r>
        <w:rPr>
          <w:rFonts w:ascii="Times New Roman" w:eastAsia="Times New Roman" w:hAnsi="Times New Roman" w:cs="Times New Roman"/>
          <w:sz w:val="24"/>
          <w:szCs w:val="24"/>
        </w:rPr>
        <w:t>Soudakova</w:t>
      </w:r>
      <w:proofErr w:type="spellEnd"/>
      <w:r>
        <w:rPr>
          <w:rFonts w:ascii="Times New Roman" w:eastAsia="Times New Roman" w:hAnsi="Times New Roman" w:cs="Times New Roman"/>
          <w:sz w:val="24"/>
          <w:szCs w:val="24"/>
        </w:rPr>
        <w:t>, V., 2008.</w:t>
      </w:r>
      <w:proofErr w:type="gramEnd"/>
      <w:r>
        <w:rPr>
          <w:rFonts w:ascii="Times New Roman" w:eastAsia="Times New Roman" w:hAnsi="Times New Roman" w:cs="Times New Roman"/>
          <w:sz w:val="24"/>
          <w:szCs w:val="24"/>
        </w:rPr>
        <w:t xml:space="preserve"> MNCs' management of human resources in India: case studies of two Swedish companies.</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Gallardo-Gallardo, E., </w:t>
      </w:r>
      <w:proofErr w:type="spellStart"/>
      <w:r>
        <w:rPr>
          <w:rFonts w:ascii="Times New Roman" w:eastAsia="Times New Roman" w:hAnsi="Times New Roman" w:cs="Times New Roman"/>
          <w:sz w:val="24"/>
          <w:szCs w:val="24"/>
        </w:rPr>
        <w:t>Nijs</w:t>
      </w:r>
      <w:proofErr w:type="spellEnd"/>
      <w:r>
        <w:rPr>
          <w:rFonts w:ascii="Times New Roman" w:eastAsia="Times New Roman" w:hAnsi="Times New Roman" w:cs="Times New Roman"/>
          <w:sz w:val="24"/>
          <w:szCs w:val="24"/>
        </w:rPr>
        <w:t xml:space="preserve">, S., </w:t>
      </w:r>
      <w:proofErr w:type="gramStart"/>
      <w:r>
        <w:rPr>
          <w:rFonts w:ascii="Times New Roman" w:eastAsia="Times New Roman" w:hAnsi="Times New Roman" w:cs="Times New Roman"/>
          <w:sz w:val="24"/>
          <w:szCs w:val="24"/>
        </w:rPr>
        <w:t>Dries,</w:t>
      </w:r>
      <w:proofErr w:type="gramEnd"/>
      <w:r>
        <w:rPr>
          <w:rFonts w:ascii="Times New Roman" w:eastAsia="Times New Roman" w:hAnsi="Times New Roman" w:cs="Times New Roman"/>
          <w:sz w:val="24"/>
          <w:szCs w:val="24"/>
        </w:rPr>
        <w:t xml:space="preserve"> N. and Gallo, P., 2015. Towards an understanding of talent management as a phenomenon-driven field using </w:t>
      </w:r>
      <w:proofErr w:type="spellStart"/>
      <w:r>
        <w:rPr>
          <w:rFonts w:ascii="Times New Roman" w:eastAsia="Times New Roman" w:hAnsi="Times New Roman" w:cs="Times New Roman"/>
          <w:sz w:val="24"/>
          <w:szCs w:val="24"/>
        </w:rPr>
        <w:t>bibliometric</w:t>
      </w:r>
      <w:proofErr w:type="spellEnd"/>
      <w:r>
        <w:rPr>
          <w:rFonts w:ascii="Times New Roman" w:eastAsia="Times New Roman" w:hAnsi="Times New Roman" w:cs="Times New Roman"/>
          <w:sz w:val="24"/>
          <w:szCs w:val="24"/>
        </w:rPr>
        <w:t xml:space="preserve"> and content analysis. Human resource management review, 25(3), pp.264-279.</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Rao</w:t>
      </w:r>
      <w:proofErr w:type="spellEnd"/>
      <w:r>
        <w:rPr>
          <w:rFonts w:ascii="Times New Roman" w:eastAsia="Times New Roman" w:hAnsi="Times New Roman" w:cs="Times New Roman"/>
          <w:sz w:val="24"/>
          <w:szCs w:val="24"/>
        </w:rPr>
        <w:t>, P.L., 2008. International human resource management: Text and cases. Excel Books India.</w:t>
      </w:r>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Campos‐</w:t>
      </w:r>
      <w:proofErr w:type="spellStart"/>
      <w:r>
        <w:rPr>
          <w:rFonts w:ascii="Times New Roman" w:eastAsia="Times New Roman" w:hAnsi="Times New Roman" w:cs="Times New Roman"/>
          <w:sz w:val="24"/>
          <w:szCs w:val="24"/>
        </w:rPr>
        <w:t>García</w:t>
      </w:r>
      <w:proofErr w:type="spellEnd"/>
      <w:r>
        <w:rPr>
          <w:rFonts w:ascii="Times New Roman" w:eastAsia="Times New Roman" w:hAnsi="Times New Roman" w:cs="Times New Roman"/>
          <w:sz w:val="24"/>
          <w:szCs w:val="24"/>
        </w:rPr>
        <w:t>, I., Alonso‐</w:t>
      </w:r>
      <w:proofErr w:type="spellStart"/>
      <w:r>
        <w:rPr>
          <w:rFonts w:ascii="Times New Roman" w:eastAsia="Times New Roman" w:hAnsi="Times New Roman" w:cs="Times New Roman"/>
          <w:sz w:val="24"/>
          <w:szCs w:val="24"/>
        </w:rPr>
        <w:t>Muñoz</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González‐Sánchez</w:t>
      </w:r>
      <w:proofErr w:type="spellEnd"/>
      <w:r>
        <w:rPr>
          <w:rFonts w:ascii="Times New Roman" w:eastAsia="Times New Roman" w:hAnsi="Times New Roman" w:cs="Times New Roman"/>
          <w:sz w:val="24"/>
          <w:szCs w:val="24"/>
        </w:rPr>
        <w:t xml:space="preserve">, R. and Medina‐Salgado, M.S., 2023. Human resource management and sustainability: Bridging the 2030 agenda. </w:t>
      </w:r>
      <w:proofErr w:type="gramStart"/>
      <w:r>
        <w:rPr>
          <w:rFonts w:ascii="Times New Roman" w:eastAsia="Times New Roman" w:hAnsi="Times New Roman" w:cs="Times New Roman"/>
          <w:sz w:val="24"/>
          <w:szCs w:val="24"/>
        </w:rPr>
        <w:t>Corporate Social Responsibility and Environmental Management.</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Agrawal</w:t>
      </w:r>
      <w:proofErr w:type="spellEnd"/>
      <w:r>
        <w:rPr>
          <w:rFonts w:ascii="Times New Roman" w:eastAsia="Times New Roman" w:hAnsi="Times New Roman" w:cs="Times New Roman"/>
          <w:sz w:val="24"/>
          <w:szCs w:val="24"/>
        </w:rPr>
        <w:t xml:space="preserve">, N.M. and </w:t>
      </w:r>
      <w:proofErr w:type="spellStart"/>
      <w:r>
        <w:rPr>
          <w:rFonts w:ascii="Times New Roman" w:eastAsia="Times New Roman" w:hAnsi="Times New Roman" w:cs="Times New Roman"/>
          <w:sz w:val="24"/>
          <w:szCs w:val="24"/>
        </w:rPr>
        <w:t>Thite</w:t>
      </w:r>
      <w:proofErr w:type="spellEnd"/>
      <w:r>
        <w:rPr>
          <w:rFonts w:ascii="Times New Roman" w:eastAsia="Times New Roman" w:hAnsi="Times New Roman" w:cs="Times New Roman"/>
          <w:sz w:val="24"/>
          <w:szCs w:val="24"/>
        </w:rPr>
        <w:t>, M., 2003.</w:t>
      </w:r>
      <w:proofErr w:type="gramEnd"/>
      <w:r>
        <w:rPr>
          <w:rFonts w:ascii="Times New Roman" w:eastAsia="Times New Roman" w:hAnsi="Times New Roman" w:cs="Times New Roman"/>
          <w:sz w:val="24"/>
          <w:szCs w:val="24"/>
        </w:rPr>
        <w:t xml:space="preserve"> Human resource issues, challenges and strategies in the Indian software industry. </w:t>
      </w:r>
      <w:proofErr w:type="gramStart"/>
      <w:r>
        <w:rPr>
          <w:rFonts w:ascii="Times New Roman" w:eastAsia="Times New Roman" w:hAnsi="Times New Roman" w:cs="Times New Roman"/>
          <w:sz w:val="24"/>
          <w:szCs w:val="24"/>
        </w:rPr>
        <w:t>International Journal of Human Resources Development and Management, 3(3), pp.249-264.</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Camelo-Ordaz</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García</w:t>
      </w:r>
      <w:proofErr w:type="spellEnd"/>
      <w:r>
        <w:rPr>
          <w:rFonts w:ascii="Times New Roman" w:eastAsia="Times New Roman" w:hAnsi="Times New Roman" w:cs="Times New Roman"/>
          <w:sz w:val="24"/>
          <w:szCs w:val="24"/>
        </w:rPr>
        <w:t>-Cruz, J., Sousa-</w:t>
      </w:r>
      <w:proofErr w:type="spellStart"/>
      <w:r>
        <w:rPr>
          <w:rFonts w:ascii="Times New Roman" w:eastAsia="Times New Roman" w:hAnsi="Times New Roman" w:cs="Times New Roman"/>
          <w:sz w:val="24"/>
          <w:szCs w:val="24"/>
        </w:rPr>
        <w:t>Ginel</w:t>
      </w:r>
      <w:proofErr w:type="spellEnd"/>
      <w:r>
        <w:rPr>
          <w:rFonts w:ascii="Times New Roman" w:eastAsia="Times New Roman" w:hAnsi="Times New Roman" w:cs="Times New Roman"/>
          <w:sz w:val="24"/>
          <w:szCs w:val="24"/>
        </w:rPr>
        <w:t>, E. and Valle-Cabrera, R., 2011.</w:t>
      </w:r>
      <w:proofErr w:type="gramEnd"/>
      <w:r>
        <w:rPr>
          <w:rFonts w:ascii="Times New Roman" w:eastAsia="Times New Roman" w:hAnsi="Times New Roman" w:cs="Times New Roman"/>
          <w:sz w:val="24"/>
          <w:szCs w:val="24"/>
        </w:rPr>
        <w:t xml:space="preserve"> The influence of human resource management on knowledge sharing and innovation in Spain: the mediating role of affective commitment. </w:t>
      </w:r>
      <w:proofErr w:type="gramStart"/>
      <w:r>
        <w:rPr>
          <w:rFonts w:ascii="Times New Roman" w:eastAsia="Times New Roman" w:hAnsi="Times New Roman" w:cs="Times New Roman"/>
          <w:sz w:val="24"/>
          <w:szCs w:val="24"/>
        </w:rPr>
        <w:t>The international journal of human resource management, 22(07), pp.1442-1463.</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Tung, R.L., 2016. </w:t>
      </w:r>
      <w:proofErr w:type="gramStart"/>
      <w:r>
        <w:rPr>
          <w:rFonts w:ascii="Times New Roman" w:eastAsia="Times New Roman" w:hAnsi="Times New Roman" w:cs="Times New Roman"/>
          <w:sz w:val="24"/>
          <w:szCs w:val="24"/>
        </w:rPr>
        <w:t>New perspectives on human resource management in a global context.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Journal of World Business, 51(1), pp.142-152.</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Stokes, P., Liu, Y., Smith, S., </w:t>
      </w:r>
      <w:proofErr w:type="spellStart"/>
      <w:r>
        <w:rPr>
          <w:rFonts w:ascii="Times New Roman" w:eastAsia="Times New Roman" w:hAnsi="Times New Roman" w:cs="Times New Roman"/>
          <w:sz w:val="24"/>
          <w:szCs w:val="24"/>
        </w:rPr>
        <w:t>Leidner</w:t>
      </w:r>
      <w:proofErr w:type="spellEnd"/>
      <w:r>
        <w:rPr>
          <w:rFonts w:ascii="Times New Roman" w:eastAsia="Times New Roman" w:hAnsi="Times New Roman" w:cs="Times New Roman"/>
          <w:sz w:val="24"/>
          <w:szCs w:val="24"/>
        </w:rPr>
        <w:t>, S., Moore, N. and Rowland, C., 2016.</w:t>
      </w:r>
      <w:proofErr w:type="gramEnd"/>
      <w:r>
        <w:rPr>
          <w:rFonts w:ascii="Times New Roman" w:eastAsia="Times New Roman" w:hAnsi="Times New Roman" w:cs="Times New Roman"/>
          <w:sz w:val="24"/>
          <w:szCs w:val="24"/>
        </w:rPr>
        <w:t xml:space="preserve"> Managing talent across advanced and emerging economies: HR issues and challenges in a Sino-German strategic collaboration. </w:t>
      </w:r>
      <w:proofErr w:type="gramStart"/>
      <w:r>
        <w:rPr>
          <w:rFonts w:ascii="Times New Roman" w:eastAsia="Times New Roman" w:hAnsi="Times New Roman" w:cs="Times New Roman"/>
          <w:sz w:val="24"/>
          <w:szCs w:val="24"/>
        </w:rPr>
        <w:t>The International Journal of Human Resource Management, 27(20), pp.2310-2338.</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Camelo-Ordaz</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García</w:t>
      </w:r>
      <w:proofErr w:type="spellEnd"/>
      <w:r>
        <w:rPr>
          <w:rFonts w:ascii="Times New Roman" w:eastAsia="Times New Roman" w:hAnsi="Times New Roman" w:cs="Times New Roman"/>
          <w:sz w:val="24"/>
          <w:szCs w:val="24"/>
        </w:rPr>
        <w:t>-Cruz, J., Sousa-</w:t>
      </w:r>
      <w:proofErr w:type="spellStart"/>
      <w:r>
        <w:rPr>
          <w:rFonts w:ascii="Times New Roman" w:eastAsia="Times New Roman" w:hAnsi="Times New Roman" w:cs="Times New Roman"/>
          <w:sz w:val="24"/>
          <w:szCs w:val="24"/>
        </w:rPr>
        <w:t>Ginel</w:t>
      </w:r>
      <w:proofErr w:type="spellEnd"/>
      <w:r>
        <w:rPr>
          <w:rFonts w:ascii="Times New Roman" w:eastAsia="Times New Roman" w:hAnsi="Times New Roman" w:cs="Times New Roman"/>
          <w:sz w:val="24"/>
          <w:szCs w:val="24"/>
        </w:rPr>
        <w:t>, E. and Valle-Cabrera, R., 2011.</w:t>
      </w:r>
      <w:proofErr w:type="gramEnd"/>
      <w:r>
        <w:rPr>
          <w:rFonts w:ascii="Times New Roman" w:eastAsia="Times New Roman" w:hAnsi="Times New Roman" w:cs="Times New Roman"/>
          <w:sz w:val="24"/>
          <w:szCs w:val="24"/>
        </w:rPr>
        <w:t xml:space="preserve"> The influence of human resource management on knowledge sharing and innovation in Spain: the mediating role of affective commitment. </w:t>
      </w:r>
      <w:proofErr w:type="gramStart"/>
      <w:r>
        <w:rPr>
          <w:rFonts w:ascii="Times New Roman" w:eastAsia="Times New Roman" w:hAnsi="Times New Roman" w:cs="Times New Roman"/>
          <w:sz w:val="24"/>
          <w:szCs w:val="24"/>
        </w:rPr>
        <w:t>The international journal of human resource management, 22(07), pp.1442-1463.</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Tung, R.L., 2016. </w:t>
      </w:r>
      <w:proofErr w:type="gramStart"/>
      <w:r>
        <w:rPr>
          <w:rFonts w:ascii="Times New Roman" w:eastAsia="Times New Roman" w:hAnsi="Times New Roman" w:cs="Times New Roman"/>
          <w:sz w:val="24"/>
          <w:szCs w:val="24"/>
        </w:rPr>
        <w:t>New perspectives on human resource management in a global context.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Journal of World Business, 51(1), pp.142-152.</w:t>
      </w:r>
      <w:proofErr w:type="gramEnd"/>
    </w:p>
    <w:p w:rsidR="00133F98" w:rsidRDefault="00133F98">
      <w:pPr>
        <w:pStyle w:val="Normal1"/>
        <w:jc w:val="both"/>
        <w:rPr>
          <w:rFonts w:ascii="Times New Roman" w:eastAsia="Times New Roman" w:hAnsi="Times New Roman" w:cs="Times New Roman"/>
          <w:sz w:val="24"/>
          <w:szCs w:val="24"/>
        </w:rPr>
      </w:pPr>
    </w:p>
    <w:p w:rsidR="00133F98" w:rsidRDefault="00331D25">
      <w:pPr>
        <w:pStyle w:val="Normal1"/>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Malik</w:t>
      </w:r>
      <w:proofErr w:type="spellEnd"/>
      <w:r>
        <w:rPr>
          <w:rFonts w:ascii="Times New Roman" w:eastAsia="Times New Roman" w:hAnsi="Times New Roman" w:cs="Times New Roman"/>
          <w:sz w:val="24"/>
          <w:szCs w:val="24"/>
        </w:rPr>
        <w:t xml:space="preserve">, A., Pereira, V. and </w:t>
      </w:r>
      <w:proofErr w:type="spellStart"/>
      <w:r>
        <w:rPr>
          <w:rFonts w:ascii="Times New Roman" w:eastAsia="Times New Roman" w:hAnsi="Times New Roman" w:cs="Times New Roman"/>
          <w:sz w:val="24"/>
          <w:szCs w:val="24"/>
        </w:rPr>
        <w:t>Tarba</w:t>
      </w:r>
      <w:proofErr w:type="spellEnd"/>
      <w:r>
        <w:rPr>
          <w:rFonts w:ascii="Times New Roman" w:eastAsia="Times New Roman" w:hAnsi="Times New Roman" w:cs="Times New Roman"/>
          <w:sz w:val="24"/>
          <w:szCs w:val="24"/>
        </w:rPr>
        <w:t>, S., 2019.</w:t>
      </w:r>
      <w:proofErr w:type="gramEnd"/>
      <w:r>
        <w:rPr>
          <w:rFonts w:ascii="Times New Roman" w:eastAsia="Times New Roman" w:hAnsi="Times New Roman" w:cs="Times New Roman"/>
          <w:sz w:val="24"/>
          <w:szCs w:val="24"/>
        </w:rPr>
        <w:t xml:space="preserve"> The role of HRM practices in product development: Contextual ambidexterity in a US MNC’s subsidiary in India. </w:t>
      </w:r>
      <w:proofErr w:type="gramStart"/>
      <w:r>
        <w:rPr>
          <w:rFonts w:ascii="Times New Roman" w:eastAsia="Times New Roman" w:hAnsi="Times New Roman" w:cs="Times New Roman"/>
          <w:sz w:val="24"/>
          <w:szCs w:val="24"/>
        </w:rPr>
        <w:t>The International Journal of Human Resource Management, 30(4), pp.536-564.</w:t>
      </w:r>
      <w:proofErr w:type="gramEnd"/>
    </w:p>
    <w:p w:rsidR="00133F98" w:rsidRDefault="00133F98" w:rsidP="00920CF1">
      <w:pPr>
        <w:pStyle w:val="Normal1"/>
        <w:spacing w:line="360" w:lineRule="auto"/>
        <w:jc w:val="both"/>
        <w:rPr>
          <w:rFonts w:ascii="Times New Roman" w:eastAsia="Times New Roman" w:hAnsi="Times New Roman" w:cs="Times New Roman"/>
          <w:sz w:val="24"/>
          <w:szCs w:val="24"/>
        </w:rPr>
      </w:pPr>
    </w:p>
    <w:sectPr w:rsidR="00133F98" w:rsidSect="009439D1">
      <w:headerReference w:type="default" r:id="rId26"/>
      <w:footerReference w:type="default" r:id="rId27"/>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701" w:rsidRDefault="00041701" w:rsidP="00133F98">
      <w:pPr>
        <w:spacing w:line="240" w:lineRule="auto"/>
      </w:pPr>
      <w:r>
        <w:separator/>
      </w:r>
    </w:p>
  </w:endnote>
  <w:endnote w:type="continuationSeparator" w:id="0">
    <w:p w:rsidR="00041701" w:rsidRDefault="00041701" w:rsidP="00133F9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altName w:val="Arial Unicode MS"/>
    <w:charset w:val="01"/>
    <w:family w:val="auto"/>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onotype Sorts">
    <w:charset w:val="02"/>
    <w:family w:val="auto"/>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Merriweather">
    <w:altName w:val="Arial"/>
    <w:charset w:val="01"/>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sig w:usb0="00000000" w:usb1="00000000" w:usb2="00000000" w:usb3="00000000" w:csb0="00000000" w:csb1="00000000"/>
  </w:font>
  <w:font w:name="PingFang SC">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F98" w:rsidRDefault="00290D9F">
    <w:pPr>
      <w:pStyle w:val="Normal1"/>
      <w:jc w:val="right"/>
    </w:pPr>
    <w:r>
      <w:fldChar w:fldCharType="begin"/>
    </w:r>
    <w:r w:rsidR="00331D25">
      <w:instrText>PAGE</w:instrText>
    </w:r>
    <w:r>
      <w:fldChar w:fldCharType="separate"/>
    </w:r>
    <w:r w:rsidR="00524F9B">
      <w:rPr>
        <w:noProof/>
      </w:rPr>
      <w:t>1</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701" w:rsidRDefault="00041701" w:rsidP="00133F98">
      <w:pPr>
        <w:spacing w:line="240" w:lineRule="auto"/>
      </w:pPr>
      <w:r>
        <w:separator/>
      </w:r>
    </w:p>
  </w:footnote>
  <w:footnote w:type="continuationSeparator" w:id="0">
    <w:p w:rsidR="00041701" w:rsidRDefault="00041701" w:rsidP="00133F9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F98" w:rsidRDefault="00331D25">
    <w:pPr>
      <w:pStyle w:val="Normal1"/>
    </w:pPr>
    <w:r>
      <w:rPr>
        <w:noProof/>
        <w:lang w:val="en-US"/>
      </w:rPr>
      <w:drawing>
        <wp:inline distT="0" distB="0" distL="0" distR="0">
          <wp:extent cx="2085975" cy="1157605"/>
          <wp:effectExtent l="0" t="0" r="0" b="0"/>
          <wp:docPr id="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png"/>
                  <pic:cNvPicPr>
                    <a:picLocks noChangeAspect="1" noChangeArrowheads="1"/>
                  </pic:cNvPicPr>
                </pic:nvPicPr>
                <pic:blipFill>
                  <a:blip r:embed="rId1"/>
                  <a:stretch>
                    <a:fillRect/>
                  </a:stretch>
                </pic:blipFill>
                <pic:spPr bwMode="auto">
                  <a:xfrm>
                    <a:off x="0" y="0"/>
                    <a:ext cx="2085975" cy="115760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23E49"/>
    <w:multiLevelType w:val="multilevel"/>
    <w:tmpl w:val="6250F54A"/>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1">
    <w:nsid w:val="08EC64AC"/>
    <w:multiLevelType w:val="multilevel"/>
    <w:tmpl w:val="C012E8B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
    <w:nsid w:val="1B4E3805"/>
    <w:multiLevelType w:val="multilevel"/>
    <w:tmpl w:val="A13E7A2E"/>
    <w:lvl w:ilvl="0">
      <w:start w:val="1"/>
      <w:numFmt w:val="bullet"/>
      <w:lvlText w:val=""/>
      <w:lvlJc w:val="left"/>
      <w:pPr>
        <w:tabs>
          <w:tab w:val="num" w:pos="0"/>
        </w:tabs>
        <w:ind w:left="720" w:hanging="360"/>
      </w:pPr>
      <w:rPr>
        <w:rFonts w:ascii="Monotype Sorts" w:hAnsi="Monotype Sorts" w:cs="Monotype Sort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3">
    <w:nsid w:val="309F7E69"/>
    <w:multiLevelType w:val="multilevel"/>
    <w:tmpl w:val="025252F2"/>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4">
    <w:nsid w:val="3355116C"/>
    <w:multiLevelType w:val="multilevel"/>
    <w:tmpl w:val="3920DF96"/>
    <w:lvl w:ilvl="0">
      <w:start w:val="1"/>
      <w:numFmt w:val="bullet"/>
      <w:lvlText w:val=""/>
      <w:lvlJc w:val="left"/>
      <w:pPr>
        <w:tabs>
          <w:tab w:val="num" w:pos="0"/>
        </w:tabs>
        <w:ind w:left="720" w:hanging="360"/>
      </w:pPr>
      <w:rPr>
        <w:rFonts w:ascii="Monotype Sorts" w:hAnsi="Monotype Sorts" w:cs="Monotype Sort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5">
    <w:nsid w:val="39C14F98"/>
    <w:multiLevelType w:val="multilevel"/>
    <w:tmpl w:val="74AC7E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40C162AB"/>
    <w:multiLevelType w:val="multilevel"/>
    <w:tmpl w:val="FF7AB822"/>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7">
    <w:nsid w:val="5388551A"/>
    <w:multiLevelType w:val="multilevel"/>
    <w:tmpl w:val="264A477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8">
    <w:nsid w:val="5E1C3352"/>
    <w:multiLevelType w:val="multilevel"/>
    <w:tmpl w:val="15D4B78C"/>
    <w:lvl w:ilvl="0">
      <w:start w:val="1"/>
      <w:numFmt w:val="bullet"/>
      <w:lvlText w:val="❖"/>
      <w:lvlJc w:val="left"/>
      <w:pPr>
        <w:tabs>
          <w:tab w:val="num" w:pos="0"/>
        </w:tabs>
        <w:ind w:left="720" w:hanging="360"/>
      </w:pPr>
      <w:rPr>
        <w:rFonts w:ascii="OpenSymbol" w:hAnsi="OpenSymbol" w:cs="Open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OpenSymbol" w:hAnsi="OpenSymbol" w:cs="OpenSymbol"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OpenSymbol" w:hAnsi="OpenSymbol" w:cs="OpenSymbol" w:hint="default"/>
      </w:rPr>
    </w:lvl>
    <w:lvl w:ilvl="7">
      <w:start w:val="1"/>
      <w:numFmt w:val="bullet"/>
      <w:lvlText w:val=""/>
      <w:lvlJc w:val="left"/>
      <w:pPr>
        <w:tabs>
          <w:tab w:val="num" w:pos="0"/>
        </w:tabs>
        <w:ind w:left="5760" w:hanging="360"/>
      </w:pPr>
      <w:rPr>
        <w:rFonts w:ascii="Wingdings" w:hAnsi="Wingdings" w:cs="Wingdings"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9">
    <w:nsid w:val="677C4F51"/>
    <w:multiLevelType w:val="multilevel"/>
    <w:tmpl w:val="2E62ED1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num w:numId="1">
    <w:abstractNumId w:val="3"/>
  </w:num>
  <w:num w:numId="2">
    <w:abstractNumId w:val="4"/>
  </w:num>
  <w:num w:numId="3">
    <w:abstractNumId w:val="2"/>
  </w:num>
  <w:num w:numId="4">
    <w:abstractNumId w:val="9"/>
  </w:num>
  <w:num w:numId="5">
    <w:abstractNumId w:val="0"/>
  </w:num>
  <w:num w:numId="6">
    <w:abstractNumId w:val="8"/>
  </w:num>
  <w:num w:numId="7">
    <w:abstractNumId w:val="1"/>
  </w:num>
  <w:num w:numId="8">
    <w:abstractNumId w:val="6"/>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footnotePr>
    <w:footnote w:id="-1"/>
    <w:footnote w:id="0"/>
  </w:footnotePr>
  <w:endnotePr>
    <w:endnote w:id="-1"/>
    <w:endnote w:id="0"/>
  </w:endnotePr>
  <w:compat/>
  <w:rsids>
    <w:rsidRoot w:val="00133F98"/>
    <w:rsid w:val="00024B1F"/>
    <w:rsid w:val="00041701"/>
    <w:rsid w:val="0009190F"/>
    <w:rsid w:val="000A087E"/>
    <w:rsid w:val="00133F98"/>
    <w:rsid w:val="00173056"/>
    <w:rsid w:val="00225691"/>
    <w:rsid w:val="00290D9F"/>
    <w:rsid w:val="002D1F65"/>
    <w:rsid w:val="002F3BA6"/>
    <w:rsid w:val="00331D25"/>
    <w:rsid w:val="003665B9"/>
    <w:rsid w:val="00394F45"/>
    <w:rsid w:val="003B2CD1"/>
    <w:rsid w:val="00452F4A"/>
    <w:rsid w:val="0049245C"/>
    <w:rsid w:val="004E4750"/>
    <w:rsid w:val="00524F9B"/>
    <w:rsid w:val="005D32BC"/>
    <w:rsid w:val="005E2022"/>
    <w:rsid w:val="006541C9"/>
    <w:rsid w:val="00770867"/>
    <w:rsid w:val="00901A30"/>
    <w:rsid w:val="00905325"/>
    <w:rsid w:val="00920CF1"/>
    <w:rsid w:val="009439D1"/>
    <w:rsid w:val="00A27E01"/>
    <w:rsid w:val="00A405D5"/>
    <w:rsid w:val="00B14AB3"/>
    <w:rsid w:val="00C95831"/>
    <w:rsid w:val="00D11437"/>
    <w:rsid w:val="00DB08B0"/>
    <w:rsid w:val="00E615F3"/>
    <w:rsid w:val="00E67841"/>
    <w:rsid w:val="00F43059"/>
    <w:rsid w:val="00F765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pPr>
      <w:spacing w:line="276" w:lineRule="auto"/>
    </w:pPr>
  </w:style>
  <w:style w:type="paragraph" w:styleId="Heading1">
    <w:name w:val="heading 1"/>
    <w:basedOn w:val="Normal1"/>
    <w:next w:val="Normal1"/>
    <w:qFormat/>
    <w:rsid w:val="00ED1525"/>
    <w:pPr>
      <w:keepNext/>
      <w:keepLines/>
      <w:spacing w:line="360" w:lineRule="auto"/>
      <w:jc w:val="both"/>
      <w:outlineLvl w:val="0"/>
    </w:pPr>
    <w:rPr>
      <w:rFonts w:ascii="Merriweather" w:eastAsia="Merriweather" w:hAnsi="Merriweather" w:cs="Merriweather"/>
      <w:b/>
      <w:sz w:val="28"/>
      <w:szCs w:val="28"/>
    </w:rPr>
  </w:style>
  <w:style w:type="paragraph" w:styleId="Heading2">
    <w:name w:val="heading 2"/>
    <w:basedOn w:val="Normal1"/>
    <w:next w:val="Normal1"/>
    <w:qFormat/>
    <w:rsid w:val="00ED1525"/>
    <w:pPr>
      <w:keepNext/>
      <w:keepLines/>
      <w:spacing w:line="360" w:lineRule="auto"/>
      <w:jc w:val="both"/>
      <w:outlineLvl w:val="1"/>
    </w:pPr>
    <w:rPr>
      <w:rFonts w:ascii="Merriweather" w:eastAsia="Merriweather" w:hAnsi="Merriweather" w:cs="Merriweather"/>
      <w:b/>
      <w:i/>
      <w:sz w:val="26"/>
      <w:szCs w:val="26"/>
    </w:rPr>
  </w:style>
  <w:style w:type="paragraph" w:styleId="Heading3">
    <w:name w:val="heading 3"/>
    <w:basedOn w:val="Normal1"/>
    <w:next w:val="Normal1"/>
    <w:qFormat/>
    <w:rsid w:val="00ED1525"/>
    <w:pPr>
      <w:keepNext/>
      <w:keepLines/>
      <w:spacing w:line="360" w:lineRule="auto"/>
      <w:jc w:val="both"/>
      <w:outlineLvl w:val="2"/>
    </w:pPr>
    <w:rPr>
      <w:rFonts w:ascii="Merriweather" w:eastAsia="Merriweather" w:hAnsi="Merriweather" w:cs="Merriweather"/>
      <w:b/>
      <w:i/>
      <w:sz w:val="24"/>
      <w:szCs w:val="24"/>
    </w:rPr>
  </w:style>
  <w:style w:type="paragraph" w:styleId="Heading4">
    <w:name w:val="heading 4"/>
    <w:basedOn w:val="Normal1"/>
    <w:next w:val="Normal1"/>
    <w:qFormat/>
    <w:rsid w:val="00ED1525"/>
    <w:pPr>
      <w:keepNext/>
      <w:keepLines/>
      <w:spacing w:line="360" w:lineRule="auto"/>
      <w:jc w:val="both"/>
      <w:outlineLvl w:val="3"/>
    </w:pPr>
    <w:rPr>
      <w:rFonts w:ascii="Merriweather" w:eastAsia="Merriweather" w:hAnsi="Merriweather" w:cs="Merriweather"/>
      <w:b/>
      <w:i/>
    </w:rPr>
  </w:style>
  <w:style w:type="paragraph" w:styleId="Heading5">
    <w:name w:val="heading 5"/>
    <w:basedOn w:val="Normal1"/>
    <w:next w:val="Normal1"/>
    <w:qFormat/>
    <w:rsid w:val="00ED1525"/>
    <w:pPr>
      <w:keepNext/>
      <w:keepLines/>
      <w:spacing w:before="240" w:after="80"/>
      <w:outlineLvl w:val="4"/>
    </w:pPr>
    <w:rPr>
      <w:color w:val="666666"/>
    </w:rPr>
  </w:style>
  <w:style w:type="paragraph" w:styleId="Heading6">
    <w:name w:val="heading 6"/>
    <w:basedOn w:val="Normal1"/>
    <w:next w:val="Normal1"/>
    <w:qFormat/>
    <w:rsid w:val="00ED152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04246E"/>
    <w:rPr>
      <w:rFonts w:ascii="Tahoma" w:hAnsi="Tahoma" w:cs="Tahoma"/>
      <w:sz w:val="16"/>
      <w:szCs w:val="16"/>
    </w:rPr>
  </w:style>
  <w:style w:type="character" w:customStyle="1" w:styleId="HeaderChar">
    <w:name w:val="Header Char"/>
    <w:basedOn w:val="DefaultParagraphFont"/>
    <w:link w:val="Header"/>
    <w:uiPriority w:val="99"/>
    <w:semiHidden/>
    <w:qFormat/>
    <w:rsid w:val="0004246E"/>
  </w:style>
  <w:style w:type="character" w:customStyle="1" w:styleId="FooterChar">
    <w:name w:val="Footer Char"/>
    <w:basedOn w:val="DefaultParagraphFont"/>
    <w:link w:val="Footer"/>
    <w:uiPriority w:val="99"/>
    <w:semiHidden/>
    <w:qFormat/>
    <w:rsid w:val="0004246E"/>
  </w:style>
  <w:style w:type="character" w:styleId="Hyperlink">
    <w:name w:val="Hyperlink"/>
    <w:uiPriority w:val="99"/>
    <w:rsid w:val="00133F98"/>
    <w:rPr>
      <w:color w:val="000080"/>
      <w:u w:val="single"/>
    </w:rPr>
  </w:style>
  <w:style w:type="character" w:customStyle="1" w:styleId="IndexLink">
    <w:name w:val="Index Link"/>
    <w:qFormat/>
    <w:rsid w:val="00133F98"/>
  </w:style>
  <w:style w:type="paragraph" w:customStyle="1" w:styleId="Heading">
    <w:name w:val="Heading"/>
    <w:basedOn w:val="Normal"/>
    <w:next w:val="BodyText"/>
    <w:qFormat/>
    <w:rsid w:val="00133F98"/>
    <w:pPr>
      <w:keepNext/>
      <w:spacing w:before="240" w:after="120"/>
    </w:pPr>
    <w:rPr>
      <w:rFonts w:ascii="Liberation Sans" w:eastAsia="PingFang SC" w:hAnsi="Liberation Sans" w:cs="Arial Unicode MS"/>
      <w:sz w:val="28"/>
      <w:szCs w:val="28"/>
    </w:rPr>
  </w:style>
  <w:style w:type="paragraph" w:styleId="BodyText">
    <w:name w:val="Body Text"/>
    <w:basedOn w:val="Normal"/>
    <w:rsid w:val="00133F98"/>
    <w:pPr>
      <w:spacing w:after="140"/>
    </w:pPr>
  </w:style>
  <w:style w:type="paragraph" w:styleId="List">
    <w:name w:val="List"/>
    <w:basedOn w:val="BodyText"/>
    <w:rsid w:val="00133F98"/>
    <w:rPr>
      <w:rFonts w:cs="Arial Unicode MS"/>
    </w:rPr>
  </w:style>
  <w:style w:type="paragraph" w:styleId="Caption">
    <w:name w:val="caption"/>
    <w:basedOn w:val="Normal"/>
    <w:qFormat/>
    <w:rsid w:val="00133F98"/>
    <w:pPr>
      <w:suppressLineNumbers/>
      <w:spacing w:before="120" w:after="120"/>
    </w:pPr>
    <w:rPr>
      <w:rFonts w:cs="Arial Unicode MS"/>
      <w:i/>
      <w:iCs/>
      <w:sz w:val="24"/>
      <w:szCs w:val="24"/>
    </w:rPr>
  </w:style>
  <w:style w:type="paragraph" w:customStyle="1" w:styleId="Index">
    <w:name w:val="Index"/>
    <w:basedOn w:val="Normal"/>
    <w:qFormat/>
    <w:rsid w:val="00133F98"/>
    <w:pPr>
      <w:suppressLineNumbers/>
    </w:pPr>
    <w:rPr>
      <w:rFonts w:cs="Arial Unicode MS"/>
    </w:rPr>
  </w:style>
  <w:style w:type="paragraph" w:customStyle="1" w:styleId="Normal1">
    <w:name w:val="Normal1"/>
    <w:qFormat/>
    <w:rsid w:val="00ED1525"/>
    <w:pPr>
      <w:spacing w:line="276" w:lineRule="auto"/>
    </w:pPr>
  </w:style>
  <w:style w:type="paragraph" w:styleId="Title">
    <w:name w:val="Title"/>
    <w:basedOn w:val="Normal1"/>
    <w:next w:val="Normal1"/>
    <w:qFormat/>
    <w:rsid w:val="00ED1525"/>
    <w:pPr>
      <w:keepNext/>
      <w:keepLines/>
      <w:spacing w:after="60"/>
    </w:pPr>
    <w:rPr>
      <w:sz w:val="52"/>
      <w:szCs w:val="52"/>
    </w:rPr>
  </w:style>
  <w:style w:type="paragraph" w:styleId="Subtitle">
    <w:name w:val="Subtitle"/>
    <w:basedOn w:val="Normal1"/>
    <w:next w:val="Normal1"/>
    <w:qFormat/>
    <w:rsid w:val="00ED1525"/>
    <w:pPr>
      <w:keepNext/>
      <w:keepLines/>
      <w:spacing w:after="320"/>
    </w:pPr>
    <w:rPr>
      <w:color w:val="666666"/>
      <w:sz w:val="30"/>
      <w:szCs w:val="30"/>
    </w:rPr>
  </w:style>
  <w:style w:type="paragraph" w:styleId="BalloonText">
    <w:name w:val="Balloon Text"/>
    <w:basedOn w:val="Normal"/>
    <w:link w:val="BalloonTextChar"/>
    <w:uiPriority w:val="99"/>
    <w:semiHidden/>
    <w:unhideWhenUsed/>
    <w:qFormat/>
    <w:rsid w:val="0004246E"/>
    <w:pPr>
      <w:spacing w:line="240" w:lineRule="auto"/>
    </w:pPr>
    <w:rPr>
      <w:rFonts w:ascii="Tahoma" w:hAnsi="Tahoma" w:cs="Tahoma"/>
      <w:sz w:val="16"/>
      <w:szCs w:val="16"/>
    </w:rPr>
  </w:style>
  <w:style w:type="paragraph" w:customStyle="1" w:styleId="HeaderandFooter">
    <w:name w:val="Header and Footer"/>
    <w:basedOn w:val="Normal"/>
    <w:qFormat/>
    <w:rsid w:val="00133F98"/>
  </w:style>
  <w:style w:type="paragraph" w:styleId="Header">
    <w:name w:val="header"/>
    <w:basedOn w:val="Normal"/>
    <w:link w:val="HeaderChar"/>
    <w:uiPriority w:val="99"/>
    <w:semiHidden/>
    <w:unhideWhenUsed/>
    <w:rsid w:val="0004246E"/>
    <w:pPr>
      <w:tabs>
        <w:tab w:val="center" w:pos="4680"/>
        <w:tab w:val="right" w:pos="9360"/>
      </w:tabs>
      <w:spacing w:line="240" w:lineRule="auto"/>
    </w:pPr>
  </w:style>
  <w:style w:type="paragraph" w:styleId="Footer">
    <w:name w:val="footer"/>
    <w:basedOn w:val="Normal"/>
    <w:link w:val="FooterChar"/>
    <w:uiPriority w:val="99"/>
    <w:semiHidden/>
    <w:unhideWhenUsed/>
    <w:rsid w:val="0004246E"/>
    <w:pPr>
      <w:tabs>
        <w:tab w:val="center" w:pos="4680"/>
        <w:tab w:val="right" w:pos="9360"/>
      </w:tabs>
      <w:spacing w:line="240" w:lineRule="auto"/>
    </w:pPr>
  </w:style>
  <w:style w:type="table" w:customStyle="1" w:styleId="TableNormal1">
    <w:name w:val="Table Normal1"/>
    <w:rsid w:val="00ED1525"/>
    <w:tblPr>
      <w:tblCellMar>
        <w:top w:w="0" w:type="dxa"/>
        <w:left w:w="0" w:type="dxa"/>
        <w:bottom w:w="0" w:type="dxa"/>
        <w:right w:w="0" w:type="dxa"/>
      </w:tblCellMar>
    </w:tblPr>
  </w:style>
  <w:style w:type="paragraph" w:styleId="TOC1">
    <w:name w:val="toc 1"/>
    <w:basedOn w:val="Normal"/>
    <w:next w:val="Normal"/>
    <w:autoRedefine/>
    <w:uiPriority w:val="39"/>
    <w:unhideWhenUsed/>
    <w:rsid w:val="003B2CD1"/>
    <w:pPr>
      <w:tabs>
        <w:tab w:val="right" w:leader="dot" w:pos="9016"/>
      </w:tabs>
      <w:spacing w:before="240" w:after="100"/>
    </w:pPr>
    <w:rPr>
      <w:b/>
      <w:noProof/>
    </w:rPr>
  </w:style>
  <w:style w:type="paragraph" w:styleId="TOC2">
    <w:name w:val="toc 2"/>
    <w:basedOn w:val="Normal"/>
    <w:next w:val="Normal"/>
    <w:autoRedefine/>
    <w:uiPriority w:val="39"/>
    <w:unhideWhenUsed/>
    <w:rsid w:val="000A087E"/>
    <w:pPr>
      <w:tabs>
        <w:tab w:val="right" w:leader="dot" w:pos="9016"/>
      </w:tabs>
      <w:spacing w:before="240" w:after="100"/>
      <w:ind w:left="220"/>
    </w:pPr>
    <w:rPr>
      <w:rFonts w:ascii="Times New Roman" w:hAnsi="Times New Roman" w:cs="Times New Roman"/>
      <w:noProof/>
      <w:sz w:val="24"/>
      <w:szCs w:val="24"/>
    </w:rPr>
  </w:style>
  <w:style w:type="paragraph" w:styleId="TOC3">
    <w:name w:val="toc 3"/>
    <w:basedOn w:val="Normal"/>
    <w:next w:val="Normal"/>
    <w:autoRedefine/>
    <w:uiPriority w:val="39"/>
    <w:unhideWhenUsed/>
    <w:rsid w:val="00452F4A"/>
    <w:pPr>
      <w:tabs>
        <w:tab w:val="right" w:leader="dot" w:pos="9016"/>
      </w:tabs>
      <w:spacing w:before="120" w:after="100"/>
      <w:ind w:left="440"/>
    </w:pPr>
  </w:style>
  <w:style w:type="paragraph" w:styleId="TOC4">
    <w:name w:val="toc 4"/>
    <w:basedOn w:val="Normal"/>
    <w:next w:val="Normal"/>
    <w:autoRedefine/>
    <w:uiPriority w:val="39"/>
    <w:unhideWhenUsed/>
    <w:rsid w:val="00B14AB3"/>
    <w:pPr>
      <w:spacing w:after="100"/>
      <w:ind w:left="66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1299134/india-estimated-hr-technology-market-size-by-sector/" TargetMode="External"/><Relationship Id="rId18" Type="http://schemas.openxmlformats.org/officeDocument/2006/relationships/hyperlink" Target="https://www.cedefop.europa.eu/en/news/spain-companies-training-their-employees-rising-more-75"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abourbureau.gov.in/uploads/pdf/TU-2020-report.pdf" TargetMode="External"/><Relationship Id="rId7" Type="http://schemas.openxmlformats.org/officeDocument/2006/relationships/endnotes" Target="endnotes.xml"/><Relationship Id="rId12" Type="http://schemas.openxmlformats.org/officeDocument/2006/relationships/hyperlink" Target="https://www.statista.com/statistics/1085944/human-resources-applications-implemented-worldwide/" TargetMode="External"/><Relationship Id="rId17" Type="http://schemas.openxmlformats.org/officeDocument/2006/relationships/hyperlink" Target="https://www.statista.com/statistics/1150528/most-demanded-vocational-training-degrees-in-the-job-market-spain/" TargetMode="External"/><Relationship Id="rId25" Type="http://schemas.openxmlformats.org/officeDocument/2006/relationships/hyperlink" Target="https://www.shrm.org/hr-today/news/hr-magazine/summer2020/pages/upskilling-benefits-companies-and-employees.aspx" TargetMode="External"/><Relationship Id="rId2" Type="http://schemas.openxmlformats.org/officeDocument/2006/relationships/numbering" Target="numbering.xml"/><Relationship Id="rId16" Type="http://schemas.openxmlformats.org/officeDocument/2006/relationships/hyperlink" Target="http://dx.doi.org/10.1108/15365430580001319" TargetMode="External"/><Relationship Id="rId20" Type="http://schemas.openxmlformats.org/officeDocument/2006/relationships/hyperlink" Target="https://www.statista.com/outlook/co/socioeconomic-indicators/employment/spai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75314/employment-in-spain/" TargetMode="External"/><Relationship Id="rId24" Type="http://schemas.openxmlformats.org/officeDocument/2006/relationships/hyperlink" Target="https://www.europarl.europa.eu/RegData/etudes/STUD/2016/583112/IPOL_STU(2016)583112_EN.pdf" TargetMode="External"/><Relationship Id="rId5" Type="http://schemas.openxmlformats.org/officeDocument/2006/relationships/webSettings" Target="webSettings.xml"/><Relationship Id="rId15" Type="http://schemas.openxmlformats.org/officeDocument/2006/relationships/hyperlink" Target="https://www.statista.com/statistics/950216/onboarding-challenges-hr-worldwide/" TargetMode="External"/><Relationship Id="rId23" Type="http://schemas.openxmlformats.org/officeDocument/2006/relationships/hyperlink" Target="https://www.oecd.org/economy/surveys/Spain-2021-OECD-economic-survey-overview.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library.fes.de/pdf-files/bueros/madrid/17814.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773546/networks-social-visited-by-rr-h-h-for-know-reputation-the-on-line-from-the-candidates-to-a-work/" TargetMode="External"/><Relationship Id="rId22" Type="http://schemas.openxmlformats.org/officeDocument/2006/relationships/hyperlink" Target="https://www.statista.com/statistics/1303286/india-urban-and-rural-gender-ratio/"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0A2DC3-E20D-44A8-9126-B9024B398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28</Pages>
  <Words>8285</Words>
  <Characters>47226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HP</cp:lastModifiedBy>
  <cp:revision>30</cp:revision>
  <dcterms:created xsi:type="dcterms:W3CDTF">2023-12-10T11:29:00Z</dcterms:created>
  <dcterms:modified xsi:type="dcterms:W3CDTF">2023-12-19T13:51:00Z</dcterms:modified>
  <dc:language>en-IN</dc:language>
</cp:coreProperties>
</file>