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472B7" w14:textId="77777777" w:rsidR="007A6BD5" w:rsidRPr="007A6BD5" w:rsidRDefault="007A6BD5" w:rsidP="009F3D46">
      <w:pPr>
        <w:tabs>
          <w:tab w:val="left" w:pos="432"/>
        </w:tabs>
        <w:rPr>
          <w:bCs/>
          <w:i/>
          <w:sz w:val="16"/>
          <w:szCs w:val="16"/>
        </w:rPr>
      </w:pPr>
      <w:bookmarkStart w:id="0" w:name="_GoBack"/>
      <w:r w:rsidRPr="007A6BD5">
        <w:rPr>
          <w:bCs/>
          <w:i/>
          <w:sz w:val="16"/>
          <w:szCs w:val="16"/>
        </w:rPr>
        <w:t>Version 100912</w:t>
      </w:r>
    </w:p>
    <w:bookmarkEnd w:id="0"/>
    <w:p w14:paraId="54C1A108" w14:textId="77777777" w:rsidR="007A6BD5" w:rsidRDefault="007A6BD5" w:rsidP="009F3D46">
      <w:pPr>
        <w:tabs>
          <w:tab w:val="left" w:pos="432"/>
        </w:tabs>
        <w:rPr>
          <w:b/>
          <w:bCs/>
        </w:rPr>
      </w:pPr>
    </w:p>
    <w:p w14:paraId="234BA5D8" w14:textId="16228B35" w:rsidR="009F3D46" w:rsidRDefault="009F3D46" w:rsidP="009F3D46">
      <w:pPr>
        <w:tabs>
          <w:tab w:val="left" w:pos="432"/>
        </w:tabs>
        <w:rPr>
          <w:b/>
          <w:bCs/>
        </w:rPr>
      </w:pPr>
      <w:r>
        <w:rPr>
          <w:b/>
          <w:bCs/>
        </w:rPr>
        <w:t xml:space="preserve">2 </w:t>
      </w:r>
      <w:r>
        <w:rPr>
          <w:b/>
          <w:bCs/>
        </w:rPr>
        <w:tab/>
        <w:t xml:space="preserve"> Islam Today: Muslims in Western Europe</w:t>
      </w:r>
    </w:p>
    <w:p w14:paraId="28262590" w14:textId="77777777" w:rsidR="009F3D46" w:rsidRDefault="009F3D46" w:rsidP="009F3D46">
      <w:pPr>
        <w:tabs>
          <w:tab w:val="left" w:pos="432"/>
        </w:tabs>
      </w:pPr>
    </w:p>
    <w:p w14:paraId="5A7BD3D6" w14:textId="77777777" w:rsidR="009F3D46" w:rsidRDefault="009F3D46" w:rsidP="009F3D46">
      <w:pPr>
        <w:pStyle w:val="Heading4"/>
        <w:tabs>
          <w:tab w:val="left" w:pos="432"/>
        </w:tabs>
      </w:pPr>
      <w:r>
        <w:t>Introduction</w:t>
      </w:r>
    </w:p>
    <w:p w14:paraId="5B7AA05E" w14:textId="77777777" w:rsidR="009F3D46" w:rsidRDefault="009F3D46" w:rsidP="009F3D46">
      <w:pPr>
        <w:tabs>
          <w:tab w:val="left" w:pos="432"/>
        </w:tabs>
        <w:rPr>
          <w:b/>
          <w:bCs/>
        </w:rPr>
      </w:pPr>
    </w:p>
    <w:p w14:paraId="0A671802" w14:textId="77777777" w:rsidR="009F3D46" w:rsidRDefault="009F3D46" w:rsidP="009F3D46">
      <w:pPr>
        <w:tabs>
          <w:tab w:val="left" w:pos="432"/>
        </w:tabs>
      </w:pPr>
      <w:r>
        <w:tab/>
        <w:t xml:space="preserve">In order to explore the roots of Muslim communities in the UK, it is helpful to first provide an overview of the relevant factors within the wider European and ‘western’ context. For the purposes of this discussion, ‘western Europe’ refers to those countries falling in the geographical area of the European Union (including non-members). Defining ‘the west’ and ‘western contexts’ raises a number of semantic issues, some of which are discussed in the </w:t>
      </w:r>
      <w:r>
        <w:rPr>
          <w:i/>
          <w:iCs/>
        </w:rPr>
        <w:t>Orientalism</w:t>
      </w:r>
      <w:r>
        <w:t xml:space="preserve"> section of this </w:t>
      </w:r>
      <w:r w:rsidR="007A6BD5">
        <w:t>module</w:t>
      </w:r>
      <w:r>
        <w:t>.</w:t>
      </w:r>
    </w:p>
    <w:p w14:paraId="3010C0BF" w14:textId="77777777" w:rsidR="009F3D46" w:rsidRDefault="009F3D46" w:rsidP="009F3D46">
      <w:pPr>
        <w:tabs>
          <w:tab w:val="left" w:pos="432"/>
        </w:tabs>
      </w:pPr>
    </w:p>
    <w:p w14:paraId="0DBF25D3" w14:textId="77777777" w:rsidR="009F3D46" w:rsidRDefault="009F3D46" w:rsidP="009F3D46">
      <w:pPr>
        <w:tabs>
          <w:tab w:val="left" w:pos="432"/>
        </w:tabs>
      </w:pPr>
    </w:p>
    <w:p w14:paraId="791AB93C" w14:textId="77777777" w:rsidR="009F3D46" w:rsidRDefault="009F3D46" w:rsidP="009F3D46">
      <w:pPr>
        <w:pStyle w:val="Heading3"/>
        <w:tabs>
          <w:tab w:val="left" w:pos="432"/>
        </w:tabs>
        <w:jc w:val="left"/>
      </w:pPr>
      <w:r>
        <w:rPr>
          <w:noProof/>
          <w:lang w:val="en-US"/>
        </w:rPr>
        <w:drawing>
          <wp:inline distT="0" distB="0" distL="0" distR="0" wp14:anchorId="0128EAE7" wp14:editId="19C85306">
            <wp:extent cx="2038350" cy="3152775"/>
            <wp:effectExtent l="19050" t="0" r="0" b="0"/>
            <wp:docPr id="3" name="Picture 3" descr="bricklanee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icklaneedit"/>
                    <pic:cNvPicPr>
                      <a:picLocks noChangeAspect="1" noChangeArrowheads="1"/>
                    </pic:cNvPicPr>
                  </pic:nvPicPr>
                  <pic:blipFill>
                    <a:blip r:embed="rId8" cstate="print"/>
                    <a:srcRect/>
                    <a:stretch>
                      <a:fillRect/>
                    </a:stretch>
                  </pic:blipFill>
                  <pic:spPr bwMode="auto">
                    <a:xfrm>
                      <a:off x="0" y="0"/>
                      <a:ext cx="2038350" cy="3152775"/>
                    </a:xfrm>
                    <a:prstGeom prst="rect">
                      <a:avLst/>
                    </a:prstGeom>
                    <a:noFill/>
                    <a:ln w="9525">
                      <a:noFill/>
                      <a:miter lim="800000"/>
                      <a:headEnd/>
                      <a:tailEnd/>
                    </a:ln>
                  </pic:spPr>
                </pic:pic>
              </a:graphicData>
            </a:graphic>
          </wp:inline>
        </w:drawing>
      </w:r>
    </w:p>
    <w:p w14:paraId="11412BBC" w14:textId="77777777" w:rsidR="009F3D46" w:rsidRDefault="009F3D46" w:rsidP="009F3D46">
      <w:pPr>
        <w:pStyle w:val="Heading3"/>
        <w:tabs>
          <w:tab w:val="left" w:pos="432"/>
        </w:tabs>
        <w:jc w:val="left"/>
      </w:pPr>
    </w:p>
    <w:p w14:paraId="0C37855F" w14:textId="77777777" w:rsidR="009F3D46" w:rsidRDefault="009F3D46" w:rsidP="009F3D46">
      <w:pPr>
        <w:tabs>
          <w:tab w:val="left" w:pos="-1440"/>
          <w:tab w:val="left" w:pos="-720"/>
          <w:tab w:val="left" w:pos="0"/>
          <w:tab w:val="left" w:pos="432"/>
          <w:tab w:val="left" w:pos="720"/>
        </w:tabs>
        <w:suppressAutoHyphens/>
        <w:rPr>
          <w:spacing w:val="-3"/>
        </w:rPr>
      </w:pPr>
      <w:r>
        <w:rPr>
          <w:spacing w:val="-3"/>
        </w:rPr>
        <w:t>outside Jamme Masjid, Brick Lane, London (photo: Gary R. Bunt )</w:t>
      </w:r>
    </w:p>
    <w:p w14:paraId="49043838" w14:textId="77777777" w:rsidR="009F3D46" w:rsidRDefault="009F3D46" w:rsidP="009F3D46">
      <w:pPr>
        <w:pStyle w:val="Heading3"/>
        <w:tabs>
          <w:tab w:val="left" w:pos="432"/>
        </w:tabs>
        <w:jc w:val="left"/>
      </w:pPr>
      <w:r>
        <w:br w:type="page"/>
      </w:r>
      <w:r>
        <w:lastRenderedPageBreak/>
        <w:t>Islam Today in European Contexts</w:t>
      </w:r>
    </w:p>
    <w:p w14:paraId="41EDAAB7" w14:textId="77777777" w:rsidR="009F3D46" w:rsidRDefault="009F3D46" w:rsidP="009F3D46">
      <w:pPr>
        <w:tabs>
          <w:tab w:val="left" w:pos="432"/>
        </w:tabs>
      </w:pPr>
    </w:p>
    <w:p w14:paraId="55BAF74F" w14:textId="77777777" w:rsidR="009F3D46" w:rsidRDefault="009F3D46" w:rsidP="009F3D46">
      <w:pPr>
        <w:tabs>
          <w:tab w:val="left" w:pos="432"/>
        </w:tabs>
      </w:pPr>
      <w:r>
        <w:tab/>
        <w:t xml:space="preserve">When discussing Islam and Muslims in ‘contemporary Western contexts’, the construction of a single model is difficult or even unnecessary.   For example, in Western Europe, Muslims have diverse ethnic and ‘Islamic’ identities.  There may be no communications links between or even within different ‘communities’, whose apparent homogeneity as seen from the ‘outsider’ perspective may betray the sophisticated and complex myriad of identities perceived on the ‘inside’ – as represented by issues such as culture, class, language, age, and religious affiliation (if any). There can be considerable cultural and religious differences between and within communities.  Locating consensus of opinion between Muslims in Europe can raise many difficulties on </w:t>
      </w:r>
      <w:r>
        <w:rPr>
          <w:i/>
          <w:iCs/>
        </w:rPr>
        <w:t>some</w:t>
      </w:r>
      <w:r>
        <w:t xml:space="preserve"> issues.  There is no single organisational entity offering dialogue between different groups.  Not every Muslim in Europe</w:t>
      </w:r>
      <w:r>
        <w:rPr>
          <w:i/>
        </w:rPr>
        <w:t xml:space="preserve"> would want</w:t>
      </w:r>
      <w:r>
        <w:t xml:space="preserve"> to be subject to a single authoritative body, especially if it was dictating interpretative agenda.</w:t>
      </w:r>
    </w:p>
    <w:p w14:paraId="00AE80D2" w14:textId="77777777" w:rsidR="009F3D46" w:rsidRDefault="009F3D46" w:rsidP="009F3D46">
      <w:pPr>
        <w:tabs>
          <w:tab w:val="left" w:pos="432"/>
        </w:tabs>
      </w:pPr>
    </w:p>
    <w:p w14:paraId="4190BA14" w14:textId="77777777" w:rsidR="009F3D46" w:rsidRDefault="009F3D46" w:rsidP="009F3D46">
      <w:pPr>
        <w:tabs>
          <w:tab w:val="left" w:pos="432"/>
        </w:tabs>
      </w:pPr>
      <w:r>
        <w:tab/>
        <w:t>Discussions on Muslims in western contexts can focus on a wide range of areas, in different contexts: racism, religious freedom, censorship, ‘fundamentalism’, assimilation/integration, human rights, and legalistic interpretations(s) of ‘Islam’ are common themes.</w:t>
      </w:r>
    </w:p>
    <w:p w14:paraId="683F572C" w14:textId="77777777" w:rsidR="009F3D46" w:rsidRDefault="009F3D46" w:rsidP="009F3D46">
      <w:pPr>
        <w:tabs>
          <w:tab w:val="left" w:pos="432"/>
        </w:tabs>
      </w:pPr>
    </w:p>
    <w:p w14:paraId="61002A58" w14:textId="77777777" w:rsidR="009F3D46" w:rsidRDefault="009F3D46" w:rsidP="009F3D46">
      <w:pPr>
        <w:tabs>
          <w:tab w:val="left" w:pos="432"/>
        </w:tabs>
      </w:pPr>
      <w:r>
        <w:tab/>
        <w:t>There can be a common subtext, that Islam is perceived as not belonging in ‘the West’ - a problematic theory on historical, scientific, legal and moral grounds:</w:t>
      </w:r>
    </w:p>
    <w:p w14:paraId="5E65595E" w14:textId="77777777" w:rsidR="009F3D46" w:rsidRDefault="009F3D46" w:rsidP="009F3D46">
      <w:pPr>
        <w:tabs>
          <w:tab w:val="left" w:pos="432"/>
        </w:tabs>
      </w:pPr>
    </w:p>
    <w:p w14:paraId="71225E76" w14:textId="77777777"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historically</w:t>
      </w:r>
      <w:r>
        <w:rPr>
          <w:rFonts w:ascii="Georgia" w:hAnsi="Georgia"/>
          <w:lang w:val="en-GB"/>
        </w:rPr>
        <w:t>, Muslims thrived in Spain from 711-1492 (whilst no means a ‘golden age’, it was an influence on European development and culture);</w:t>
      </w:r>
    </w:p>
    <w:p w14:paraId="4E8EC39C" w14:textId="77777777" w:rsidR="009F3D46" w:rsidRDefault="009F3D46" w:rsidP="009F3D46">
      <w:pPr>
        <w:tabs>
          <w:tab w:val="left" w:pos="432"/>
        </w:tabs>
      </w:pPr>
    </w:p>
    <w:p w14:paraId="55F3237E" w14:textId="77777777"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scientifically</w:t>
      </w:r>
      <w:r>
        <w:rPr>
          <w:rFonts w:ascii="Georgia" w:hAnsi="Georgia"/>
          <w:lang w:val="en-GB"/>
        </w:rPr>
        <w:t xml:space="preserve">, ‘western’ theories of knowledge were often stimulated by Muslim innovations (who should control knowledge?); </w:t>
      </w:r>
    </w:p>
    <w:p w14:paraId="6BA58139" w14:textId="77777777" w:rsidR="009F3D46" w:rsidRDefault="009F3D46" w:rsidP="009F3D46">
      <w:pPr>
        <w:tabs>
          <w:tab w:val="left" w:pos="432"/>
        </w:tabs>
      </w:pPr>
    </w:p>
    <w:p w14:paraId="475B497D" w14:textId="77777777"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legally</w:t>
      </w:r>
      <w:r>
        <w:rPr>
          <w:rFonts w:ascii="Georgia" w:hAnsi="Georgia"/>
          <w:lang w:val="en-GB"/>
        </w:rPr>
        <w:t>, through Charters including the United Nations Universal Declaration of Human Rights (binding, in some EU countries, where it forms part of constitutions);</w:t>
      </w:r>
    </w:p>
    <w:p w14:paraId="141F1BE7" w14:textId="77777777" w:rsidR="009F3D46" w:rsidRDefault="009F3D46" w:rsidP="009F3D46">
      <w:pPr>
        <w:tabs>
          <w:tab w:val="left" w:pos="432"/>
        </w:tabs>
      </w:pPr>
    </w:p>
    <w:p w14:paraId="087E1815" w14:textId="77777777" w:rsidR="009F3D46" w:rsidRDefault="009F3D46" w:rsidP="009F3D46">
      <w:pPr>
        <w:tabs>
          <w:tab w:val="left" w:pos="432"/>
        </w:tabs>
        <w:sectPr w:rsidR="009F3D46" w:rsidSect="009F3D46">
          <w:headerReference w:type="default" r:id="rId9"/>
          <w:footerReference w:type="default" r:id="rId10"/>
          <w:endnotePr>
            <w:numFmt w:val="decimal"/>
          </w:endnotePr>
          <w:pgSz w:w="11905" w:h="16837"/>
          <w:pgMar w:top="2880" w:right="1440" w:bottom="1440" w:left="1440" w:header="1440" w:footer="1440" w:gutter="0"/>
          <w:cols w:space="720"/>
          <w:noEndnote/>
        </w:sectPr>
      </w:pPr>
    </w:p>
    <w:p w14:paraId="686E82B7" w14:textId="77777777" w:rsidR="009F3D46" w:rsidRDefault="009F3D46" w:rsidP="009F3D46">
      <w:pPr>
        <w:pStyle w:val="a"/>
        <w:numPr>
          <w:ilvl w:val="0"/>
          <w:numId w:val="1"/>
        </w:numPr>
        <w:tabs>
          <w:tab w:val="left" w:pos="-1440"/>
          <w:tab w:val="left" w:pos="432"/>
        </w:tabs>
        <w:rPr>
          <w:rFonts w:ascii="Georgia" w:hAnsi="Georgia"/>
          <w:lang w:val="en-GB"/>
        </w:rPr>
      </w:pPr>
      <w:r>
        <w:rPr>
          <w:rFonts w:ascii="Georgia" w:hAnsi="Georgia"/>
          <w:i/>
          <w:iCs/>
          <w:lang w:val="en-GB"/>
        </w:rPr>
        <w:t>morally</w:t>
      </w:r>
      <w:r>
        <w:rPr>
          <w:rFonts w:ascii="Georgia" w:hAnsi="Georgia"/>
          <w:lang w:val="en-GB"/>
        </w:rPr>
        <w:t xml:space="preserve">, for example, through edicts encouraging religious and ethnic tolerance - such as </w:t>
      </w:r>
      <w:r>
        <w:rPr>
          <w:rFonts w:ascii="Georgia" w:hAnsi="Georgia"/>
          <w:i/>
          <w:lang w:val="en-GB"/>
        </w:rPr>
        <w:t>Vatican II</w:t>
      </w:r>
      <w:r>
        <w:rPr>
          <w:rFonts w:ascii="Georgia" w:hAnsi="Georgia"/>
          <w:lang w:val="en-GB"/>
        </w:rPr>
        <w:t>.</w:t>
      </w:r>
    </w:p>
    <w:p w14:paraId="7299A34F" w14:textId="77777777" w:rsidR="009F3D46" w:rsidRDefault="009F3D46" w:rsidP="009F3D46">
      <w:pPr>
        <w:tabs>
          <w:tab w:val="left" w:pos="432"/>
        </w:tabs>
      </w:pPr>
    </w:p>
    <w:p w14:paraId="0B1AFF12" w14:textId="77777777" w:rsidR="009F3D46" w:rsidRDefault="009F3D46" w:rsidP="009F3D46">
      <w:pPr>
        <w:tabs>
          <w:tab w:val="left" w:pos="432"/>
        </w:tabs>
      </w:pPr>
      <w:r>
        <w:tab/>
        <w:t xml:space="preserve">The focus in this section is on ‘Western Europe’ - which itself is not a single entity, and can be viewed in a variety of ways: perhaps geographically, linguistically, culturally, politically, historically, and/or economically.  Different ‘representational’ bodies can have different perspectives on Muslims in Western Europe.  Claims of pan-European representation from bodies such as the European Union (EU) can be challenged by Eastern European states. </w:t>
      </w:r>
    </w:p>
    <w:p w14:paraId="25B80246" w14:textId="77777777" w:rsidR="009F3D46" w:rsidRDefault="009F3D46" w:rsidP="009F3D46">
      <w:pPr>
        <w:tabs>
          <w:tab w:val="left" w:pos="432"/>
        </w:tabs>
      </w:pPr>
    </w:p>
    <w:p w14:paraId="1F3BFBC4" w14:textId="77777777" w:rsidR="009F3D46" w:rsidRDefault="009F3D46" w:rsidP="009F3D46">
      <w:pPr>
        <w:tabs>
          <w:tab w:val="left" w:pos="432"/>
        </w:tabs>
        <w:rPr>
          <w:b/>
          <w:bCs/>
        </w:rPr>
      </w:pPr>
      <w:r>
        <w:rPr>
          <w:b/>
          <w:bCs/>
        </w:rPr>
        <w:t>How many Muslims are there in the EU?</w:t>
      </w:r>
    </w:p>
    <w:p w14:paraId="5B365ADA" w14:textId="77777777" w:rsidR="009F3D46" w:rsidRDefault="009F3D46" w:rsidP="009F3D46">
      <w:pPr>
        <w:tabs>
          <w:tab w:val="left" w:pos="432"/>
          <w:tab w:val="center" w:pos="4512"/>
        </w:tabs>
      </w:pPr>
    </w:p>
    <w:p w14:paraId="4F48566E" w14:textId="712843B1" w:rsidR="007A6BD5" w:rsidRDefault="009F3D46" w:rsidP="009F3D46">
      <w:pPr>
        <w:tabs>
          <w:tab w:val="left" w:pos="432"/>
        </w:tabs>
      </w:pPr>
      <w:r>
        <w:tab/>
        <w:t>In Western Europe, there may be 15 to 20 million Muslims, out of an estimated population of 378.5 million people.</w:t>
      </w:r>
      <w:r>
        <w:rPr>
          <w:rStyle w:val="EndnoteReference"/>
        </w:rPr>
        <w:endnoteReference w:id="1"/>
      </w:r>
      <w:r>
        <w:t xml:space="preserve"> </w:t>
      </w:r>
      <w:r w:rsidR="007A6BD5">
        <w:t>The Pew Forum on Religion and Public Life has endeavoured to produce a</w:t>
      </w:r>
      <w:r w:rsidR="00030B7B">
        <w:t>n international</w:t>
      </w:r>
      <w:r w:rsidR="007A6BD5">
        <w:t xml:space="preserve"> statistical breakdown on a country-by-country basis. Take a look at their discussion</w:t>
      </w:r>
      <w:r w:rsidR="00030B7B">
        <w:t xml:space="preserve"> here</w:t>
      </w:r>
      <w:r w:rsidR="007A6BD5">
        <w:t>:</w:t>
      </w:r>
    </w:p>
    <w:p w14:paraId="25288FC1" w14:textId="77777777" w:rsidR="007A6BD5" w:rsidRDefault="007A6BD5" w:rsidP="009F3D46">
      <w:pPr>
        <w:tabs>
          <w:tab w:val="left" w:pos="432"/>
        </w:tabs>
      </w:pPr>
    </w:p>
    <w:p w14:paraId="201FB821" w14:textId="5F7FD31F" w:rsidR="007A6BD5" w:rsidRDefault="007A6BD5" w:rsidP="009F3D46">
      <w:pPr>
        <w:tabs>
          <w:tab w:val="left" w:pos="432"/>
        </w:tabs>
      </w:pPr>
      <w:r>
        <w:t xml:space="preserve">The Pew Forum on Religion and Public Life, </w:t>
      </w:r>
      <w:r w:rsidRPr="007A6BD5">
        <w:t>The Future of the Global Muslim Population</w:t>
      </w:r>
      <w:r>
        <w:t xml:space="preserve">, </w:t>
      </w:r>
      <w:hyperlink r:id="rId11" w:history="1">
        <w:r w:rsidRPr="00030B7B">
          <w:rPr>
            <w:rStyle w:val="Hyperlink"/>
          </w:rPr>
          <w:t>http://features.pewforum.org/muslim-population/</w:t>
        </w:r>
      </w:hyperlink>
    </w:p>
    <w:p w14:paraId="7BE79BBB" w14:textId="77777777" w:rsidR="007A6BD5" w:rsidRDefault="007A6BD5" w:rsidP="009F3D46">
      <w:pPr>
        <w:tabs>
          <w:tab w:val="left" w:pos="432"/>
        </w:tabs>
      </w:pPr>
    </w:p>
    <w:p w14:paraId="4D40F8A8" w14:textId="5399E063" w:rsidR="009F3D46" w:rsidRDefault="009F3D46" w:rsidP="009F3D46">
      <w:pPr>
        <w:tabs>
          <w:tab w:val="left" w:pos="432"/>
        </w:tabs>
      </w:pPr>
      <w:r>
        <w:t xml:space="preserve">Efforts have been made to determine religious affiliation through analysis of ‘countries of origin’ - although such data may become progressively less important as European-born generations become further established. There is also the minor (statistical) ‘problem’ of converts.  </w:t>
      </w:r>
    </w:p>
    <w:p w14:paraId="509032A7" w14:textId="77777777" w:rsidR="009F3D46" w:rsidRDefault="009F3D46" w:rsidP="009F3D46">
      <w:pPr>
        <w:tabs>
          <w:tab w:val="left" w:pos="432"/>
        </w:tabs>
      </w:pPr>
    </w:p>
    <w:p w14:paraId="46F4008B" w14:textId="77777777" w:rsidR="009F3D46" w:rsidRDefault="009F3D46" w:rsidP="009F3D46">
      <w:pPr>
        <w:tabs>
          <w:tab w:val="left" w:pos="432"/>
        </w:tabs>
      </w:pPr>
      <w:r>
        <w:t xml:space="preserve">The three largest groups also represent three significant divisions of Muslims: </w:t>
      </w:r>
    </w:p>
    <w:p w14:paraId="19C5A01A" w14:textId="77777777" w:rsidR="009F3D46" w:rsidRDefault="009F3D46" w:rsidP="009F3D46">
      <w:pPr>
        <w:tabs>
          <w:tab w:val="left" w:pos="432"/>
        </w:tabs>
      </w:pPr>
    </w:p>
    <w:p w14:paraId="4D9BC37C" w14:textId="77777777" w:rsidR="009F3D46" w:rsidRDefault="009F3D46" w:rsidP="009F3D46">
      <w:pPr>
        <w:numPr>
          <w:ilvl w:val="0"/>
          <w:numId w:val="5"/>
        </w:numPr>
        <w:tabs>
          <w:tab w:val="left" w:pos="432"/>
        </w:tabs>
      </w:pPr>
      <w:r>
        <w:t xml:space="preserve">in France, the majority are of North African origin; </w:t>
      </w:r>
    </w:p>
    <w:p w14:paraId="6BA7552B" w14:textId="77777777" w:rsidR="009F3D46" w:rsidRDefault="009F3D46" w:rsidP="009F3D46">
      <w:pPr>
        <w:tabs>
          <w:tab w:val="left" w:pos="432"/>
        </w:tabs>
      </w:pPr>
    </w:p>
    <w:p w14:paraId="0D7B4CC2" w14:textId="77777777" w:rsidR="009F3D46" w:rsidRDefault="009F3D46" w:rsidP="009F3D46">
      <w:pPr>
        <w:numPr>
          <w:ilvl w:val="0"/>
          <w:numId w:val="5"/>
        </w:numPr>
        <w:tabs>
          <w:tab w:val="left" w:pos="432"/>
        </w:tabs>
      </w:pPr>
      <w:r>
        <w:t>in Germany Muslims are primarily of Turkish ethnic origin;</w:t>
      </w:r>
    </w:p>
    <w:p w14:paraId="4E3C64F3" w14:textId="77777777" w:rsidR="009F3D46" w:rsidRDefault="009F3D46" w:rsidP="009F3D46">
      <w:pPr>
        <w:tabs>
          <w:tab w:val="left" w:pos="432"/>
        </w:tabs>
      </w:pPr>
    </w:p>
    <w:p w14:paraId="7DF99A23" w14:textId="77777777" w:rsidR="009F3D46" w:rsidRDefault="009F3D46" w:rsidP="009F3D46">
      <w:pPr>
        <w:numPr>
          <w:ilvl w:val="0"/>
          <w:numId w:val="5"/>
        </w:numPr>
        <w:tabs>
          <w:tab w:val="left" w:pos="432"/>
        </w:tabs>
      </w:pPr>
      <w:r>
        <w:t xml:space="preserve">in the UK, the majority have Indian sub-continent origins.  </w:t>
      </w:r>
    </w:p>
    <w:p w14:paraId="6B9B2513" w14:textId="77777777" w:rsidR="009F3D46" w:rsidRDefault="009F3D46" w:rsidP="009F3D46">
      <w:pPr>
        <w:tabs>
          <w:tab w:val="left" w:pos="432"/>
        </w:tabs>
      </w:pPr>
    </w:p>
    <w:p w14:paraId="39EA4D8D" w14:textId="77777777" w:rsidR="009F3D46" w:rsidRDefault="009F3D46" w:rsidP="009F3D46">
      <w:pPr>
        <w:tabs>
          <w:tab w:val="left" w:pos="432"/>
        </w:tabs>
      </w:pPr>
      <w:r>
        <w:tab/>
        <w:t xml:space="preserve">This means that there can be considerable religious diversity: generally, between these three bands, and also within the bands themselves. Mention should also be made of the class distinctions within these groups, often betraying urban or rural origins, as well as economic and social status indicators.  </w:t>
      </w:r>
    </w:p>
    <w:p w14:paraId="6CADF99B" w14:textId="77777777" w:rsidR="009F3D46" w:rsidRDefault="009F3D46" w:rsidP="009F3D46">
      <w:pPr>
        <w:tabs>
          <w:tab w:val="left" w:pos="432"/>
        </w:tabs>
      </w:pPr>
    </w:p>
    <w:p w14:paraId="694D91E9" w14:textId="77777777" w:rsidR="009F3D46" w:rsidRDefault="009F3D46" w:rsidP="009F3D46">
      <w:pPr>
        <w:tabs>
          <w:tab w:val="left" w:pos="432"/>
        </w:tabs>
      </w:pPr>
      <w:r>
        <w:tab/>
        <w:t xml:space="preserve">Whilst there are pan-European Muslim organisations, their influence appears limited, especially when Muslim organisations at national levels have been generally unsuccessful at creating a consensus platform for discussions of Inter Faith dialogues. It would be incorrect to ‘write off’ such organisations, which are very much at the developmental stages. Some believe that, once Muslims become better established (after several generations?), a pan-European Islamic representative body could have a role to play in Europe. Some commentators believe that members and/or factions of Muslims in Britain could be the most influential in Europe - and cite their role following the </w:t>
      </w:r>
      <w:r>
        <w:rPr>
          <w:i/>
          <w:iCs/>
        </w:rPr>
        <w:t>Satanic Verses</w:t>
      </w:r>
      <w:r>
        <w:t xml:space="preserve"> controversy.</w:t>
      </w:r>
      <w:r>
        <w:rPr>
          <w:rStyle w:val="EndnoteReference"/>
        </w:rPr>
        <w:endnoteReference w:id="2"/>
      </w:r>
      <w:r>
        <w:t xml:space="preserve"> Whilst this argument has certain merits, no doubt Muslims in France and Germany would have different opinions.   </w:t>
      </w:r>
    </w:p>
    <w:p w14:paraId="5FE39958" w14:textId="77777777" w:rsidR="009F3D46" w:rsidRDefault="009F3D46" w:rsidP="009F3D46">
      <w:pPr>
        <w:tabs>
          <w:tab w:val="left" w:pos="432"/>
        </w:tabs>
      </w:pPr>
    </w:p>
    <w:p w14:paraId="397EAEEB" w14:textId="77777777" w:rsidR="009F3D46" w:rsidRDefault="009F3D46" w:rsidP="009F3D46">
      <w:pPr>
        <w:tabs>
          <w:tab w:val="left" w:pos="432"/>
        </w:tabs>
      </w:pPr>
      <w:r>
        <w:tab/>
        <w:t xml:space="preserve">Whilst the majority of European Muslim communities emerged after World War Two, reference should be made to the presence of a long-established Muslim (Turkish) presence in Greece (a nation which had a larger Muslim presence before population exchanges with Turkey after 1923).  There have also been Muslim communities in Britain for over a century (for example, in Cardiff, Liverpool, London, and the North East of England), and France.  European nationals (and their representatives) have engaged in diplomatic, trade and military dialogues with Muslims on a regular basis since the sixteenth century. </w:t>
      </w:r>
    </w:p>
    <w:p w14:paraId="4C094111" w14:textId="77777777" w:rsidR="009F3D46" w:rsidRDefault="009F3D46" w:rsidP="009F3D46">
      <w:pPr>
        <w:tabs>
          <w:tab w:val="left" w:pos="432"/>
        </w:tabs>
      </w:pPr>
    </w:p>
    <w:p w14:paraId="1A11FEE5" w14:textId="77777777" w:rsidR="009F3D46" w:rsidRDefault="009F3D46" w:rsidP="009F3D46">
      <w:pPr>
        <w:tabs>
          <w:tab w:val="left" w:pos="432"/>
        </w:tabs>
      </w:pPr>
      <w:r>
        <w:tab/>
        <w:t>Calculating the Muslim populations in EU contexts raises specific concerns and problems, as noted in a discussion regarding France and Germany (UK will be dealt with separately):</w:t>
      </w:r>
    </w:p>
    <w:p w14:paraId="3F6C693D" w14:textId="77777777" w:rsidR="009F3D46" w:rsidRDefault="009F3D46" w:rsidP="009F3D46">
      <w:pPr>
        <w:tabs>
          <w:tab w:val="left" w:pos="432"/>
        </w:tabs>
      </w:pPr>
    </w:p>
    <w:p w14:paraId="3D0E1F07" w14:textId="77777777" w:rsidR="009F3D46" w:rsidRDefault="009F3D46" w:rsidP="009F3D46">
      <w:pPr>
        <w:pStyle w:val="BodyTextIndent"/>
        <w:tabs>
          <w:tab w:val="left" w:pos="432"/>
        </w:tabs>
        <w:rPr>
          <w:sz w:val="24"/>
        </w:rPr>
      </w:pPr>
      <w:r>
        <w:rPr>
          <w:sz w:val="24"/>
        </w:rPr>
        <w:t>“Scholars estimate that there are between 4 and 5 million people of Muslim extraction living in France. A specific accounting of the Muslim population is not possible, however, as religious identity, by law, cannot be employed in French census data or government documents. Accurate sampling is further frustrated by the fact that national origin, frequently employed to determine the extent of Muslim immigration, cannot account for the degree of Islamic observance among those sociologically identified as Muslim. German figures are more conclusive, with an estimated 2.9 million Muslims residing in Germany.”</w:t>
      </w:r>
      <w:r>
        <w:rPr>
          <w:rStyle w:val="EndnoteReference"/>
          <w:sz w:val="24"/>
        </w:rPr>
        <w:endnoteReference w:id="3"/>
      </w:r>
    </w:p>
    <w:p w14:paraId="61C92F86" w14:textId="77777777" w:rsidR="009F3D46" w:rsidRDefault="009F3D46" w:rsidP="009F3D46">
      <w:pPr>
        <w:pStyle w:val="BodyTextIndent"/>
        <w:tabs>
          <w:tab w:val="left" w:pos="432"/>
        </w:tabs>
        <w:rPr>
          <w:sz w:val="24"/>
        </w:rPr>
      </w:pPr>
    </w:p>
    <w:p w14:paraId="378402F7" w14:textId="77777777" w:rsidR="009F3D46" w:rsidRDefault="009F3D46" w:rsidP="009F3D46">
      <w:pPr>
        <w:tabs>
          <w:tab w:val="left" w:pos="432"/>
        </w:tabs>
      </w:pPr>
      <w:r>
        <w:rPr>
          <w:b/>
        </w:rPr>
        <w:t>EU Migration Patterns</w:t>
      </w:r>
    </w:p>
    <w:p w14:paraId="5E729445" w14:textId="77777777" w:rsidR="009F3D46" w:rsidRDefault="009F3D46" w:rsidP="009F3D46">
      <w:pPr>
        <w:tabs>
          <w:tab w:val="left" w:pos="432"/>
        </w:tabs>
      </w:pPr>
    </w:p>
    <w:p w14:paraId="6CAF1366" w14:textId="77777777" w:rsidR="009F3D46" w:rsidRDefault="009F3D46" w:rsidP="009F3D46">
      <w:pPr>
        <w:tabs>
          <w:tab w:val="left" w:pos="432"/>
        </w:tabs>
      </w:pPr>
      <w:r>
        <w:tab/>
        <w:t>EU research provides one indicator of trends in population movements, given that alternative ‘non-partisan’ statistics do not exist.  Non-EU migrants (including Muslims) often</w:t>
      </w:r>
    </w:p>
    <w:p w14:paraId="13882552" w14:textId="77777777" w:rsidR="009F3D46" w:rsidRDefault="009F3D46" w:rsidP="009F3D46">
      <w:pPr>
        <w:tabs>
          <w:tab w:val="left" w:pos="432"/>
        </w:tabs>
      </w:pPr>
    </w:p>
    <w:p w14:paraId="690C789A" w14:textId="77777777"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bear the burdens of society</w:t>
      </w:r>
    </w:p>
    <w:p w14:paraId="1E7BA688" w14:textId="77777777"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do not receive social benefits</w:t>
      </w:r>
    </w:p>
    <w:p w14:paraId="08B0692E" w14:textId="77777777"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live in cheap housing</w:t>
      </w:r>
    </w:p>
    <w:p w14:paraId="72BFBEE8" w14:textId="77777777"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operate within clandestine labour markets</w:t>
      </w:r>
    </w:p>
    <w:p w14:paraId="410BC923" w14:textId="77777777" w:rsidR="009F3D46" w:rsidRDefault="009F3D46" w:rsidP="009F3D46">
      <w:pPr>
        <w:pStyle w:val="a"/>
        <w:numPr>
          <w:ilvl w:val="0"/>
          <w:numId w:val="3"/>
        </w:numPr>
        <w:tabs>
          <w:tab w:val="left" w:pos="-1440"/>
          <w:tab w:val="left" w:pos="432"/>
        </w:tabs>
        <w:rPr>
          <w:rFonts w:ascii="Georgia" w:hAnsi="Georgia"/>
          <w:lang w:val="en-GB"/>
        </w:rPr>
      </w:pPr>
      <w:r>
        <w:rPr>
          <w:rFonts w:ascii="Georgia" w:hAnsi="Georgia"/>
          <w:lang w:val="en-GB"/>
        </w:rPr>
        <w:t>live within a social hierarchy dominated by fellow countrymen/co-religionists with a longer history of settlement.</w:t>
      </w:r>
    </w:p>
    <w:p w14:paraId="7C300B1E" w14:textId="77777777" w:rsidR="009F3D46" w:rsidRDefault="009F3D46" w:rsidP="009F3D46">
      <w:pPr>
        <w:tabs>
          <w:tab w:val="left" w:pos="432"/>
        </w:tabs>
      </w:pPr>
    </w:p>
    <w:p w14:paraId="5A278212" w14:textId="77777777" w:rsidR="009F3D46" w:rsidRDefault="009F3D46" w:rsidP="009F3D46">
      <w:pPr>
        <w:tabs>
          <w:tab w:val="left" w:pos="432"/>
        </w:tabs>
      </w:pPr>
      <w:r>
        <w:tab/>
        <w:t>Many migrants of non-EU origins (and their descendants) see lack of decent housing as their greatest grievance, rather than the hostility of ‘natives’.  A lack of information, incapacity to cope with administration, lack of State Aid, and limited access to financial channels are all perceived as grievances.  The experiences of Muslims in Britain are reflected in the experiences of other European Muslims. Non-migrant origin Europeans may also share some of these problems.</w:t>
      </w:r>
    </w:p>
    <w:p w14:paraId="38B5D643" w14:textId="77777777" w:rsidR="009F3D46" w:rsidRDefault="009F3D46" w:rsidP="009F3D46">
      <w:pPr>
        <w:tabs>
          <w:tab w:val="left" w:pos="432"/>
        </w:tabs>
      </w:pPr>
    </w:p>
    <w:p w14:paraId="32E9AD7F" w14:textId="77777777" w:rsidR="009F3D46" w:rsidRDefault="009F3D46" w:rsidP="009F3D46">
      <w:pPr>
        <w:tabs>
          <w:tab w:val="left" w:pos="432"/>
        </w:tabs>
      </w:pPr>
      <w:r>
        <w:tab/>
        <w:t>There has been a population flow from Southern Mediterranean Europeans northwards, into the ‘European Megalopolis’ - whose boundaries encompass London, Lyon, Munich, and Copenhagen. This pattern has resulted in a ‘replacement’ population emerging from other Mediterranean countries. This includes a high proportion of Muslims. There are certain variable factors with regard to this population mobilisation, for example seasonal migrations.</w:t>
      </w:r>
    </w:p>
    <w:p w14:paraId="49B19CDB" w14:textId="77777777" w:rsidR="009F3D46" w:rsidRDefault="009F3D46" w:rsidP="009F3D46">
      <w:pPr>
        <w:tabs>
          <w:tab w:val="left" w:pos="432"/>
        </w:tabs>
      </w:pPr>
    </w:p>
    <w:p w14:paraId="3DDB4E7B" w14:textId="77777777" w:rsidR="009F3D46" w:rsidRDefault="009F3D46" w:rsidP="009F3D46">
      <w:pPr>
        <w:tabs>
          <w:tab w:val="left" w:pos="432"/>
        </w:tabs>
      </w:pPr>
      <w:r>
        <w:tab/>
        <w:t xml:space="preserve">It has been estimated that the one million North Africans living and working in the EU during the 1970s doubled in the 1990s. The figure of 650,000 Turkish nationals working in the EU in 1973 increased to two million. Regional pressures, and an increasing birth-rate in these regions, means that it is inevitable that more people will be seeking access to Europe in the future. </w:t>
      </w:r>
    </w:p>
    <w:p w14:paraId="215EA51E" w14:textId="77777777" w:rsidR="009F3D46" w:rsidRDefault="009F3D46" w:rsidP="009F3D46">
      <w:pPr>
        <w:tabs>
          <w:tab w:val="left" w:pos="432"/>
        </w:tabs>
      </w:pPr>
    </w:p>
    <w:p w14:paraId="46F140F9" w14:textId="77777777" w:rsidR="009F3D46" w:rsidRDefault="009F3D46" w:rsidP="009F3D46">
      <w:pPr>
        <w:tabs>
          <w:tab w:val="left" w:pos="432"/>
        </w:tabs>
      </w:pPr>
      <w:r>
        <w:tab/>
        <w:t>With the dissolution of the Communist bloc, greater attention was placed on this new ‘threat’ to Western Europe. Pieterese discusses a border-zone developing between the EU and its southern, Mediterranean neighbours:</w:t>
      </w:r>
    </w:p>
    <w:p w14:paraId="30565877" w14:textId="77777777" w:rsidR="009F3D46" w:rsidRDefault="009F3D46" w:rsidP="009F3D46">
      <w:pPr>
        <w:tabs>
          <w:tab w:val="left" w:pos="432"/>
        </w:tabs>
      </w:pPr>
    </w:p>
    <w:p w14:paraId="7B8C960F" w14:textId="77777777" w:rsidR="009F3D46" w:rsidRDefault="009F3D46" w:rsidP="009F3D46">
      <w:pPr>
        <w:tabs>
          <w:tab w:val="left" w:pos="432"/>
        </w:tabs>
        <w:ind w:left="720"/>
      </w:pPr>
      <w:r>
        <w:t>“ ... a European Mexico syndrome - a border zone where economic, political, cultural, religious and democratic differences accumulate to create a gap between worlds, a zone of confrontation.”</w:t>
      </w:r>
      <w:r>
        <w:rPr>
          <w:rStyle w:val="EndnoteReference"/>
        </w:rPr>
        <w:endnoteReference w:id="4"/>
      </w:r>
    </w:p>
    <w:p w14:paraId="5B65AC91" w14:textId="77777777" w:rsidR="009F3D46" w:rsidRDefault="009F3D46" w:rsidP="009F3D46">
      <w:pPr>
        <w:tabs>
          <w:tab w:val="left" w:pos="432"/>
        </w:tabs>
      </w:pPr>
    </w:p>
    <w:p w14:paraId="669A1EE6" w14:textId="77777777" w:rsidR="009F3D46" w:rsidRDefault="009F3D46" w:rsidP="009F3D46">
      <w:pPr>
        <w:tabs>
          <w:tab w:val="left" w:pos="432"/>
        </w:tabs>
      </w:pPr>
      <w:r>
        <w:tab/>
        <w:t xml:space="preserve">Western Europe is still perceived by many Europeans to be modern, tolerant, and ‘open’ - a myth, perhaps - whilst ‘Islam’ is interpreted as being in ‘revolt’ against modernity.  Recent events only heighten this alternative ‘gulf crisis.’ </w:t>
      </w:r>
    </w:p>
    <w:p w14:paraId="41A050CB" w14:textId="77777777" w:rsidR="009F3D46" w:rsidRDefault="009F3D46" w:rsidP="009F3D46">
      <w:pPr>
        <w:tabs>
          <w:tab w:val="left" w:pos="432"/>
        </w:tabs>
      </w:pPr>
    </w:p>
    <w:p w14:paraId="3E486386" w14:textId="77777777" w:rsidR="009F3D46" w:rsidRPr="00030B7B" w:rsidRDefault="009F3D46" w:rsidP="009F3D46">
      <w:pPr>
        <w:tabs>
          <w:tab w:val="left" w:pos="432"/>
        </w:tabs>
        <w:rPr>
          <w:b/>
        </w:rPr>
      </w:pPr>
      <w:r w:rsidRPr="00030B7B">
        <w:rPr>
          <w:b/>
        </w:rPr>
        <w:t>EU</w:t>
      </w:r>
      <w:r w:rsidRPr="00030B7B">
        <w:rPr>
          <w:b/>
          <w:bCs/>
        </w:rPr>
        <w:t xml:space="preserve"> </w:t>
      </w:r>
      <w:r w:rsidRPr="00030B7B">
        <w:rPr>
          <w:b/>
        </w:rPr>
        <w:t>Legislation</w:t>
      </w:r>
    </w:p>
    <w:p w14:paraId="7A1ED51B" w14:textId="77777777" w:rsidR="009F3D46" w:rsidRDefault="009F3D46" w:rsidP="009F3D46">
      <w:pPr>
        <w:tabs>
          <w:tab w:val="left" w:pos="432"/>
        </w:tabs>
        <w:rPr>
          <w:b/>
          <w:bCs/>
        </w:rPr>
      </w:pPr>
    </w:p>
    <w:p w14:paraId="0BE26D50" w14:textId="77777777" w:rsidR="009F3D46" w:rsidRDefault="009F3D46" w:rsidP="009F3D46">
      <w:pPr>
        <w:tabs>
          <w:tab w:val="left" w:pos="432"/>
        </w:tabs>
      </w:pPr>
      <w:r>
        <w:tab/>
        <w:t xml:space="preserve">The </w:t>
      </w:r>
      <w:r>
        <w:rPr>
          <w:i/>
          <w:iCs/>
        </w:rPr>
        <w:t>European Convention on Human Rights and its Five Protocols</w:t>
      </w:r>
      <w:r>
        <w:t xml:space="preserve"> (1950) [related to the </w:t>
      </w:r>
      <w:r>
        <w:rPr>
          <w:i/>
          <w:iCs/>
        </w:rPr>
        <w:t xml:space="preserve">UN Universal Declaration of Human Rights </w:t>
      </w:r>
      <w:r>
        <w:t>(1948)] is one reference point, when discussing Muslim communities in the West. Relevant articles may include:</w:t>
      </w:r>
    </w:p>
    <w:p w14:paraId="08885D53" w14:textId="77777777" w:rsidR="009F3D46" w:rsidRDefault="009F3D46" w:rsidP="009F3D46">
      <w:pPr>
        <w:tabs>
          <w:tab w:val="left" w:pos="432"/>
        </w:tabs>
      </w:pPr>
    </w:p>
    <w:p w14:paraId="7270E2A9" w14:textId="77777777" w:rsidR="009F3D46" w:rsidRDefault="009F3D46" w:rsidP="009F3D46">
      <w:pPr>
        <w:numPr>
          <w:ilvl w:val="0"/>
          <w:numId w:val="2"/>
        </w:numPr>
        <w:tabs>
          <w:tab w:val="left" w:pos="432"/>
        </w:tabs>
      </w:pPr>
      <w:r>
        <w:t>Article 6: determining civil rights</w:t>
      </w:r>
    </w:p>
    <w:p w14:paraId="6FB45F5C" w14:textId="77777777" w:rsidR="009F3D46" w:rsidRDefault="009F3D46" w:rsidP="009F3D46">
      <w:pPr>
        <w:tabs>
          <w:tab w:val="left" w:pos="432"/>
        </w:tabs>
      </w:pPr>
    </w:p>
    <w:p w14:paraId="75BB30E6" w14:textId="77777777" w:rsidR="009F3D46" w:rsidRDefault="009F3D46" w:rsidP="009F3D46">
      <w:pPr>
        <w:numPr>
          <w:ilvl w:val="0"/>
          <w:numId w:val="2"/>
        </w:numPr>
        <w:tabs>
          <w:tab w:val="left" w:pos="432"/>
        </w:tabs>
      </w:pPr>
      <w:r>
        <w:t>Article 9: concerning ‘freedom of thought, conscience and religion’</w:t>
      </w:r>
    </w:p>
    <w:p w14:paraId="294FD7B9" w14:textId="77777777" w:rsidR="009F3D46" w:rsidRDefault="009F3D46" w:rsidP="009F3D46">
      <w:pPr>
        <w:tabs>
          <w:tab w:val="left" w:pos="432"/>
        </w:tabs>
      </w:pPr>
    </w:p>
    <w:p w14:paraId="7713AAE5" w14:textId="77777777" w:rsidR="009F3D46" w:rsidRDefault="009F3D46" w:rsidP="009F3D46">
      <w:pPr>
        <w:numPr>
          <w:ilvl w:val="0"/>
          <w:numId w:val="2"/>
        </w:numPr>
        <w:tabs>
          <w:tab w:val="left" w:pos="432"/>
        </w:tabs>
      </w:pPr>
      <w:r>
        <w:t xml:space="preserve">Article 14: opposing discrimination.  </w:t>
      </w:r>
    </w:p>
    <w:p w14:paraId="48901976" w14:textId="77777777" w:rsidR="009F3D46" w:rsidRDefault="009F3D46" w:rsidP="009F3D46">
      <w:pPr>
        <w:tabs>
          <w:tab w:val="left" w:pos="432"/>
        </w:tabs>
      </w:pPr>
    </w:p>
    <w:p w14:paraId="5B2DB0E3" w14:textId="77777777" w:rsidR="009F3D46" w:rsidRDefault="009F3D46" w:rsidP="009F3D46">
      <w:pPr>
        <w:tabs>
          <w:tab w:val="left" w:pos="432"/>
        </w:tabs>
      </w:pPr>
      <w:r>
        <w:tab/>
        <w:t>Policing the borders to prevent unauthorised economic migration was given an added emphasis in Europe with the development of  an autonomous pan-European force, with roots in the 1976 TREVI Group.  TREVI is an acronym for Terrorism, Radicalism, Extremism, Violence: some commentators saw its remit as going beyond terrorism, towards all “policing and security aspects of free movement.”</w:t>
      </w:r>
      <w:r>
        <w:rPr>
          <w:rStyle w:val="EndnoteReference"/>
        </w:rPr>
        <w:endnoteReference w:id="5"/>
      </w:r>
      <w:r>
        <w:t xml:space="preserve"> TREVI was criticised by the </w:t>
      </w:r>
      <w:r>
        <w:rPr>
          <w:i/>
          <w:iCs/>
        </w:rPr>
        <w:t xml:space="preserve">European Parliament’s 1991 Committee of Inquiry on Racism and Xenophobia </w:t>
      </w:r>
      <w:r>
        <w:t>for its independence of the EU, and being beyond European Parliamentary scrutiny.</w:t>
      </w:r>
      <w:r>
        <w:rPr>
          <w:rStyle w:val="EndnoteReference"/>
        </w:rPr>
        <w:endnoteReference w:id="6"/>
      </w:r>
      <w:r>
        <w:t xml:space="preserve">  There were concerns that it was equating migration with terrorist and drug trafficking activities. Muslims in Europe could increasing be made the subjects of inquiries, if an organisation develops with powers greater than - and perhaps independent from - the domestic police forces.</w:t>
      </w:r>
    </w:p>
    <w:p w14:paraId="02E7D953" w14:textId="77777777" w:rsidR="009F3D46" w:rsidRDefault="009F3D46" w:rsidP="009F3D46">
      <w:pPr>
        <w:tabs>
          <w:tab w:val="left" w:pos="432"/>
        </w:tabs>
      </w:pPr>
    </w:p>
    <w:p w14:paraId="1388E500" w14:textId="5227574D" w:rsidR="009F3D46" w:rsidRDefault="009F3D46" w:rsidP="009F3D46">
      <w:pPr>
        <w:tabs>
          <w:tab w:val="left" w:pos="432"/>
        </w:tabs>
      </w:pPr>
      <w:r>
        <w:tab/>
        <w:t xml:space="preserve">In further developments, the </w:t>
      </w:r>
      <w:r>
        <w:rPr>
          <w:i/>
          <w:iCs/>
        </w:rPr>
        <w:t>Schengen Accord (1985)</w:t>
      </w:r>
      <w:r>
        <w:t xml:space="preserve"> and </w:t>
      </w:r>
      <w:r>
        <w:rPr>
          <w:i/>
          <w:iCs/>
        </w:rPr>
        <w:t>Schengen II (1990)</w:t>
      </w:r>
      <w:r>
        <w:t xml:space="preserve"> saw Germany, France, Belgium, Netherlands, and Luxembourg propose</w:t>
      </w:r>
      <w:r w:rsidR="00030B7B">
        <w:t>d</w:t>
      </w:r>
      <w:r>
        <w:t xml:space="preserve"> a harmonised visa and crime prevention policy - with special regard for information exchange on new arrivals and asylum seekers: Austria, Italy, Spain, Greece and Portugal subsequently agreed to join</w:t>
      </w:r>
    </w:p>
    <w:p w14:paraId="05C5EC0D" w14:textId="77777777" w:rsidR="009F3D46" w:rsidRDefault="009F3D46" w:rsidP="009F3D46">
      <w:pPr>
        <w:tabs>
          <w:tab w:val="left" w:pos="432"/>
        </w:tabs>
      </w:pPr>
    </w:p>
    <w:p w14:paraId="14FD57F0" w14:textId="77777777" w:rsidR="009F3D46" w:rsidRDefault="009F3D46" w:rsidP="009F3D46">
      <w:pPr>
        <w:tabs>
          <w:tab w:val="left" w:pos="432"/>
        </w:tabs>
        <w:ind w:left="720"/>
      </w:pPr>
      <w:r>
        <w:t>“The governments justify this threat policy by pointing at the rise of the amount of refugees, intentionally forgetting to mention that Europe receives only a small fraction of all the refugees in the world, some 5% of 20 million ... most refugees are accepted by countries bordering their own, which can hardly feed their own people e.g. only in Sudan, which is one of the poorest countries in the world, there are more than two million refugees.”</w:t>
      </w:r>
      <w:r>
        <w:rPr>
          <w:rStyle w:val="EndnoteReference"/>
        </w:rPr>
        <w:endnoteReference w:id="7"/>
      </w:r>
    </w:p>
    <w:p w14:paraId="562341EA" w14:textId="77777777" w:rsidR="009F3D46" w:rsidRDefault="009F3D46" w:rsidP="009F3D46">
      <w:pPr>
        <w:tabs>
          <w:tab w:val="left" w:pos="432"/>
        </w:tabs>
      </w:pPr>
    </w:p>
    <w:p w14:paraId="21A4A2E6" w14:textId="77777777" w:rsidR="009F3D46" w:rsidRDefault="009F3D46" w:rsidP="009F3D46">
      <w:pPr>
        <w:tabs>
          <w:tab w:val="left" w:pos="432"/>
        </w:tabs>
      </w:pPr>
      <w:r>
        <w:tab/>
        <w:t>Such a bureau limits options for potential immigrants and asylum-seekers, sealing borders. The Dutch Government, advised by their Council of State that the bureau was transgressing international refugee treaties and EU Law, subsequently condemned it.</w:t>
      </w:r>
      <w:r>
        <w:rPr>
          <w:rStyle w:val="EndnoteReference"/>
        </w:rPr>
        <w:endnoteReference w:id="8"/>
      </w:r>
      <w:r>
        <w:t xml:space="preserve"> A 1991 conference condemned the Schengen Accord, for its independence from European Community policy, and for promoting a racist approach towards immigration issues. Some MEPs sought to liberalise and harmonise EP policy, enhancing the role played by immigrants in their development in Europe. The Schengen Accord was seen as contradicting the EU’s social obligations.</w:t>
      </w:r>
      <w:r>
        <w:rPr>
          <w:rStyle w:val="EndnoteReference"/>
        </w:rPr>
        <w:endnoteReference w:id="9"/>
      </w:r>
    </w:p>
    <w:p w14:paraId="440A12D1" w14:textId="77777777" w:rsidR="009F3D46" w:rsidRDefault="009F3D46" w:rsidP="009F3D46">
      <w:pPr>
        <w:tabs>
          <w:tab w:val="left" w:pos="432"/>
        </w:tabs>
      </w:pPr>
    </w:p>
    <w:p w14:paraId="5180BDC8" w14:textId="77777777" w:rsidR="009F3D46" w:rsidRDefault="009F3D46" w:rsidP="009F3D46">
      <w:pPr>
        <w:tabs>
          <w:tab w:val="left" w:pos="432"/>
        </w:tabs>
      </w:pPr>
      <w:r>
        <w:tab/>
        <w:t xml:space="preserve">The </w:t>
      </w:r>
      <w:r>
        <w:rPr>
          <w:i/>
          <w:iCs/>
        </w:rPr>
        <w:t>Maastricht Treaty</w:t>
      </w:r>
      <w:r>
        <w:t xml:space="preserve"> (1992), involving leaders of EU Member States, demonstrated that the approaches towards a Single Europe are fraught with divisions. Whilst there was emphasis on the economic nature of the EU, there were discussions on achieving a common asylum and immigration policy.  In 1999, the Amsterdam Treaty provided Member States with the framework to develop asylum and immigration policies; later in 1999, there were discussions on a proposed </w:t>
      </w:r>
      <w:r>
        <w:rPr>
          <w:i/>
          <w:iCs/>
        </w:rPr>
        <w:t>Common European Asylum Policy</w:t>
      </w:r>
      <w:r>
        <w:t xml:space="preserve">; in 2000, the EU established a </w:t>
      </w:r>
      <w:r>
        <w:rPr>
          <w:i/>
          <w:iCs/>
        </w:rPr>
        <w:t>Charter of Fundamental Rights</w:t>
      </w:r>
      <w:r>
        <w:t>, based on the themes of Dignity, Freedoms, Equality, Solidarity, Citizens' rights and Justice.</w:t>
      </w:r>
      <w:r>
        <w:rPr>
          <w:rStyle w:val="EndnoteReference"/>
        </w:rPr>
        <w:endnoteReference w:id="10"/>
      </w:r>
      <w:r>
        <w:t xml:space="preserve"> </w:t>
      </w:r>
    </w:p>
    <w:p w14:paraId="52FD8409" w14:textId="77777777" w:rsidR="009F3D46" w:rsidRDefault="009F3D46" w:rsidP="009F3D46">
      <w:pPr>
        <w:tabs>
          <w:tab w:val="left" w:pos="432"/>
        </w:tabs>
      </w:pPr>
    </w:p>
    <w:p w14:paraId="62BF3A10" w14:textId="77777777" w:rsidR="009F3D46" w:rsidRDefault="009F3D46" w:rsidP="009F3D46">
      <w:pPr>
        <w:tabs>
          <w:tab w:val="left" w:pos="432"/>
        </w:tabs>
      </w:pPr>
    </w:p>
    <w:p w14:paraId="5D236E1F" w14:textId="77777777" w:rsidR="009F3D46" w:rsidRDefault="009F3D46" w:rsidP="009F3D46">
      <w:pPr>
        <w:tabs>
          <w:tab w:val="left" w:pos="432"/>
        </w:tabs>
      </w:pPr>
    </w:p>
    <w:p w14:paraId="33449432" w14:textId="77777777" w:rsidR="009F3D46" w:rsidRDefault="009F3D46" w:rsidP="009F3D46">
      <w:pPr>
        <w:tabs>
          <w:tab w:val="left" w:pos="432"/>
        </w:tabs>
      </w:pPr>
      <w:r>
        <w:rPr>
          <w:b/>
        </w:rPr>
        <w:t>Asylum</w:t>
      </w:r>
    </w:p>
    <w:p w14:paraId="68F62272" w14:textId="77777777" w:rsidR="009F3D46" w:rsidRDefault="009F3D46" w:rsidP="009F3D46">
      <w:pPr>
        <w:tabs>
          <w:tab w:val="left" w:pos="432"/>
        </w:tabs>
      </w:pPr>
    </w:p>
    <w:p w14:paraId="459458EA" w14:textId="06BE6467" w:rsidR="009F3D46" w:rsidRDefault="009F3D46" w:rsidP="009F3D46">
      <w:pPr>
        <w:tabs>
          <w:tab w:val="left" w:pos="432"/>
        </w:tabs>
      </w:pPr>
      <w:r>
        <w:tab/>
        <w:t>It is important to distinguish immigration from asylum issues; in the latter, physical safety and lives can be at risk, not just economic well-being. The migration of Bosnian Muslims; Kurds from Iraq, and Kuwaiti and Iraqi nationals fleeing Saddam Hussein; Iranians escaping from post-Revolutionary changes; West Africans, Afghans, Bangladeshis (from former east Pakistan), Kashmiris and Pakistanis seeking refuge from civil war - all are examples of Muslim individuals believing it was possible to find safety in the UK.  However, a number of refugees and asylum seekers have been refused entry, as government</w:t>
      </w:r>
      <w:r w:rsidR="00030B7B">
        <w:t>s</w:t>
      </w:r>
      <w:r>
        <w:t xml:space="preserve"> sought to tighten access - for those who would have been entitled to entry before. There is also a ‘grey area’, of asylum seekers who do not show on official statistics.</w:t>
      </w:r>
    </w:p>
    <w:p w14:paraId="6723D941" w14:textId="77777777" w:rsidR="009F3D46" w:rsidRDefault="009F3D46" w:rsidP="009F3D46">
      <w:pPr>
        <w:tabs>
          <w:tab w:val="left" w:pos="432"/>
        </w:tabs>
        <w:rPr>
          <w:b/>
        </w:rPr>
      </w:pPr>
    </w:p>
    <w:p w14:paraId="6552810E" w14:textId="77777777" w:rsidR="009F3D46" w:rsidRDefault="009F3D46" w:rsidP="009F3D46">
      <w:pPr>
        <w:tabs>
          <w:tab w:val="left" w:pos="432"/>
        </w:tabs>
        <w:rPr>
          <w:bCs/>
        </w:rPr>
      </w:pPr>
      <w:r>
        <w:rPr>
          <w:bCs/>
        </w:rPr>
        <w:t>In 2001, the most prominent nationalities of asylum seekers emerging from Muslim contexts into the UK (although the countries contain populations with other religious minorities) were:</w:t>
      </w:r>
    </w:p>
    <w:p w14:paraId="292DEC40" w14:textId="511E752B" w:rsidR="009F3D46" w:rsidRDefault="009F3D46" w:rsidP="009F3D46">
      <w:pPr>
        <w:tabs>
          <w:tab w:val="left" w:pos="432"/>
        </w:tabs>
        <w:rPr>
          <w:b/>
        </w:rPr>
      </w:pPr>
      <w:r>
        <w:rPr>
          <w:bCs/>
        </w:rPr>
        <w:tab/>
      </w:r>
      <w:r>
        <w:rPr>
          <w:bCs/>
        </w:rPr>
        <w:tab/>
      </w:r>
      <w:r>
        <w:rPr>
          <w:bCs/>
        </w:rPr>
        <w:tab/>
      </w:r>
      <w:r>
        <w:rPr>
          <w:bCs/>
        </w:rPr>
        <w:tab/>
      </w:r>
      <w:r>
        <w:rPr>
          <w:bCs/>
        </w:rPr>
        <w:tab/>
      </w:r>
      <w:r>
        <w:rPr>
          <w:bCs/>
        </w:rPr>
        <w:tab/>
      </w:r>
      <w:r w:rsidR="00030B7B">
        <w:rPr>
          <w:bCs/>
        </w:rPr>
        <w:tab/>
      </w:r>
      <w:r>
        <w:rPr>
          <w:b/>
        </w:rPr>
        <w:t>2001</w:t>
      </w:r>
      <w:r>
        <w:rPr>
          <w:rStyle w:val="EndnoteReference"/>
          <w:bCs/>
        </w:rPr>
        <w:endnoteReference w:id="11"/>
      </w:r>
      <w:r>
        <w:rPr>
          <w:bCs/>
        </w:rPr>
        <w:tab/>
      </w:r>
      <w:r>
        <w:rPr>
          <w:b/>
        </w:rPr>
        <w:t>2002</w:t>
      </w:r>
      <w:r>
        <w:rPr>
          <w:rStyle w:val="EndnoteReference"/>
          <w:bCs/>
        </w:rPr>
        <w:endnoteReference w:id="12"/>
      </w:r>
      <w:r>
        <w:rPr>
          <w:b/>
        </w:rPr>
        <w:t xml:space="preserve"> </w:t>
      </w:r>
    </w:p>
    <w:p w14:paraId="61CD17E2" w14:textId="77777777" w:rsidR="009F3D46" w:rsidRDefault="009F3D46" w:rsidP="009F3D46">
      <w:pPr>
        <w:tabs>
          <w:tab w:val="left" w:pos="432"/>
        </w:tabs>
        <w:rPr>
          <w:bCs/>
        </w:rPr>
      </w:pPr>
    </w:p>
    <w:p w14:paraId="141A21A1" w14:textId="77777777" w:rsidR="009F3D46" w:rsidRDefault="009F3D46" w:rsidP="009F3D46">
      <w:pPr>
        <w:tabs>
          <w:tab w:val="left" w:pos="432"/>
        </w:tabs>
        <w:ind w:left="2880"/>
        <w:rPr>
          <w:bCs/>
        </w:rPr>
      </w:pPr>
      <w:r>
        <w:rPr>
          <w:bCs/>
        </w:rPr>
        <w:t>Afghanistan</w:t>
      </w:r>
      <w:r>
        <w:rPr>
          <w:bCs/>
        </w:rPr>
        <w:tab/>
        <w:t>9,190</w:t>
      </w:r>
      <w:r>
        <w:rPr>
          <w:bCs/>
        </w:rPr>
        <w:tab/>
      </w:r>
      <w:r>
        <w:rPr>
          <w:bCs/>
        </w:rPr>
        <w:tab/>
        <w:t xml:space="preserve">  7,380)</w:t>
      </w:r>
    </w:p>
    <w:p w14:paraId="4988DFE0" w14:textId="77777777" w:rsidR="009F3D46" w:rsidRDefault="009F3D46" w:rsidP="009F3D46">
      <w:pPr>
        <w:tabs>
          <w:tab w:val="left" w:pos="432"/>
        </w:tabs>
        <w:ind w:left="2880"/>
        <w:rPr>
          <w:bCs/>
        </w:rPr>
      </w:pPr>
      <w:r>
        <w:rPr>
          <w:bCs/>
        </w:rPr>
        <w:t>Iraq</w:t>
      </w:r>
      <w:r>
        <w:rPr>
          <w:bCs/>
        </w:rPr>
        <w:tab/>
      </w:r>
      <w:r>
        <w:rPr>
          <w:bCs/>
        </w:rPr>
        <w:tab/>
        <w:t xml:space="preserve">6,805   </w:t>
      </w:r>
      <w:r>
        <w:rPr>
          <w:bCs/>
        </w:rPr>
        <w:tab/>
        <w:t>14,940)</w:t>
      </w:r>
    </w:p>
    <w:p w14:paraId="23016BAB" w14:textId="77777777" w:rsidR="009F3D46" w:rsidRDefault="009F3D46" w:rsidP="009F3D46">
      <w:pPr>
        <w:tabs>
          <w:tab w:val="left" w:pos="432"/>
        </w:tabs>
        <w:ind w:left="2880"/>
        <w:rPr>
          <w:bCs/>
        </w:rPr>
      </w:pPr>
      <w:r>
        <w:rPr>
          <w:bCs/>
        </w:rPr>
        <w:t>Somalia</w:t>
      </w:r>
      <w:r>
        <w:rPr>
          <w:bCs/>
        </w:rPr>
        <w:tab/>
        <w:t xml:space="preserve">6,500 </w:t>
      </w:r>
      <w:r>
        <w:rPr>
          <w:bCs/>
        </w:rPr>
        <w:tab/>
      </w:r>
      <w:r>
        <w:rPr>
          <w:bCs/>
        </w:rPr>
        <w:tab/>
        <w:t xml:space="preserve"> 6,680)</w:t>
      </w:r>
    </w:p>
    <w:p w14:paraId="088C4A0E" w14:textId="77777777" w:rsidR="009F3D46" w:rsidRDefault="009F3D46" w:rsidP="009F3D46">
      <w:pPr>
        <w:tabs>
          <w:tab w:val="left" w:pos="432"/>
        </w:tabs>
        <w:ind w:left="2880"/>
        <w:rPr>
          <w:bCs/>
        </w:rPr>
      </w:pPr>
      <w:r>
        <w:rPr>
          <w:bCs/>
        </w:rPr>
        <w:t>Turkey</w:t>
      </w:r>
      <w:r>
        <w:rPr>
          <w:bCs/>
        </w:rPr>
        <w:tab/>
        <w:t xml:space="preserve">3,740 </w:t>
      </w:r>
      <w:r>
        <w:rPr>
          <w:bCs/>
        </w:rPr>
        <w:tab/>
      </w:r>
      <w:r>
        <w:rPr>
          <w:bCs/>
        </w:rPr>
        <w:tab/>
        <w:t xml:space="preserve"> 2,890)</w:t>
      </w:r>
    </w:p>
    <w:p w14:paraId="0901A0C7" w14:textId="77777777" w:rsidR="009F3D46" w:rsidRDefault="009F3D46" w:rsidP="009F3D46">
      <w:pPr>
        <w:tabs>
          <w:tab w:val="left" w:pos="432"/>
        </w:tabs>
        <w:ind w:left="2880"/>
        <w:rPr>
          <w:bCs/>
        </w:rPr>
      </w:pPr>
      <w:r>
        <w:rPr>
          <w:bCs/>
        </w:rPr>
        <w:t>Iran</w:t>
      </w:r>
      <w:r>
        <w:rPr>
          <w:bCs/>
        </w:rPr>
        <w:tab/>
      </w:r>
      <w:r>
        <w:rPr>
          <w:bCs/>
        </w:rPr>
        <w:tab/>
        <w:t xml:space="preserve">3,450 </w:t>
      </w:r>
      <w:r>
        <w:rPr>
          <w:bCs/>
        </w:rPr>
        <w:tab/>
      </w:r>
      <w:r>
        <w:rPr>
          <w:bCs/>
        </w:rPr>
        <w:tab/>
        <w:t xml:space="preserve"> 2,685)</w:t>
      </w:r>
    </w:p>
    <w:p w14:paraId="1E81B3C8" w14:textId="77777777" w:rsidR="009F3D46" w:rsidRDefault="009F3D46" w:rsidP="009F3D46">
      <w:pPr>
        <w:tabs>
          <w:tab w:val="left" w:pos="432"/>
        </w:tabs>
        <w:ind w:left="2880"/>
        <w:rPr>
          <w:bCs/>
        </w:rPr>
      </w:pPr>
      <w:r>
        <w:rPr>
          <w:bCs/>
        </w:rPr>
        <w:t>Pakistan</w:t>
      </w:r>
      <w:r>
        <w:rPr>
          <w:bCs/>
        </w:rPr>
        <w:tab/>
        <w:t xml:space="preserve">2,810  </w:t>
      </w:r>
      <w:r>
        <w:rPr>
          <w:bCs/>
        </w:rPr>
        <w:tab/>
      </w:r>
      <w:r>
        <w:rPr>
          <w:bCs/>
        </w:rPr>
        <w:tab/>
        <w:t xml:space="preserve"> 2,440)</w:t>
      </w:r>
    </w:p>
    <w:p w14:paraId="70DAD00D" w14:textId="77777777" w:rsidR="009F3D46" w:rsidRDefault="009F3D46" w:rsidP="009F3D46">
      <w:pPr>
        <w:tabs>
          <w:tab w:val="left" w:pos="432"/>
        </w:tabs>
        <w:rPr>
          <w:bCs/>
        </w:rPr>
      </w:pPr>
    </w:p>
    <w:p w14:paraId="156C7F1B" w14:textId="77777777" w:rsidR="009F3D46" w:rsidRDefault="009F3D46" w:rsidP="009F3D46">
      <w:pPr>
        <w:tabs>
          <w:tab w:val="left" w:pos="432"/>
        </w:tabs>
        <w:rPr>
          <w:bCs/>
        </w:rPr>
      </w:pPr>
      <w:r>
        <w:rPr>
          <w:bCs/>
        </w:rPr>
        <w:t>Using the same criteria, the most prominent countries of origin for refugees in the EU in 2001 were</w:t>
      </w:r>
    </w:p>
    <w:p w14:paraId="7E54F65D" w14:textId="77777777" w:rsidR="009F3D46" w:rsidRDefault="009F3D46" w:rsidP="009F3D46">
      <w:pPr>
        <w:tabs>
          <w:tab w:val="left" w:pos="432"/>
        </w:tabs>
        <w:rPr>
          <w:b/>
        </w:rPr>
      </w:pPr>
    </w:p>
    <w:p w14:paraId="1C7C3989" w14:textId="77777777" w:rsidR="009F3D46" w:rsidRDefault="009F3D46" w:rsidP="009F3D46">
      <w:pPr>
        <w:tabs>
          <w:tab w:val="left" w:pos="432"/>
        </w:tabs>
        <w:ind w:left="2880"/>
        <w:rPr>
          <w:bCs/>
        </w:rPr>
      </w:pPr>
      <w:r>
        <w:rPr>
          <w:bCs/>
        </w:rPr>
        <w:t>Afghanistan</w:t>
      </w:r>
      <w:r>
        <w:rPr>
          <w:bCs/>
        </w:rPr>
        <w:tab/>
        <w:t>37,429</w:t>
      </w:r>
    </w:p>
    <w:p w14:paraId="64B7F809" w14:textId="77777777" w:rsidR="009F3D46" w:rsidRDefault="009F3D46" w:rsidP="009F3D46">
      <w:pPr>
        <w:tabs>
          <w:tab w:val="left" w:pos="432"/>
        </w:tabs>
        <w:ind w:left="2880"/>
        <w:rPr>
          <w:bCs/>
        </w:rPr>
      </w:pPr>
      <w:r>
        <w:rPr>
          <w:bCs/>
        </w:rPr>
        <w:t>Iraq</w:t>
      </w:r>
      <w:r>
        <w:rPr>
          <w:bCs/>
        </w:rPr>
        <w:tab/>
      </w:r>
      <w:r>
        <w:rPr>
          <w:bCs/>
        </w:rPr>
        <w:tab/>
        <w:t>41,249</w:t>
      </w:r>
    </w:p>
    <w:p w14:paraId="00B3651D" w14:textId="77777777" w:rsidR="009F3D46" w:rsidRDefault="009F3D46" w:rsidP="009F3D46">
      <w:pPr>
        <w:tabs>
          <w:tab w:val="left" w:pos="432"/>
        </w:tabs>
        <w:ind w:left="2880"/>
        <w:rPr>
          <w:bCs/>
        </w:rPr>
      </w:pPr>
      <w:r>
        <w:rPr>
          <w:bCs/>
        </w:rPr>
        <w:t>Somalia</w:t>
      </w:r>
      <w:r>
        <w:rPr>
          <w:bCs/>
        </w:rPr>
        <w:tab/>
        <w:t>9,929</w:t>
      </w:r>
    </w:p>
    <w:p w14:paraId="7D3AB5F7" w14:textId="77777777" w:rsidR="009F3D46" w:rsidRDefault="009F3D46" w:rsidP="009F3D46">
      <w:pPr>
        <w:tabs>
          <w:tab w:val="left" w:pos="432"/>
        </w:tabs>
        <w:ind w:left="2880"/>
        <w:rPr>
          <w:bCs/>
        </w:rPr>
      </w:pPr>
      <w:r>
        <w:rPr>
          <w:bCs/>
        </w:rPr>
        <w:t>Turkey</w:t>
      </w:r>
      <w:r>
        <w:rPr>
          <w:bCs/>
        </w:rPr>
        <w:tab/>
        <w:t>27,312</w:t>
      </w:r>
    </w:p>
    <w:p w14:paraId="5063B9EB" w14:textId="77777777" w:rsidR="009F3D46" w:rsidRDefault="009F3D46" w:rsidP="009F3D46">
      <w:pPr>
        <w:tabs>
          <w:tab w:val="left" w:pos="432"/>
        </w:tabs>
        <w:ind w:left="2880"/>
        <w:rPr>
          <w:bCs/>
        </w:rPr>
      </w:pPr>
      <w:r>
        <w:rPr>
          <w:bCs/>
        </w:rPr>
        <w:t>Iran</w:t>
      </w:r>
      <w:r>
        <w:rPr>
          <w:bCs/>
        </w:rPr>
        <w:tab/>
      </w:r>
      <w:r>
        <w:rPr>
          <w:bCs/>
        </w:rPr>
        <w:tab/>
        <w:t>11,999</w:t>
      </w:r>
    </w:p>
    <w:p w14:paraId="1CE0550C" w14:textId="77777777" w:rsidR="009F3D46" w:rsidRDefault="009F3D46" w:rsidP="009F3D46">
      <w:pPr>
        <w:tabs>
          <w:tab w:val="left" w:pos="432"/>
        </w:tabs>
        <w:ind w:left="2880"/>
        <w:rPr>
          <w:bCs/>
        </w:rPr>
      </w:pPr>
      <w:r>
        <w:rPr>
          <w:bCs/>
        </w:rPr>
        <w:t>Algeria</w:t>
      </w:r>
      <w:r>
        <w:rPr>
          <w:bCs/>
        </w:rPr>
        <w:tab/>
        <w:t xml:space="preserve"> 8,908</w:t>
      </w:r>
    </w:p>
    <w:p w14:paraId="652B7DAE" w14:textId="77777777" w:rsidR="009F3D46" w:rsidRDefault="009F3D46" w:rsidP="009F3D46">
      <w:pPr>
        <w:tabs>
          <w:tab w:val="left" w:pos="432"/>
        </w:tabs>
        <w:ind w:left="2880"/>
        <w:rPr>
          <w:bCs/>
        </w:rPr>
      </w:pPr>
      <w:r>
        <w:rPr>
          <w:bCs/>
        </w:rPr>
        <w:t>Bosnia</w:t>
      </w:r>
      <w:r>
        <w:rPr>
          <w:bCs/>
        </w:rPr>
        <w:tab/>
        <w:t xml:space="preserve"> 8,778</w:t>
      </w:r>
      <w:r>
        <w:rPr>
          <w:rStyle w:val="EndnoteReference"/>
          <w:bCs/>
        </w:rPr>
        <w:endnoteReference w:id="13"/>
      </w:r>
    </w:p>
    <w:p w14:paraId="5081719F" w14:textId="77777777" w:rsidR="009F3D46" w:rsidRDefault="009F3D46" w:rsidP="009F3D46">
      <w:pPr>
        <w:tabs>
          <w:tab w:val="left" w:pos="432"/>
        </w:tabs>
        <w:rPr>
          <w:b/>
        </w:rPr>
      </w:pPr>
      <w:r>
        <w:rPr>
          <w:b/>
        </w:rPr>
        <w:tab/>
      </w:r>
      <w:r>
        <w:rPr>
          <w:b/>
        </w:rPr>
        <w:tab/>
      </w:r>
      <w:r>
        <w:rPr>
          <w:b/>
        </w:rPr>
        <w:tab/>
      </w:r>
      <w:r>
        <w:rPr>
          <w:b/>
        </w:rPr>
        <w:tab/>
      </w:r>
    </w:p>
    <w:p w14:paraId="10F0D2CE" w14:textId="77777777" w:rsidR="009F3D46" w:rsidRDefault="009F3D46" w:rsidP="009F3D46">
      <w:pPr>
        <w:tabs>
          <w:tab w:val="left" w:pos="432"/>
        </w:tabs>
      </w:pPr>
    </w:p>
    <w:p w14:paraId="01D3EDD9" w14:textId="77777777" w:rsidR="009F3D46" w:rsidRDefault="009F3D46" w:rsidP="009F3D46">
      <w:pPr>
        <w:rPr>
          <w:b/>
          <w:bCs/>
        </w:rPr>
      </w:pPr>
      <w:r>
        <w:rPr>
          <w:b/>
          <w:bCs/>
        </w:rPr>
        <w:br w:type="page"/>
      </w:r>
    </w:p>
    <w:p w14:paraId="3A585C79" w14:textId="77777777" w:rsidR="009F3D46" w:rsidRDefault="009F3D46" w:rsidP="009F3D46">
      <w:pPr>
        <w:tabs>
          <w:tab w:val="left" w:pos="432"/>
        </w:tabs>
        <w:rPr>
          <w:b/>
          <w:bCs/>
        </w:rPr>
      </w:pPr>
      <w:r>
        <w:rPr>
          <w:b/>
          <w:bCs/>
        </w:rPr>
        <w:t>Negative</w:t>
      </w:r>
      <w:r>
        <w:t xml:space="preserve"> </w:t>
      </w:r>
      <w:r>
        <w:rPr>
          <w:b/>
          <w:bCs/>
        </w:rPr>
        <w:t>Reactions to the Presence of Muslim Communities in the EU</w:t>
      </w:r>
    </w:p>
    <w:p w14:paraId="6AE0621A" w14:textId="77777777" w:rsidR="009F3D46" w:rsidRDefault="009F3D46" w:rsidP="009F3D46">
      <w:pPr>
        <w:tabs>
          <w:tab w:val="left" w:pos="432"/>
        </w:tabs>
        <w:rPr>
          <w:b/>
          <w:bCs/>
        </w:rPr>
      </w:pPr>
    </w:p>
    <w:p w14:paraId="3D206F9D" w14:textId="4A0E7430" w:rsidR="009F3D46" w:rsidRDefault="009F3D46" w:rsidP="009F3D46">
      <w:pPr>
        <w:tabs>
          <w:tab w:val="left" w:pos="432"/>
        </w:tabs>
      </w:pPr>
      <w:r>
        <w:tab/>
        <w:t xml:space="preserve">It is beyond the scope of this module to fully discuss the impact of the presence of Muslim communities in the EU, although some elements are incorporated in the later references to </w:t>
      </w:r>
      <w:r>
        <w:rPr>
          <w:i/>
          <w:iCs/>
        </w:rPr>
        <w:t>Islamophobia</w:t>
      </w:r>
      <w:r>
        <w:t>.  Manifestations of prejudice that focused on Muslims in the EU may be based specifically on religious prejudice, although there is a crossover with other forms of prejudice (for example, ethnic, cultural and/or racial prejudice).  Muslim communities have been one focus of  so-called ‘right wing’ extremist groups. Many inco</w:t>
      </w:r>
      <w:r w:rsidR="00030B7B">
        <w:t>rporate: fascist, fascist, para</w:t>
      </w:r>
      <w:r>
        <w:t xml:space="preserve">military, nationalistic, xenophobic, ‘extremist’ elements based on hatred and/or fear of non-nationals/ethnic minorities/different religions.  This is often based on a pseudo-scientific rationale, and occasionally garbed as ‘legitimate politics.’  The development of these groups is not only a cause of concern for ethnic and religious minorities - but for individuals and groups across the political spectrum.  One example that has impacted on Muslims in France was that of the </w:t>
      </w:r>
      <w:r>
        <w:rPr>
          <w:i/>
        </w:rPr>
        <w:t>Front National</w:t>
      </w:r>
      <w:r>
        <w:t xml:space="preserve"> of France.  There have been other examples of far-right anti-Muslim activities in Germany. However, forms of prejudice are not the preserve of so-called ‘extremists’, and Muslims in the EU have been witness to many different forms of (what they perceive to be) discrimination and prejudice based around their religious beliefs and practices. Some of these issues will be discussed in relation to the UK.   </w:t>
      </w:r>
    </w:p>
    <w:p w14:paraId="2066B0BB" w14:textId="77777777" w:rsidR="009F3D46" w:rsidRDefault="009F3D46" w:rsidP="009F3D46">
      <w:pPr>
        <w:tabs>
          <w:tab w:val="left" w:pos="432"/>
        </w:tabs>
        <w:rPr>
          <w:b/>
          <w:bCs/>
        </w:rPr>
      </w:pPr>
      <w:r>
        <w:br w:type="page"/>
      </w:r>
      <w:r>
        <w:rPr>
          <w:b/>
          <w:bCs/>
        </w:rPr>
        <w:t>Islam Today in European Contexts</w:t>
      </w:r>
    </w:p>
    <w:p w14:paraId="1E96AF7B" w14:textId="77777777" w:rsidR="009F3D46" w:rsidRDefault="009F3D46" w:rsidP="009F3D46">
      <w:pPr>
        <w:tabs>
          <w:tab w:val="left" w:pos="432"/>
        </w:tabs>
        <w:rPr>
          <w:b/>
          <w:bCs/>
        </w:rPr>
      </w:pPr>
    </w:p>
    <w:p w14:paraId="15D6C858" w14:textId="49380FF6" w:rsidR="009F3D46" w:rsidRDefault="009F3D46" w:rsidP="009F3D46">
      <w:pPr>
        <w:pStyle w:val="Heading4"/>
        <w:tabs>
          <w:tab w:val="left" w:pos="432"/>
        </w:tabs>
      </w:pPr>
      <w:r>
        <w:t xml:space="preserve">Further Reading </w:t>
      </w:r>
    </w:p>
    <w:p w14:paraId="6BD09675" w14:textId="77777777" w:rsidR="009F3D46" w:rsidRDefault="009F3D46" w:rsidP="009F3D46">
      <w:pPr>
        <w:tabs>
          <w:tab w:val="left" w:pos="432"/>
        </w:tabs>
      </w:pPr>
    </w:p>
    <w:p w14:paraId="3C28F313" w14:textId="77777777" w:rsidR="009F3D46" w:rsidRDefault="009F3D46" w:rsidP="009F3D46">
      <w:pPr>
        <w:tabs>
          <w:tab w:val="left" w:pos="432"/>
        </w:tabs>
      </w:pPr>
      <w:r>
        <w:t>1.</w:t>
      </w:r>
      <w:r>
        <w:tab/>
        <w:t xml:space="preserve">Bassam Tibi, ‘Muslim Migrants in Europe: Between Euro-Islam and Ghettoization’, chap. in </w:t>
      </w:r>
      <w:r>
        <w:rPr>
          <w:i/>
        </w:rPr>
        <w:t>Muslim Europe or Euro-Islam</w:t>
      </w:r>
      <w:r>
        <w:t xml:space="preserve">: </w:t>
      </w:r>
      <w:r>
        <w:rPr>
          <w:i/>
        </w:rPr>
        <w:t>Politics, Culture, and Citizenship in the Age of Globalization,</w:t>
      </w:r>
      <w:r>
        <w:t xml:space="preserve"> Nezar AlSayyad and Manuel Castells (Eds.), (Boston: Lexington Books, 2002) </w:t>
      </w:r>
    </w:p>
    <w:p w14:paraId="0A020163" w14:textId="77777777" w:rsidR="009F3D46" w:rsidRDefault="009F3D46" w:rsidP="009F3D46">
      <w:pPr>
        <w:tabs>
          <w:tab w:val="left" w:pos="432"/>
        </w:tabs>
      </w:pPr>
    </w:p>
    <w:p w14:paraId="09FBF282" w14:textId="77777777" w:rsidR="009F3D46" w:rsidRDefault="009F3D46" w:rsidP="009F3D46">
      <w:pPr>
        <w:pStyle w:val="BodyText3"/>
        <w:tabs>
          <w:tab w:val="left" w:pos="432"/>
        </w:tabs>
      </w:pPr>
      <w:r>
        <w:t>This chapter discusses some of the stereotypes associated with Muslims in Europe, and suggests some approaches towards identity and migration issues.</w:t>
      </w:r>
    </w:p>
    <w:p w14:paraId="219319E7" w14:textId="77777777" w:rsidR="009F3D46" w:rsidRDefault="009F3D46" w:rsidP="009F3D46">
      <w:pPr>
        <w:tabs>
          <w:tab w:val="left" w:pos="432"/>
        </w:tabs>
      </w:pPr>
    </w:p>
    <w:p w14:paraId="235580FF" w14:textId="77777777" w:rsidR="009F3D46" w:rsidRDefault="009F3D46" w:rsidP="009F3D46">
      <w:pPr>
        <w:tabs>
          <w:tab w:val="left" w:pos="432"/>
        </w:tabs>
      </w:pPr>
      <w:r>
        <w:t>2.</w:t>
      </w:r>
      <w:r>
        <w:tab/>
        <w:t xml:space="preserve">James Helicke, ‘Turks in Germany: Muslim Identity “between” States’, chap. in </w:t>
      </w:r>
      <w:r>
        <w:rPr>
          <w:i/>
        </w:rPr>
        <w:t>Muslim Minorities in the West</w:t>
      </w:r>
      <w:r>
        <w:t>, Yvonne Hazbeck Haddad and Jane I. Smith (eds.), (Walnut Creek, CA; Lanham, MD; Oxford: Altamira Press, 2002)</w:t>
      </w:r>
    </w:p>
    <w:p w14:paraId="22427474" w14:textId="77777777" w:rsidR="009F3D46" w:rsidRDefault="009F3D46" w:rsidP="009F3D46">
      <w:pPr>
        <w:tabs>
          <w:tab w:val="left" w:pos="432"/>
        </w:tabs>
      </w:pPr>
    </w:p>
    <w:p w14:paraId="6A7A5A5C" w14:textId="77777777" w:rsidR="009F3D46" w:rsidRDefault="009F3D46" w:rsidP="009F3D46">
      <w:pPr>
        <w:pStyle w:val="BodyText3"/>
        <w:tabs>
          <w:tab w:val="left" w:pos="432"/>
        </w:tabs>
      </w:pPr>
      <w:r>
        <w:t xml:space="preserve">This chapter provides an overview of cultural and political issues in relation to Germany’s Turkish communities, emphasising shifts in religious and social identities and perspectives. </w:t>
      </w:r>
    </w:p>
    <w:p w14:paraId="72E95B8D" w14:textId="77777777" w:rsidR="009F3D46" w:rsidRDefault="009F3D46" w:rsidP="009F3D46">
      <w:pPr>
        <w:tabs>
          <w:tab w:val="left" w:pos="432"/>
        </w:tabs>
      </w:pPr>
    </w:p>
    <w:p w14:paraId="7D6A3225" w14:textId="77777777" w:rsidR="009F3D46" w:rsidRDefault="009F3D46" w:rsidP="009F3D46">
      <w:pPr>
        <w:tabs>
          <w:tab w:val="left" w:pos="432"/>
        </w:tabs>
        <w:rPr>
          <w:b/>
          <w:bCs/>
        </w:rPr>
      </w:pPr>
      <w:r>
        <w:rPr>
          <w:b/>
          <w:bCs/>
        </w:rPr>
        <w:t xml:space="preserve">On the Internet: </w:t>
      </w:r>
    </w:p>
    <w:p w14:paraId="6E12B471" w14:textId="77777777" w:rsidR="009F3D46" w:rsidRDefault="009F3D46" w:rsidP="009F3D46">
      <w:pPr>
        <w:tabs>
          <w:tab w:val="left" w:pos="432"/>
        </w:tabs>
      </w:pPr>
    </w:p>
    <w:p w14:paraId="5EA14EC1" w14:textId="77777777" w:rsidR="009F3D46" w:rsidRDefault="009F3D46" w:rsidP="009F3D46">
      <w:pPr>
        <w:tabs>
          <w:tab w:val="left" w:pos="432"/>
        </w:tabs>
      </w:pPr>
      <w:r>
        <w:t>3.</w:t>
      </w:r>
      <w:r>
        <w:tab/>
        <w:t xml:space="preserve">Christopher Allen and Jorgen S. Nielsen, </w:t>
      </w:r>
      <w:r>
        <w:rPr>
          <w:i/>
          <w:iCs/>
        </w:rPr>
        <w:t>Summary Report on Islamophobia in the EU after 11 September 2001</w:t>
      </w:r>
      <w:r>
        <w:t xml:space="preserve">, (Vienna: The European Monitoring Centre on Racism and Xenophobia, 2002) </w:t>
      </w:r>
      <w:r w:rsidRPr="003E3C21">
        <w:t>http://fra.europa.eu/fraWebsite/attachments/Synthesis-report_en.pdf</w:t>
      </w:r>
    </w:p>
    <w:p w14:paraId="6D573E1E" w14:textId="77777777" w:rsidR="009F3D46" w:rsidRDefault="009F3D46" w:rsidP="009F3D46">
      <w:pPr>
        <w:tabs>
          <w:tab w:val="left" w:pos="432"/>
        </w:tabs>
        <w:rPr>
          <w:b/>
          <w:bCs/>
        </w:rPr>
      </w:pPr>
    </w:p>
    <w:p w14:paraId="46F6F657" w14:textId="77777777" w:rsidR="009F3D46" w:rsidRDefault="009F3D46" w:rsidP="009F3D46">
      <w:pPr>
        <w:pStyle w:val="BodyText3"/>
        <w:tabs>
          <w:tab w:val="left" w:pos="432"/>
        </w:tabs>
      </w:pPr>
      <w:r>
        <w:t>This is an extensive overview of recent manifestations of prejudice post 9-11, providing a country-by-country analysis based on survey data. This resource requires Adobe Acrobat to read.</w:t>
      </w:r>
    </w:p>
    <w:p w14:paraId="0B5541BF" w14:textId="77777777" w:rsidR="009F3D46" w:rsidRDefault="009F3D46" w:rsidP="009F3D46">
      <w:pPr>
        <w:tabs>
          <w:tab w:val="left" w:pos="432"/>
        </w:tabs>
        <w:rPr>
          <w:i/>
          <w:iCs/>
        </w:rPr>
      </w:pPr>
    </w:p>
    <w:p w14:paraId="60C80391" w14:textId="77777777" w:rsidR="009F3D46" w:rsidRPr="00177E51" w:rsidRDefault="009F3D46" w:rsidP="009F3D46">
      <w:pPr>
        <w:tabs>
          <w:tab w:val="left" w:pos="432"/>
        </w:tabs>
      </w:pPr>
      <w:r>
        <w:t>4.</w:t>
      </w:r>
      <w:r>
        <w:tab/>
      </w:r>
      <w:r>
        <w:rPr>
          <w:i/>
          <w:iCs/>
        </w:rPr>
        <w:t xml:space="preserve">Monitoring Minority Protection in the EU, </w:t>
      </w:r>
      <w:r>
        <w:t xml:space="preserve">(Budapest and New York: Open Society Institute/EU Accession Monitoring Program, 2002)   </w:t>
      </w:r>
      <w:r w:rsidRPr="003E3C21">
        <w:t>http://www.soros.org/resources/articles_publications/publications/euminority_20021125</w:t>
      </w:r>
    </w:p>
    <w:p w14:paraId="743DC0F1" w14:textId="77777777" w:rsidR="009F3D46" w:rsidRPr="00177E51" w:rsidRDefault="009F3D46" w:rsidP="009F3D46">
      <w:pPr>
        <w:tabs>
          <w:tab w:val="left" w:pos="432"/>
        </w:tabs>
        <w:rPr>
          <w:i/>
        </w:rPr>
      </w:pPr>
      <w:r w:rsidRPr="00177E51">
        <w:rPr>
          <w:i/>
        </w:rPr>
        <w:t>This includes detailed report</w:t>
      </w:r>
      <w:r>
        <w:rPr>
          <w:i/>
        </w:rPr>
        <w:t>s</w:t>
      </w:r>
      <w:r w:rsidRPr="00177E51">
        <w:rPr>
          <w:i/>
        </w:rPr>
        <w:t xml:space="preserve"> </w:t>
      </w:r>
      <w:r>
        <w:rPr>
          <w:i/>
        </w:rPr>
        <w:t xml:space="preserve">on a country-by-country basis </w:t>
      </w:r>
      <w:r w:rsidRPr="00177E51">
        <w:rPr>
          <w:i/>
        </w:rPr>
        <w:t xml:space="preserve">(scroll down for appropriate documentation). </w:t>
      </w:r>
      <w:r>
        <w:rPr>
          <w:i/>
        </w:rPr>
        <w:t>It is also referred to in the UK section.</w:t>
      </w:r>
    </w:p>
    <w:p w14:paraId="001FD3A4" w14:textId="77777777" w:rsidR="009F3D46" w:rsidRDefault="009F3D46" w:rsidP="009F3D46">
      <w:pPr>
        <w:tabs>
          <w:tab w:val="left" w:pos="432"/>
        </w:tabs>
      </w:pPr>
    </w:p>
    <w:p w14:paraId="6006F83E" w14:textId="77777777" w:rsidR="009F3D46" w:rsidRDefault="009F3D46" w:rsidP="009F3D46">
      <w:pPr>
        <w:pStyle w:val="Heading1"/>
        <w:tabs>
          <w:tab w:val="left" w:pos="432"/>
        </w:tabs>
        <w:spacing w:line="240" w:lineRule="auto"/>
      </w:pPr>
      <w:r>
        <w:t>Other material</w:t>
      </w:r>
    </w:p>
    <w:p w14:paraId="066E4F2D" w14:textId="77777777" w:rsidR="009F3D46" w:rsidRDefault="009F3D46" w:rsidP="009F3D46">
      <w:pPr>
        <w:pStyle w:val="Heading1"/>
        <w:tabs>
          <w:tab w:val="left" w:pos="432"/>
        </w:tabs>
        <w:spacing w:line="240" w:lineRule="auto"/>
      </w:pPr>
    </w:p>
    <w:p w14:paraId="50E01B62" w14:textId="77777777" w:rsidR="009F3D46" w:rsidRDefault="009F3D46" w:rsidP="009F3D46">
      <w:pPr>
        <w:tabs>
          <w:tab w:val="left" w:pos="432"/>
        </w:tabs>
      </w:pPr>
      <w:r>
        <w:t>5.</w:t>
      </w:r>
      <w:r>
        <w:tab/>
        <w:t xml:space="preserve">Neal Robinson, ‘France’, chap. in David Westerlund and Ingvar Svanberg, </w:t>
      </w:r>
      <w:r>
        <w:rPr>
          <w:i/>
        </w:rPr>
        <w:t>Islam Outside the Arab World</w:t>
      </w:r>
      <w:r>
        <w:t>, (Richmond: Curzon Press, 1999)</w:t>
      </w:r>
    </w:p>
    <w:p w14:paraId="4087549F" w14:textId="77777777" w:rsidR="009F3D46" w:rsidRDefault="009F3D46" w:rsidP="009F3D46">
      <w:pPr>
        <w:tabs>
          <w:tab w:val="left" w:pos="432"/>
        </w:tabs>
      </w:pPr>
    </w:p>
    <w:p w14:paraId="22C61F52" w14:textId="77777777" w:rsidR="009F3D46" w:rsidRDefault="009F3D46" w:rsidP="009F3D46">
      <w:pPr>
        <w:pStyle w:val="BodyText3"/>
        <w:tabs>
          <w:tab w:val="left" w:pos="432"/>
        </w:tabs>
      </w:pPr>
      <w:r>
        <w:t>This chapter explores the relationship between France and Muslims, highlighting contemporary trends and events, and providing a bibliography for further reading.</w:t>
      </w:r>
    </w:p>
    <w:p w14:paraId="7C2AFA3E" w14:textId="60252AD4" w:rsidR="009F3D46" w:rsidRDefault="009F3D46" w:rsidP="00570109">
      <w:pPr>
        <w:pStyle w:val="Heading1"/>
        <w:tabs>
          <w:tab w:val="left" w:pos="432"/>
        </w:tabs>
        <w:spacing w:line="240" w:lineRule="auto"/>
      </w:pPr>
      <w:r>
        <w:br w:type="page"/>
      </w:r>
    </w:p>
    <w:p w14:paraId="17CF2771" w14:textId="77777777" w:rsidR="001428E1" w:rsidRDefault="001428E1"/>
    <w:sectPr w:rsidR="001428E1" w:rsidSect="00012EF9">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0DB086" w14:textId="77777777" w:rsidR="009F3D46" w:rsidRDefault="009F3D46" w:rsidP="009F3D46">
      <w:r>
        <w:separator/>
      </w:r>
    </w:p>
  </w:endnote>
  <w:endnote w:type="continuationSeparator" w:id="0">
    <w:p w14:paraId="33EB8E82" w14:textId="77777777" w:rsidR="009F3D46" w:rsidRDefault="009F3D46" w:rsidP="009F3D46">
      <w:r>
        <w:continuationSeparator/>
      </w:r>
    </w:p>
  </w:endnote>
  <w:endnote w:id="1">
    <w:p w14:paraId="08B0B62E" w14:textId="77777777" w:rsidR="009F3D46" w:rsidRDefault="009F3D46" w:rsidP="009F3D46">
      <w:r>
        <w:rPr>
          <w:rStyle w:val="EndnoteReference"/>
        </w:rPr>
        <w:endnoteRef/>
      </w:r>
      <w:r>
        <w:t xml:space="preserve"> </w:t>
      </w:r>
      <w:r>
        <w:tab/>
        <w:t xml:space="preserve">Eurostat, ‘378.5 million inhabitants in the EU and 305.1 million in the euro zone on 1 January 2003’, http:// europa.eu.int </w:t>
      </w:r>
    </w:p>
    <w:p w14:paraId="7E49BDAD" w14:textId="77777777" w:rsidR="009F3D46" w:rsidRDefault="009F3D46" w:rsidP="009F3D46"/>
  </w:endnote>
  <w:endnote w:id="2">
    <w:p w14:paraId="6DFE942D" w14:textId="77777777" w:rsidR="009F3D46" w:rsidRDefault="009F3D46" w:rsidP="009F3D46">
      <w:r>
        <w:rPr>
          <w:rStyle w:val="EndnoteReference"/>
        </w:rPr>
        <w:endnoteRef/>
      </w:r>
      <w:r>
        <w:tab/>
        <w:t xml:space="preserve">Tariq Modood, “British Asian Muslims and the Rushdie Affair,” </w:t>
      </w:r>
      <w:r>
        <w:rPr>
          <w:i/>
        </w:rPr>
        <w:t>Political Quarterly</w:t>
      </w:r>
      <w:r>
        <w:t xml:space="preserve"> 61(2) April 1990.</w:t>
      </w:r>
    </w:p>
    <w:p w14:paraId="5A8765C7" w14:textId="77777777" w:rsidR="009F3D46" w:rsidRDefault="009F3D46" w:rsidP="009F3D46"/>
  </w:endnote>
  <w:endnote w:id="3">
    <w:p w14:paraId="17585EA2" w14:textId="77777777"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CSIS Euro-Forum, Rémy Leveau, Islam in France and Germany, March 6 1999, http://www.csis.org/europe/frm990412.html</w:t>
      </w:r>
    </w:p>
    <w:p w14:paraId="34333070" w14:textId="77777777" w:rsidR="009F3D46" w:rsidRDefault="009F3D46" w:rsidP="009F3D46">
      <w:pPr>
        <w:pStyle w:val="EndnoteText"/>
        <w:rPr>
          <w:rFonts w:ascii="Georgia" w:hAnsi="Georgia"/>
          <w:sz w:val="24"/>
        </w:rPr>
      </w:pPr>
    </w:p>
  </w:endnote>
  <w:endnote w:id="4">
    <w:p w14:paraId="26C1D8D6" w14:textId="77777777" w:rsidR="009F3D46" w:rsidRDefault="009F3D46" w:rsidP="009F3D46">
      <w:r>
        <w:rPr>
          <w:rStyle w:val="EndnoteReference"/>
        </w:rPr>
        <w:endnoteRef/>
      </w:r>
      <w:r>
        <w:tab/>
        <w:t xml:space="preserve">Jan Nederveen Pieterse, “Fictions of Europe”, </w:t>
      </w:r>
      <w:r>
        <w:rPr>
          <w:i/>
        </w:rPr>
        <w:t>Race &amp; Class</w:t>
      </w:r>
      <w:r>
        <w:t xml:space="preserve"> No.32 Vol.3 1991</w:t>
      </w:r>
    </w:p>
    <w:p w14:paraId="75A85FAF" w14:textId="77777777" w:rsidR="009F3D46" w:rsidRDefault="009F3D46" w:rsidP="009F3D46"/>
  </w:endnote>
  <w:endnote w:id="5">
    <w:p w14:paraId="576BA386" w14:textId="77777777" w:rsidR="009F3D46" w:rsidRDefault="009F3D46" w:rsidP="009F3D46">
      <w:r>
        <w:rPr>
          <w:rStyle w:val="EndnoteReference"/>
        </w:rPr>
        <w:endnoteRef/>
      </w:r>
      <w:r>
        <w:tab/>
        <w:t>Tony Bunyan, “Towards an Authoritarian European State.”</w:t>
      </w:r>
      <w:r>
        <w:rPr>
          <w:i/>
        </w:rPr>
        <w:t xml:space="preserve"> Race &amp; Class No</w:t>
      </w:r>
      <w:r>
        <w:t>. 32, Vol.3, 1991</w:t>
      </w:r>
    </w:p>
    <w:p w14:paraId="576D3BB2" w14:textId="77777777" w:rsidR="009F3D46" w:rsidRDefault="009F3D46" w:rsidP="009F3D46"/>
  </w:endnote>
  <w:endnote w:id="6">
    <w:p w14:paraId="14980AB6" w14:textId="77777777" w:rsidR="009F3D46" w:rsidRDefault="009F3D46" w:rsidP="009F3D46">
      <w:r>
        <w:rPr>
          <w:rStyle w:val="EndnoteReference"/>
        </w:rPr>
        <w:endnoteRef/>
      </w:r>
      <w:r>
        <w:tab/>
        <w:t xml:space="preserve">Glyn Ford (Rapporteur), </w:t>
      </w:r>
      <w:r>
        <w:rPr>
          <w:i/>
          <w:iCs/>
        </w:rPr>
        <w:t>Report drawn up on behalf of the Committee of Inquiry into Racism and Xenophobia: on the findings of the Committee of Inquiry</w:t>
      </w:r>
      <w:r>
        <w:t xml:space="preserve">.  Brussels-Luxembourg, European Parliament: EUSC-EEU-EAEU, 1991 </w:t>
      </w:r>
    </w:p>
    <w:p w14:paraId="27DFA2F0" w14:textId="77777777" w:rsidR="009F3D46" w:rsidRDefault="009F3D46" w:rsidP="009F3D46"/>
  </w:endnote>
  <w:endnote w:id="7">
    <w:p w14:paraId="497A9B37" w14:textId="77777777" w:rsidR="009F3D46" w:rsidRDefault="009F3D46" w:rsidP="009F3D46">
      <w:r>
        <w:rPr>
          <w:rStyle w:val="EndnoteReference"/>
        </w:rPr>
        <w:endnoteRef/>
      </w:r>
      <w:r>
        <w:tab/>
        <w:t>Web page of Swedish School of Social Science, University of Helsinki. “About the Schengen Agreement”, http://sockom.helsinki.fi/-hraita/antifa/jutut/fortres.2.htm</w:t>
      </w:r>
    </w:p>
    <w:p w14:paraId="7FA17880" w14:textId="77777777" w:rsidR="009F3D46" w:rsidRDefault="009F3D46" w:rsidP="009F3D46"/>
  </w:endnote>
  <w:endnote w:id="8">
    <w:p w14:paraId="7098B970" w14:textId="77777777" w:rsidR="009F3D46" w:rsidRDefault="009F3D46" w:rsidP="009F3D46">
      <w:r>
        <w:rPr>
          <w:rStyle w:val="EndnoteReference"/>
        </w:rPr>
        <w:endnoteRef/>
      </w:r>
      <w:r>
        <w:tab/>
        <w:t xml:space="preserve">Joint Council for the Welfare of Immigrants, </w:t>
      </w:r>
      <w:r>
        <w:rPr>
          <w:i/>
        </w:rPr>
        <w:t>Annual Report 1990-91.</w:t>
      </w:r>
      <w:r>
        <w:t xml:space="preserve"> London 1991.</w:t>
      </w:r>
    </w:p>
    <w:p w14:paraId="2E0EF01B" w14:textId="77777777" w:rsidR="009F3D46" w:rsidRDefault="009F3D46" w:rsidP="009F3D46"/>
  </w:endnote>
  <w:endnote w:id="9">
    <w:p w14:paraId="0E1DFD60" w14:textId="77777777" w:rsidR="009F3D46" w:rsidRDefault="009F3D46" w:rsidP="009F3D46">
      <w:r>
        <w:rPr>
          <w:rStyle w:val="EndnoteReference"/>
        </w:rPr>
        <w:endnoteRef/>
      </w:r>
      <w:r>
        <w:tab/>
        <w:t xml:space="preserve">Francis Whyte, “Dossier”, </w:t>
      </w:r>
      <w:r>
        <w:rPr>
          <w:i/>
        </w:rPr>
        <w:t>The Courier</w:t>
      </w:r>
      <w:r>
        <w:t xml:space="preserve"> 129, Sept-Oct 1991, Brussels. 64-5</w:t>
      </w:r>
    </w:p>
    <w:p w14:paraId="2F8DFCE1" w14:textId="77777777" w:rsidR="009F3D46" w:rsidRDefault="009F3D46" w:rsidP="009F3D46"/>
  </w:endnote>
  <w:endnote w:id="10">
    <w:p w14:paraId="752B15A2" w14:textId="77777777" w:rsidR="009F3D46" w:rsidRDefault="009F3D46" w:rsidP="009F3D46">
      <w:r>
        <w:rPr>
          <w:rStyle w:val="EndnoteReference"/>
        </w:rPr>
        <w:endnoteRef/>
      </w:r>
      <w:r>
        <w:t xml:space="preserve"> </w:t>
      </w:r>
      <w:r>
        <w:tab/>
        <w:t xml:space="preserve">EU, </w:t>
      </w:r>
      <w:r>
        <w:rPr>
          <w:i/>
          <w:iCs/>
        </w:rPr>
        <w:t>Charter of Fundamental Rights</w:t>
      </w:r>
      <w:r>
        <w:t>: Home Page,  http://www.europarl.eu.int/charter/default_en.htm</w:t>
      </w:r>
    </w:p>
    <w:p w14:paraId="10E9D626" w14:textId="77777777" w:rsidR="009F3D46" w:rsidRDefault="009F3D46" w:rsidP="009F3D46"/>
  </w:endnote>
  <w:endnote w:id="11">
    <w:p w14:paraId="75C931AA" w14:textId="77777777" w:rsidR="009F3D46" w:rsidRDefault="009F3D46" w:rsidP="009F3D46">
      <w:r>
        <w:rPr>
          <w:rStyle w:val="EndnoteReference"/>
        </w:rPr>
        <w:endnoteRef/>
      </w:r>
      <w:r>
        <w:t xml:space="preserve"> </w:t>
      </w:r>
      <w:r>
        <w:tab/>
        <w:t>Refugee Council, Asylum Statistics 2001, http://www.refugeecouncil.org.uk/downloads/stats/summary_2001.pdf</w:t>
      </w:r>
    </w:p>
    <w:p w14:paraId="428339FF" w14:textId="77777777" w:rsidR="009F3D46" w:rsidRDefault="009F3D46" w:rsidP="009F3D46"/>
  </w:endnote>
  <w:endnote w:id="12">
    <w:p w14:paraId="3F54D390" w14:textId="77777777" w:rsidR="009F3D46" w:rsidRDefault="009F3D46" w:rsidP="009F3D46">
      <w:pPr>
        <w:pStyle w:val="EndnoteText"/>
        <w:rPr>
          <w:rFonts w:ascii="Georgia" w:hAnsi="Georgia"/>
          <w:sz w:val="24"/>
        </w:rPr>
      </w:pPr>
      <w:r>
        <w:rPr>
          <w:rStyle w:val="EndnoteReference"/>
          <w:sz w:val="24"/>
        </w:rPr>
        <w:endnoteRef/>
      </w:r>
      <w:r>
        <w:rPr>
          <w:rFonts w:ascii="Georgia" w:hAnsi="Georgia"/>
          <w:sz w:val="24"/>
        </w:rPr>
        <w:t xml:space="preserve"> </w:t>
      </w:r>
      <w:r>
        <w:rPr>
          <w:rFonts w:ascii="Georgia" w:hAnsi="Georgia"/>
          <w:sz w:val="24"/>
        </w:rPr>
        <w:tab/>
        <w:t>Estimated figures. UNHCR, Information and Briefings, http://www.unhcr.org.uk/info/briefings/statistics/index.html, citing Home Office, ‘Home Office Asylum Statistics, 4th Quarter 2002’</w:t>
      </w:r>
      <w:r>
        <w:rPr>
          <w:rFonts w:ascii="Georgia" w:hAnsi="Georgia"/>
          <w:i/>
          <w:iCs/>
          <w:sz w:val="24"/>
        </w:rPr>
        <w:t xml:space="preserve">, </w:t>
      </w:r>
      <w:r>
        <w:rPr>
          <w:rFonts w:ascii="Georgia" w:hAnsi="Georgia"/>
          <w:sz w:val="24"/>
        </w:rPr>
        <w:t>http://www.homeoffice.gov.uk/rds/pdfs/asylumq401.pdf</w:t>
      </w:r>
    </w:p>
    <w:p w14:paraId="344512AE" w14:textId="77777777" w:rsidR="009F3D46" w:rsidRDefault="009F3D46" w:rsidP="009F3D46">
      <w:pPr>
        <w:pStyle w:val="EndnoteText"/>
        <w:rPr>
          <w:rFonts w:ascii="Georgia" w:hAnsi="Georgia"/>
          <w:sz w:val="24"/>
        </w:rPr>
      </w:pPr>
    </w:p>
  </w:endnote>
  <w:endnote w:id="13">
    <w:p w14:paraId="58EA6F1B" w14:textId="77777777" w:rsidR="009F3D46" w:rsidRDefault="009F3D46" w:rsidP="009F3D46">
      <w:r>
        <w:rPr>
          <w:rStyle w:val="EndnoteReference"/>
        </w:rPr>
        <w:endnoteRef/>
      </w:r>
      <w:r>
        <w:t xml:space="preserve"> European Council on Refugees and Exiles, EU Asylum Facts, http://www.ecre.org/factfile/realfacts.shtml (citing Population Data Unit, UNHCR, Geneva)</w:t>
      </w:r>
    </w:p>
    <w:p w14:paraId="34B54D1B" w14:textId="77777777" w:rsidR="009F3D46" w:rsidRDefault="009F3D46" w:rsidP="009F3D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Georgia">
    <w:panose1 w:val="02040502050405020303"/>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1769"/>
      <w:docPartObj>
        <w:docPartGallery w:val="Page Numbers (Bottom of Page)"/>
        <w:docPartUnique/>
      </w:docPartObj>
    </w:sdtPr>
    <w:sdtEndPr/>
    <w:sdtContent>
      <w:p w14:paraId="456B3F63" w14:textId="77777777" w:rsidR="009F3D46" w:rsidRDefault="009F3D46">
        <w:pPr>
          <w:pStyle w:val="Footer"/>
          <w:jc w:val="center"/>
        </w:pPr>
        <w:r>
          <w:fldChar w:fldCharType="begin"/>
        </w:r>
        <w:r>
          <w:instrText xml:space="preserve"> PAGE   \* MERGEFORMAT </w:instrText>
        </w:r>
        <w:r>
          <w:fldChar w:fldCharType="separate"/>
        </w:r>
        <w:r w:rsidR="00570109">
          <w:rPr>
            <w:noProof/>
          </w:rPr>
          <w:t>1</w:t>
        </w:r>
        <w:r>
          <w:rPr>
            <w:noProof/>
          </w:rPr>
          <w:fldChar w:fldCharType="end"/>
        </w:r>
      </w:p>
    </w:sdtContent>
  </w:sdt>
  <w:p w14:paraId="3E6B9188" w14:textId="77777777" w:rsidR="009F3D46" w:rsidRDefault="009F3D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1F76C1" w14:textId="77777777" w:rsidR="009F3D46" w:rsidRDefault="009F3D46" w:rsidP="009F3D46">
      <w:r>
        <w:separator/>
      </w:r>
    </w:p>
  </w:footnote>
  <w:footnote w:type="continuationSeparator" w:id="0">
    <w:p w14:paraId="4DD59730" w14:textId="77777777" w:rsidR="009F3D46" w:rsidRDefault="009F3D46" w:rsidP="009F3D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7E32F" w14:textId="6A2BF47B" w:rsidR="009F3D46" w:rsidRDefault="009F3D46">
    <w:pPr>
      <w:pStyle w:val="Heading1"/>
      <w:spacing w:line="240" w:lineRule="auto"/>
      <w:rPr>
        <w:sz w:val="20"/>
      </w:rPr>
    </w:pPr>
    <w:r>
      <w:tab/>
    </w:r>
    <w:r w:rsidR="00570109">
      <w:tab/>
    </w:r>
    <w:r w:rsidR="00570109">
      <w:tab/>
    </w:r>
    <w:r w:rsidR="00570109">
      <w:tab/>
    </w:r>
    <w:r w:rsidR="00570109">
      <w:tab/>
    </w:r>
    <w:r w:rsidR="00570109">
      <w:tab/>
    </w:r>
    <w:r w:rsidR="00570109">
      <w:tab/>
    </w:r>
    <w:r w:rsidR="00570109">
      <w:tab/>
    </w:r>
    <w:r>
      <w:rPr>
        <w:sz w:val="20"/>
      </w:rPr>
      <w:t xml:space="preserve">Islam Today </w:t>
    </w:r>
  </w:p>
  <w:p w14:paraId="46C365A7" w14:textId="77777777" w:rsidR="009F3D46" w:rsidRDefault="009F3D4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16665"/>
    <w:multiLevelType w:val="hybridMultilevel"/>
    <w:tmpl w:val="E1DA2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3185B59"/>
    <w:multiLevelType w:val="hybridMultilevel"/>
    <w:tmpl w:val="56B84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B405662"/>
    <w:multiLevelType w:val="hybridMultilevel"/>
    <w:tmpl w:val="74A8EC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C75DB5"/>
    <w:multiLevelType w:val="hybridMultilevel"/>
    <w:tmpl w:val="87346A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63A44FC2"/>
    <w:multiLevelType w:val="hybridMultilevel"/>
    <w:tmpl w:val="17600B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F6066D5"/>
    <w:multiLevelType w:val="hybridMultilevel"/>
    <w:tmpl w:val="A662809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46"/>
    <w:rsid w:val="00012EF9"/>
    <w:rsid w:val="00030B7B"/>
    <w:rsid w:val="001428E1"/>
    <w:rsid w:val="00550A82"/>
    <w:rsid w:val="00570109"/>
    <w:rsid w:val="007A6BD5"/>
    <w:rsid w:val="009F3D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2394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46"/>
    <w:rPr>
      <w:rFonts w:ascii="Georgia" w:eastAsia="Times New Roman" w:hAnsi="Georgia" w:cs="Times New Roman"/>
      <w:szCs w:val="20"/>
    </w:rPr>
  </w:style>
  <w:style w:type="paragraph" w:styleId="Heading1">
    <w:name w:val="heading 1"/>
    <w:basedOn w:val="Normal"/>
    <w:next w:val="Normal"/>
    <w:link w:val="Heading1Char"/>
    <w:qFormat/>
    <w:rsid w:val="009F3D46"/>
    <w:pPr>
      <w:keepNext/>
      <w:spacing w:line="480" w:lineRule="auto"/>
      <w:outlineLvl w:val="0"/>
    </w:pPr>
    <w:rPr>
      <w:b/>
      <w:bCs/>
    </w:rPr>
  </w:style>
  <w:style w:type="paragraph" w:styleId="Heading2">
    <w:name w:val="heading 2"/>
    <w:basedOn w:val="Normal"/>
    <w:next w:val="Normal"/>
    <w:link w:val="Heading2Char"/>
    <w:qFormat/>
    <w:rsid w:val="009F3D46"/>
    <w:pPr>
      <w:keepNext/>
      <w:tabs>
        <w:tab w:val="left" w:pos="-1440"/>
      </w:tabs>
      <w:ind w:left="720" w:hanging="720"/>
      <w:outlineLvl w:val="1"/>
    </w:pPr>
    <w:rPr>
      <w:b/>
    </w:rPr>
  </w:style>
  <w:style w:type="paragraph" w:styleId="Heading3">
    <w:name w:val="heading 3"/>
    <w:basedOn w:val="Normal"/>
    <w:next w:val="Normal"/>
    <w:link w:val="Heading3Char"/>
    <w:qFormat/>
    <w:rsid w:val="009F3D46"/>
    <w:pPr>
      <w:keepNext/>
      <w:jc w:val="both"/>
      <w:outlineLvl w:val="2"/>
    </w:pPr>
    <w:rPr>
      <w:b/>
    </w:rPr>
  </w:style>
  <w:style w:type="paragraph" w:styleId="Heading4">
    <w:name w:val="heading 4"/>
    <w:basedOn w:val="Normal"/>
    <w:next w:val="Normal"/>
    <w:link w:val="Heading4Char"/>
    <w:qFormat/>
    <w:rsid w:val="009F3D46"/>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46"/>
    <w:rPr>
      <w:rFonts w:ascii="Georgia" w:eastAsia="Times New Roman" w:hAnsi="Georgia" w:cs="Times New Roman"/>
      <w:b/>
      <w:bCs/>
      <w:szCs w:val="20"/>
    </w:rPr>
  </w:style>
  <w:style w:type="character" w:customStyle="1" w:styleId="Heading2Char">
    <w:name w:val="Heading 2 Char"/>
    <w:basedOn w:val="DefaultParagraphFont"/>
    <w:link w:val="Heading2"/>
    <w:rsid w:val="009F3D46"/>
    <w:rPr>
      <w:rFonts w:ascii="Georgia" w:eastAsia="Times New Roman" w:hAnsi="Georgia" w:cs="Times New Roman"/>
      <w:b/>
      <w:szCs w:val="20"/>
    </w:rPr>
  </w:style>
  <w:style w:type="character" w:customStyle="1" w:styleId="Heading3Char">
    <w:name w:val="Heading 3 Char"/>
    <w:basedOn w:val="DefaultParagraphFont"/>
    <w:link w:val="Heading3"/>
    <w:rsid w:val="009F3D46"/>
    <w:rPr>
      <w:rFonts w:ascii="Georgia" w:eastAsia="Times New Roman" w:hAnsi="Georgia" w:cs="Times New Roman"/>
      <w:b/>
      <w:szCs w:val="20"/>
    </w:rPr>
  </w:style>
  <w:style w:type="character" w:customStyle="1" w:styleId="Heading4Char">
    <w:name w:val="Heading 4 Char"/>
    <w:basedOn w:val="DefaultParagraphFont"/>
    <w:link w:val="Heading4"/>
    <w:rsid w:val="009F3D46"/>
    <w:rPr>
      <w:rFonts w:ascii="Georgia" w:eastAsia="Times New Roman" w:hAnsi="Georgia" w:cs="Times New Roman"/>
      <w:b/>
      <w:bCs/>
      <w:szCs w:val="20"/>
    </w:rPr>
  </w:style>
  <w:style w:type="paragraph" w:customStyle="1" w:styleId="a">
    <w:name w:val="_"/>
    <w:basedOn w:val="Normal"/>
    <w:rsid w:val="009F3D46"/>
    <w:pPr>
      <w:widowControl w:val="0"/>
      <w:ind w:left="720" w:hanging="720"/>
    </w:pPr>
    <w:rPr>
      <w:rFonts w:ascii="Courier" w:hAnsi="Courier"/>
      <w:snapToGrid w:val="0"/>
      <w:lang w:val="en-US"/>
    </w:rPr>
  </w:style>
  <w:style w:type="paragraph" w:styleId="EndnoteText">
    <w:name w:val="endnote text"/>
    <w:basedOn w:val="Normal"/>
    <w:link w:val="EndnoteTextChar"/>
    <w:semiHidden/>
    <w:rsid w:val="009F3D46"/>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9F3D46"/>
    <w:rPr>
      <w:rFonts w:ascii="Courier New" w:eastAsia="Times New Roman" w:hAnsi="Courier New" w:cs="Times New Roman"/>
      <w:sz w:val="20"/>
    </w:rPr>
  </w:style>
  <w:style w:type="character" w:styleId="EndnoteReference">
    <w:name w:val="endnote reference"/>
    <w:basedOn w:val="DefaultParagraphFont"/>
    <w:semiHidden/>
    <w:rsid w:val="009F3D46"/>
    <w:rPr>
      <w:vertAlign w:val="superscript"/>
    </w:rPr>
  </w:style>
  <w:style w:type="paragraph" w:styleId="BodyTextIndent">
    <w:name w:val="Body Text Indent"/>
    <w:basedOn w:val="Normal"/>
    <w:link w:val="BodyTextIndentChar"/>
    <w:rsid w:val="009F3D46"/>
    <w:pPr>
      <w:widowControl w:val="0"/>
      <w:suppressAutoHyphens/>
      <w:autoSpaceDE w:val="0"/>
      <w:autoSpaceDN w:val="0"/>
      <w:adjustRightInd w:val="0"/>
      <w:ind w:left="720"/>
    </w:pPr>
    <w:rPr>
      <w:rFonts w:cs="Courier New"/>
      <w:spacing w:val="-6"/>
      <w:sz w:val="20"/>
      <w:szCs w:val="24"/>
    </w:rPr>
  </w:style>
  <w:style w:type="character" w:customStyle="1" w:styleId="BodyTextIndentChar">
    <w:name w:val="Body Text Indent Char"/>
    <w:basedOn w:val="DefaultParagraphFont"/>
    <w:link w:val="BodyTextIndent"/>
    <w:rsid w:val="009F3D46"/>
    <w:rPr>
      <w:rFonts w:ascii="Georgia" w:eastAsia="Times New Roman" w:hAnsi="Georgia" w:cs="Courier New"/>
      <w:spacing w:val="-6"/>
      <w:sz w:val="20"/>
    </w:rPr>
  </w:style>
  <w:style w:type="paragraph" w:styleId="Footer">
    <w:name w:val="footer"/>
    <w:basedOn w:val="Normal"/>
    <w:link w:val="FooterChar"/>
    <w:uiPriority w:val="99"/>
    <w:rsid w:val="009F3D46"/>
    <w:pPr>
      <w:tabs>
        <w:tab w:val="center" w:pos="4153"/>
        <w:tab w:val="right" w:pos="8306"/>
      </w:tabs>
    </w:pPr>
  </w:style>
  <w:style w:type="character" w:customStyle="1" w:styleId="FooterChar">
    <w:name w:val="Footer Char"/>
    <w:basedOn w:val="DefaultParagraphFont"/>
    <w:link w:val="Footer"/>
    <w:uiPriority w:val="99"/>
    <w:rsid w:val="009F3D46"/>
    <w:rPr>
      <w:rFonts w:ascii="Georgia" w:eastAsia="Times New Roman" w:hAnsi="Georgia" w:cs="Times New Roman"/>
      <w:szCs w:val="20"/>
    </w:rPr>
  </w:style>
  <w:style w:type="paragraph" w:styleId="Header">
    <w:name w:val="header"/>
    <w:basedOn w:val="Normal"/>
    <w:link w:val="HeaderChar"/>
    <w:rsid w:val="009F3D46"/>
    <w:pPr>
      <w:tabs>
        <w:tab w:val="center" w:pos="4153"/>
        <w:tab w:val="right" w:pos="8306"/>
      </w:tabs>
    </w:pPr>
  </w:style>
  <w:style w:type="character" w:customStyle="1" w:styleId="HeaderChar">
    <w:name w:val="Header Char"/>
    <w:basedOn w:val="DefaultParagraphFont"/>
    <w:link w:val="Header"/>
    <w:rsid w:val="009F3D46"/>
    <w:rPr>
      <w:rFonts w:ascii="Georgia" w:eastAsia="Times New Roman" w:hAnsi="Georgia" w:cs="Times New Roman"/>
      <w:szCs w:val="20"/>
    </w:rPr>
  </w:style>
  <w:style w:type="paragraph" w:styleId="BodyText3">
    <w:name w:val="Body Text 3"/>
    <w:basedOn w:val="Normal"/>
    <w:link w:val="BodyText3Char"/>
    <w:rsid w:val="009F3D46"/>
    <w:rPr>
      <w:i/>
      <w:iCs/>
    </w:rPr>
  </w:style>
  <w:style w:type="character" w:customStyle="1" w:styleId="BodyText3Char">
    <w:name w:val="Body Text 3 Char"/>
    <w:basedOn w:val="DefaultParagraphFont"/>
    <w:link w:val="BodyText3"/>
    <w:rsid w:val="009F3D46"/>
    <w:rPr>
      <w:rFonts w:ascii="Georgia" w:eastAsia="Times New Roman" w:hAnsi="Georgia" w:cs="Times New Roman"/>
      <w:i/>
      <w:iCs/>
      <w:szCs w:val="20"/>
    </w:rPr>
  </w:style>
  <w:style w:type="character" w:styleId="FootnoteReference">
    <w:name w:val="footnote reference"/>
    <w:semiHidden/>
    <w:rsid w:val="009F3D46"/>
  </w:style>
  <w:style w:type="character" w:customStyle="1" w:styleId="subtitle1">
    <w:name w:val="subtitle1"/>
    <w:basedOn w:val="DefaultParagraphFont"/>
    <w:rsid w:val="009F3D46"/>
    <w:rPr>
      <w:b w:val="0"/>
      <w:bCs w:val="0"/>
      <w:color w:val="000000"/>
      <w:sz w:val="18"/>
      <w:szCs w:val="18"/>
    </w:rPr>
  </w:style>
  <w:style w:type="character" w:customStyle="1" w:styleId="cnstorytitle1">
    <w:name w:val="cn_story_title1"/>
    <w:basedOn w:val="DefaultParagraphFont"/>
    <w:rsid w:val="009F3D46"/>
    <w:rPr>
      <w:rFonts w:ascii="Verdana" w:hAnsi="Verdana" w:hint="default"/>
      <w:b/>
      <w:bCs/>
      <w:strike w:val="0"/>
      <w:dstrike w:val="0"/>
      <w:color w:val="000066"/>
      <w:sz w:val="24"/>
      <w:szCs w:val="24"/>
      <w:u w:val="none"/>
      <w:effect w:val="none"/>
    </w:rPr>
  </w:style>
  <w:style w:type="paragraph" w:styleId="NormalWeb">
    <w:name w:val="Normal (Web)"/>
    <w:basedOn w:val="Normal"/>
    <w:rsid w:val="009F3D46"/>
    <w:pPr>
      <w:spacing w:before="100" w:beforeAutospacing="1" w:after="100" w:afterAutospacing="1"/>
    </w:pPr>
    <w:rPr>
      <w:rFonts w:ascii="Arial Unicode MS" w:eastAsia="Arial Unicode MS" w:hAnsi="Arial Unicode MS" w:cs="Arial Unicode MS"/>
      <w:szCs w:val="24"/>
    </w:rPr>
  </w:style>
  <w:style w:type="character" w:styleId="Emphasis">
    <w:name w:val="Emphasis"/>
    <w:basedOn w:val="DefaultParagraphFont"/>
    <w:qFormat/>
    <w:rsid w:val="009F3D46"/>
    <w:rPr>
      <w:i/>
      <w:iCs/>
    </w:rPr>
  </w:style>
  <w:style w:type="paragraph" w:styleId="BalloonText">
    <w:name w:val="Balloon Text"/>
    <w:basedOn w:val="Normal"/>
    <w:link w:val="BalloonTextChar"/>
    <w:uiPriority w:val="99"/>
    <w:semiHidden/>
    <w:unhideWhenUsed/>
    <w:rsid w:val="009F3D46"/>
    <w:rPr>
      <w:rFonts w:ascii="Lucida Grande" w:hAnsi="Lucida Grande"/>
      <w:sz w:val="18"/>
      <w:szCs w:val="18"/>
    </w:rPr>
  </w:style>
  <w:style w:type="character" w:customStyle="1" w:styleId="BalloonTextChar">
    <w:name w:val="Balloon Text Char"/>
    <w:basedOn w:val="DefaultParagraphFont"/>
    <w:link w:val="BalloonText"/>
    <w:uiPriority w:val="99"/>
    <w:semiHidden/>
    <w:rsid w:val="009F3D46"/>
    <w:rPr>
      <w:rFonts w:ascii="Lucida Grande" w:eastAsia="Times New Roman" w:hAnsi="Lucida Grande" w:cs="Times New Roman"/>
      <w:sz w:val="18"/>
      <w:szCs w:val="18"/>
    </w:rPr>
  </w:style>
  <w:style w:type="character" w:styleId="Hyperlink">
    <w:name w:val="Hyperlink"/>
    <w:basedOn w:val="DefaultParagraphFont"/>
    <w:uiPriority w:val="99"/>
    <w:unhideWhenUsed/>
    <w:rsid w:val="00030B7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46"/>
    <w:rPr>
      <w:rFonts w:ascii="Georgia" w:eastAsia="Times New Roman" w:hAnsi="Georgia" w:cs="Times New Roman"/>
      <w:szCs w:val="20"/>
    </w:rPr>
  </w:style>
  <w:style w:type="paragraph" w:styleId="Heading1">
    <w:name w:val="heading 1"/>
    <w:basedOn w:val="Normal"/>
    <w:next w:val="Normal"/>
    <w:link w:val="Heading1Char"/>
    <w:qFormat/>
    <w:rsid w:val="009F3D46"/>
    <w:pPr>
      <w:keepNext/>
      <w:spacing w:line="480" w:lineRule="auto"/>
      <w:outlineLvl w:val="0"/>
    </w:pPr>
    <w:rPr>
      <w:b/>
      <w:bCs/>
    </w:rPr>
  </w:style>
  <w:style w:type="paragraph" w:styleId="Heading2">
    <w:name w:val="heading 2"/>
    <w:basedOn w:val="Normal"/>
    <w:next w:val="Normal"/>
    <w:link w:val="Heading2Char"/>
    <w:qFormat/>
    <w:rsid w:val="009F3D46"/>
    <w:pPr>
      <w:keepNext/>
      <w:tabs>
        <w:tab w:val="left" w:pos="-1440"/>
      </w:tabs>
      <w:ind w:left="720" w:hanging="720"/>
      <w:outlineLvl w:val="1"/>
    </w:pPr>
    <w:rPr>
      <w:b/>
    </w:rPr>
  </w:style>
  <w:style w:type="paragraph" w:styleId="Heading3">
    <w:name w:val="heading 3"/>
    <w:basedOn w:val="Normal"/>
    <w:next w:val="Normal"/>
    <w:link w:val="Heading3Char"/>
    <w:qFormat/>
    <w:rsid w:val="009F3D46"/>
    <w:pPr>
      <w:keepNext/>
      <w:jc w:val="both"/>
      <w:outlineLvl w:val="2"/>
    </w:pPr>
    <w:rPr>
      <w:b/>
    </w:rPr>
  </w:style>
  <w:style w:type="paragraph" w:styleId="Heading4">
    <w:name w:val="heading 4"/>
    <w:basedOn w:val="Normal"/>
    <w:next w:val="Normal"/>
    <w:link w:val="Heading4Char"/>
    <w:qFormat/>
    <w:rsid w:val="009F3D46"/>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46"/>
    <w:rPr>
      <w:rFonts w:ascii="Georgia" w:eastAsia="Times New Roman" w:hAnsi="Georgia" w:cs="Times New Roman"/>
      <w:b/>
      <w:bCs/>
      <w:szCs w:val="20"/>
    </w:rPr>
  </w:style>
  <w:style w:type="character" w:customStyle="1" w:styleId="Heading2Char">
    <w:name w:val="Heading 2 Char"/>
    <w:basedOn w:val="DefaultParagraphFont"/>
    <w:link w:val="Heading2"/>
    <w:rsid w:val="009F3D46"/>
    <w:rPr>
      <w:rFonts w:ascii="Georgia" w:eastAsia="Times New Roman" w:hAnsi="Georgia" w:cs="Times New Roman"/>
      <w:b/>
      <w:szCs w:val="20"/>
    </w:rPr>
  </w:style>
  <w:style w:type="character" w:customStyle="1" w:styleId="Heading3Char">
    <w:name w:val="Heading 3 Char"/>
    <w:basedOn w:val="DefaultParagraphFont"/>
    <w:link w:val="Heading3"/>
    <w:rsid w:val="009F3D46"/>
    <w:rPr>
      <w:rFonts w:ascii="Georgia" w:eastAsia="Times New Roman" w:hAnsi="Georgia" w:cs="Times New Roman"/>
      <w:b/>
      <w:szCs w:val="20"/>
    </w:rPr>
  </w:style>
  <w:style w:type="character" w:customStyle="1" w:styleId="Heading4Char">
    <w:name w:val="Heading 4 Char"/>
    <w:basedOn w:val="DefaultParagraphFont"/>
    <w:link w:val="Heading4"/>
    <w:rsid w:val="009F3D46"/>
    <w:rPr>
      <w:rFonts w:ascii="Georgia" w:eastAsia="Times New Roman" w:hAnsi="Georgia" w:cs="Times New Roman"/>
      <w:b/>
      <w:bCs/>
      <w:szCs w:val="20"/>
    </w:rPr>
  </w:style>
  <w:style w:type="paragraph" w:customStyle="1" w:styleId="a">
    <w:name w:val="_"/>
    <w:basedOn w:val="Normal"/>
    <w:rsid w:val="009F3D46"/>
    <w:pPr>
      <w:widowControl w:val="0"/>
      <w:ind w:left="720" w:hanging="720"/>
    </w:pPr>
    <w:rPr>
      <w:rFonts w:ascii="Courier" w:hAnsi="Courier"/>
      <w:snapToGrid w:val="0"/>
      <w:lang w:val="en-US"/>
    </w:rPr>
  </w:style>
  <w:style w:type="paragraph" w:styleId="EndnoteText">
    <w:name w:val="endnote text"/>
    <w:basedOn w:val="Normal"/>
    <w:link w:val="EndnoteTextChar"/>
    <w:semiHidden/>
    <w:rsid w:val="009F3D46"/>
    <w:pPr>
      <w:widowControl w:val="0"/>
      <w:autoSpaceDE w:val="0"/>
      <w:autoSpaceDN w:val="0"/>
      <w:adjustRightInd w:val="0"/>
    </w:pPr>
    <w:rPr>
      <w:rFonts w:ascii="Courier New" w:hAnsi="Courier New"/>
      <w:sz w:val="20"/>
      <w:szCs w:val="24"/>
    </w:rPr>
  </w:style>
  <w:style w:type="character" w:customStyle="1" w:styleId="EndnoteTextChar">
    <w:name w:val="Endnote Text Char"/>
    <w:basedOn w:val="DefaultParagraphFont"/>
    <w:link w:val="EndnoteText"/>
    <w:semiHidden/>
    <w:rsid w:val="009F3D46"/>
    <w:rPr>
      <w:rFonts w:ascii="Courier New" w:eastAsia="Times New Roman" w:hAnsi="Courier New" w:cs="Times New Roman"/>
      <w:sz w:val="20"/>
    </w:rPr>
  </w:style>
  <w:style w:type="character" w:styleId="EndnoteReference">
    <w:name w:val="endnote reference"/>
    <w:basedOn w:val="DefaultParagraphFont"/>
    <w:semiHidden/>
    <w:rsid w:val="009F3D46"/>
    <w:rPr>
      <w:vertAlign w:val="superscript"/>
    </w:rPr>
  </w:style>
  <w:style w:type="paragraph" w:styleId="BodyTextIndent">
    <w:name w:val="Body Text Indent"/>
    <w:basedOn w:val="Normal"/>
    <w:link w:val="BodyTextIndentChar"/>
    <w:rsid w:val="009F3D46"/>
    <w:pPr>
      <w:widowControl w:val="0"/>
      <w:suppressAutoHyphens/>
      <w:autoSpaceDE w:val="0"/>
      <w:autoSpaceDN w:val="0"/>
      <w:adjustRightInd w:val="0"/>
      <w:ind w:left="720"/>
    </w:pPr>
    <w:rPr>
      <w:rFonts w:cs="Courier New"/>
      <w:spacing w:val="-6"/>
      <w:sz w:val="20"/>
      <w:szCs w:val="24"/>
    </w:rPr>
  </w:style>
  <w:style w:type="character" w:customStyle="1" w:styleId="BodyTextIndentChar">
    <w:name w:val="Body Text Indent Char"/>
    <w:basedOn w:val="DefaultParagraphFont"/>
    <w:link w:val="BodyTextIndent"/>
    <w:rsid w:val="009F3D46"/>
    <w:rPr>
      <w:rFonts w:ascii="Georgia" w:eastAsia="Times New Roman" w:hAnsi="Georgia" w:cs="Courier New"/>
      <w:spacing w:val="-6"/>
      <w:sz w:val="20"/>
    </w:rPr>
  </w:style>
  <w:style w:type="paragraph" w:styleId="Footer">
    <w:name w:val="footer"/>
    <w:basedOn w:val="Normal"/>
    <w:link w:val="FooterChar"/>
    <w:uiPriority w:val="99"/>
    <w:rsid w:val="009F3D46"/>
    <w:pPr>
      <w:tabs>
        <w:tab w:val="center" w:pos="4153"/>
        <w:tab w:val="right" w:pos="8306"/>
      </w:tabs>
    </w:pPr>
  </w:style>
  <w:style w:type="character" w:customStyle="1" w:styleId="FooterChar">
    <w:name w:val="Footer Char"/>
    <w:basedOn w:val="DefaultParagraphFont"/>
    <w:link w:val="Footer"/>
    <w:uiPriority w:val="99"/>
    <w:rsid w:val="009F3D46"/>
    <w:rPr>
      <w:rFonts w:ascii="Georgia" w:eastAsia="Times New Roman" w:hAnsi="Georgia" w:cs="Times New Roman"/>
      <w:szCs w:val="20"/>
    </w:rPr>
  </w:style>
  <w:style w:type="paragraph" w:styleId="Header">
    <w:name w:val="header"/>
    <w:basedOn w:val="Normal"/>
    <w:link w:val="HeaderChar"/>
    <w:rsid w:val="009F3D46"/>
    <w:pPr>
      <w:tabs>
        <w:tab w:val="center" w:pos="4153"/>
        <w:tab w:val="right" w:pos="8306"/>
      </w:tabs>
    </w:pPr>
  </w:style>
  <w:style w:type="character" w:customStyle="1" w:styleId="HeaderChar">
    <w:name w:val="Header Char"/>
    <w:basedOn w:val="DefaultParagraphFont"/>
    <w:link w:val="Header"/>
    <w:rsid w:val="009F3D46"/>
    <w:rPr>
      <w:rFonts w:ascii="Georgia" w:eastAsia="Times New Roman" w:hAnsi="Georgia" w:cs="Times New Roman"/>
      <w:szCs w:val="20"/>
    </w:rPr>
  </w:style>
  <w:style w:type="paragraph" w:styleId="BodyText3">
    <w:name w:val="Body Text 3"/>
    <w:basedOn w:val="Normal"/>
    <w:link w:val="BodyText3Char"/>
    <w:rsid w:val="009F3D46"/>
    <w:rPr>
      <w:i/>
      <w:iCs/>
    </w:rPr>
  </w:style>
  <w:style w:type="character" w:customStyle="1" w:styleId="BodyText3Char">
    <w:name w:val="Body Text 3 Char"/>
    <w:basedOn w:val="DefaultParagraphFont"/>
    <w:link w:val="BodyText3"/>
    <w:rsid w:val="009F3D46"/>
    <w:rPr>
      <w:rFonts w:ascii="Georgia" w:eastAsia="Times New Roman" w:hAnsi="Georgia" w:cs="Times New Roman"/>
      <w:i/>
      <w:iCs/>
      <w:szCs w:val="20"/>
    </w:rPr>
  </w:style>
  <w:style w:type="character" w:styleId="FootnoteReference">
    <w:name w:val="footnote reference"/>
    <w:semiHidden/>
    <w:rsid w:val="009F3D46"/>
  </w:style>
  <w:style w:type="character" w:customStyle="1" w:styleId="subtitle1">
    <w:name w:val="subtitle1"/>
    <w:basedOn w:val="DefaultParagraphFont"/>
    <w:rsid w:val="009F3D46"/>
    <w:rPr>
      <w:b w:val="0"/>
      <w:bCs w:val="0"/>
      <w:color w:val="000000"/>
      <w:sz w:val="18"/>
      <w:szCs w:val="18"/>
    </w:rPr>
  </w:style>
  <w:style w:type="character" w:customStyle="1" w:styleId="cnstorytitle1">
    <w:name w:val="cn_story_title1"/>
    <w:basedOn w:val="DefaultParagraphFont"/>
    <w:rsid w:val="009F3D46"/>
    <w:rPr>
      <w:rFonts w:ascii="Verdana" w:hAnsi="Verdana" w:hint="default"/>
      <w:b/>
      <w:bCs/>
      <w:strike w:val="0"/>
      <w:dstrike w:val="0"/>
      <w:color w:val="000066"/>
      <w:sz w:val="24"/>
      <w:szCs w:val="24"/>
      <w:u w:val="none"/>
      <w:effect w:val="none"/>
    </w:rPr>
  </w:style>
  <w:style w:type="paragraph" w:styleId="NormalWeb">
    <w:name w:val="Normal (Web)"/>
    <w:basedOn w:val="Normal"/>
    <w:rsid w:val="009F3D46"/>
    <w:pPr>
      <w:spacing w:before="100" w:beforeAutospacing="1" w:after="100" w:afterAutospacing="1"/>
    </w:pPr>
    <w:rPr>
      <w:rFonts w:ascii="Arial Unicode MS" w:eastAsia="Arial Unicode MS" w:hAnsi="Arial Unicode MS" w:cs="Arial Unicode MS"/>
      <w:szCs w:val="24"/>
    </w:rPr>
  </w:style>
  <w:style w:type="character" w:styleId="Emphasis">
    <w:name w:val="Emphasis"/>
    <w:basedOn w:val="DefaultParagraphFont"/>
    <w:qFormat/>
    <w:rsid w:val="009F3D46"/>
    <w:rPr>
      <w:i/>
      <w:iCs/>
    </w:rPr>
  </w:style>
  <w:style w:type="paragraph" w:styleId="BalloonText">
    <w:name w:val="Balloon Text"/>
    <w:basedOn w:val="Normal"/>
    <w:link w:val="BalloonTextChar"/>
    <w:uiPriority w:val="99"/>
    <w:semiHidden/>
    <w:unhideWhenUsed/>
    <w:rsid w:val="009F3D46"/>
    <w:rPr>
      <w:rFonts w:ascii="Lucida Grande" w:hAnsi="Lucida Grande"/>
      <w:sz w:val="18"/>
      <w:szCs w:val="18"/>
    </w:rPr>
  </w:style>
  <w:style w:type="character" w:customStyle="1" w:styleId="BalloonTextChar">
    <w:name w:val="Balloon Text Char"/>
    <w:basedOn w:val="DefaultParagraphFont"/>
    <w:link w:val="BalloonText"/>
    <w:uiPriority w:val="99"/>
    <w:semiHidden/>
    <w:rsid w:val="009F3D46"/>
    <w:rPr>
      <w:rFonts w:ascii="Lucida Grande" w:eastAsia="Times New Roman" w:hAnsi="Lucida Grande" w:cs="Times New Roman"/>
      <w:sz w:val="18"/>
      <w:szCs w:val="18"/>
    </w:rPr>
  </w:style>
  <w:style w:type="character" w:styleId="Hyperlink">
    <w:name w:val="Hyperlink"/>
    <w:basedOn w:val="DefaultParagraphFont"/>
    <w:uiPriority w:val="99"/>
    <w:unhideWhenUsed/>
    <w:rsid w:val="00030B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3782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features.pewforum.org/muslim-populatio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2584</Words>
  <Characters>14729</Characters>
  <Application>Microsoft Macintosh Word</Application>
  <DocSecurity>0</DocSecurity>
  <Lines>122</Lines>
  <Paragraphs>34</Paragraphs>
  <ScaleCrop>false</ScaleCrop>
  <Company>Dept. of Theology, Religious Studies &amp; Islamic Stud</Company>
  <LinksUpToDate>false</LinksUpToDate>
  <CharactersWithSpaces>17279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5</cp:revision>
  <dcterms:created xsi:type="dcterms:W3CDTF">2012-05-25T13:31:00Z</dcterms:created>
  <dcterms:modified xsi:type="dcterms:W3CDTF">2012-09-10T11:55:00Z</dcterms:modified>
</cp:coreProperties>
</file>