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FF1573"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Name: </w:t>
      </w:r>
      <w:proofErr w:type="spellStart"/>
      <w:r>
        <w:rPr>
          <w:rFonts w:ascii="Times New Roman" w:eastAsia="Times New Roman" w:hAnsi="Times New Roman" w:cs="Times New Roman"/>
          <w:b/>
          <w:color w:val="000000" w:themeColor="text1"/>
          <w:sz w:val="28"/>
          <w:szCs w:val="28"/>
          <w:lang w:val="en-GB"/>
        </w:rPr>
        <w:t>Oana</w:t>
      </w:r>
      <w:proofErr w:type="spellEnd"/>
      <w:r>
        <w:rPr>
          <w:rFonts w:ascii="Times New Roman" w:eastAsia="Times New Roman" w:hAnsi="Times New Roman" w:cs="Times New Roman"/>
          <w:b/>
          <w:color w:val="000000" w:themeColor="text1"/>
          <w:sz w:val="28"/>
          <w:szCs w:val="28"/>
          <w:lang w:val="en-GB"/>
        </w:rPr>
        <w:t xml:space="preserve"> Gabriela Marin</w:t>
      </w:r>
    </w:p>
    <w:p w14:paraId="06E6D62A"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Student Number: 1909897</w:t>
      </w:r>
    </w:p>
    <w:p w14:paraId="60B2C69F"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Programme: BA Business Management</w:t>
      </w:r>
    </w:p>
    <w:p w14:paraId="457AB8E6"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Module Code: LCBB5004</w:t>
      </w:r>
    </w:p>
    <w:p w14:paraId="1014220E"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Module Title: Managing People</w:t>
      </w:r>
    </w:p>
    <w:p w14:paraId="6F6B2609" w14:textId="77777777"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Module Lecturer’s Name: Mary March</w:t>
      </w:r>
    </w:p>
    <w:p w14:paraId="7C9F14E3" w14:textId="1606817B" w:rsidR="00306830" w:rsidRDefault="00306830" w:rsidP="00306830">
      <w:pPr>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Assessment</w:t>
      </w:r>
      <w:r>
        <w:rPr>
          <w:rFonts w:ascii="Times New Roman" w:eastAsia="Times New Roman" w:hAnsi="Times New Roman" w:cs="Times New Roman"/>
          <w:b/>
          <w:color w:val="000000" w:themeColor="text1"/>
          <w:sz w:val="28"/>
          <w:szCs w:val="28"/>
          <w:lang w:val="en-GB"/>
        </w:rPr>
        <w:t xml:space="preserve"> 2: Report</w:t>
      </w:r>
    </w:p>
    <w:p w14:paraId="17944C89"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2F48DC6B"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193CB4A3"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48EA9ACB"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6B4145D2"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42206E98" w14:textId="77777777" w:rsidR="00447FE1" w:rsidRPr="00E5165C" w:rsidRDefault="00447FE1">
      <w:pPr>
        <w:spacing w:line="360" w:lineRule="auto"/>
        <w:jc w:val="center"/>
        <w:rPr>
          <w:rFonts w:ascii="Times New Roman" w:eastAsia="Times New Roman" w:hAnsi="Times New Roman" w:cs="Times New Roman"/>
          <w:b/>
          <w:sz w:val="32"/>
          <w:szCs w:val="32"/>
          <w:lang w:val="en-GB"/>
        </w:rPr>
      </w:pPr>
    </w:p>
    <w:p w14:paraId="2D26080F" w14:textId="7C91DCA3" w:rsidR="002B43BF" w:rsidRPr="00306830" w:rsidRDefault="00306830" w:rsidP="00306830">
      <w:pPr>
        <w:spacing w:line="360" w:lineRule="auto"/>
        <w:ind w:left="720"/>
        <w:jc w:val="center"/>
        <w:rPr>
          <w:rFonts w:ascii="Times New Roman" w:eastAsia="Times New Roman" w:hAnsi="Times New Roman" w:cs="Times New Roman"/>
          <w:b/>
          <w:sz w:val="40"/>
          <w:szCs w:val="40"/>
          <w:lang w:val="en-GB"/>
        </w:rPr>
      </w:pPr>
      <w:r w:rsidRPr="00306830">
        <w:rPr>
          <w:rFonts w:ascii="Times New Roman" w:eastAsia="Times New Roman" w:hAnsi="Times New Roman" w:cs="Times New Roman"/>
          <w:b/>
          <w:sz w:val="40"/>
          <w:szCs w:val="40"/>
          <w:lang w:val="en-GB"/>
        </w:rPr>
        <w:t>ASSESMENT 2</w:t>
      </w:r>
      <w:r w:rsidR="00442548" w:rsidRPr="00306830">
        <w:rPr>
          <w:b/>
          <w:sz w:val="40"/>
          <w:szCs w:val="40"/>
          <w:lang w:val="en-GB"/>
        </w:rPr>
        <w:br w:type="page"/>
      </w:r>
    </w:p>
    <w:p w14:paraId="400A3CDD" w14:textId="77777777" w:rsidR="00C84F32" w:rsidRPr="00E5165C" w:rsidRDefault="00442548">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lastRenderedPageBreak/>
        <w:t>Executive Summary</w:t>
      </w:r>
    </w:p>
    <w:p w14:paraId="270FE26B" w14:textId="08D447E7" w:rsidR="002B43BF" w:rsidRPr="00E5165C" w:rsidRDefault="00C84F32" w:rsidP="00C84F32">
      <w:pPr>
        <w:spacing w:line="360" w:lineRule="auto"/>
        <w:jc w:val="both"/>
        <w:rPr>
          <w:rFonts w:ascii="Times New Roman" w:eastAsia="Times New Roman" w:hAnsi="Times New Roman" w:cs="Times New Roman"/>
          <w:b/>
          <w:sz w:val="24"/>
          <w:szCs w:val="24"/>
          <w:lang w:val="en-GB"/>
        </w:rPr>
      </w:pPr>
      <w:r w:rsidRPr="00E5165C">
        <w:rPr>
          <w:rFonts w:ascii="Times New Roman" w:hAnsi="Times New Roman" w:cs="Times New Roman"/>
          <w:sz w:val="24"/>
          <w:szCs w:val="24"/>
          <w:lang w:val="en-GB"/>
        </w:rPr>
        <w:t xml:space="preserve">Employee engagement plays a crucial role in the growth and sustenance of an organisation. The report aims to provide a critical understanding on the aspect of employee engagement. It also sheds light on the various drivers of employee engagement. The study further intends to provide a detailed analysis on the fact that how an organisation is influenced by external and internal factors. </w:t>
      </w:r>
      <w:r w:rsidR="00442548" w:rsidRPr="00E5165C">
        <w:rPr>
          <w:lang w:val="en-GB"/>
        </w:rPr>
        <w:br w:type="page"/>
      </w:r>
    </w:p>
    <w:sdt>
      <w:sdtPr>
        <w:rPr>
          <w:rFonts w:ascii="Times New Roman" w:eastAsia="Arial" w:hAnsi="Times New Roman" w:cs="Times New Roman"/>
          <w:color w:val="000000" w:themeColor="text1"/>
          <w:sz w:val="24"/>
          <w:szCs w:val="24"/>
          <w:lang w:val="en-GB" w:eastAsia="en-IN"/>
        </w:rPr>
        <w:id w:val="1512721039"/>
        <w:docPartObj>
          <w:docPartGallery w:val="Table of Contents"/>
          <w:docPartUnique/>
        </w:docPartObj>
      </w:sdtPr>
      <w:sdtEndPr>
        <w:rPr>
          <w:b/>
          <w:bCs/>
          <w:noProof/>
        </w:rPr>
      </w:sdtEndPr>
      <w:sdtContent>
        <w:p w14:paraId="1B917D44" w14:textId="64730F0D" w:rsidR="00C84F32" w:rsidRPr="00E5165C" w:rsidRDefault="00C84F32" w:rsidP="00C84F32">
          <w:pPr>
            <w:pStyle w:val="TOCHeading"/>
            <w:spacing w:line="360" w:lineRule="auto"/>
            <w:jc w:val="center"/>
            <w:rPr>
              <w:rFonts w:ascii="Times New Roman" w:hAnsi="Times New Roman" w:cs="Times New Roman"/>
              <w:b/>
              <w:bCs/>
              <w:color w:val="000000" w:themeColor="text1"/>
              <w:sz w:val="24"/>
              <w:szCs w:val="24"/>
              <w:lang w:val="en-GB"/>
            </w:rPr>
          </w:pPr>
          <w:r w:rsidRPr="00E5165C">
            <w:rPr>
              <w:rFonts w:ascii="Times New Roman" w:hAnsi="Times New Roman" w:cs="Times New Roman"/>
              <w:b/>
              <w:bCs/>
              <w:color w:val="000000" w:themeColor="text1"/>
              <w:sz w:val="24"/>
              <w:szCs w:val="24"/>
              <w:lang w:val="en-GB"/>
            </w:rPr>
            <w:t>Table of Contents</w:t>
          </w:r>
        </w:p>
        <w:p w14:paraId="46964E92" w14:textId="50149D91" w:rsidR="00B03A14" w:rsidRPr="00E5165C" w:rsidRDefault="00C84F32"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r w:rsidRPr="00E5165C">
            <w:rPr>
              <w:rFonts w:ascii="Times New Roman" w:hAnsi="Times New Roman" w:cs="Times New Roman"/>
              <w:color w:val="000000" w:themeColor="text1"/>
              <w:sz w:val="24"/>
              <w:szCs w:val="24"/>
              <w:lang w:val="en-GB"/>
            </w:rPr>
            <w:fldChar w:fldCharType="begin"/>
          </w:r>
          <w:r w:rsidRPr="00E5165C">
            <w:rPr>
              <w:rFonts w:ascii="Times New Roman" w:hAnsi="Times New Roman" w:cs="Times New Roman"/>
              <w:color w:val="000000" w:themeColor="text1"/>
              <w:sz w:val="24"/>
              <w:szCs w:val="24"/>
              <w:lang w:val="en-GB"/>
            </w:rPr>
            <w:instrText xml:space="preserve"> TOC \o "1-3" \h \z \u </w:instrText>
          </w:r>
          <w:r w:rsidRPr="00E5165C">
            <w:rPr>
              <w:rFonts w:ascii="Times New Roman" w:hAnsi="Times New Roman" w:cs="Times New Roman"/>
              <w:color w:val="000000" w:themeColor="text1"/>
              <w:sz w:val="24"/>
              <w:szCs w:val="24"/>
              <w:lang w:val="en-GB"/>
            </w:rPr>
            <w:fldChar w:fldCharType="separate"/>
          </w:r>
          <w:hyperlink w:anchor="_Toc56011988" w:history="1">
            <w:r w:rsidR="00B03A14" w:rsidRPr="00E5165C">
              <w:rPr>
                <w:rStyle w:val="Hyperlink"/>
                <w:rFonts w:ascii="Times New Roman" w:hAnsi="Times New Roman" w:cs="Times New Roman"/>
                <w:noProof/>
                <w:sz w:val="24"/>
                <w:lang w:val="en-GB"/>
              </w:rPr>
              <w:t>Introduction</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_Toc56011988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3</w:t>
            </w:r>
            <w:r w:rsidR="00B03A14" w:rsidRPr="00E5165C">
              <w:rPr>
                <w:rFonts w:ascii="Times New Roman" w:hAnsi="Times New Roman" w:cs="Times New Roman"/>
                <w:noProof/>
                <w:webHidden/>
                <w:sz w:val="24"/>
                <w:lang w:val="en-GB"/>
              </w:rPr>
              <w:fldChar w:fldCharType="end"/>
            </w:r>
          </w:hyperlink>
        </w:p>
        <w:p w14:paraId="0F5115D4" w14:textId="30EA8914" w:rsidR="00B03A14" w:rsidRPr="00E5165C" w:rsidRDefault="00635DDA"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56011989" w:history="1">
            <w:r w:rsidR="00B03A14" w:rsidRPr="00E5165C">
              <w:rPr>
                <w:rStyle w:val="Hyperlink"/>
                <w:rFonts w:ascii="Times New Roman" w:hAnsi="Times New Roman" w:cs="Times New Roman"/>
                <w:noProof/>
                <w:sz w:val="24"/>
                <w:lang w:val="en-GB"/>
              </w:rPr>
              <w:t>Evaluation of concept and drivers of employee engagement</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_Toc56011989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3</w:t>
            </w:r>
            <w:r w:rsidR="00B03A14" w:rsidRPr="00E5165C">
              <w:rPr>
                <w:rFonts w:ascii="Times New Roman" w:hAnsi="Times New Roman" w:cs="Times New Roman"/>
                <w:noProof/>
                <w:webHidden/>
                <w:sz w:val="24"/>
                <w:lang w:val="en-GB"/>
              </w:rPr>
              <w:fldChar w:fldCharType="end"/>
            </w:r>
          </w:hyperlink>
        </w:p>
        <w:p w14:paraId="34BF10E0" w14:textId="05BB5FA8" w:rsidR="00B03A14" w:rsidRPr="00E5165C" w:rsidRDefault="00635DDA"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56011990" w:history="1">
            <w:r w:rsidR="00B03A14" w:rsidRPr="00E5165C">
              <w:rPr>
                <w:rStyle w:val="Hyperlink"/>
                <w:rFonts w:ascii="Times New Roman" w:hAnsi="Times New Roman" w:cs="Times New Roman"/>
                <w:noProof/>
                <w:sz w:val="24"/>
                <w:lang w:val="en-GB"/>
              </w:rPr>
              <w:t>Analysis of diagnostic tools to measure the engagement</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_Toc56011990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5</w:t>
            </w:r>
            <w:r w:rsidR="00B03A14" w:rsidRPr="00E5165C">
              <w:rPr>
                <w:rFonts w:ascii="Times New Roman" w:hAnsi="Times New Roman" w:cs="Times New Roman"/>
                <w:noProof/>
                <w:webHidden/>
                <w:sz w:val="24"/>
                <w:lang w:val="en-GB"/>
              </w:rPr>
              <w:fldChar w:fldCharType="end"/>
            </w:r>
          </w:hyperlink>
        </w:p>
        <w:p w14:paraId="20F73752" w14:textId="3FB0E623" w:rsidR="00B03A14" w:rsidRPr="00E5165C" w:rsidRDefault="00635DDA"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56011991" w:history="1">
            <w:r w:rsidR="00B03A14" w:rsidRPr="00E5165C">
              <w:rPr>
                <w:rStyle w:val="Hyperlink"/>
                <w:rFonts w:ascii="Times New Roman" w:hAnsi="Times New Roman" w:cs="Times New Roman"/>
                <w:noProof/>
                <w:sz w:val="24"/>
                <w:lang w:val="en-GB"/>
              </w:rPr>
              <w:t>Designing of an employee value proposition from ideas and analysis</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_Toc56011991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7</w:t>
            </w:r>
            <w:r w:rsidR="00B03A14" w:rsidRPr="00E5165C">
              <w:rPr>
                <w:rFonts w:ascii="Times New Roman" w:hAnsi="Times New Roman" w:cs="Times New Roman"/>
                <w:noProof/>
                <w:webHidden/>
                <w:sz w:val="24"/>
                <w:lang w:val="en-GB"/>
              </w:rPr>
              <w:fldChar w:fldCharType="end"/>
            </w:r>
          </w:hyperlink>
        </w:p>
        <w:p w14:paraId="47120561" w14:textId="7FF2097A" w:rsidR="00B03A14" w:rsidRPr="00E5165C" w:rsidRDefault="00635DDA"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56011992" w:history="1">
            <w:r w:rsidR="00B03A14" w:rsidRPr="00E5165C">
              <w:rPr>
                <w:rStyle w:val="Hyperlink"/>
                <w:rFonts w:ascii="Times New Roman" w:hAnsi="Times New Roman" w:cs="Times New Roman"/>
                <w:noProof/>
                <w:sz w:val="24"/>
                <w:lang w:val="en-GB"/>
              </w:rPr>
              <w:t>Conclusion</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_Toc56011992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9</w:t>
            </w:r>
            <w:r w:rsidR="00B03A14" w:rsidRPr="00E5165C">
              <w:rPr>
                <w:rFonts w:ascii="Times New Roman" w:hAnsi="Times New Roman" w:cs="Times New Roman"/>
                <w:noProof/>
                <w:webHidden/>
                <w:sz w:val="24"/>
                <w:lang w:val="en-GB"/>
              </w:rPr>
              <w:fldChar w:fldCharType="end"/>
            </w:r>
          </w:hyperlink>
        </w:p>
        <w:p w14:paraId="196523BF" w14:textId="3EEE3372" w:rsidR="00B03A14" w:rsidRPr="00E5165C" w:rsidRDefault="00635DDA" w:rsidP="00B03A14">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56011993" w:history="1">
            <w:r w:rsidR="00B03A14" w:rsidRPr="00E5165C">
              <w:rPr>
                <w:rStyle w:val="Hyperlink"/>
                <w:rFonts w:ascii="Times New Roman" w:hAnsi="Times New Roman" w:cs="Times New Roman"/>
                <w:noProof/>
                <w:sz w:val="24"/>
                <w:lang w:val="en-GB"/>
              </w:rPr>
              <w:t>Reference List</w:t>
            </w:r>
            <w:r w:rsidR="00B03A14" w:rsidRPr="00E5165C">
              <w:rPr>
                <w:rFonts w:ascii="Times New Roman" w:hAnsi="Times New Roman" w:cs="Times New Roman"/>
                <w:noProof/>
                <w:webHidden/>
                <w:sz w:val="24"/>
                <w:lang w:val="en-GB"/>
              </w:rPr>
              <w:tab/>
            </w:r>
            <w:r w:rsidR="00B03A14" w:rsidRPr="00E5165C">
              <w:rPr>
                <w:rFonts w:ascii="Times New Roman" w:hAnsi="Times New Roman" w:cs="Times New Roman"/>
                <w:noProof/>
                <w:webHidden/>
                <w:sz w:val="24"/>
                <w:lang w:val="en-GB"/>
              </w:rPr>
              <w:fldChar w:fldCharType="begin"/>
            </w:r>
            <w:r w:rsidR="00B03A14" w:rsidRPr="00E5165C">
              <w:rPr>
                <w:rFonts w:ascii="Times New Roman" w:hAnsi="Times New Roman" w:cs="Times New Roman"/>
                <w:noProof/>
                <w:webHidden/>
                <w:sz w:val="24"/>
                <w:lang w:val="en-GB"/>
              </w:rPr>
              <w:instrText xml:space="preserve"> PAGEREF _Toc56011993 \h </w:instrText>
            </w:r>
            <w:r w:rsidR="00B03A14" w:rsidRPr="00E5165C">
              <w:rPr>
                <w:rFonts w:ascii="Times New Roman" w:hAnsi="Times New Roman" w:cs="Times New Roman"/>
                <w:noProof/>
                <w:webHidden/>
                <w:sz w:val="24"/>
                <w:lang w:val="en-GB"/>
              </w:rPr>
            </w:r>
            <w:r w:rsidR="00B03A14" w:rsidRPr="00E5165C">
              <w:rPr>
                <w:rFonts w:ascii="Times New Roman" w:hAnsi="Times New Roman" w:cs="Times New Roman"/>
                <w:noProof/>
                <w:webHidden/>
                <w:sz w:val="24"/>
                <w:lang w:val="en-GB"/>
              </w:rPr>
              <w:fldChar w:fldCharType="separate"/>
            </w:r>
            <w:r w:rsidR="00B03A14" w:rsidRPr="00E5165C">
              <w:rPr>
                <w:rFonts w:ascii="Times New Roman" w:hAnsi="Times New Roman" w:cs="Times New Roman"/>
                <w:noProof/>
                <w:webHidden/>
                <w:sz w:val="24"/>
                <w:lang w:val="en-GB"/>
              </w:rPr>
              <w:t>10</w:t>
            </w:r>
            <w:r w:rsidR="00B03A14" w:rsidRPr="00E5165C">
              <w:rPr>
                <w:rFonts w:ascii="Times New Roman" w:hAnsi="Times New Roman" w:cs="Times New Roman"/>
                <w:noProof/>
                <w:webHidden/>
                <w:sz w:val="24"/>
                <w:lang w:val="en-GB"/>
              </w:rPr>
              <w:fldChar w:fldCharType="end"/>
            </w:r>
          </w:hyperlink>
        </w:p>
        <w:p w14:paraId="377F4D41" w14:textId="742EE865" w:rsidR="00C84F32" w:rsidRPr="00E5165C" w:rsidRDefault="00C84F32" w:rsidP="00C84F32">
          <w:pPr>
            <w:spacing w:line="360" w:lineRule="auto"/>
            <w:rPr>
              <w:rFonts w:ascii="Times New Roman" w:hAnsi="Times New Roman" w:cs="Times New Roman"/>
              <w:color w:val="000000" w:themeColor="text1"/>
              <w:sz w:val="24"/>
              <w:szCs w:val="24"/>
              <w:lang w:val="en-GB"/>
            </w:rPr>
          </w:pPr>
          <w:r w:rsidRPr="00E5165C">
            <w:rPr>
              <w:rFonts w:ascii="Times New Roman" w:hAnsi="Times New Roman" w:cs="Times New Roman"/>
              <w:b/>
              <w:bCs/>
              <w:noProof/>
              <w:color w:val="000000" w:themeColor="text1"/>
              <w:sz w:val="24"/>
              <w:szCs w:val="24"/>
              <w:lang w:val="en-GB"/>
            </w:rPr>
            <w:fldChar w:fldCharType="end"/>
          </w:r>
        </w:p>
      </w:sdtContent>
    </w:sdt>
    <w:p w14:paraId="276DFAD7" w14:textId="3CC802A2" w:rsidR="002B43BF" w:rsidRPr="00E5165C" w:rsidRDefault="00442548">
      <w:pPr>
        <w:spacing w:line="360" w:lineRule="auto"/>
        <w:jc w:val="center"/>
        <w:rPr>
          <w:rFonts w:ascii="Times New Roman" w:eastAsia="Times New Roman" w:hAnsi="Times New Roman" w:cs="Times New Roman"/>
          <w:b/>
          <w:sz w:val="24"/>
          <w:szCs w:val="24"/>
          <w:lang w:val="en-GB"/>
        </w:rPr>
      </w:pPr>
      <w:r w:rsidRPr="00E5165C">
        <w:rPr>
          <w:lang w:val="en-GB"/>
        </w:rPr>
        <w:br w:type="page"/>
      </w:r>
    </w:p>
    <w:p w14:paraId="413CC706" w14:textId="0E5A19F6" w:rsidR="002B43BF" w:rsidRPr="00E5165C" w:rsidRDefault="00442548" w:rsidP="00C84F32">
      <w:pPr>
        <w:pStyle w:val="Heading1"/>
        <w:rPr>
          <w:lang w:val="en-GB"/>
        </w:rPr>
      </w:pPr>
      <w:bookmarkStart w:id="0" w:name="_Toc56011988"/>
      <w:r w:rsidRPr="00E5165C">
        <w:rPr>
          <w:lang w:val="en-GB"/>
        </w:rPr>
        <w:lastRenderedPageBreak/>
        <w:t>Introduction</w:t>
      </w:r>
      <w:bookmarkEnd w:id="0"/>
      <w:r w:rsidRPr="00E5165C">
        <w:rPr>
          <w:lang w:val="en-GB"/>
        </w:rPr>
        <w:t xml:space="preserve"> </w:t>
      </w:r>
    </w:p>
    <w:p w14:paraId="53ABFE81"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Employee engagement is considered as the emotional investment of workers in a business organisation. Engaged workers intend to ensure the identification of the goals of the organisation and align their goals accordingly. It is regarded as a business consideration identified in terms of passion that workers contribute to their work and motivation to perform their work well. The purpose of this report is to evaluate the concept and drivers of employee engagement. It also sheds light on various tools that help in ensuring the measurement of employee engagement, respectively. The report further ascertains the construction of an employee value proposition from ideas and analysis and strategies that can be aligned to enhance employee engagement.</w:t>
      </w:r>
    </w:p>
    <w:p w14:paraId="084F8617" w14:textId="6A9AA82B" w:rsidR="002B43BF" w:rsidRPr="00E5165C" w:rsidRDefault="00442548" w:rsidP="0010149F">
      <w:pPr>
        <w:pStyle w:val="Heading1"/>
        <w:rPr>
          <w:lang w:val="en-GB"/>
        </w:rPr>
      </w:pPr>
      <w:bookmarkStart w:id="1" w:name="_Toc56011989"/>
      <w:r w:rsidRPr="00E5165C">
        <w:rPr>
          <w:lang w:val="en-GB"/>
        </w:rPr>
        <w:t>Evaluation of concept and drivers of employee engagement</w:t>
      </w:r>
      <w:bookmarkEnd w:id="1"/>
    </w:p>
    <w:p w14:paraId="6DD7D10E" w14:textId="6DB3665C"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Employees are involved in their workplace at three significant levels, which are physically, emotionally, as well as cognitively. On the contrary, there can be circumstances where workers can be disengaged or dissatisfied at fewer levels. </w:t>
      </w:r>
      <w:proofErr w:type="spellStart"/>
      <w:r w:rsidRPr="00E5165C">
        <w:rPr>
          <w:rFonts w:ascii="Times New Roman" w:eastAsia="Times New Roman" w:hAnsi="Times New Roman" w:cs="Times New Roman"/>
          <w:sz w:val="24"/>
          <w:szCs w:val="24"/>
          <w:lang w:val="en-GB"/>
        </w:rPr>
        <w:t>Mone</w:t>
      </w:r>
      <w:proofErr w:type="spellEnd"/>
      <w:r w:rsidRPr="00E5165C">
        <w:rPr>
          <w:rFonts w:ascii="Times New Roman" w:eastAsia="Times New Roman" w:hAnsi="Times New Roman" w:cs="Times New Roman"/>
          <w:sz w:val="24"/>
          <w:szCs w:val="24"/>
          <w:lang w:val="en-GB"/>
        </w:rPr>
        <w:t xml:space="preserve">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(2018) noted that workers who are highly engaged are often individuals embracing high energy and maintaining close relationships with their colleagues, respectively. They also intend to be curious by nature and seek new patterns through which their existing skill sets can be broadened. Other than this, workers are identified to appreciate the work culture that aims to enable engagement. This means that organisations that ensure prioritising engagement are likely to attract as well as retain talents.</w:t>
      </w:r>
      <w:r w:rsidR="0010149F" w:rsidRPr="00E5165C">
        <w:rPr>
          <w:rFonts w:ascii="Times New Roman" w:eastAsia="Times New Roman" w:hAnsi="Times New Roman" w:cs="Times New Roman"/>
          <w:sz w:val="24"/>
          <w:szCs w:val="24"/>
          <w:lang w:val="en-GB"/>
        </w:rPr>
        <w:t xml:space="preserve"> </w:t>
      </w:r>
      <w:r w:rsidRPr="00E5165C">
        <w:rPr>
          <w:rFonts w:ascii="Times New Roman" w:eastAsia="Times New Roman" w:hAnsi="Times New Roman" w:cs="Times New Roman"/>
          <w:sz w:val="24"/>
          <w:szCs w:val="24"/>
          <w:lang w:val="en-GB"/>
        </w:rPr>
        <w:t xml:space="preserve">The employee engagement aspect is also considered as an organisation-wide collaborative function. </w:t>
      </w:r>
    </w:p>
    <w:p w14:paraId="5C7A564B" w14:textId="77777777" w:rsidR="00A46DD7" w:rsidRPr="00E5165C" w:rsidRDefault="00A46DD7">
      <w:pP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br w:type="page"/>
      </w:r>
    </w:p>
    <w:p w14:paraId="0B7C08D7" w14:textId="473878AD" w:rsidR="002B43BF" w:rsidRPr="00E5165C" w:rsidRDefault="00442548">
      <w:pPr>
        <w:spacing w:line="360" w:lineRule="auto"/>
        <w:jc w:val="both"/>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lastRenderedPageBreak/>
        <w:t>Drivers of employee engagement</w:t>
      </w:r>
    </w:p>
    <w:p w14:paraId="37375413" w14:textId="59627521" w:rsidR="0010149F" w:rsidRPr="00E5165C" w:rsidRDefault="0010149F" w:rsidP="0010149F">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noProof/>
          <w:sz w:val="24"/>
          <w:szCs w:val="24"/>
          <w:lang w:val="en-GB" w:eastAsia="en-GB"/>
        </w:rPr>
        <w:drawing>
          <wp:inline distT="0" distB="0" distL="0" distR="0" wp14:anchorId="31346242" wp14:editId="3EC2E98A">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06BD23C" w14:textId="77777777" w:rsidR="002B43BF" w:rsidRPr="00E5165C" w:rsidRDefault="00442548">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t>Figure 1: Drivers of employee engagement</w:t>
      </w:r>
    </w:p>
    <w:p w14:paraId="336D0F21" w14:textId="77777777" w:rsidR="002B43BF" w:rsidRPr="00E5165C" w:rsidRDefault="00442548">
      <w:pPr>
        <w:spacing w:line="360" w:lineRule="auto"/>
        <w:jc w:val="center"/>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(Source: Influenced by Matthews, 2018)</w:t>
      </w:r>
    </w:p>
    <w:p w14:paraId="79EA3BD4"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Seamless onboarding</w:t>
      </w:r>
    </w:p>
    <w:p w14:paraId="2A0621DD"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Employee engagement begins when workers are recruited, and at the same time, the process of onboarding begins. Bridger (2018) stated that even before the process of hiring workers, candidates are required to be provided with a glimpse of communication culture within the business organisation. In accordance with the case study, the process of onboarding provides workers with an idea of whether they would like to continue in the organisation for the long term, thereby increasing flexibility during the time of the pandemic. One of the significant processes in ensuring employee engagement is to provide them enough time to master their job before they intend to hit the floor. </w:t>
      </w:r>
    </w:p>
    <w:p w14:paraId="484DD9DA"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Access to productive and time management</w:t>
      </w:r>
    </w:p>
    <w:p w14:paraId="6DAB4D5E"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In accordance with the case study, it can be determined that flexible working time can be regarded as a significant tool to ensure employee engagement. </w:t>
      </w:r>
      <w:proofErr w:type="spellStart"/>
      <w:r w:rsidRPr="00E5165C">
        <w:rPr>
          <w:rFonts w:ascii="Times New Roman" w:eastAsia="Times New Roman" w:hAnsi="Times New Roman" w:cs="Times New Roman"/>
          <w:sz w:val="24"/>
          <w:szCs w:val="24"/>
          <w:lang w:val="en-GB"/>
        </w:rPr>
        <w:t>Getha</w:t>
      </w:r>
      <w:proofErr w:type="spellEnd"/>
      <w:r w:rsidRPr="00E5165C">
        <w:rPr>
          <w:rFonts w:ascii="Times New Roman" w:eastAsia="Times New Roman" w:hAnsi="Times New Roman" w:cs="Times New Roman"/>
          <w:sz w:val="24"/>
          <w:szCs w:val="24"/>
          <w:lang w:val="en-GB"/>
        </w:rPr>
        <w:t xml:space="preserve">-Taylor (2018) stated that a slew of activities that are unplanned and workplace distractions intends to reduce overall productivity of workers. Time management is further considered as the inherent skills, but in a dynamic work environment such as Associated British Food Plc, the most efficient workers are identified to require time management tools. Tools that seek to enable employee engagement can help business </w:t>
      </w:r>
      <w:r w:rsidRPr="00E5165C">
        <w:rPr>
          <w:rFonts w:ascii="Times New Roman" w:eastAsia="Times New Roman" w:hAnsi="Times New Roman" w:cs="Times New Roman"/>
          <w:sz w:val="24"/>
          <w:szCs w:val="24"/>
          <w:lang w:val="en-GB"/>
        </w:rPr>
        <w:lastRenderedPageBreak/>
        <w:t>organisations to improve output of workers in a significant manner even during the outbreak of the Covid-19 pandemic.</w:t>
      </w:r>
    </w:p>
    <w:p w14:paraId="5FC412CC"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Workplace wellness initiatives</w:t>
      </w:r>
    </w:p>
    <w:p w14:paraId="0011FB7F" w14:textId="77777777" w:rsidR="002B43BF" w:rsidRPr="00E5165C" w:rsidRDefault="00442548">
      <w:pPr>
        <w:spacing w:line="360" w:lineRule="auto"/>
        <w:jc w:val="both"/>
        <w:rPr>
          <w:lang w:val="en-GB"/>
        </w:rPr>
      </w:pPr>
      <w:r w:rsidRPr="00E5165C">
        <w:rPr>
          <w:rFonts w:ascii="Times New Roman" w:eastAsia="Times New Roman" w:hAnsi="Times New Roman" w:cs="Times New Roman"/>
          <w:sz w:val="24"/>
          <w:szCs w:val="24"/>
          <w:lang w:val="en-GB"/>
        </w:rPr>
        <w:t xml:space="preserve">Stress is regarded as a significant challenge in the workplace than is visible. </w:t>
      </w:r>
      <w:proofErr w:type="spellStart"/>
      <w:r w:rsidRPr="00E5165C">
        <w:rPr>
          <w:rFonts w:ascii="Times New Roman" w:eastAsia="Times New Roman" w:hAnsi="Times New Roman" w:cs="Times New Roman"/>
          <w:sz w:val="24"/>
          <w:szCs w:val="24"/>
          <w:lang w:val="en-GB"/>
        </w:rPr>
        <w:t>Haski</w:t>
      </w:r>
      <w:proofErr w:type="spellEnd"/>
      <w:r w:rsidRPr="00E5165C">
        <w:rPr>
          <w:rFonts w:ascii="Times New Roman" w:eastAsia="Times New Roman" w:hAnsi="Times New Roman" w:cs="Times New Roman"/>
          <w:sz w:val="24"/>
          <w:szCs w:val="24"/>
          <w:lang w:val="en-GB"/>
        </w:rPr>
        <w:t xml:space="preserve">-Leventhal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(2020) noted that workplace wellness initiatives aim to reflect workers that their managers and supervisors care for them. Making the workplace</w:t>
      </w:r>
      <w:r w:rsidRPr="00E5165C">
        <w:rPr>
          <w:rFonts w:ascii="Times New Roman" w:eastAsia="Times New Roman" w:hAnsi="Times New Roman" w:cs="Times New Roman"/>
          <w:i/>
          <w:sz w:val="24"/>
          <w:szCs w:val="24"/>
          <w:lang w:val="en-GB"/>
        </w:rPr>
        <w:t xml:space="preserve"> “Covid-19 safe” </w:t>
      </w:r>
      <w:r w:rsidRPr="00E5165C">
        <w:rPr>
          <w:rFonts w:ascii="Times New Roman" w:eastAsia="Times New Roman" w:hAnsi="Times New Roman" w:cs="Times New Roman"/>
          <w:sz w:val="24"/>
          <w:szCs w:val="24"/>
          <w:lang w:val="en-GB"/>
        </w:rPr>
        <w:t>can ensure to assist in keeping the employees safe and stay fit. The HR teams within a company are required to adhere to strict compliance rules while receiving and using the data. Further, employees are also required to opt-out of the workplace wellness initiative programs if they are not comfortable sharing health data with their workers.</w:t>
      </w:r>
    </w:p>
    <w:p w14:paraId="4CE9F361" w14:textId="45704501" w:rsidR="002B43BF" w:rsidRPr="00E5165C" w:rsidRDefault="00442548" w:rsidP="0010149F">
      <w:pPr>
        <w:pStyle w:val="Heading1"/>
        <w:rPr>
          <w:lang w:val="en-GB"/>
        </w:rPr>
      </w:pPr>
      <w:bookmarkStart w:id="2" w:name="_Toc56011990"/>
      <w:r w:rsidRPr="00E5165C">
        <w:rPr>
          <w:lang w:val="en-GB"/>
        </w:rPr>
        <w:t>Analysis of diagnostic tools to measure the engagement</w:t>
      </w:r>
      <w:bookmarkEnd w:id="2"/>
    </w:p>
    <w:p w14:paraId="7F141C5D" w14:textId="7611147C" w:rsidR="0010149F" w:rsidRPr="00E5165C" w:rsidRDefault="0010149F" w:rsidP="0010149F">
      <w:pPr>
        <w:jc w:val="center"/>
        <w:rPr>
          <w:lang w:val="en-GB"/>
        </w:rPr>
      </w:pPr>
      <w:r w:rsidRPr="00E5165C">
        <w:rPr>
          <w:noProof/>
          <w:lang w:val="en-GB" w:eastAsia="en-GB"/>
        </w:rPr>
        <w:drawing>
          <wp:inline distT="0" distB="0" distL="0" distR="0" wp14:anchorId="084BBFB4" wp14:editId="181E6131">
            <wp:extent cx="6118860" cy="4091940"/>
            <wp:effectExtent l="0" t="0" r="0" b="228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62AAB94" w14:textId="77777777" w:rsidR="002B43BF" w:rsidRPr="00E5165C" w:rsidRDefault="00442548">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t>Figure 2: Diagnostic tools to measure the engagement</w:t>
      </w:r>
    </w:p>
    <w:p w14:paraId="6E051DFC" w14:textId="77777777" w:rsidR="002B43BF" w:rsidRPr="00E5165C" w:rsidRDefault="00442548">
      <w:pPr>
        <w:spacing w:line="360" w:lineRule="auto"/>
        <w:jc w:val="center"/>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(Source: Influenced by </w:t>
      </w:r>
      <w:proofErr w:type="spellStart"/>
      <w:r w:rsidRPr="00E5165C">
        <w:rPr>
          <w:rFonts w:ascii="Times New Roman" w:eastAsia="Times New Roman" w:hAnsi="Times New Roman" w:cs="Times New Roman"/>
          <w:sz w:val="24"/>
          <w:szCs w:val="24"/>
          <w:lang w:val="en-GB"/>
        </w:rPr>
        <w:t>Hollebeek</w:t>
      </w:r>
      <w:proofErr w:type="spellEnd"/>
      <w:r w:rsidRPr="00E5165C">
        <w:rPr>
          <w:rFonts w:ascii="Times New Roman" w:eastAsia="Times New Roman" w:hAnsi="Times New Roman" w:cs="Times New Roman"/>
          <w:sz w:val="24"/>
          <w:szCs w:val="24"/>
          <w:lang w:val="en-GB"/>
        </w:rPr>
        <w:t xml:space="preserve">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2018)</w:t>
      </w:r>
    </w:p>
    <w:p w14:paraId="555C48DA"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 xml:space="preserve">Performing </w:t>
      </w:r>
      <w:proofErr w:type="gramStart"/>
      <w:r w:rsidRPr="00E5165C">
        <w:rPr>
          <w:rFonts w:ascii="Times New Roman" w:eastAsia="Times New Roman" w:hAnsi="Times New Roman" w:cs="Times New Roman"/>
          <w:b/>
          <w:i/>
          <w:sz w:val="24"/>
          <w:szCs w:val="24"/>
          <w:lang w:val="en-GB"/>
        </w:rPr>
        <w:t>drivers</w:t>
      </w:r>
      <w:proofErr w:type="gramEnd"/>
      <w:r w:rsidRPr="00E5165C">
        <w:rPr>
          <w:rFonts w:ascii="Times New Roman" w:eastAsia="Times New Roman" w:hAnsi="Times New Roman" w:cs="Times New Roman"/>
          <w:b/>
          <w:i/>
          <w:sz w:val="24"/>
          <w:szCs w:val="24"/>
          <w:lang w:val="en-GB"/>
        </w:rPr>
        <w:t xml:space="preserve"> analysis </w:t>
      </w:r>
    </w:p>
    <w:p w14:paraId="5063BA39"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lastRenderedPageBreak/>
        <w:t xml:space="preserve">Driver analysis is a potential diagnostic tool that helps in ensuring measurement of employee engagement in an organisation. Chapter (2020) contradicted that driver's analysis performance establishes a significant impact on addressing the aspects of employee management in a business organisation. As per the case study, a </w:t>
      </w:r>
      <w:proofErr w:type="gramStart"/>
      <w:r w:rsidRPr="00E5165C">
        <w:rPr>
          <w:rFonts w:ascii="Times New Roman" w:eastAsia="Times New Roman" w:hAnsi="Times New Roman" w:cs="Times New Roman"/>
          <w:sz w:val="24"/>
          <w:szCs w:val="24"/>
          <w:lang w:val="en-GB"/>
        </w:rPr>
        <w:t>drivers</w:t>
      </w:r>
      <w:proofErr w:type="gramEnd"/>
      <w:r w:rsidRPr="00E5165C">
        <w:rPr>
          <w:rFonts w:ascii="Times New Roman" w:eastAsia="Times New Roman" w:hAnsi="Times New Roman" w:cs="Times New Roman"/>
          <w:sz w:val="24"/>
          <w:szCs w:val="24"/>
          <w:lang w:val="en-GB"/>
        </w:rPr>
        <w:t xml:space="preserve"> analysis can help in discovering workers who rate an employee engagement driver as a </w:t>
      </w:r>
      <w:proofErr w:type="spellStart"/>
      <w:r w:rsidRPr="00E5165C">
        <w:rPr>
          <w:rFonts w:ascii="Times New Roman" w:eastAsia="Times New Roman" w:hAnsi="Times New Roman" w:cs="Times New Roman"/>
          <w:sz w:val="24"/>
          <w:szCs w:val="24"/>
          <w:lang w:val="en-GB"/>
        </w:rPr>
        <w:t>favorable</w:t>
      </w:r>
      <w:proofErr w:type="spellEnd"/>
      <w:r w:rsidRPr="00E5165C">
        <w:rPr>
          <w:rFonts w:ascii="Times New Roman" w:eastAsia="Times New Roman" w:hAnsi="Times New Roman" w:cs="Times New Roman"/>
          <w:sz w:val="24"/>
          <w:szCs w:val="24"/>
          <w:lang w:val="en-GB"/>
        </w:rPr>
        <w:t xml:space="preserve"> one and, at the same time, is likely to be more engaged. In addition to this, the best strategy can be regarded as the aspect that helps in determining what are the factors that intend to drive engagement in an organisation. In accordance with the case study, business organisations such as Associated British Food Plc are required to identify weak areas. It is also significant to ensure the implementation of programs that are targeted at improving those drivers, respectively.</w:t>
      </w:r>
    </w:p>
    <w:p w14:paraId="1CEBED2F"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Employee engagement surveys</w:t>
      </w:r>
    </w:p>
    <w:p w14:paraId="21F6DAB3"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Employee engagement surveys are crucial as it provides workers with a venue for open feedback (</w:t>
      </w:r>
      <w:proofErr w:type="spellStart"/>
      <w:r w:rsidRPr="00E5165C">
        <w:rPr>
          <w:rFonts w:ascii="Times New Roman" w:eastAsia="Times New Roman" w:hAnsi="Times New Roman" w:cs="Times New Roman"/>
          <w:sz w:val="24"/>
          <w:szCs w:val="24"/>
          <w:lang w:val="en-GB"/>
        </w:rPr>
        <w:t>Shrm</w:t>
      </w:r>
      <w:proofErr w:type="spellEnd"/>
      <w:r w:rsidRPr="00E5165C">
        <w:rPr>
          <w:rFonts w:ascii="Times New Roman" w:eastAsia="Times New Roman" w:hAnsi="Times New Roman" w:cs="Times New Roman"/>
          <w:sz w:val="24"/>
          <w:szCs w:val="24"/>
          <w:lang w:val="en-GB"/>
        </w:rPr>
        <w:t xml:space="preserve">, 2020). It is further considered as an opportunity that helps in the establishment of two-way communication. This tool also helps in involving workers in the process of development by providing them with a direct voice to the management team. In accordance with the case study, in this current situation, employee engagement can help the business organisation determine whether the measures taken after the pandemic outbreak are effective. Other than this, it can help business organisations such as Associated British Foods Plc establish a sync between what top management intends to offer and what is expected by the workers and vice versa.  </w:t>
      </w:r>
    </w:p>
    <w:p w14:paraId="1630C877"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Usage of the sales force</w:t>
      </w:r>
    </w:p>
    <w:p w14:paraId="688742FD"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Usage of the sales force can be regarded as a key diagnostic tool that helps in ensuring employee engagement (</w:t>
      </w:r>
      <w:proofErr w:type="spellStart"/>
      <w:r w:rsidRPr="00E5165C">
        <w:rPr>
          <w:rFonts w:ascii="Times New Roman" w:eastAsia="Times New Roman" w:hAnsi="Times New Roman" w:cs="Times New Roman"/>
          <w:sz w:val="24"/>
          <w:szCs w:val="24"/>
          <w:lang w:val="en-GB"/>
        </w:rPr>
        <w:t>Engageforsuccess</w:t>
      </w:r>
      <w:proofErr w:type="spellEnd"/>
      <w:r w:rsidRPr="00E5165C">
        <w:rPr>
          <w:rFonts w:ascii="Times New Roman" w:eastAsia="Times New Roman" w:hAnsi="Times New Roman" w:cs="Times New Roman"/>
          <w:sz w:val="24"/>
          <w:szCs w:val="24"/>
          <w:lang w:val="en-GB"/>
        </w:rPr>
        <w:t xml:space="preserve">, 2020). In addition to this, the salesforce tool can help in tracking the operations of workers on a daily/weekly/monthly basis. In accordance with the case study, it can be stated that the usage of a sales force is significant after the outbreak of Covid-19. It would help identify areas where workers are distracted and, at the same time, not engaged. Once this is done, leaders and supervisors can communicate with workers directly in finding out what is going on and how the issues can be mitigated.   </w:t>
      </w:r>
    </w:p>
    <w:p w14:paraId="2821C1DF" w14:textId="25920015"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Stay and exit interviews</w:t>
      </w:r>
    </w:p>
    <w:p w14:paraId="3217594F"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Stay, and exit interviews can be regarded as a significant tool that can help in the process of employee engagement. </w:t>
      </w:r>
      <w:proofErr w:type="gramStart"/>
      <w:r w:rsidRPr="00E5165C">
        <w:rPr>
          <w:rFonts w:ascii="Times New Roman" w:eastAsia="Times New Roman" w:hAnsi="Times New Roman" w:cs="Times New Roman"/>
          <w:sz w:val="24"/>
          <w:szCs w:val="24"/>
          <w:lang w:val="en-GB"/>
        </w:rPr>
        <w:t>Hodges  and</w:t>
      </w:r>
      <w:proofErr w:type="gramEnd"/>
      <w:r w:rsidRPr="00E5165C">
        <w:rPr>
          <w:rFonts w:ascii="Times New Roman" w:eastAsia="Times New Roman" w:hAnsi="Times New Roman" w:cs="Times New Roman"/>
          <w:sz w:val="24"/>
          <w:szCs w:val="24"/>
          <w:lang w:val="en-GB"/>
        </w:rPr>
        <w:t xml:space="preserve"> Crabtree (2020) asserted that structured interviews could be regarded as a significant way of collecting feedback along with finding out what makes employees </w:t>
      </w:r>
      <w:r w:rsidRPr="00E5165C">
        <w:rPr>
          <w:rFonts w:ascii="Times New Roman" w:eastAsia="Times New Roman" w:hAnsi="Times New Roman" w:cs="Times New Roman"/>
          <w:sz w:val="24"/>
          <w:szCs w:val="24"/>
          <w:lang w:val="en-GB"/>
        </w:rPr>
        <w:lastRenderedPageBreak/>
        <w:t xml:space="preserve">engaged. It also helps in determining what are the aspects that intend to hold them back from being engaged. In accordance with the case study, exit interviews after the outbreak of Covid-19 can be significant to ensure improvement of engagement and, at the same time, determine what are the areas that require to be addressed.  </w:t>
      </w:r>
    </w:p>
    <w:p w14:paraId="44CA089C" w14:textId="77777777" w:rsidR="002B43BF" w:rsidRPr="00E5165C" w:rsidRDefault="00442548" w:rsidP="0010149F">
      <w:pPr>
        <w:pStyle w:val="Heading1"/>
        <w:rPr>
          <w:lang w:val="en-GB"/>
        </w:rPr>
      </w:pPr>
      <w:bookmarkStart w:id="3" w:name="_Toc56011991"/>
      <w:r w:rsidRPr="00E5165C">
        <w:rPr>
          <w:lang w:val="en-GB"/>
        </w:rPr>
        <w:t>Designing of an employee value proposition from ideas and analysis</w:t>
      </w:r>
      <w:bookmarkEnd w:id="3"/>
      <w:r w:rsidRPr="00E5165C">
        <w:rPr>
          <w:lang w:val="en-GB"/>
        </w:rPr>
        <w:t xml:space="preserve"> </w:t>
      </w:r>
    </w:p>
    <w:p w14:paraId="15B92B81" w14:textId="77777777" w:rsidR="002B43BF" w:rsidRPr="00E5165C" w:rsidRDefault="00442548">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noProof/>
          <w:sz w:val="24"/>
          <w:szCs w:val="24"/>
          <w:lang w:val="en-GB" w:eastAsia="en-GB"/>
        </w:rPr>
        <w:drawing>
          <wp:inline distT="114300" distB="114300" distL="114300" distR="114300" wp14:anchorId="5CD09323" wp14:editId="48A97BCF">
            <wp:extent cx="5943600" cy="2286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86397041" name="image1.png"/>
                    <pic:cNvPicPr/>
                  </pic:nvPicPr>
                  <pic:blipFill>
                    <a:blip r:embed="rId18"/>
                    <a:srcRect t="18803" b="12820"/>
                    <a:stretch>
                      <a:fillRect/>
                    </a:stretch>
                  </pic:blipFill>
                  <pic:spPr>
                    <a:xfrm>
                      <a:off x="0" y="0"/>
                      <a:ext cx="5943600" cy="2286000"/>
                    </a:xfrm>
                    <a:prstGeom prst="rect">
                      <a:avLst/>
                    </a:prstGeom>
                  </pic:spPr>
                </pic:pic>
              </a:graphicData>
            </a:graphic>
          </wp:inline>
        </w:drawing>
      </w:r>
    </w:p>
    <w:p w14:paraId="7BC6BDBD" w14:textId="77777777" w:rsidR="002B43BF" w:rsidRPr="00E5165C" w:rsidRDefault="00442548">
      <w:pPr>
        <w:spacing w:line="360" w:lineRule="auto"/>
        <w:jc w:val="center"/>
        <w:rPr>
          <w:rFonts w:ascii="Times New Roman" w:eastAsia="Times New Roman" w:hAnsi="Times New Roman" w:cs="Times New Roman"/>
          <w:b/>
          <w:sz w:val="24"/>
          <w:szCs w:val="24"/>
          <w:lang w:val="en-GB"/>
        </w:rPr>
      </w:pPr>
      <w:r w:rsidRPr="00E5165C">
        <w:rPr>
          <w:rFonts w:ascii="Times New Roman" w:eastAsia="Times New Roman" w:hAnsi="Times New Roman" w:cs="Times New Roman"/>
          <w:b/>
          <w:sz w:val="24"/>
          <w:szCs w:val="24"/>
          <w:lang w:val="en-GB"/>
        </w:rPr>
        <w:t>Figure 3:  Employee value proposition</w:t>
      </w:r>
    </w:p>
    <w:p w14:paraId="1269FF9D" w14:textId="6284365A" w:rsidR="002B43BF" w:rsidRPr="00E5165C" w:rsidRDefault="00442548">
      <w:pPr>
        <w:spacing w:line="360" w:lineRule="auto"/>
        <w:jc w:val="center"/>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(Source: </w:t>
      </w:r>
      <w:r w:rsidR="009E07B6" w:rsidRPr="00E5165C">
        <w:rPr>
          <w:rFonts w:ascii="Times New Roman" w:eastAsia="Times New Roman" w:hAnsi="Times New Roman" w:cs="Times New Roman"/>
          <w:sz w:val="24"/>
          <w:szCs w:val="24"/>
          <w:lang w:val="en-GB"/>
        </w:rPr>
        <w:t xml:space="preserve">Inspired by </w:t>
      </w:r>
      <w:r w:rsidRPr="00E5165C">
        <w:rPr>
          <w:rFonts w:ascii="Times New Roman" w:eastAsia="Times New Roman" w:hAnsi="Times New Roman" w:cs="Times New Roman"/>
          <w:sz w:val="24"/>
          <w:szCs w:val="24"/>
          <w:lang w:val="en-GB"/>
        </w:rPr>
        <w:t>Davies, 2020)</w:t>
      </w:r>
    </w:p>
    <w:p w14:paraId="077FD892" w14:textId="77777777" w:rsidR="002B43BF" w:rsidRPr="00E5165C" w:rsidRDefault="002B43BF">
      <w:pPr>
        <w:spacing w:line="360" w:lineRule="auto"/>
        <w:rPr>
          <w:rFonts w:ascii="Times New Roman" w:eastAsia="Times New Roman" w:hAnsi="Times New Roman" w:cs="Times New Roman"/>
          <w:sz w:val="24"/>
          <w:szCs w:val="24"/>
          <w:lang w:val="en-GB"/>
        </w:rPr>
      </w:pPr>
    </w:p>
    <w:p w14:paraId="4EA404CC"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Financial rewards</w:t>
      </w:r>
    </w:p>
    <w:p w14:paraId="0558E2F3"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Financial rewards can be considered as a significant strategy with respect to employee value propositions. Bailey (2016) asserted that financial rewards regarding employee value proposition assist in addressing the expectation of workers from overall evaluation and the systems of compensation. In accordance with the case study, it can be determined that the provision of covering financial offerings during the outbreak of Covid-19 can help in ensuring engagement as well as the satisfaction of workers in a significant manner. It primarily includes compensation rewards such as pay rise, salaries, the bonus along with stock options.  </w:t>
      </w:r>
    </w:p>
    <w:p w14:paraId="3E0739C7"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Financial rewards further act as one of the key motivators for the workplace as well as ensures employee engagement. Ruck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 xml:space="preserve">(2017) stated that stock options aim to encourage staff members and workers to operate more like business partners and tailor personal rewards to ensure financial success. Moreover, it can be observed that when workers are provided with the financial stake, they work in </w:t>
      </w:r>
      <w:proofErr w:type="gramStart"/>
      <w:r w:rsidRPr="00E5165C">
        <w:rPr>
          <w:rFonts w:ascii="Times New Roman" w:eastAsia="Times New Roman" w:hAnsi="Times New Roman" w:cs="Times New Roman"/>
          <w:sz w:val="24"/>
          <w:szCs w:val="24"/>
          <w:lang w:val="en-GB"/>
        </w:rPr>
        <w:t>a more harder</w:t>
      </w:r>
      <w:proofErr w:type="gramEnd"/>
      <w:r w:rsidRPr="00E5165C">
        <w:rPr>
          <w:rFonts w:ascii="Times New Roman" w:eastAsia="Times New Roman" w:hAnsi="Times New Roman" w:cs="Times New Roman"/>
          <w:sz w:val="24"/>
          <w:szCs w:val="24"/>
          <w:lang w:val="en-GB"/>
        </w:rPr>
        <w:t xml:space="preserve"> and smarter manner. </w:t>
      </w:r>
    </w:p>
    <w:p w14:paraId="3640554B"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lastRenderedPageBreak/>
        <w:t>Employee benefits</w:t>
      </w:r>
    </w:p>
    <w:p w14:paraId="5D14FB75"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Employee benefits are considered as defined as the non-cash, indirect as well as cash compensation that is paid to a worker above and beyond the regular wages or salaries. Marchington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 xml:space="preserve">(2016) contradicted that a strong and solid package of employee benefits can aid a business organisation to attract as well as retain talents. These can also help the business organisations such as Associated British Food Plc to differentiate the business from competitors. In accordance with the case study, offering benefits to employees during this time of pandemic can help the company to show that it is concerned about the future and overall health of workers.  </w:t>
      </w:r>
    </w:p>
    <w:p w14:paraId="08FF8FD9"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In addition to this, incorporation of Kahn’s employee engagement theory in the operation of the business can also ensure proper satisfaction as well as engagement of workers. Kahn states that engagement tends to occur when an individual is enabled to “</w:t>
      </w:r>
      <w:r w:rsidRPr="00E5165C">
        <w:rPr>
          <w:rFonts w:ascii="Times New Roman" w:eastAsia="Times New Roman" w:hAnsi="Times New Roman" w:cs="Times New Roman"/>
          <w:i/>
          <w:sz w:val="24"/>
          <w:szCs w:val="24"/>
          <w:lang w:val="en-GB"/>
        </w:rPr>
        <w:t xml:space="preserve">harness their full selves”. </w:t>
      </w:r>
      <w:r w:rsidRPr="00E5165C">
        <w:rPr>
          <w:rFonts w:ascii="Times New Roman" w:eastAsia="Times New Roman" w:hAnsi="Times New Roman" w:cs="Times New Roman"/>
          <w:sz w:val="24"/>
          <w:szCs w:val="24"/>
          <w:lang w:val="en-GB"/>
        </w:rPr>
        <w:t>Other than this, during the time of Covid-19, this can help in the establishment of “psychological safety” for workers (</w:t>
      </w:r>
      <w:proofErr w:type="spellStart"/>
      <w:r w:rsidRPr="00E5165C">
        <w:rPr>
          <w:rFonts w:ascii="Times New Roman" w:eastAsia="Times New Roman" w:hAnsi="Times New Roman" w:cs="Times New Roman"/>
          <w:sz w:val="24"/>
          <w:szCs w:val="24"/>
          <w:lang w:val="en-GB"/>
        </w:rPr>
        <w:t>Hbr</w:t>
      </w:r>
      <w:proofErr w:type="spellEnd"/>
      <w:r w:rsidRPr="00E5165C">
        <w:rPr>
          <w:rFonts w:ascii="Times New Roman" w:eastAsia="Times New Roman" w:hAnsi="Times New Roman" w:cs="Times New Roman"/>
          <w:sz w:val="24"/>
          <w:szCs w:val="24"/>
          <w:lang w:val="en-GB"/>
        </w:rPr>
        <w:t>, 2020). In accordance with the case study, apart from the measures that were taken, the company can include health insurance as well as paid leaves as a part of their employee benefits.</w:t>
      </w:r>
    </w:p>
    <w:p w14:paraId="4F3E313A"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Development of career</w:t>
      </w:r>
    </w:p>
    <w:p w14:paraId="1FF35D28"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The development of a career can be regarded as a significant aspect that is required to be taken into consideration. Bennett </w:t>
      </w:r>
      <w:r w:rsidRPr="00E5165C">
        <w:rPr>
          <w:rFonts w:ascii="Times New Roman" w:eastAsia="Times New Roman" w:hAnsi="Times New Roman" w:cs="Times New Roman"/>
          <w:i/>
          <w:sz w:val="24"/>
          <w:szCs w:val="24"/>
          <w:lang w:val="en-GB"/>
        </w:rPr>
        <w:t xml:space="preserve">et al. </w:t>
      </w:r>
      <w:r w:rsidRPr="00E5165C">
        <w:rPr>
          <w:rFonts w:ascii="Times New Roman" w:eastAsia="Times New Roman" w:hAnsi="Times New Roman" w:cs="Times New Roman"/>
          <w:sz w:val="24"/>
          <w:szCs w:val="24"/>
          <w:lang w:val="en-GB"/>
        </w:rPr>
        <w:t xml:space="preserve">(2020) asserted that workers intend to see the growth and development their job ensures to offer. It also helps business enterprises to determine how the organisation can contribute to their career development in a significant manner. In accordance with the case study, the workers within the company can be provided with technical training as well as career guidance so that they can deal with challenges posed due to Covid-19. This in turn can also act as a key driver for employee engagement and determine the value of employee proposition.  </w:t>
      </w:r>
    </w:p>
    <w:p w14:paraId="56498E43"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In addition to this, offering a clear career development and growth plan in an organisation can be regarded as the difference between hiring and losing quality talented workers. Smith and </w:t>
      </w:r>
      <w:proofErr w:type="spellStart"/>
      <w:r w:rsidRPr="00E5165C">
        <w:rPr>
          <w:rFonts w:ascii="Times New Roman" w:eastAsia="Times New Roman" w:hAnsi="Times New Roman" w:cs="Times New Roman"/>
          <w:sz w:val="24"/>
          <w:szCs w:val="24"/>
          <w:lang w:val="en-GB"/>
        </w:rPr>
        <w:t>Bititci</w:t>
      </w:r>
      <w:proofErr w:type="spellEnd"/>
      <w:r w:rsidRPr="00E5165C">
        <w:rPr>
          <w:rFonts w:ascii="Times New Roman" w:eastAsia="Times New Roman" w:hAnsi="Times New Roman" w:cs="Times New Roman"/>
          <w:sz w:val="24"/>
          <w:szCs w:val="24"/>
          <w:lang w:val="en-GB"/>
        </w:rPr>
        <w:t xml:space="preserve"> (2017) stated that career development enables workers to learn precise and better aspects of their work, along with improving their capabilities. It further helps them to ensure the management of their time efficiently and ensure that usage workers increase over time. Career development can also help employers to increase their productivity along with financial returns by investing in their workers via the process of career development. </w:t>
      </w:r>
    </w:p>
    <w:p w14:paraId="5EE38C29" w14:textId="77777777" w:rsidR="002B43BF" w:rsidRPr="00E5165C" w:rsidRDefault="00442548">
      <w:pPr>
        <w:spacing w:line="360" w:lineRule="auto"/>
        <w:jc w:val="both"/>
        <w:rPr>
          <w:rFonts w:ascii="Times New Roman" w:eastAsia="Times New Roman" w:hAnsi="Times New Roman" w:cs="Times New Roman"/>
          <w:b/>
          <w:i/>
          <w:sz w:val="24"/>
          <w:szCs w:val="24"/>
          <w:lang w:val="en-GB"/>
        </w:rPr>
      </w:pPr>
      <w:r w:rsidRPr="00E5165C">
        <w:rPr>
          <w:rFonts w:ascii="Times New Roman" w:eastAsia="Times New Roman" w:hAnsi="Times New Roman" w:cs="Times New Roman"/>
          <w:b/>
          <w:i/>
          <w:sz w:val="24"/>
          <w:szCs w:val="24"/>
          <w:lang w:val="en-GB"/>
        </w:rPr>
        <w:t>Promotion of a significant organisational culture</w:t>
      </w:r>
    </w:p>
    <w:p w14:paraId="5A84E958" w14:textId="77777777"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lastRenderedPageBreak/>
        <w:t>The promotion of organisational culture is considered significant as it aims to convey the goals and objectives of a business organisation. Seymour and Geldenhuys (2018) asserted that organisational culture, by its nature, aims to ensure that the purpose of its members is aligned with the objectives of a business. In accordance with the case study, it can be identified that promoting a "Covid-19 Safe" workplace is regarded as a powerful way in conveying the goals as well as objectives of a business. This can also help in ascertaining employee engagement and enhance their productivity, respectively.</w:t>
      </w:r>
    </w:p>
    <w:p w14:paraId="22D7A20B" w14:textId="7DCF42A5" w:rsidR="0010149F" w:rsidRPr="00E5165C" w:rsidRDefault="00442548">
      <w:pPr>
        <w:spacing w:line="360" w:lineRule="auto"/>
        <w:jc w:val="both"/>
        <w:rPr>
          <w:rFonts w:ascii="Times New Roman" w:eastAsia="Times New Roman" w:hAnsi="Times New Roman" w:cs="Times New Roman"/>
          <w:b/>
          <w:sz w:val="24"/>
          <w:szCs w:val="24"/>
          <w:lang w:val="en-GB"/>
        </w:rPr>
      </w:pPr>
      <w:r w:rsidRPr="00E5165C">
        <w:rPr>
          <w:rFonts w:ascii="Times New Roman" w:eastAsia="Times New Roman" w:hAnsi="Times New Roman" w:cs="Times New Roman"/>
          <w:sz w:val="24"/>
          <w:szCs w:val="24"/>
          <w:lang w:val="en-GB"/>
        </w:rPr>
        <w:t>Incorporation of “Hofstede's cultural dimensions theory” can help in ensuring cross-cultural communication within the organisation. It sheds light on the impact of society’s culture on the values of its members, respectively. As per the case study, the application of this framework during the outbreak of the Covid-19 pandemic can help in ensuring workers are provided with flexible working hours along with work from home facilities. Effective communication systems can be considered significant at this time. This framework can help in adding towards a positive employee experience as well as engagement. It would also help in structuring and r</w:t>
      </w:r>
      <w:r w:rsidR="002205DE" w:rsidRPr="00E5165C">
        <w:rPr>
          <w:rFonts w:ascii="Times New Roman" w:eastAsia="Times New Roman" w:hAnsi="Times New Roman" w:cs="Times New Roman"/>
          <w:sz w:val="24"/>
          <w:szCs w:val="24"/>
          <w:lang w:val="en-GB"/>
        </w:rPr>
        <w:t xml:space="preserve">estructuring of the workplace. </w:t>
      </w:r>
    </w:p>
    <w:p w14:paraId="37F8B6C0" w14:textId="227DFD4C" w:rsidR="002B43BF" w:rsidRPr="00E5165C" w:rsidRDefault="00442548" w:rsidP="0010149F">
      <w:pPr>
        <w:pStyle w:val="Heading1"/>
        <w:rPr>
          <w:lang w:val="en-GB"/>
        </w:rPr>
      </w:pPr>
      <w:bookmarkStart w:id="4" w:name="_Toc56011992"/>
      <w:r w:rsidRPr="00E5165C">
        <w:rPr>
          <w:lang w:val="en-GB"/>
        </w:rPr>
        <w:t>Conclusion</w:t>
      </w:r>
      <w:bookmarkEnd w:id="4"/>
      <w:r w:rsidRPr="00E5165C">
        <w:rPr>
          <w:lang w:val="en-GB"/>
        </w:rPr>
        <w:t xml:space="preserve"> </w:t>
      </w:r>
    </w:p>
    <w:p w14:paraId="5B87BF29" w14:textId="166AB7DC" w:rsidR="002B43BF" w:rsidRPr="00E5165C" w:rsidRDefault="00442548">
      <w:pPr>
        <w:spacing w:line="360" w:lineRule="auto"/>
        <w:jc w:val="both"/>
        <w:rPr>
          <w:rFonts w:ascii="Times New Roman" w:eastAsia="Times New Roman" w:hAnsi="Times New Roman" w:cs="Times New Roman"/>
          <w:sz w:val="24"/>
          <w:szCs w:val="24"/>
          <w:lang w:val="en-GB"/>
        </w:rPr>
      </w:pPr>
      <w:r w:rsidRPr="00E5165C">
        <w:rPr>
          <w:rFonts w:ascii="Times New Roman" w:eastAsia="Times New Roman" w:hAnsi="Times New Roman" w:cs="Times New Roman"/>
          <w:sz w:val="24"/>
          <w:szCs w:val="24"/>
          <w:lang w:val="en-GB"/>
        </w:rPr>
        <w:t xml:space="preserve">In order to conclude this report, it can be stated that employee engagement is crucial for retaining valuable talents at a time of crisis. Employees who are engaged and motivated are likely to remain committed to their employers. It can be further stated that engaged workers intend to commit to the goal and objective of the firm. </w:t>
      </w:r>
      <w:r w:rsidR="0010149F" w:rsidRPr="00E5165C">
        <w:rPr>
          <w:rFonts w:ascii="Times New Roman" w:eastAsia="Times New Roman" w:hAnsi="Times New Roman" w:cs="Times New Roman"/>
          <w:sz w:val="24"/>
          <w:szCs w:val="24"/>
          <w:lang w:val="en-GB"/>
        </w:rPr>
        <w:t xml:space="preserve">The employee engagement aspect is also considered as an organisation-wide collaborative function. </w:t>
      </w:r>
      <w:r w:rsidRPr="00E5165C">
        <w:rPr>
          <w:rFonts w:ascii="Times New Roman" w:eastAsia="Times New Roman" w:hAnsi="Times New Roman" w:cs="Times New Roman"/>
          <w:sz w:val="24"/>
          <w:szCs w:val="24"/>
          <w:lang w:val="en-GB"/>
        </w:rPr>
        <w:t xml:space="preserve">Other than this, strategies of employee engagement have been proven as a crucial aspect in order to improve the productivity and efficiency of workers. Therefore, it can be concluded that engaged employees are more focused as well as motivated as compared to their disengaged counterparts. </w:t>
      </w:r>
      <w:r w:rsidRPr="00E5165C">
        <w:rPr>
          <w:lang w:val="en-GB"/>
        </w:rPr>
        <w:br w:type="page"/>
      </w:r>
    </w:p>
    <w:p w14:paraId="01BD78D1" w14:textId="2247C411" w:rsidR="002B43BF" w:rsidRPr="00E5165C" w:rsidRDefault="0010149F" w:rsidP="0010149F">
      <w:pPr>
        <w:pStyle w:val="Heading1"/>
        <w:rPr>
          <w:lang w:val="en-GB"/>
        </w:rPr>
      </w:pPr>
      <w:bookmarkStart w:id="5" w:name="_Toc56011993"/>
      <w:r w:rsidRPr="00E5165C">
        <w:rPr>
          <w:lang w:val="en-GB"/>
        </w:rPr>
        <w:lastRenderedPageBreak/>
        <w:t>Reference List</w:t>
      </w:r>
      <w:bookmarkEnd w:id="5"/>
    </w:p>
    <w:p w14:paraId="4E0B7528"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Armstrong, M., (2016). </w:t>
      </w:r>
      <w:r w:rsidRPr="00E5165C">
        <w:rPr>
          <w:i/>
          <w:iCs/>
          <w:color w:val="000000"/>
          <w:lang w:val="en-GB"/>
        </w:rPr>
        <w:t>Armstrong's handbook of strategic human resource management</w:t>
      </w:r>
      <w:r w:rsidRPr="00E5165C">
        <w:rPr>
          <w:color w:val="000000"/>
          <w:lang w:val="en-GB"/>
        </w:rPr>
        <w:t>, Eds 6, London: Kogan Page Publishers.</w:t>
      </w:r>
    </w:p>
    <w:p w14:paraId="289A4D3C"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Bailey, C., (2016). Employee engagement: do practitioners care what academics have to say–And should </w:t>
      </w:r>
      <w:proofErr w:type="gramStart"/>
      <w:r w:rsidRPr="00E5165C">
        <w:rPr>
          <w:color w:val="000000"/>
          <w:lang w:val="en-GB"/>
        </w:rPr>
        <w:t>they?.</w:t>
      </w:r>
      <w:proofErr w:type="gramEnd"/>
      <w:r w:rsidRPr="00E5165C">
        <w:rPr>
          <w:color w:val="000000"/>
          <w:lang w:val="en-GB"/>
        </w:rPr>
        <w:t xml:space="preserve"> </w:t>
      </w:r>
      <w:r w:rsidRPr="00E5165C">
        <w:rPr>
          <w:i/>
          <w:iCs/>
          <w:color w:val="000000"/>
          <w:lang w:val="en-GB"/>
        </w:rPr>
        <w:t>Human Resource Management Review</w:t>
      </w:r>
      <w:r w:rsidRPr="00E5165C">
        <w:rPr>
          <w:color w:val="000000"/>
          <w:lang w:val="en-GB"/>
        </w:rPr>
        <w:t>, p.100589.</w:t>
      </w:r>
    </w:p>
    <w:p w14:paraId="4291B822"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Bennett, T., </w:t>
      </w:r>
      <w:proofErr w:type="spellStart"/>
      <w:r w:rsidRPr="00E5165C">
        <w:rPr>
          <w:color w:val="000000"/>
          <w:lang w:val="en-GB"/>
        </w:rPr>
        <w:t>Saundry</w:t>
      </w:r>
      <w:proofErr w:type="spellEnd"/>
      <w:r w:rsidRPr="00E5165C">
        <w:rPr>
          <w:color w:val="000000"/>
          <w:lang w:val="en-GB"/>
        </w:rPr>
        <w:t xml:space="preserve">, R. and Fisher, V., 2020. </w:t>
      </w:r>
      <w:r w:rsidRPr="00E5165C">
        <w:rPr>
          <w:i/>
          <w:iCs/>
          <w:color w:val="000000"/>
          <w:lang w:val="en-GB"/>
        </w:rPr>
        <w:t>Managing Employment Relations</w:t>
      </w:r>
      <w:r w:rsidRPr="00E5165C">
        <w:rPr>
          <w:color w:val="000000"/>
          <w:lang w:val="en-GB"/>
        </w:rPr>
        <w:t>, Eds 8, London: Kogan Page Publishers.</w:t>
      </w:r>
    </w:p>
    <w:p w14:paraId="6B51D92D"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Bridger, E., (2018). </w:t>
      </w:r>
      <w:r w:rsidRPr="00E5165C">
        <w:rPr>
          <w:i/>
          <w:iCs/>
          <w:color w:val="000000"/>
          <w:lang w:val="en-GB"/>
        </w:rPr>
        <w:t>Employee engagement: a practical introduction</w:t>
      </w:r>
      <w:r w:rsidRPr="00E5165C">
        <w:rPr>
          <w:color w:val="000000"/>
          <w:lang w:val="en-GB"/>
        </w:rPr>
        <w:t>, Eds 7, London: Kogan Page Publishers.</w:t>
      </w:r>
    </w:p>
    <w:p w14:paraId="3E05719C"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Chapter, A.I., (2020). ESSENTIALS OF JOB ATTITUDES AND OTHER WORKPLACE PSYCHOLOGICAL CONSTRUCTS. </w:t>
      </w:r>
      <w:r w:rsidRPr="00E5165C">
        <w:rPr>
          <w:i/>
          <w:iCs/>
          <w:color w:val="000000"/>
          <w:lang w:val="en-GB"/>
        </w:rPr>
        <w:t>Essentials of Job Attitudes and Other Workplace Psychological Constructs</w:t>
      </w:r>
      <w:r w:rsidRPr="00E5165C">
        <w:rPr>
          <w:color w:val="000000"/>
          <w:lang w:val="en-GB"/>
        </w:rPr>
        <w:t>, Eds 6, Abingdon: Routledge</w:t>
      </w:r>
    </w:p>
    <w:p w14:paraId="71E434A0"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Davies, M., (2020). </w:t>
      </w:r>
      <w:r w:rsidRPr="00E5165C">
        <w:rPr>
          <w:i/>
          <w:iCs/>
          <w:color w:val="000000"/>
          <w:lang w:val="en-GB"/>
        </w:rPr>
        <w:t>The Trust Triangle: How to Manage Humans at Work</w:t>
      </w:r>
      <w:r w:rsidRPr="00E5165C">
        <w:rPr>
          <w:color w:val="000000"/>
          <w:lang w:val="en-GB"/>
        </w:rPr>
        <w:t>, Eds 8, London: Balboa Press</w:t>
      </w:r>
    </w:p>
    <w:p w14:paraId="5AC3DEDA"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Engageforsuccess.org (2020). </w:t>
      </w:r>
      <w:r w:rsidRPr="00E5165C">
        <w:rPr>
          <w:i/>
          <w:iCs/>
          <w:color w:val="000000"/>
          <w:lang w:val="en-GB"/>
        </w:rPr>
        <w:t xml:space="preserve">Importance of employee engagement. </w:t>
      </w:r>
      <w:r w:rsidRPr="00E5165C">
        <w:rPr>
          <w:color w:val="000000"/>
          <w:lang w:val="en-GB"/>
        </w:rPr>
        <w:t xml:space="preserve">Available at: </w:t>
      </w:r>
      <w:proofErr w:type="gramStart"/>
      <w:r w:rsidRPr="00E5165C">
        <w:rPr>
          <w:color w:val="000000"/>
          <w:lang w:val="en-GB"/>
        </w:rPr>
        <w:t>https://engageforsuccess.org/why-is-it-important  [</w:t>
      </w:r>
      <w:proofErr w:type="gramEnd"/>
      <w:r w:rsidRPr="00E5165C">
        <w:rPr>
          <w:color w:val="000000"/>
          <w:lang w:val="en-GB"/>
        </w:rPr>
        <w:t>Accessed on: 4 November, 2020]</w:t>
      </w:r>
    </w:p>
    <w:p w14:paraId="27492D6F"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Engageforsuccess.org (2020). </w:t>
      </w:r>
      <w:r w:rsidRPr="00E5165C">
        <w:rPr>
          <w:i/>
          <w:iCs/>
          <w:color w:val="000000"/>
          <w:lang w:val="en-GB"/>
        </w:rPr>
        <w:t xml:space="preserve">What is Employee Engagement? </w:t>
      </w:r>
      <w:r w:rsidRPr="00E5165C">
        <w:rPr>
          <w:color w:val="000000"/>
          <w:lang w:val="en-GB"/>
        </w:rPr>
        <w:t xml:space="preserve">Available at: </w:t>
      </w:r>
      <w:proofErr w:type="gramStart"/>
      <w:r w:rsidRPr="00E5165C">
        <w:rPr>
          <w:color w:val="000000"/>
          <w:lang w:val="en-GB"/>
        </w:rPr>
        <w:t>https://engageforsuccess.org/what-is-employee-engagement  [</w:t>
      </w:r>
      <w:proofErr w:type="gramEnd"/>
      <w:r w:rsidRPr="00E5165C">
        <w:rPr>
          <w:color w:val="000000"/>
          <w:lang w:val="en-GB"/>
        </w:rPr>
        <w:t>Accessed on: 4 November, 2020]</w:t>
      </w:r>
    </w:p>
    <w:p w14:paraId="3D60C5CE" w14:textId="77777777" w:rsidR="00BA10D0" w:rsidRPr="00E5165C" w:rsidRDefault="00BA10D0" w:rsidP="0010149F">
      <w:pPr>
        <w:pStyle w:val="NormalWeb"/>
        <w:spacing w:before="0" w:beforeAutospacing="0" w:after="200" w:afterAutospacing="0" w:line="360" w:lineRule="auto"/>
        <w:jc w:val="both"/>
        <w:rPr>
          <w:lang w:val="en-GB"/>
        </w:rPr>
      </w:pPr>
      <w:proofErr w:type="spellStart"/>
      <w:r w:rsidRPr="00E5165C">
        <w:rPr>
          <w:color w:val="000000"/>
          <w:lang w:val="en-GB"/>
        </w:rPr>
        <w:t>Getha</w:t>
      </w:r>
      <w:proofErr w:type="spellEnd"/>
      <w:r w:rsidRPr="00E5165C">
        <w:rPr>
          <w:color w:val="000000"/>
          <w:lang w:val="en-GB"/>
        </w:rPr>
        <w:t xml:space="preserve">-Taylor, H., (2018). Expanding the employee engagement model for public service: prioritizing relatedness to achieve collaborative outcomes. In </w:t>
      </w:r>
      <w:r w:rsidRPr="00E5165C">
        <w:rPr>
          <w:i/>
          <w:iCs/>
          <w:color w:val="000000"/>
          <w:lang w:val="en-GB"/>
        </w:rPr>
        <w:t>Handbook of Public Administration</w:t>
      </w:r>
      <w:r w:rsidRPr="00E5165C">
        <w:rPr>
          <w:color w:val="000000"/>
          <w:lang w:val="en-GB"/>
        </w:rPr>
        <w:t>, Eds 9, Cheltenham: Edward Elgar Publishing.</w:t>
      </w:r>
    </w:p>
    <w:p w14:paraId="44913871" w14:textId="77777777" w:rsidR="00BA10D0" w:rsidRPr="00E5165C" w:rsidRDefault="00BA10D0" w:rsidP="0010149F">
      <w:pPr>
        <w:pStyle w:val="NormalWeb"/>
        <w:spacing w:before="0" w:beforeAutospacing="0" w:after="200" w:afterAutospacing="0" w:line="360" w:lineRule="auto"/>
        <w:jc w:val="both"/>
        <w:rPr>
          <w:lang w:val="en-GB"/>
        </w:rPr>
      </w:pPr>
      <w:proofErr w:type="spellStart"/>
      <w:r w:rsidRPr="00E5165C">
        <w:rPr>
          <w:color w:val="000000"/>
          <w:lang w:val="en-GB"/>
        </w:rPr>
        <w:t>Haski</w:t>
      </w:r>
      <w:proofErr w:type="spellEnd"/>
      <w:r w:rsidRPr="00E5165C">
        <w:rPr>
          <w:color w:val="000000"/>
          <w:lang w:val="en-GB"/>
        </w:rPr>
        <w:t xml:space="preserve">-Leventhal, D., </w:t>
      </w:r>
      <w:proofErr w:type="spellStart"/>
      <w:r w:rsidRPr="00E5165C">
        <w:rPr>
          <w:color w:val="000000"/>
          <w:lang w:val="en-GB"/>
        </w:rPr>
        <w:t>Roza</w:t>
      </w:r>
      <w:proofErr w:type="spellEnd"/>
      <w:r w:rsidRPr="00E5165C">
        <w:rPr>
          <w:color w:val="000000"/>
          <w:lang w:val="en-GB"/>
        </w:rPr>
        <w:t xml:space="preserve">, L. and Brammer, S., (2020). </w:t>
      </w:r>
      <w:r w:rsidRPr="00E5165C">
        <w:rPr>
          <w:i/>
          <w:iCs/>
          <w:color w:val="000000"/>
          <w:lang w:val="en-GB"/>
        </w:rPr>
        <w:t>Employee Engagement in Corporate Social Responsibility</w:t>
      </w:r>
      <w:r w:rsidRPr="00E5165C">
        <w:rPr>
          <w:color w:val="000000"/>
          <w:lang w:val="en-GB"/>
        </w:rPr>
        <w:t>, Eds 8, California: SAGE Publications Limited.</w:t>
      </w:r>
    </w:p>
    <w:p w14:paraId="122F2144"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Hbr.org (2020). </w:t>
      </w:r>
      <w:r w:rsidRPr="00E5165C">
        <w:rPr>
          <w:i/>
          <w:iCs/>
          <w:color w:val="000000"/>
          <w:lang w:val="en-GB"/>
        </w:rPr>
        <w:t xml:space="preserve">The Impact of Employee Engagement on Performance. </w:t>
      </w:r>
      <w:r w:rsidRPr="00E5165C">
        <w:rPr>
          <w:color w:val="000000"/>
          <w:lang w:val="en-GB"/>
        </w:rPr>
        <w:t>Available at: https://hbr.org/resources/pdfs/comm/achievers/hbr_achievers_report_sep13.pdf</w:t>
      </w:r>
      <w:proofErr w:type="gramStart"/>
      <w:r w:rsidRPr="00E5165C">
        <w:rPr>
          <w:color w:val="000000"/>
          <w:lang w:val="en-GB"/>
        </w:rPr>
        <w:t xml:space="preserve">   [</w:t>
      </w:r>
      <w:proofErr w:type="gramEnd"/>
      <w:r w:rsidRPr="00E5165C">
        <w:rPr>
          <w:color w:val="000000"/>
          <w:lang w:val="en-GB"/>
        </w:rPr>
        <w:t>Accessed on: 6 November, 2020]</w:t>
      </w:r>
    </w:p>
    <w:p w14:paraId="351BFBDB"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lastRenderedPageBreak/>
        <w:t xml:space="preserve">Hodges, J. and Crabtree, M., (2020). </w:t>
      </w:r>
      <w:r w:rsidRPr="00E5165C">
        <w:rPr>
          <w:i/>
          <w:iCs/>
          <w:color w:val="000000"/>
          <w:lang w:val="en-GB"/>
        </w:rPr>
        <w:t>Reshaping HR: The Role of HR in Organizational Change</w:t>
      </w:r>
      <w:r w:rsidRPr="00E5165C">
        <w:rPr>
          <w:color w:val="000000"/>
          <w:lang w:val="en-GB"/>
        </w:rPr>
        <w:t>, Eds 7, Abingdon: Routledge.</w:t>
      </w:r>
    </w:p>
    <w:p w14:paraId="0D99C559" w14:textId="77777777" w:rsidR="00BA10D0" w:rsidRPr="00E5165C" w:rsidRDefault="00BA10D0" w:rsidP="0010149F">
      <w:pPr>
        <w:pStyle w:val="NormalWeb"/>
        <w:spacing w:before="0" w:beforeAutospacing="0" w:after="200" w:afterAutospacing="0" w:line="360" w:lineRule="auto"/>
        <w:jc w:val="both"/>
        <w:rPr>
          <w:lang w:val="en-GB"/>
        </w:rPr>
      </w:pPr>
      <w:proofErr w:type="spellStart"/>
      <w:r w:rsidRPr="00E5165C">
        <w:rPr>
          <w:color w:val="000000"/>
          <w:lang w:val="en-GB"/>
        </w:rPr>
        <w:t>Hollebeek</w:t>
      </w:r>
      <w:proofErr w:type="spellEnd"/>
      <w:r w:rsidRPr="00E5165C">
        <w:rPr>
          <w:color w:val="000000"/>
          <w:lang w:val="en-GB"/>
        </w:rPr>
        <w:t xml:space="preserve">, L.D., </w:t>
      </w:r>
      <w:proofErr w:type="spellStart"/>
      <w:r w:rsidRPr="00E5165C">
        <w:rPr>
          <w:color w:val="000000"/>
          <w:lang w:val="en-GB"/>
        </w:rPr>
        <w:t>Andreassen</w:t>
      </w:r>
      <w:proofErr w:type="spellEnd"/>
      <w:r w:rsidRPr="00E5165C">
        <w:rPr>
          <w:color w:val="000000"/>
          <w:lang w:val="en-GB"/>
        </w:rPr>
        <w:t xml:space="preserve">, T.W., Smith, D.L., </w:t>
      </w:r>
      <w:proofErr w:type="spellStart"/>
      <w:r w:rsidRPr="00E5165C">
        <w:rPr>
          <w:color w:val="000000"/>
          <w:lang w:val="en-GB"/>
        </w:rPr>
        <w:t>Grönquist</w:t>
      </w:r>
      <w:proofErr w:type="spellEnd"/>
      <w:r w:rsidRPr="00E5165C">
        <w:rPr>
          <w:color w:val="000000"/>
          <w:lang w:val="en-GB"/>
        </w:rPr>
        <w:t xml:space="preserve">, D., </w:t>
      </w:r>
      <w:proofErr w:type="spellStart"/>
      <w:r w:rsidRPr="00E5165C">
        <w:rPr>
          <w:color w:val="000000"/>
          <w:lang w:val="en-GB"/>
        </w:rPr>
        <w:t>Karahasanovic</w:t>
      </w:r>
      <w:proofErr w:type="spellEnd"/>
      <w:r w:rsidRPr="00E5165C">
        <w:rPr>
          <w:color w:val="000000"/>
          <w:lang w:val="en-GB"/>
        </w:rPr>
        <w:t xml:space="preserve">, A. and Marquez, A., (2018). Epilogue–service innovation actor engagement: an integrative model. </w:t>
      </w:r>
      <w:r w:rsidRPr="00E5165C">
        <w:rPr>
          <w:i/>
          <w:iCs/>
          <w:color w:val="000000"/>
          <w:lang w:val="en-GB"/>
        </w:rPr>
        <w:t>Journal of Services Marketing</w:t>
      </w:r>
      <w:r w:rsidRPr="00E5165C">
        <w:rPr>
          <w:color w:val="000000"/>
          <w:lang w:val="en-GB"/>
        </w:rPr>
        <w:t xml:space="preserve">, </w:t>
      </w:r>
      <w:r w:rsidRPr="00E5165C">
        <w:rPr>
          <w:i/>
          <w:iCs/>
          <w:color w:val="000000"/>
          <w:lang w:val="en-GB"/>
        </w:rPr>
        <w:t>7</w:t>
      </w:r>
      <w:r w:rsidRPr="00E5165C">
        <w:rPr>
          <w:color w:val="000000"/>
          <w:lang w:val="en-GB"/>
        </w:rPr>
        <w:t>(8), 134-167</w:t>
      </w:r>
    </w:p>
    <w:p w14:paraId="5F349111"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Marchington, M., Wilkinson, A., Donnelly, R. and </w:t>
      </w:r>
      <w:proofErr w:type="spellStart"/>
      <w:r w:rsidRPr="00E5165C">
        <w:rPr>
          <w:color w:val="000000"/>
          <w:lang w:val="en-GB"/>
        </w:rPr>
        <w:t>Kynighou</w:t>
      </w:r>
      <w:proofErr w:type="spellEnd"/>
      <w:r w:rsidRPr="00E5165C">
        <w:rPr>
          <w:color w:val="000000"/>
          <w:lang w:val="en-GB"/>
        </w:rPr>
        <w:t xml:space="preserve">, A., (2016). </w:t>
      </w:r>
      <w:r w:rsidRPr="00E5165C">
        <w:rPr>
          <w:i/>
          <w:iCs/>
          <w:color w:val="000000"/>
          <w:lang w:val="en-GB"/>
        </w:rPr>
        <w:t>Human resource management at work</w:t>
      </w:r>
      <w:r w:rsidRPr="00E5165C">
        <w:rPr>
          <w:color w:val="000000"/>
          <w:lang w:val="en-GB"/>
        </w:rPr>
        <w:t>, Eds 7, London: Kogan Page Publishers.</w:t>
      </w:r>
    </w:p>
    <w:p w14:paraId="7EAE19AE"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Matthews, G., (2018)</w:t>
      </w:r>
      <w:r w:rsidRPr="00E5165C">
        <w:rPr>
          <w:i/>
          <w:iCs/>
          <w:color w:val="000000"/>
          <w:lang w:val="en-GB"/>
        </w:rPr>
        <w:t xml:space="preserve">. Employee engagement: what’s your </w:t>
      </w:r>
      <w:proofErr w:type="gramStart"/>
      <w:r w:rsidRPr="00E5165C">
        <w:rPr>
          <w:i/>
          <w:iCs/>
          <w:color w:val="000000"/>
          <w:lang w:val="en-GB"/>
        </w:rPr>
        <w:t>strategy?,</w:t>
      </w:r>
      <w:proofErr w:type="gramEnd"/>
      <w:r w:rsidRPr="00E5165C">
        <w:rPr>
          <w:i/>
          <w:iCs/>
          <w:color w:val="000000"/>
          <w:lang w:val="en-GB"/>
        </w:rPr>
        <w:t xml:space="preserve"> 45</w:t>
      </w:r>
      <w:r w:rsidRPr="00E5165C">
        <w:rPr>
          <w:color w:val="000000"/>
          <w:lang w:val="en-GB"/>
        </w:rPr>
        <w:t>(8), 1234-1300</w:t>
      </w:r>
    </w:p>
    <w:p w14:paraId="781C269D" w14:textId="77777777" w:rsidR="00BA10D0" w:rsidRPr="00E5165C" w:rsidRDefault="00BA10D0" w:rsidP="0010149F">
      <w:pPr>
        <w:pStyle w:val="NormalWeb"/>
        <w:spacing w:before="0" w:beforeAutospacing="0" w:after="200" w:afterAutospacing="0" w:line="360" w:lineRule="auto"/>
        <w:jc w:val="both"/>
        <w:rPr>
          <w:lang w:val="en-GB"/>
        </w:rPr>
      </w:pPr>
      <w:proofErr w:type="spellStart"/>
      <w:r w:rsidRPr="00E5165C">
        <w:rPr>
          <w:color w:val="000000"/>
          <w:lang w:val="en-GB"/>
        </w:rPr>
        <w:t>Mone</w:t>
      </w:r>
      <w:proofErr w:type="spellEnd"/>
      <w:r w:rsidRPr="00E5165C">
        <w:rPr>
          <w:color w:val="000000"/>
          <w:lang w:val="en-GB"/>
        </w:rPr>
        <w:t xml:space="preserve">, E.M., London, M. and </w:t>
      </w:r>
      <w:proofErr w:type="spellStart"/>
      <w:r w:rsidRPr="00E5165C">
        <w:rPr>
          <w:color w:val="000000"/>
          <w:lang w:val="en-GB"/>
        </w:rPr>
        <w:t>Mone</w:t>
      </w:r>
      <w:proofErr w:type="spellEnd"/>
      <w:r w:rsidRPr="00E5165C">
        <w:rPr>
          <w:color w:val="000000"/>
          <w:lang w:val="en-GB"/>
        </w:rPr>
        <w:t xml:space="preserve">, E.M., (2018). </w:t>
      </w:r>
      <w:r w:rsidRPr="00E5165C">
        <w:rPr>
          <w:i/>
          <w:iCs/>
          <w:color w:val="000000"/>
          <w:lang w:val="en-GB"/>
        </w:rPr>
        <w:t>Employee engagement through effective performance management: A practical guide for managers</w:t>
      </w:r>
      <w:r w:rsidRPr="00E5165C">
        <w:rPr>
          <w:color w:val="000000"/>
          <w:lang w:val="en-GB"/>
        </w:rPr>
        <w:t>, Eds 6, Abingdon: Routledge.</w:t>
      </w:r>
    </w:p>
    <w:p w14:paraId="6B023F5B"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Ruck, K., Welch, M. and Menara, B., (2017). Employee voice: an antecedent to organisational </w:t>
      </w:r>
      <w:proofErr w:type="gramStart"/>
      <w:r w:rsidRPr="00E5165C">
        <w:rPr>
          <w:color w:val="000000"/>
          <w:lang w:val="en-GB"/>
        </w:rPr>
        <w:t>engagement?.</w:t>
      </w:r>
      <w:proofErr w:type="gramEnd"/>
      <w:r w:rsidRPr="00E5165C">
        <w:rPr>
          <w:color w:val="000000"/>
          <w:lang w:val="en-GB"/>
        </w:rPr>
        <w:t xml:space="preserve"> </w:t>
      </w:r>
      <w:r w:rsidRPr="00E5165C">
        <w:rPr>
          <w:i/>
          <w:iCs/>
          <w:color w:val="000000"/>
          <w:lang w:val="en-GB"/>
        </w:rPr>
        <w:t>Public Relations Review</w:t>
      </w:r>
      <w:r w:rsidRPr="00E5165C">
        <w:rPr>
          <w:color w:val="000000"/>
          <w:lang w:val="en-GB"/>
        </w:rPr>
        <w:t xml:space="preserve">, </w:t>
      </w:r>
      <w:r w:rsidRPr="00E5165C">
        <w:rPr>
          <w:i/>
          <w:iCs/>
          <w:color w:val="000000"/>
          <w:lang w:val="en-GB"/>
        </w:rPr>
        <w:t>43</w:t>
      </w:r>
      <w:r w:rsidRPr="00E5165C">
        <w:rPr>
          <w:color w:val="000000"/>
          <w:lang w:val="en-GB"/>
        </w:rPr>
        <w:t>(5), pp.904-914.</w:t>
      </w:r>
    </w:p>
    <w:p w14:paraId="50457CAB"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Schell, W.J., (2019). Leadership and change management. In </w:t>
      </w:r>
      <w:r w:rsidRPr="00E5165C">
        <w:rPr>
          <w:i/>
          <w:iCs/>
          <w:color w:val="000000"/>
          <w:lang w:val="en-GB"/>
        </w:rPr>
        <w:t>Traffic Safety Culture: Definition, Foundation, and Application</w:t>
      </w:r>
      <w:r w:rsidRPr="00E5165C">
        <w:rPr>
          <w:color w:val="000000"/>
          <w:lang w:val="en-GB"/>
        </w:rPr>
        <w:t>, Eds 7, Bingley: Emerald Publishing Limited.</w:t>
      </w:r>
    </w:p>
    <w:p w14:paraId="14CC9AA5"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Seymour, M.A. and Geldenhuys, D.J., (2018). The impact of team dialogue sessions on employee engagement in an information and communication technology company. </w:t>
      </w:r>
      <w:r w:rsidRPr="00E5165C">
        <w:rPr>
          <w:i/>
          <w:iCs/>
          <w:color w:val="000000"/>
          <w:lang w:val="en-GB"/>
        </w:rPr>
        <w:t>SA Journal of Human Resource Management</w:t>
      </w:r>
      <w:r w:rsidRPr="00E5165C">
        <w:rPr>
          <w:color w:val="000000"/>
          <w:lang w:val="en-GB"/>
        </w:rPr>
        <w:t xml:space="preserve">, </w:t>
      </w:r>
      <w:r w:rsidRPr="00E5165C">
        <w:rPr>
          <w:i/>
          <w:iCs/>
          <w:color w:val="000000"/>
          <w:lang w:val="en-GB"/>
        </w:rPr>
        <w:t>16</w:t>
      </w:r>
      <w:r w:rsidRPr="00E5165C">
        <w:rPr>
          <w:color w:val="000000"/>
          <w:lang w:val="en-GB"/>
        </w:rPr>
        <w:t>(1), pp.1-11.</w:t>
      </w:r>
    </w:p>
    <w:p w14:paraId="08555C59"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Shrm.org (202). </w:t>
      </w:r>
      <w:r w:rsidRPr="00E5165C">
        <w:rPr>
          <w:i/>
          <w:iCs/>
          <w:color w:val="000000"/>
          <w:lang w:val="en-GB"/>
        </w:rPr>
        <w:t xml:space="preserve">Managing Employee Surveys, </w:t>
      </w:r>
      <w:r w:rsidRPr="00E5165C">
        <w:rPr>
          <w:color w:val="000000"/>
          <w:lang w:val="en-GB"/>
        </w:rPr>
        <w:t>Available at: https://www.shrm.org/resourcesandtools/tools-and-samples/toolkits/pages/managingemployeesurveys.aspx [Accessed on: 6 November, 2020]</w:t>
      </w:r>
    </w:p>
    <w:p w14:paraId="4DC482D8" w14:textId="77777777" w:rsidR="00BA10D0" w:rsidRPr="00E5165C" w:rsidRDefault="00BA10D0" w:rsidP="0010149F">
      <w:pPr>
        <w:pStyle w:val="NormalWeb"/>
        <w:spacing w:before="0" w:beforeAutospacing="0" w:after="200" w:afterAutospacing="0" w:line="360" w:lineRule="auto"/>
        <w:jc w:val="both"/>
        <w:rPr>
          <w:lang w:val="en-GB"/>
        </w:rPr>
      </w:pPr>
      <w:r w:rsidRPr="00E5165C">
        <w:rPr>
          <w:color w:val="000000"/>
          <w:lang w:val="en-GB"/>
        </w:rPr>
        <w:t xml:space="preserve">Shrm.org (2020). </w:t>
      </w:r>
      <w:r w:rsidRPr="00E5165C">
        <w:rPr>
          <w:i/>
          <w:iCs/>
          <w:color w:val="000000"/>
          <w:lang w:val="en-GB"/>
        </w:rPr>
        <w:t xml:space="preserve">Developing and Sustaining Employee </w:t>
      </w:r>
      <w:proofErr w:type="gramStart"/>
      <w:r w:rsidRPr="00E5165C">
        <w:rPr>
          <w:i/>
          <w:iCs/>
          <w:color w:val="000000"/>
          <w:lang w:val="en-GB"/>
        </w:rPr>
        <w:t>Engagement .</w:t>
      </w:r>
      <w:proofErr w:type="gramEnd"/>
      <w:r w:rsidRPr="00E5165C">
        <w:rPr>
          <w:i/>
          <w:iCs/>
          <w:color w:val="000000"/>
          <w:lang w:val="en-GB"/>
        </w:rPr>
        <w:t xml:space="preserve"> </w:t>
      </w:r>
      <w:r w:rsidRPr="00E5165C">
        <w:rPr>
          <w:color w:val="000000"/>
          <w:lang w:val="en-GB"/>
        </w:rPr>
        <w:t>Available at: https://www.shrm.org/resourcesandtools/tools-and-samples/toolkits/pages/sustainingemployeeengagement.aspx [Accessed on: 4 November, 2020]</w:t>
      </w:r>
    </w:p>
    <w:p w14:paraId="36398A95" w14:textId="5794A02C" w:rsidR="0010149F" w:rsidRPr="00E5165C" w:rsidRDefault="00BA10D0" w:rsidP="0034482B">
      <w:pPr>
        <w:pStyle w:val="NormalWeb"/>
        <w:spacing w:before="0" w:beforeAutospacing="0" w:after="200" w:afterAutospacing="0" w:line="360" w:lineRule="auto"/>
        <w:jc w:val="both"/>
        <w:rPr>
          <w:lang w:val="en-GB"/>
        </w:rPr>
      </w:pPr>
      <w:r w:rsidRPr="00E5165C">
        <w:rPr>
          <w:color w:val="000000"/>
          <w:lang w:val="en-GB"/>
        </w:rPr>
        <w:t xml:space="preserve">Smith, M. and </w:t>
      </w:r>
      <w:proofErr w:type="spellStart"/>
      <w:r w:rsidRPr="00E5165C">
        <w:rPr>
          <w:color w:val="000000"/>
          <w:lang w:val="en-GB"/>
        </w:rPr>
        <w:t>Bititci</w:t>
      </w:r>
      <w:proofErr w:type="spellEnd"/>
      <w:r w:rsidRPr="00E5165C">
        <w:rPr>
          <w:color w:val="000000"/>
          <w:lang w:val="en-GB"/>
        </w:rPr>
        <w:t xml:space="preserve">, U.S., (2017). Interplay between performance measurement and management, employee engagement and performance. </w:t>
      </w:r>
      <w:r w:rsidRPr="00E5165C">
        <w:rPr>
          <w:i/>
          <w:iCs/>
          <w:color w:val="000000"/>
          <w:lang w:val="en-GB"/>
        </w:rPr>
        <w:t>International Journal of Operations &amp; Production Management, 67</w:t>
      </w:r>
      <w:r w:rsidRPr="00E5165C">
        <w:rPr>
          <w:color w:val="000000"/>
          <w:lang w:val="en-GB"/>
        </w:rPr>
        <w:t>(8), 134-167.</w:t>
      </w:r>
    </w:p>
    <w:sectPr w:rsidR="0010149F" w:rsidRPr="00E5165C" w:rsidSect="0010149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142E0F" w14:textId="77777777" w:rsidR="00635DDA" w:rsidRDefault="00635DDA" w:rsidP="0010149F">
      <w:pPr>
        <w:spacing w:line="240" w:lineRule="auto"/>
      </w:pPr>
      <w:r>
        <w:separator/>
      </w:r>
    </w:p>
  </w:endnote>
  <w:endnote w:type="continuationSeparator" w:id="0">
    <w:p w14:paraId="5B686C6C" w14:textId="77777777" w:rsidR="00635DDA" w:rsidRDefault="00635DDA" w:rsidP="001014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462C2" w14:textId="77777777" w:rsidR="00EA424E" w:rsidRDefault="00EA42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4121693"/>
      <w:docPartObj>
        <w:docPartGallery w:val="Page Numbers (Bottom of Page)"/>
        <w:docPartUnique/>
      </w:docPartObj>
    </w:sdtPr>
    <w:sdtEndPr>
      <w:rPr>
        <w:rFonts w:ascii="Times New Roman" w:hAnsi="Times New Roman" w:cs="Times New Roman"/>
        <w:noProof/>
        <w:sz w:val="20"/>
        <w:szCs w:val="20"/>
      </w:rPr>
    </w:sdtEndPr>
    <w:sdtContent>
      <w:p w14:paraId="2AA7D3E0" w14:textId="1096B04F" w:rsidR="0010149F" w:rsidRPr="0010149F" w:rsidRDefault="0010149F">
        <w:pPr>
          <w:pStyle w:val="Footer"/>
          <w:jc w:val="right"/>
          <w:rPr>
            <w:rFonts w:ascii="Times New Roman" w:hAnsi="Times New Roman" w:cs="Times New Roman"/>
            <w:sz w:val="20"/>
            <w:szCs w:val="20"/>
          </w:rPr>
        </w:pPr>
        <w:r w:rsidRPr="0010149F">
          <w:rPr>
            <w:rFonts w:ascii="Times New Roman" w:hAnsi="Times New Roman" w:cs="Times New Roman"/>
            <w:sz w:val="20"/>
            <w:szCs w:val="20"/>
          </w:rPr>
          <w:fldChar w:fldCharType="begin"/>
        </w:r>
        <w:r w:rsidRPr="0010149F">
          <w:rPr>
            <w:rFonts w:ascii="Times New Roman" w:hAnsi="Times New Roman" w:cs="Times New Roman"/>
            <w:sz w:val="20"/>
            <w:szCs w:val="20"/>
          </w:rPr>
          <w:instrText xml:space="preserve"> PAGE   \* MERGEFORMAT </w:instrText>
        </w:r>
        <w:r w:rsidRPr="0010149F">
          <w:rPr>
            <w:rFonts w:ascii="Times New Roman" w:hAnsi="Times New Roman" w:cs="Times New Roman"/>
            <w:sz w:val="20"/>
            <w:szCs w:val="20"/>
          </w:rPr>
          <w:fldChar w:fldCharType="separate"/>
        </w:r>
        <w:r w:rsidR="00EA424E">
          <w:rPr>
            <w:rFonts w:ascii="Times New Roman" w:hAnsi="Times New Roman" w:cs="Times New Roman"/>
            <w:noProof/>
            <w:sz w:val="20"/>
            <w:szCs w:val="20"/>
          </w:rPr>
          <w:t>0</w:t>
        </w:r>
        <w:r w:rsidRPr="0010149F">
          <w:rPr>
            <w:rFonts w:ascii="Times New Roman" w:hAnsi="Times New Roman" w:cs="Times New Roman"/>
            <w:noProof/>
            <w:sz w:val="20"/>
            <w:szCs w:val="20"/>
          </w:rPr>
          <w:fldChar w:fldCharType="end"/>
        </w:r>
      </w:p>
    </w:sdtContent>
  </w:sdt>
  <w:p w14:paraId="0365F2B4" w14:textId="77777777" w:rsidR="0010149F" w:rsidRDefault="001014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5975E0" w14:textId="77777777" w:rsidR="00EA424E" w:rsidRDefault="00EA4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2D180" w14:textId="77777777" w:rsidR="00635DDA" w:rsidRDefault="00635DDA" w:rsidP="0010149F">
      <w:pPr>
        <w:spacing w:line="240" w:lineRule="auto"/>
      </w:pPr>
      <w:r>
        <w:separator/>
      </w:r>
    </w:p>
  </w:footnote>
  <w:footnote w:type="continuationSeparator" w:id="0">
    <w:p w14:paraId="4736D0D7" w14:textId="77777777" w:rsidR="00635DDA" w:rsidRDefault="00635DDA" w:rsidP="001014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5E75A" w14:textId="77777777" w:rsidR="00EA424E" w:rsidRDefault="00EA42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B3BE0" w14:textId="77777777" w:rsidR="00EA424E" w:rsidRDefault="00EA42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542C5" w14:textId="77777777" w:rsidR="00EA424E" w:rsidRDefault="00EA4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1E44E8"/>
    <w:multiLevelType w:val="multilevel"/>
    <w:tmpl w:val="6AC0A9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3BF"/>
    <w:rsid w:val="0010149F"/>
    <w:rsid w:val="00173DD9"/>
    <w:rsid w:val="002205DE"/>
    <w:rsid w:val="002B43BF"/>
    <w:rsid w:val="00306830"/>
    <w:rsid w:val="0034482B"/>
    <w:rsid w:val="00370D5E"/>
    <w:rsid w:val="00442548"/>
    <w:rsid w:val="00447FE1"/>
    <w:rsid w:val="004E0771"/>
    <w:rsid w:val="00635DDA"/>
    <w:rsid w:val="00744F0D"/>
    <w:rsid w:val="00937FCE"/>
    <w:rsid w:val="009E07B6"/>
    <w:rsid w:val="00A46DD7"/>
    <w:rsid w:val="00B03A14"/>
    <w:rsid w:val="00BA10D0"/>
    <w:rsid w:val="00C75C42"/>
    <w:rsid w:val="00C84F32"/>
    <w:rsid w:val="00D03B18"/>
    <w:rsid w:val="00E5165C"/>
    <w:rsid w:val="00EA424E"/>
    <w:rsid w:val="00FF14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B95321"/>
  <w15:docId w15:val="{EC498D92-9900-45C1-8D4B-A55E6A579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205DE"/>
    <w:pPr>
      <w:keepNext/>
      <w:keepLines/>
      <w:spacing w:before="28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47F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E1"/>
    <w:rPr>
      <w:rFonts w:ascii="Segoe UI" w:hAnsi="Segoe UI" w:cs="Segoe UI"/>
      <w:sz w:val="18"/>
      <w:szCs w:val="18"/>
    </w:rPr>
  </w:style>
  <w:style w:type="paragraph" w:styleId="NormalWeb">
    <w:name w:val="Normal (Web)"/>
    <w:basedOn w:val="Normal"/>
    <w:uiPriority w:val="99"/>
    <w:unhideWhenUsed/>
    <w:rsid w:val="0010149F"/>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10149F"/>
    <w:pPr>
      <w:tabs>
        <w:tab w:val="center" w:pos="4513"/>
        <w:tab w:val="right" w:pos="9026"/>
      </w:tabs>
      <w:spacing w:line="240" w:lineRule="auto"/>
    </w:pPr>
  </w:style>
  <w:style w:type="character" w:customStyle="1" w:styleId="HeaderChar">
    <w:name w:val="Header Char"/>
    <w:basedOn w:val="DefaultParagraphFont"/>
    <w:link w:val="Header"/>
    <w:uiPriority w:val="99"/>
    <w:rsid w:val="0010149F"/>
  </w:style>
  <w:style w:type="paragraph" w:styleId="Footer">
    <w:name w:val="footer"/>
    <w:basedOn w:val="Normal"/>
    <w:link w:val="FooterChar"/>
    <w:uiPriority w:val="99"/>
    <w:unhideWhenUsed/>
    <w:rsid w:val="0010149F"/>
    <w:pPr>
      <w:tabs>
        <w:tab w:val="center" w:pos="4513"/>
        <w:tab w:val="right" w:pos="9026"/>
      </w:tabs>
      <w:spacing w:line="240" w:lineRule="auto"/>
    </w:pPr>
  </w:style>
  <w:style w:type="character" w:customStyle="1" w:styleId="FooterChar">
    <w:name w:val="Footer Char"/>
    <w:basedOn w:val="DefaultParagraphFont"/>
    <w:link w:val="Footer"/>
    <w:uiPriority w:val="99"/>
    <w:rsid w:val="0010149F"/>
  </w:style>
  <w:style w:type="paragraph" w:styleId="TOCHeading">
    <w:name w:val="TOC Heading"/>
    <w:basedOn w:val="Heading1"/>
    <w:next w:val="Normal"/>
    <w:uiPriority w:val="39"/>
    <w:unhideWhenUsed/>
    <w:qFormat/>
    <w:rsid w:val="00C84F3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4F32"/>
    <w:pPr>
      <w:spacing w:after="100"/>
    </w:pPr>
  </w:style>
  <w:style w:type="character" w:styleId="Hyperlink">
    <w:name w:val="Hyperlink"/>
    <w:basedOn w:val="DefaultParagraphFont"/>
    <w:uiPriority w:val="99"/>
    <w:unhideWhenUsed/>
    <w:rsid w:val="00C84F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0082778">
      <w:bodyDiv w:val="1"/>
      <w:marLeft w:val="0"/>
      <w:marRight w:val="0"/>
      <w:marTop w:val="0"/>
      <w:marBottom w:val="0"/>
      <w:divBdr>
        <w:top w:val="none" w:sz="0" w:space="0" w:color="auto"/>
        <w:left w:val="none" w:sz="0" w:space="0" w:color="auto"/>
        <w:bottom w:val="none" w:sz="0" w:space="0" w:color="auto"/>
        <w:right w:val="none" w:sz="0" w:space="0" w:color="auto"/>
      </w:divBdr>
    </w:div>
    <w:div w:id="1602445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66397A-8300-415C-BC00-58FF79A4C95F}" type="doc">
      <dgm:prSet loTypeId="urn:microsoft.com/office/officeart/2005/8/layout/radial3" loCatId="cycle" qsTypeId="urn:microsoft.com/office/officeart/2005/8/quickstyle/3d4" qsCatId="3D" csTypeId="urn:microsoft.com/office/officeart/2005/8/colors/accent0_3" csCatId="mainScheme" phldr="1"/>
      <dgm:spPr/>
      <dgm:t>
        <a:bodyPr/>
        <a:lstStyle/>
        <a:p>
          <a:endParaRPr lang="en-IN"/>
        </a:p>
      </dgm:t>
    </dgm:pt>
    <dgm:pt modelId="{3CA133BF-F491-4C9E-A5B9-B8CB7D96BC36}">
      <dgm:prSet phldrT="[Text]"/>
      <dgm:spPr/>
      <dgm:t>
        <a:bodyPr/>
        <a:lstStyle/>
        <a:p>
          <a:r>
            <a:rPr lang="en-GB" b="1"/>
            <a:t>Drivers of employee engagement</a:t>
          </a:r>
          <a:endParaRPr lang="en-IN"/>
        </a:p>
      </dgm:t>
    </dgm:pt>
    <dgm:pt modelId="{D7A99831-74D5-4E4E-A870-6D8628D86F98}" type="parTrans" cxnId="{3B3E1649-8389-4D7D-A70E-0FD33AD61D73}">
      <dgm:prSet/>
      <dgm:spPr/>
      <dgm:t>
        <a:bodyPr/>
        <a:lstStyle/>
        <a:p>
          <a:endParaRPr lang="en-IN"/>
        </a:p>
      </dgm:t>
    </dgm:pt>
    <dgm:pt modelId="{61E91A3B-95AC-40CF-9886-D16019235E38}" type="sibTrans" cxnId="{3B3E1649-8389-4D7D-A70E-0FD33AD61D73}">
      <dgm:prSet/>
      <dgm:spPr/>
      <dgm:t>
        <a:bodyPr/>
        <a:lstStyle/>
        <a:p>
          <a:endParaRPr lang="en-IN"/>
        </a:p>
      </dgm:t>
    </dgm:pt>
    <dgm:pt modelId="{65519321-B8BC-4234-B5BD-5FE3DEFC7A6F}">
      <dgm:prSet phldrT="[Text]"/>
      <dgm:spPr/>
      <dgm:t>
        <a:bodyPr/>
        <a:lstStyle/>
        <a:p>
          <a:r>
            <a:rPr lang="en-GB" b="1" i="1"/>
            <a:t>Seamless onboarding</a:t>
          </a:r>
          <a:endParaRPr lang="en-IN"/>
        </a:p>
      </dgm:t>
    </dgm:pt>
    <dgm:pt modelId="{3F34127D-31C1-4C8A-AE2F-B032DE64E7D0}" type="parTrans" cxnId="{7AE4FD7E-222B-4024-8AED-CCC42D2F2C59}">
      <dgm:prSet/>
      <dgm:spPr/>
      <dgm:t>
        <a:bodyPr/>
        <a:lstStyle/>
        <a:p>
          <a:endParaRPr lang="en-IN"/>
        </a:p>
      </dgm:t>
    </dgm:pt>
    <dgm:pt modelId="{F5087EC3-2615-4C94-B5CD-3DDFA3E8693E}" type="sibTrans" cxnId="{7AE4FD7E-222B-4024-8AED-CCC42D2F2C59}">
      <dgm:prSet/>
      <dgm:spPr/>
      <dgm:t>
        <a:bodyPr/>
        <a:lstStyle/>
        <a:p>
          <a:endParaRPr lang="en-IN"/>
        </a:p>
      </dgm:t>
    </dgm:pt>
    <dgm:pt modelId="{B85F4BCB-A1BC-49D8-A5E9-0A9D5F14C981}">
      <dgm:prSet phldrT="[Text]"/>
      <dgm:spPr/>
      <dgm:t>
        <a:bodyPr/>
        <a:lstStyle/>
        <a:p>
          <a:r>
            <a:rPr lang="en-GB" b="1" i="1"/>
            <a:t>Access to productive and time management</a:t>
          </a:r>
          <a:endParaRPr lang="en-IN"/>
        </a:p>
      </dgm:t>
    </dgm:pt>
    <dgm:pt modelId="{6BEF5866-AA41-44EC-9206-14ED889E81CE}" type="parTrans" cxnId="{63F78ADB-5D74-46D0-B417-1ACBC0E02664}">
      <dgm:prSet/>
      <dgm:spPr/>
      <dgm:t>
        <a:bodyPr/>
        <a:lstStyle/>
        <a:p>
          <a:endParaRPr lang="en-IN"/>
        </a:p>
      </dgm:t>
    </dgm:pt>
    <dgm:pt modelId="{86C23FE2-AEBB-439E-9365-67C5569DC014}" type="sibTrans" cxnId="{63F78ADB-5D74-46D0-B417-1ACBC0E02664}">
      <dgm:prSet/>
      <dgm:spPr/>
      <dgm:t>
        <a:bodyPr/>
        <a:lstStyle/>
        <a:p>
          <a:endParaRPr lang="en-IN"/>
        </a:p>
      </dgm:t>
    </dgm:pt>
    <dgm:pt modelId="{BD419A11-C774-4A30-BB88-F74A87C2785B}">
      <dgm:prSet/>
      <dgm:spPr/>
      <dgm:t>
        <a:bodyPr/>
        <a:lstStyle/>
        <a:p>
          <a:r>
            <a:rPr lang="en-GB" b="1" i="1"/>
            <a:t>Workplace wellness initiatives</a:t>
          </a:r>
          <a:endParaRPr lang="en-IN"/>
        </a:p>
      </dgm:t>
    </dgm:pt>
    <dgm:pt modelId="{87FCB609-159F-4D54-B94B-E9E2C642F5E2}" type="parTrans" cxnId="{F9E11C4D-F633-4FC8-8B3B-0F9F81337E29}">
      <dgm:prSet/>
      <dgm:spPr/>
      <dgm:t>
        <a:bodyPr/>
        <a:lstStyle/>
        <a:p>
          <a:endParaRPr lang="en-IN"/>
        </a:p>
      </dgm:t>
    </dgm:pt>
    <dgm:pt modelId="{B9AED57C-0A7C-4D6D-95EA-2A1C45A6D8EC}" type="sibTrans" cxnId="{F9E11C4D-F633-4FC8-8B3B-0F9F81337E29}">
      <dgm:prSet/>
      <dgm:spPr/>
      <dgm:t>
        <a:bodyPr/>
        <a:lstStyle/>
        <a:p>
          <a:endParaRPr lang="en-IN"/>
        </a:p>
      </dgm:t>
    </dgm:pt>
    <dgm:pt modelId="{E9C938C6-6317-4F30-9EAB-517B2D5BF6FF}" type="pres">
      <dgm:prSet presAssocID="{1266397A-8300-415C-BC00-58FF79A4C95F}" presName="composite" presStyleCnt="0">
        <dgm:presLayoutVars>
          <dgm:chMax val="1"/>
          <dgm:dir/>
          <dgm:resizeHandles val="exact"/>
        </dgm:presLayoutVars>
      </dgm:prSet>
      <dgm:spPr/>
    </dgm:pt>
    <dgm:pt modelId="{ADEFCDC6-1899-4388-9100-8B80E3CD56DB}" type="pres">
      <dgm:prSet presAssocID="{1266397A-8300-415C-BC00-58FF79A4C95F}" presName="radial" presStyleCnt="0">
        <dgm:presLayoutVars>
          <dgm:animLvl val="ctr"/>
        </dgm:presLayoutVars>
      </dgm:prSet>
      <dgm:spPr/>
    </dgm:pt>
    <dgm:pt modelId="{E4F3D11B-D09C-494B-ABB0-4D25024DE8D3}" type="pres">
      <dgm:prSet presAssocID="{3CA133BF-F491-4C9E-A5B9-B8CB7D96BC36}" presName="centerShape" presStyleLbl="vennNode1" presStyleIdx="0" presStyleCnt="4"/>
      <dgm:spPr/>
    </dgm:pt>
    <dgm:pt modelId="{D1198773-CBAB-4CF0-B39F-8BB354DD5028}" type="pres">
      <dgm:prSet presAssocID="{BD419A11-C774-4A30-BB88-F74A87C2785B}" presName="node" presStyleLbl="vennNode1" presStyleIdx="1" presStyleCnt="4">
        <dgm:presLayoutVars>
          <dgm:bulletEnabled val="1"/>
        </dgm:presLayoutVars>
      </dgm:prSet>
      <dgm:spPr/>
    </dgm:pt>
    <dgm:pt modelId="{AF206D17-6D77-40DA-BCD6-A91B93434F6E}" type="pres">
      <dgm:prSet presAssocID="{65519321-B8BC-4234-B5BD-5FE3DEFC7A6F}" presName="node" presStyleLbl="vennNode1" presStyleIdx="2" presStyleCnt="4">
        <dgm:presLayoutVars>
          <dgm:bulletEnabled val="1"/>
        </dgm:presLayoutVars>
      </dgm:prSet>
      <dgm:spPr/>
    </dgm:pt>
    <dgm:pt modelId="{BB1872C7-F405-404D-A6C2-B8157C5CA117}" type="pres">
      <dgm:prSet presAssocID="{B85F4BCB-A1BC-49D8-A5E9-0A9D5F14C981}" presName="node" presStyleLbl="vennNode1" presStyleIdx="3" presStyleCnt="4">
        <dgm:presLayoutVars>
          <dgm:bulletEnabled val="1"/>
        </dgm:presLayoutVars>
      </dgm:prSet>
      <dgm:spPr/>
    </dgm:pt>
  </dgm:ptLst>
  <dgm:cxnLst>
    <dgm:cxn modelId="{BA39521F-8EBB-45FF-AA8F-1C1CFF97F8B0}" type="presOf" srcId="{3CA133BF-F491-4C9E-A5B9-B8CB7D96BC36}" destId="{E4F3D11B-D09C-494B-ABB0-4D25024DE8D3}" srcOrd="0" destOrd="0" presId="urn:microsoft.com/office/officeart/2005/8/layout/radial3"/>
    <dgm:cxn modelId="{CDC00F21-92E5-435F-852E-2ABBCD5C378D}" type="presOf" srcId="{BD419A11-C774-4A30-BB88-F74A87C2785B}" destId="{D1198773-CBAB-4CF0-B39F-8BB354DD5028}" srcOrd="0" destOrd="0" presId="urn:microsoft.com/office/officeart/2005/8/layout/radial3"/>
    <dgm:cxn modelId="{3B3E1649-8389-4D7D-A70E-0FD33AD61D73}" srcId="{1266397A-8300-415C-BC00-58FF79A4C95F}" destId="{3CA133BF-F491-4C9E-A5B9-B8CB7D96BC36}" srcOrd="0" destOrd="0" parTransId="{D7A99831-74D5-4E4E-A870-6D8628D86F98}" sibTransId="{61E91A3B-95AC-40CF-9886-D16019235E38}"/>
    <dgm:cxn modelId="{F9E11C4D-F633-4FC8-8B3B-0F9F81337E29}" srcId="{3CA133BF-F491-4C9E-A5B9-B8CB7D96BC36}" destId="{BD419A11-C774-4A30-BB88-F74A87C2785B}" srcOrd="0" destOrd="0" parTransId="{87FCB609-159F-4D54-B94B-E9E2C642F5E2}" sibTransId="{B9AED57C-0A7C-4D6D-95EA-2A1C45A6D8EC}"/>
    <dgm:cxn modelId="{7AE4FD7E-222B-4024-8AED-CCC42D2F2C59}" srcId="{3CA133BF-F491-4C9E-A5B9-B8CB7D96BC36}" destId="{65519321-B8BC-4234-B5BD-5FE3DEFC7A6F}" srcOrd="1" destOrd="0" parTransId="{3F34127D-31C1-4C8A-AE2F-B032DE64E7D0}" sibTransId="{F5087EC3-2615-4C94-B5CD-3DDFA3E8693E}"/>
    <dgm:cxn modelId="{E42C3C84-DA33-4FC3-B4DF-E82344E07293}" type="presOf" srcId="{B85F4BCB-A1BC-49D8-A5E9-0A9D5F14C981}" destId="{BB1872C7-F405-404D-A6C2-B8157C5CA117}" srcOrd="0" destOrd="0" presId="urn:microsoft.com/office/officeart/2005/8/layout/radial3"/>
    <dgm:cxn modelId="{3CFF8394-7B0D-4A9A-A906-C8BF5CA497CF}" type="presOf" srcId="{1266397A-8300-415C-BC00-58FF79A4C95F}" destId="{E9C938C6-6317-4F30-9EAB-517B2D5BF6FF}" srcOrd="0" destOrd="0" presId="urn:microsoft.com/office/officeart/2005/8/layout/radial3"/>
    <dgm:cxn modelId="{63F78ADB-5D74-46D0-B417-1ACBC0E02664}" srcId="{3CA133BF-F491-4C9E-A5B9-B8CB7D96BC36}" destId="{B85F4BCB-A1BC-49D8-A5E9-0A9D5F14C981}" srcOrd="2" destOrd="0" parTransId="{6BEF5866-AA41-44EC-9206-14ED889E81CE}" sibTransId="{86C23FE2-AEBB-439E-9365-67C5569DC014}"/>
    <dgm:cxn modelId="{9C4BC1EF-FCDF-4CD1-8726-B7E4F22D408A}" type="presOf" srcId="{65519321-B8BC-4234-B5BD-5FE3DEFC7A6F}" destId="{AF206D17-6D77-40DA-BCD6-A91B93434F6E}" srcOrd="0" destOrd="0" presId="urn:microsoft.com/office/officeart/2005/8/layout/radial3"/>
    <dgm:cxn modelId="{206DF97D-EE95-44F3-AC98-734100154DCB}" type="presParOf" srcId="{E9C938C6-6317-4F30-9EAB-517B2D5BF6FF}" destId="{ADEFCDC6-1899-4388-9100-8B80E3CD56DB}" srcOrd="0" destOrd="0" presId="urn:microsoft.com/office/officeart/2005/8/layout/radial3"/>
    <dgm:cxn modelId="{FDB955F6-D34A-449C-AFF2-51A1C6E9A20A}" type="presParOf" srcId="{ADEFCDC6-1899-4388-9100-8B80E3CD56DB}" destId="{E4F3D11B-D09C-494B-ABB0-4D25024DE8D3}" srcOrd="0" destOrd="0" presId="urn:microsoft.com/office/officeart/2005/8/layout/radial3"/>
    <dgm:cxn modelId="{67C23BF8-8898-4958-A4F2-A6B9BA2A381A}" type="presParOf" srcId="{ADEFCDC6-1899-4388-9100-8B80E3CD56DB}" destId="{D1198773-CBAB-4CF0-B39F-8BB354DD5028}" srcOrd="1" destOrd="0" presId="urn:microsoft.com/office/officeart/2005/8/layout/radial3"/>
    <dgm:cxn modelId="{991BB091-6F17-4294-99D6-6413B500A685}" type="presParOf" srcId="{ADEFCDC6-1899-4388-9100-8B80E3CD56DB}" destId="{AF206D17-6D77-40DA-BCD6-A91B93434F6E}" srcOrd="2" destOrd="0" presId="urn:microsoft.com/office/officeart/2005/8/layout/radial3"/>
    <dgm:cxn modelId="{30F3D40B-645F-4022-A26B-6E9DC93B5CAF}" type="presParOf" srcId="{ADEFCDC6-1899-4388-9100-8B80E3CD56DB}" destId="{BB1872C7-F405-404D-A6C2-B8157C5CA117}" srcOrd="3"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15DAA74-4677-4F75-B22A-0F2622162045}"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IN"/>
        </a:p>
      </dgm:t>
    </dgm:pt>
    <dgm:pt modelId="{7B60936D-4B23-4581-853F-DF556FEF7C59}">
      <dgm:prSet phldrT="[Text]"/>
      <dgm:spPr/>
      <dgm:t>
        <a:bodyPr/>
        <a:lstStyle/>
        <a:p>
          <a:r>
            <a:rPr lang="en-GB" b="1">
              <a:latin typeface="Times New Roman" panose="02020603050405020304" pitchFamily="18" charset="0"/>
              <a:cs typeface="Times New Roman" panose="02020603050405020304" pitchFamily="18" charset="0"/>
            </a:rPr>
            <a:t>Diagnostic tools to measure the engagement</a:t>
          </a:r>
          <a:endParaRPr lang="en-IN">
            <a:latin typeface="Times New Roman" panose="02020603050405020304" pitchFamily="18" charset="0"/>
            <a:cs typeface="Times New Roman" panose="02020603050405020304" pitchFamily="18" charset="0"/>
          </a:endParaRPr>
        </a:p>
      </dgm:t>
    </dgm:pt>
    <dgm:pt modelId="{CA581A12-7E14-4538-B98B-735686B19228}" type="parTrans" cxnId="{63D54735-1A32-4952-9936-A0D9693C837D}">
      <dgm:prSet/>
      <dgm:spPr/>
      <dgm:t>
        <a:bodyPr/>
        <a:lstStyle/>
        <a:p>
          <a:endParaRPr lang="en-IN">
            <a:latin typeface="Times New Roman" panose="02020603050405020304" pitchFamily="18" charset="0"/>
            <a:cs typeface="Times New Roman" panose="02020603050405020304" pitchFamily="18" charset="0"/>
          </a:endParaRPr>
        </a:p>
      </dgm:t>
    </dgm:pt>
    <dgm:pt modelId="{63F3473B-FAFD-424E-8C5B-B1EB15B0748E}" type="sibTrans" cxnId="{63D54735-1A32-4952-9936-A0D9693C837D}">
      <dgm:prSet/>
      <dgm:spPr/>
      <dgm:t>
        <a:bodyPr/>
        <a:lstStyle/>
        <a:p>
          <a:endParaRPr lang="en-IN">
            <a:latin typeface="Times New Roman" panose="02020603050405020304" pitchFamily="18" charset="0"/>
            <a:cs typeface="Times New Roman" panose="02020603050405020304" pitchFamily="18" charset="0"/>
          </a:endParaRPr>
        </a:p>
      </dgm:t>
    </dgm:pt>
    <dgm:pt modelId="{D237F004-A7AC-41DF-8A59-1CF71A08CE82}">
      <dgm:prSet phldrT="[Text]"/>
      <dgm:spPr/>
      <dgm:t>
        <a:bodyPr/>
        <a:lstStyle/>
        <a:p>
          <a:r>
            <a:rPr lang="en-GB" b="1" i="1">
              <a:latin typeface="Times New Roman" panose="02020603050405020304" pitchFamily="18" charset="0"/>
              <a:cs typeface="Times New Roman" panose="02020603050405020304" pitchFamily="18" charset="0"/>
            </a:rPr>
            <a:t>Performing drivers analysis </a:t>
          </a:r>
          <a:endParaRPr lang="en-IN">
            <a:latin typeface="Times New Roman" panose="02020603050405020304" pitchFamily="18" charset="0"/>
            <a:cs typeface="Times New Roman" panose="02020603050405020304" pitchFamily="18" charset="0"/>
          </a:endParaRPr>
        </a:p>
      </dgm:t>
    </dgm:pt>
    <dgm:pt modelId="{A46AD2B1-8183-49CD-A120-1093D28D8048}" type="parTrans" cxnId="{6DE3268D-0E26-4743-9881-7E785E174191}">
      <dgm:prSet/>
      <dgm:spPr/>
      <dgm:t>
        <a:bodyPr/>
        <a:lstStyle/>
        <a:p>
          <a:endParaRPr lang="en-IN">
            <a:latin typeface="Times New Roman" panose="02020603050405020304" pitchFamily="18" charset="0"/>
            <a:cs typeface="Times New Roman" panose="02020603050405020304" pitchFamily="18" charset="0"/>
          </a:endParaRPr>
        </a:p>
      </dgm:t>
    </dgm:pt>
    <dgm:pt modelId="{87741F0E-5D97-4DD3-8BF8-147587264E6F}" type="sibTrans" cxnId="{6DE3268D-0E26-4743-9881-7E785E174191}">
      <dgm:prSet/>
      <dgm:spPr/>
      <dgm:t>
        <a:bodyPr/>
        <a:lstStyle/>
        <a:p>
          <a:endParaRPr lang="en-IN">
            <a:latin typeface="Times New Roman" panose="02020603050405020304" pitchFamily="18" charset="0"/>
            <a:cs typeface="Times New Roman" panose="02020603050405020304" pitchFamily="18" charset="0"/>
          </a:endParaRPr>
        </a:p>
      </dgm:t>
    </dgm:pt>
    <dgm:pt modelId="{A4D49B41-E886-4C0E-A30D-2945F4FF60E7}">
      <dgm:prSet phldrT="[Text]"/>
      <dgm:spPr/>
      <dgm:t>
        <a:bodyPr/>
        <a:lstStyle/>
        <a:p>
          <a:r>
            <a:rPr lang="en-GB" b="1" i="1">
              <a:latin typeface="Times New Roman" panose="02020603050405020304" pitchFamily="18" charset="0"/>
              <a:cs typeface="Times New Roman" panose="02020603050405020304" pitchFamily="18" charset="0"/>
            </a:rPr>
            <a:t>Employee engagement surveys</a:t>
          </a:r>
          <a:endParaRPr lang="en-IN">
            <a:latin typeface="Times New Roman" panose="02020603050405020304" pitchFamily="18" charset="0"/>
            <a:cs typeface="Times New Roman" panose="02020603050405020304" pitchFamily="18" charset="0"/>
          </a:endParaRPr>
        </a:p>
      </dgm:t>
    </dgm:pt>
    <dgm:pt modelId="{5C8E2822-D10F-4AE4-A043-E97263E3D3FB}" type="parTrans" cxnId="{17D6F054-5C56-4A36-BCA8-F4F9591DDED7}">
      <dgm:prSet/>
      <dgm:spPr/>
      <dgm:t>
        <a:bodyPr/>
        <a:lstStyle/>
        <a:p>
          <a:endParaRPr lang="en-IN">
            <a:latin typeface="Times New Roman" panose="02020603050405020304" pitchFamily="18" charset="0"/>
            <a:cs typeface="Times New Roman" panose="02020603050405020304" pitchFamily="18" charset="0"/>
          </a:endParaRPr>
        </a:p>
      </dgm:t>
    </dgm:pt>
    <dgm:pt modelId="{608B1A0E-1E06-48EC-9B14-17B913C14CB1}" type="sibTrans" cxnId="{17D6F054-5C56-4A36-BCA8-F4F9591DDED7}">
      <dgm:prSet/>
      <dgm:spPr/>
      <dgm:t>
        <a:bodyPr/>
        <a:lstStyle/>
        <a:p>
          <a:endParaRPr lang="en-IN">
            <a:latin typeface="Times New Roman" panose="02020603050405020304" pitchFamily="18" charset="0"/>
            <a:cs typeface="Times New Roman" panose="02020603050405020304" pitchFamily="18" charset="0"/>
          </a:endParaRPr>
        </a:p>
      </dgm:t>
    </dgm:pt>
    <dgm:pt modelId="{1FAA1009-8331-4E50-83A7-3AD8F4A92462}">
      <dgm:prSet phldrT="[Text]"/>
      <dgm:spPr/>
      <dgm:t>
        <a:bodyPr/>
        <a:lstStyle/>
        <a:p>
          <a:r>
            <a:rPr lang="en-GB" b="1" i="1">
              <a:latin typeface="Times New Roman" panose="02020603050405020304" pitchFamily="18" charset="0"/>
              <a:cs typeface="Times New Roman" panose="02020603050405020304" pitchFamily="18" charset="0"/>
            </a:rPr>
            <a:t>Usage of sales force</a:t>
          </a:r>
          <a:endParaRPr lang="en-IN">
            <a:latin typeface="Times New Roman" panose="02020603050405020304" pitchFamily="18" charset="0"/>
            <a:cs typeface="Times New Roman" panose="02020603050405020304" pitchFamily="18" charset="0"/>
          </a:endParaRPr>
        </a:p>
      </dgm:t>
    </dgm:pt>
    <dgm:pt modelId="{3B6BAA44-80B3-4933-BE91-D5BB84224E45}" type="parTrans" cxnId="{A2C9A2E9-A8E2-4868-9CBD-888F25E4F12E}">
      <dgm:prSet/>
      <dgm:spPr/>
      <dgm:t>
        <a:bodyPr/>
        <a:lstStyle/>
        <a:p>
          <a:endParaRPr lang="en-IN">
            <a:latin typeface="Times New Roman" panose="02020603050405020304" pitchFamily="18" charset="0"/>
            <a:cs typeface="Times New Roman" panose="02020603050405020304" pitchFamily="18" charset="0"/>
          </a:endParaRPr>
        </a:p>
      </dgm:t>
    </dgm:pt>
    <dgm:pt modelId="{FDC74E27-207E-4350-A12D-F533BB135082}" type="sibTrans" cxnId="{A2C9A2E9-A8E2-4868-9CBD-888F25E4F12E}">
      <dgm:prSet/>
      <dgm:spPr/>
      <dgm:t>
        <a:bodyPr/>
        <a:lstStyle/>
        <a:p>
          <a:endParaRPr lang="en-IN">
            <a:latin typeface="Times New Roman" panose="02020603050405020304" pitchFamily="18" charset="0"/>
            <a:cs typeface="Times New Roman" panose="02020603050405020304" pitchFamily="18" charset="0"/>
          </a:endParaRPr>
        </a:p>
      </dgm:t>
    </dgm:pt>
    <dgm:pt modelId="{4911DAFB-D6B0-416F-8C64-23D6F65C138E}">
      <dgm:prSet phldrT="[Text]"/>
      <dgm:spPr/>
      <dgm:t>
        <a:bodyPr/>
        <a:lstStyle/>
        <a:p>
          <a:r>
            <a:rPr lang="en-GB" b="1" i="1">
              <a:latin typeface="Times New Roman" panose="02020603050405020304" pitchFamily="18" charset="0"/>
              <a:cs typeface="Times New Roman" panose="02020603050405020304" pitchFamily="18" charset="0"/>
            </a:rPr>
            <a:t>Stay and exit interviews</a:t>
          </a:r>
          <a:endParaRPr lang="en-IN">
            <a:latin typeface="Times New Roman" panose="02020603050405020304" pitchFamily="18" charset="0"/>
            <a:cs typeface="Times New Roman" panose="02020603050405020304" pitchFamily="18" charset="0"/>
          </a:endParaRPr>
        </a:p>
      </dgm:t>
    </dgm:pt>
    <dgm:pt modelId="{7DAC223A-E57A-4F1B-9592-6F5F3B72A0B4}" type="parTrans" cxnId="{F89074E0-C4E1-4CD7-B94E-7160D7042134}">
      <dgm:prSet/>
      <dgm:spPr/>
      <dgm:t>
        <a:bodyPr/>
        <a:lstStyle/>
        <a:p>
          <a:endParaRPr lang="en-IN">
            <a:latin typeface="Times New Roman" panose="02020603050405020304" pitchFamily="18" charset="0"/>
            <a:cs typeface="Times New Roman" panose="02020603050405020304" pitchFamily="18" charset="0"/>
          </a:endParaRPr>
        </a:p>
      </dgm:t>
    </dgm:pt>
    <dgm:pt modelId="{D023B58B-817C-4FA6-AB4A-552F5908248A}" type="sibTrans" cxnId="{F89074E0-C4E1-4CD7-B94E-7160D7042134}">
      <dgm:prSet/>
      <dgm:spPr/>
      <dgm:t>
        <a:bodyPr/>
        <a:lstStyle/>
        <a:p>
          <a:endParaRPr lang="en-IN">
            <a:latin typeface="Times New Roman" panose="02020603050405020304" pitchFamily="18" charset="0"/>
            <a:cs typeface="Times New Roman" panose="02020603050405020304" pitchFamily="18" charset="0"/>
          </a:endParaRPr>
        </a:p>
      </dgm:t>
    </dgm:pt>
    <dgm:pt modelId="{6532BCB3-EAAE-4AD4-896B-E109D4111FC2}" type="pres">
      <dgm:prSet presAssocID="{B15DAA74-4677-4F75-B22A-0F2622162045}" presName="Name0" presStyleCnt="0">
        <dgm:presLayoutVars>
          <dgm:chMax val="1"/>
          <dgm:dir/>
          <dgm:animLvl val="ctr"/>
          <dgm:resizeHandles val="exact"/>
        </dgm:presLayoutVars>
      </dgm:prSet>
      <dgm:spPr/>
    </dgm:pt>
    <dgm:pt modelId="{E261928D-64EC-4284-BDAE-B20E2563C620}" type="pres">
      <dgm:prSet presAssocID="{7B60936D-4B23-4581-853F-DF556FEF7C59}" presName="centerShape" presStyleLbl="node0" presStyleIdx="0" presStyleCnt="1"/>
      <dgm:spPr/>
    </dgm:pt>
    <dgm:pt modelId="{6F859FF6-0FF5-4426-87B7-E24A936C18F7}" type="pres">
      <dgm:prSet presAssocID="{A46AD2B1-8183-49CD-A120-1093D28D8048}" presName="parTrans" presStyleLbl="sibTrans2D1" presStyleIdx="0" presStyleCnt="4"/>
      <dgm:spPr/>
    </dgm:pt>
    <dgm:pt modelId="{FC17718B-9EA5-4C74-A1CC-0864749AA786}" type="pres">
      <dgm:prSet presAssocID="{A46AD2B1-8183-49CD-A120-1093D28D8048}" presName="connectorText" presStyleLbl="sibTrans2D1" presStyleIdx="0" presStyleCnt="4"/>
      <dgm:spPr/>
    </dgm:pt>
    <dgm:pt modelId="{092D7129-AC0F-4430-AC55-BFA9E51B34A4}" type="pres">
      <dgm:prSet presAssocID="{D237F004-A7AC-41DF-8A59-1CF71A08CE82}" presName="node" presStyleLbl="node1" presStyleIdx="0" presStyleCnt="4">
        <dgm:presLayoutVars>
          <dgm:bulletEnabled val="1"/>
        </dgm:presLayoutVars>
      </dgm:prSet>
      <dgm:spPr/>
    </dgm:pt>
    <dgm:pt modelId="{336CC238-36E1-48A3-8BEE-A385CF06AB33}" type="pres">
      <dgm:prSet presAssocID="{5C8E2822-D10F-4AE4-A043-E97263E3D3FB}" presName="parTrans" presStyleLbl="sibTrans2D1" presStyleIdx="1" presStyleCnt="4"/>
      <dgm:spPr/>
    </dgm:pt>
    <dgm:pt modelId="{8E820972-C618-47A0-B7E5-1289012CF4F9}" type="pres">
      <dgm:prSet presAssocID="{5C8E2822-D10F-4AE4-A043-E97263E3D3FB}" presName="connectorText" presStyleLbl="sibTrans2D1" presStyleIdx="1" presStyleCnt="4"/>
      <dgm:spPr/>
    </dgm:pt>
    <dgm:pt modelId="{13B51268-9534-4848-8AD7-D09F67FB7037}" type="pres">
      <dgm:prSet presAssocID="{A4D49B41-E886-4C0E-A30D-2945F4FF60E7}" presName="node" presStyleLbl="node1" presStyleIdx="1" presStyleCnt="4">
        <dgm:presLayoutVars>
          <dgm:bulletEnabled val="1"/>
        </dgm:presLayoutVars>
      </dgm:prSet>
      <dgm:spPr/>
    </dgm:pt>
    <dgm:pt modelId="{67CD17A9-C4E5-4CD0-B432-E697F428A3E4}" type="pres">
      <dgm:prSet presAssocID="{3B6BAA44-80B3-4933-BE91-D5BB84224E45}" presName="parTrans" presStyleLbl="sibTrans2D1" presStyleIdx="2" presStyleCnt="4"/>
      <dgm:spPr/>
    </dgm:pt>
    <dgm:pt modelId="{CAF08767-657F-4D94-903D-A4B6D61A5D0B}" type="pres">
      <dgm:prSet presAssocID="{3B6BAA44-80B3-4933-BE91-D5BB84224E45}" presName="connectorText" presStyleLbl="sibTrans2D1" presStyleIdx="2" presStyleCnt="4"/>
      <dgm:spPr/>
    </dgm:pt>
    <dgm:pt modelId="{8A859C2B-0C5A-450C-B9BF-27EE2013E660}" type="pres">
      <dgm:prSet presAssocID="{1FAA1009-8331-4E50-83A7-3AD8F4A92462}" presName="node" presStyleLbl="node1" presStyleIdx="2" presStyleCnt="4">
        <dgm:presLayoutVars>
          <dgm:bulletEnabled val="1"/>
        </dgm:presLayoutVars>
      </dgm:prSet>
      <dgm:spPr/>
    </dgm:pt>
    <dgm:pt modelId="{F14B8705-494D-45F5-A20B-BBAB87C61717}" type="pres">
      <dgm:prSet presAssocID="{7DAC223A-E57A-4F1B-9592-6F5F3B72A0B4}" presName="parTrans" presStyleLbl="sibTrans2D1" presStyleIdx="3" presStyleCnt="4"/>
      <dgm:spPr/>
    </dgm:pt>
    <dgm:pt modelId="{C94CD8F9-E021-4D40-BB1E-B24600C45258}" type="pres">
      <dgm:prSet presAssocID="{7DAC223A-E57A-4F1B-9592-6F5F3B72A0B4}" presName="connectorText" presStyleLbl="sibTrans2D1" presStyleIdx="3" presStyleCnt="4"/>
      <dgm:spPr/>
    </dgm:pt>
    <dgm:pt modelId="{EE825B05-D230-4EA6-AB04-6DEA1EDC612E}" type="pres">
      <dgm:prSet presAssocID="{4911DAFB-D6B0-416F-8C64-23D6F65C138E}" presName="node" presStyleLbl="node1" presStyleIdx="3" presStyleCnt="4">
        <dgm:presLayoutVars>
          <dgm:bulletEnabled val="1"/>
        </dgm:presLayoutVars>
      </dgm:prSet>
      <dgm:spPr/>
    </dgm:pt>
  </dgm:ptLst>
  <dgm:cxnLst>
    <dgm:cxn modelId="{F1C6BF1A-CAA2-4213-999B-44D0E723B362}" type="presOf" srcId="{B15DAA74-4677-4F75-B22A-0F2622162045}" destId="{6532BCB3-EAAE-4AD4-896B-E109D4111FC2}" srcOrd="0" destOrd="0" presId="urn:microsoft.com/office/officeart/2005/8/layout/radial5"/>
    <dgm:cxn modelId="{63D54735-1A32-4952-9936-A0D9693C837D}" srcId="{B15DAA74-4677-4F75-B22A-0F2622162045}" destId="{7B60936D-4B23-4581-853F-DF556FEF7C59}" srcOrd="0" destOrd="0" parTransId="{CA581A12-7E14-4538-B98B-735686B19228}" sibTransId="{63F3473B-FAFD-424E-8C5B-B1EB15B0748E}"/>
    <dgm:cxn modelId="{8F715F43-5712-4DA8-9728-A3F05A6B8DA3}" type="presOf" srcId="{1FAA1009-8331-4E50-83A7-3AD8F4A92462}" destId="{8A859C2B-0C5A-450C-B9BF-27EE2013E660}" srcOrd="0" destOrd="0" presId="urn:microsoft.com/office/officeart/2005/8/layout/radial5"/>
    <dgm:cxn modelId="{E0AB344B-EFEF-449E-AC6C-80DBBCAA90C8}" type="presOf" srcId="{4911DAFB-D6B0-416F-8C64-23D6F65C138E}" destId="{EE825B05-D230-4EA6-AB04-6DEA1EDC612E}" srcOrd="0" destOrd="0" presId="urn:microsoft.com/office/officeart/2005/8/layout/radial5"/>
    <dgm:cxn modelId="{17D6F054-5C56-4A36-BCA8-F4F9591DDED7}" srcId="{7B60936D-4B23-4581-853F-DF556FEF7C59}" destId="{A4D49B41-E886-4C0E-A30D-2945F4FF60E7}" srcOrd="1" destOrd="0" parTransId="{5C8E2822-D10F-4AE4-A043-E97263E3D3FB}" sibTransId="{608B1A0E-1E06-48EC-9B14-17B913C14CB1}"/>
    <dgm:cxn modelId="{48807675-2E03-4D7E-BD5D-CC671490C269}" type="presOf" srcId="{7B60936D-4B23-4581-853F-DF556FEF7C59}" destId="{E261928D-64EC-4284-BDAE-B20E2563C620}" srcOrd="0" destOrd="0" presId="urn:microsoft.com/office/officeart/2005/8/layout/radial5"/>
    <dgm:cxn modelId="{6DE3268D-0E26-4743-9881-7E785E174191}" srcId="{7B60936D-4B23-4581-853F-DF556FEF7C59}" destId="{D237F004-A7AC-41DF-8A59-1CF71A08CE82}" srcOrd="0" destOrd="0" parTransId="{A46AD2B1-8183-49CD-A120-1093D28D8048}" sibTransId="{87741F0E-5D97-4DD3-8BF8-147587264E6F}"/>
    <dgm:cxn modelId="{6EF30796-E0BD-45A6-887A-5711395A023B}" type="presOf" srcId="{D237F004-A7AC-41DF-8A59-1CF71A08CE82}" destId="{092D7129-AC0F-4430-AC55-BFA9E51B34A4}" srcOrd="0" destOrd="0" presId="urn:microsoft.com/office/officeart/2005/8/layout/radial5"/>
    <dgm:cxn modelId="{09A9719B-8DE4-42B1-B772-DD53576CF6BD}" type="presOf" srcId="{A46AD2B1-8183-49CD-A120-1093D28D8048}" destId="{FC17718B-9EA5-4C74-A1CC-0864749AA786}" srcOrd="1" destOrd="0" presId="urn:microsoft.com/office/officeart/2005/8/layout/radial5"/>
    <dgm:cxn modelId="{662A5FA7-CF68-4CD3-98BA-A060D2E9CCAC}" type="presOf" srcId="{5C8E2822-D10F-4AE4-A043-E97263E3D3FB}" destId="{8E820972-C618-47A0-B7E5-1289012CF4F9}" srcOrd="1" destOrd="0" presId="urn:microsoft.com/office/officeart/2005/8/layout/radial5"/>
    <dgm:cxn modelId="{30B45FA8-BE20-4C91-9C30-6C964CB5F417}" type="presOf" srcId="{A46AD2B1-8183-49CD-A120-1093D28D8048}" destId="{6F859FF6-0FF5-4426-87B7-E24A936C18F7}" srcOrd="0" destOrd="0" presId="urn:microsoft.com/office/officeart/2005/8/layout/radial5"/>
    <dgm:cxn modelId="{E68B82BD-049D-4123-A280-3F7AAC3BECA8}" type="presOf" srcId="{7DAC223A-E57A-4F1B-9592-6F5F3B72A0B4}" destId="{C94CD8F9-E021-4D40-BB1E-B24600C45258}" srcOrd="1" destOrd="0" presId="urn:microsoft.com/office/officeart/2005/8/layout/radial5"/>
    <dgm:cxn modelId="{9D1AF7C0-4000-4D89-BE98-633B84634FBC}" type="presOf" srcId="{5C8E2822-D10F-4AE4-A043-E97263E3D3FB}" destId="{336CC238-36E1-48A3-8BEE-A385CF06AB33}" srcOrd="0" destOrd="0" presId="urn:microsoft.com/office/officeart/2005/8/layout/radial5"/>
    <dgm:cxn modelId="{949F29C4-E594-4234-B55F-F1D8B394F8E0}" type="presOf" srcId="{3B6BAA44-80B3-4933-BE91-D5BB84224E45}" destId="{CAF08767-657F-4D94-903D-A4B6D61A5D0B}" srcOrd="1" destOrd="0" presId="urn:microsoft.com/office/officeart/2005/8/layout/radial5"/>
    <dgm:cxn modelId="{CE200ACD-A2A0-4693-954C-B08BA5A39D58}" type="presOf" srcId="{3B6BAA44-80B3-4933-BE91-D5BB84224E45}" destId="{67CD17A9-C4E5-4CD0-B432-E697F428A3E4}" srcOrd="0" destOrd="0" presId="urn:microsoft.com/office/officeart/2005/8/layout/radial5"/>
    <dgm:cxn modelId="{FDEC70CD-F0DF-4925-B18A-48D56F9A5E88}" type="presOf" srcId="{A4D49B41-E886-4C0E-A30D-2945F4FF60E7}" destId="{13B51268-9534-4848-8AD7-D09F67FB7037}" srcOrd="0" destOrd="0" presId="urn:microsoft.com/office/officeart/2005/8/layout/radial5"/>
    <dgm:cxn modelId="{F89074E0-C4E1-4CD7-B94E-7160D7042134}" srcId="{7B60936D-4B23-4581-853F-DF556FEF7C59}" destId="{4911DAFB-D6B0-416F-8C64-23D6F65C138E}" srcOrd="3" destOrd="0" parTransId="{7DAC223A-E57A-4F1B-9592-6F5F3B72A0B4}" sibTransId="{D023B58B-817C-4FA6-AB4A-552F5908248A}"/>
    <dgm:cxn modelId="{A2C9A2E9-A8E2-4868-9CBD-888F25E4F12E}" srcId="{7B60936D-4B23-4581-853F-DF556FEF7C59}" destId="{1FAA1009-8331-4E50-83A7-3AD8F4A92462}" srcOrd="2" destOrd="0" parTransId="{3B6BAA44-80B3-4933-BE91-D5BB84224E45}" sibTransId="{FDC74E27-207E-4350-A12D-F533BB135082}"/>
    <dgm:cxn modelId="{BF28CAEC-4598-465D-982A-E5218909A809}" type="presOf" srcId="{7DAC223A-E57A-4F1B-9592-6F5F3B72A0B4}" destId="{F14B8705-494D-45F5-A20B-BBAB87C61717}" srcOrd="0" destOrd="0" presId="urn:microsoft.com/office/officeart/2005/8/layout/radial5"/>
    <dgm:cxn modelId="{F0C5295F-E7A0-4B4F-8AF5-EBEC9DA118CB}" type="presParOf" srcId="{6532BCB3-EAAE-4AD4-896B-E109D4111FC2}" destId="{E261928D-64EC-4284-BDAE-B20E2563C620}" srcOrd="0" destOrd="0" presId="urn:microsoft.com/office/officeart/2005/8/layout/radial5"/>
    <dgm:cxn modelId="{38999E3C-24A8-4A3C-B2B6-DDD610320122}" type="presParOf" srcId="{6532BCB3-EAAE-4AD4-896B-E109D4111FC2}" destId="{6F859FF6-0FF5-4426-87B7-E24A936C18F7}" srcOrd="1" destOrd="0" presId="urn:microsoft.com/office/officeart/2005/8/layout/radial5"/>
    <dgm:cxn modelId="{C9B0AB2C-9947-4197-8722-89B75BF2A72D}" type="presParOf" srcId="{6F859FF6-0FF5-4426-87B7-E24A936C18F7}" destId="{FC17718B-9EA5-4C74-A1CC-0864749AA786}" srcOrd="0" destOrd="0" presId="urn:microsoft.com/office/officeart/2005/8/layout/radial5"/>
    <dgm:cxn modelId="{BE7075BE-65B1-470A-B577-7DFE09E40601}" type="presParOf" srcId="{6532BCB3-EAAE-4AD4-896B-E109D4111FC2}" destId="{092D7129-AC0F-4430-AC55-BFA9E51B34A4}" srcOrd="2" destOrd="0" presId="urn:microsoft.com/office/officeart/2005/8/layout/radial5"/>
    <dgm:cxn modelId="{F499AD3D-71E5-4389-8017-8302BF8635AD}" type="presParOf" srcId="{6532BCB3-EAAE-4AD4-896B-E109D4111FC2}" destId="{336CC238-36E1-48A3-8BEE-A385CF06AB33}" srcOrd="3" destOrd="0" presId="urn:microsoft.com/office/officeart/2005/8/layout/radial5"/>
    <dgm:cxn modelId="{686B7337-EB20-4D85-9A45-8A5B028E49A1}" type="presParOf" srcId="{336CC238-36E1-48A3-8BEE-A385CF06AB33}" destId="{8E820972-C618-47A0-B7E5-1289012CF4F9}" srcOrd="0" destOrd="0" presId="urn:microsoft.com/office/officeart/2005/8/layout/radial5"/>
    <dgm:cxn modelId="{3AA2F8A8-5AFA-41E5-B09F-128BA2F907DC}" type="presParOf" srcId="{6532BCB3-EAAE-4AD4-896B-E109D4111FC2}" destId="{13B51268-9534-4848-8AD7-D09F67FB7037}" srcOrd="4" destOrd="0" presId="urn:microsoft.com/office/officeart/2005/8/layout/radial5"/>
    <dgm:cxn modelId="{1BAAA2D8-6799-4667-9EAD-2DB54931078C}" type="presParOf" srcId="{6532BCB3-EAAE-4AD4-896B-E109D4111FC2}" destId="{67CD17A9-C4E5-4CD0-B432-E697F428A3E4}" srcOrd="5" destOrd="0" presId="urn:microsoft.com/office/officeart/2005/8/layout/radial5"/>
    <dgm:cxn modelId="{DB3B39F4-5DF9-4322-AE3C-132AC26B1810}" type="presParOf" srcId="{67CD17A9-C4E5-4CD0-B432-E697F428A3E4}" destId="{CAF08767-657F-4D94-903D-A4B6D61A5D0B}" srcOrd="0" destOrd="0" presId="urn:microsoft.com/office/officeart/2005/8/layout/radial5"/>
    <dgm:cxn modelId="{63D58A1D-113D-40E9-987F-B34996B07202}" type="presParOf" srcId="{6532BCB3-EAAE-4AD4-896B-E109D4111FC2}" destId="{8A859C2B-0C5A-450C-B9BF-27EE2013E660}" srcOrd="6" destOrd="0" presId="urn:microsoft.com/office/officeart/2005/8/layout/radial5"/>
    <dgm:cxn modelId="{6362AEE0-6C9A-4760-BE28-262626658666}" type="presParOf" srcId="{6532BCB3-EAAE-4AD4-896B-E109D4111FC2}" destId="{F14B8705-494D-45F5-A20B-BBAB87C61717}" srcOrd="7" destOrd="0" presId="urn:microsoft.com/office/officeart/2005/8/layout/radial5"/>
    <dgm:cxn modelId="{22B63FF0-3259-4441-885B-FF89F247C627}" type="presParOf" srcId="{F14B8705-494D-45F5-A20B-BBAB87C61717}" destId="{C94CD8F9-E021-4D40-BB1E-B24600C45258}" srcOrd="0" destOrd="0" presId="urn:microsoft.com/office/officeart/2005/8/layout/radial5"/>
    <dgm:cxn modelId="{7FB80D90-60B9-4E6B-A3C6-5CF24F296332}" type="presParOf" srcId="{6532BCB3-EAAE-4AD4-896B-E109D4111FC2}" destId="{EE825B05-D230-4EA6-AB04-6DEA1EDC612E}" srcOrd="8"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F3D11B-D09C-494B-ABB0-4D25024DE8D3}">
      <dsp:nvSpPr>
        <dsp:cNvPr id="0" name=""/>
        <dsp:cNvSpPr/>
      </dsp:nvSpPr>
      <dsp:spPr>
        <a:xfrm>
          <a:off x="1760264" y="937010"/>
          <a:ext cx="1965870" cy="1965870"/>
        </a:xfrm>
        <a:prstGeom prst="ellipse">
          <a:avLst/>
        </a:prstGeom>
        <a:solidFill>
          <a:schemeClr val="dk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a:t>Drivers of employee engagement</a:t>
          </a:r>
          <a:endParaRPr lang="en-IN" sz="1800" kern="1200"/>
        </a:p>
      </dsp:txBody>
      <dsp:txXfrm>
        <a:off x="2048159" y="1224905"/>
        <a:ext cx="1390080" cy="1390080"/>
      </dsp:txXfrm>
    </dsp:sp>
    <dsp:sp modelId="{D1198773-CBAB-4CF0-B39F-8BB354DD5028}">
      <dsp:nvSpPr>
        <dsp:cNvPr id="0" name=""/>
        <dsp:cNvSpPr/>
      </dsp:nvSpPr>
      <dsp:spPr>
        <a:xfrm>
          <a:off x="2251732" y="149495"/>
          <a:ext cx="982935" cy="982935"/>
        </a:xfrm>
        <a:prstGeom prst="ellipse">
          <a:avLst/>
        </a:prstGeom>
        <a:solidFill>
          <a:schemeClr val="dk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Workplace wellness initiatives</a:t>
          </a:r>
          <a:endParaRPr lang="en-IN" sz="800" kern="1200"/>
        </a:p>
      </dsp:txBody>
      <dsp:txXfrm>
        <a:off x="2395679" y="293442"/>
        <a:ext cx="695041" cy="695041"/>
      </dsp:txXfrm>
    </dsp:sp>
    <dsp:sp modelId="{AF206D17-6D77-40DA-BCD6-A91B93434F6E}">
      <dsp:nvSpPr>
        <dsp:cNvPr id="0" name=""/>
        <dsp:cNvSpPr/>
      </dsp:nvSpPr>
      <dsp:spPr>
        <a:xfrm>
          <a:off x="3359363" y="2067969"/>
          <a:ext cx="982935" cy="982935"/>
        </a:xfrm>
        <a:prstGeom prst="ellipse">
          <a:avLst/>
        </a:prstGeom>
        <a:solidFill>
          <a:schemeClr val="dk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Seamless onboarding</a:t>
          </a:r>
          <a:endParaRPr lang="en-IN" sz="800" kern="1200"/>
        </a:p>
      </dsp:txBody>
      <dsp:txXfrm>
        <a:off x="3503310" y="2211916"/>
        <a:ext cx="695041" cy="695041"/>
      </dsp:txXfrm>
    </dsp:sp>
    <dsp:sp modelId="{BB1872C7-F405-404D-A6C2-B8157C5CA117}">
      <dsp:nvSpPr>
        <dsp:cNvPr id="0" name=""/>
        <dsp:cNvSpPr/>
      </dsp:nvSpPr>
      <dsp:spPr>
        <a:xfrm>
          <a:off x="1144100" y="2067969"/>
          <a:ext cx="982935" cy="982935"/>
        </a:xfrm>
        <a:prstGeom prst="ellipse">
          <a:avLst/>
        </a:prstGeom>
        <a:solidFill>
          <a:schemeClr val="dk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Access to productive and time management</a:t>
          </a:r>
          <a:endParaRPr lang="en-IN" sz="800" kern="1200"/>
        </a:p>
      </dsp:txBody>
      <dsp:txXfrm>
        <a:off x="1288047" y="2211916"/>
        <a:ext cx="695041" cy="6950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61928D-64EC-4284-BDAE-B20E2563C620}">
      <dsp:nvSpPr>
        <dsp:cNvPr id="0" name=""/>
        <dsp:cNvSpPr/>
      </dsp:nvSpPr>
      <dsp:spPr>
        <a:xfrm>
          <a:off x="2521639" y="1508179"/>
          <a:ext cx="1075580" cy="1075580"/>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Diagnostic tools to measure the engagement</a:t>
          </a:r>
          <a:endParaRPr lang="en-IN" sz="1100" kern="1200">
            <a:latin typeface="Times New Roman" panose="02020603050405020304" pitchFamily="18" charset="0"/>
            <a:cs typeface="Times New Roman" panose="02020603050405020304" pitchFamily="18" charset="0"/>
          </a:endParaRPr>
        </a:p>
      </dsp:txBody>
      <dsp:txXfrm>
        <a:off x="2679154" y="1665694"/>
        <a:ext cx="760550" cy="760550"/>
      </dsp:txXfrm>
    </dsp:sp>
    <dsp:sp modelId="{6F859FF6-0FF5-4426-87B7-E24A936C18F7}">
      <dsp:nvSpPr>
        <dsp:cNvPr id="0" name=""/>
        <dsp:cNvSpPr/>
      </dsp:nvSpPr>
      <dsp:spPr>
        <a:xfrm rot="16200000">
          <a:off x="2945420" y="1116672"/>
          <a:ext cx="228018" cy="36569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latin typeface="Times New Roman" panose="02020603050405020304" pitchFamily="18" charset="0"/>
            <a:cs typeface="Times New Roman" panose="02020603050405020304" pitchFamily="18" charset="0"/>
          </a:endParaRPr>
        </a:p>
      </dsp:txBody>
      <dsp:txXfrm>
        <a:off x="2979623" y="1224014"/>
        <a:ext cx="159613" cy="219419"/>
      </dsp:txXfrm>
    </dsp:sp>
    <dsp:sp modelId="{092D7129-AC0F-4430-AC55-BFA9E51B34A4}">
      <dsp:nvSpPr>
        <dsp:cNvPr id="0" name=""/>
        <dsp:cNvSpPr/>
      </dsp:nvSpPr>
      <dsp:spPr>
        <a:xfrm>
          <a:off x="2521639" y="2374"/>
          <a:ext cx="1075580" cy="107558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Times New Roman" panose="02020603050405020304" pitchFamily="18" charset="0"/>
              <a:cs typeface="Times New Roman" panose="02020603050405020304" pitchFamily="18" charset="0"/>
            </a:rPr>
            <a:t>Performing drivers analysis </a:t>
          </a:r>
          <a:endParaRPr lang="en-IN" sz="1100" kern="1200">
            <a:latin typeface="Times New Roman" panose="02020603050405020304" pitchFamily="18" charset="0"/>
            <a:cs typeface="Times New Roman" panose="02020603050405020304" pitchFamily="18" charset="0"/>
          </a:endParaRPr>
        </a:p>
      </dsp:txBody>
      <dsp:txXfrm>
        <a:off x="2679154" y="159889"/>
        <a:ext cx="760550" cy="760550"/>
      </dsp:txXfrm>
    </dsp:sp>
    <dsp:sp modelId="{336CC238-36E1-48A3-8BEE-A385CF06AB33}">
      <dsp:nvSpPr>
        <dsp:cNvPr id="0" name=""/>
        <dsp:cNvSpPr/>
      </dsp:nvSpPr>
      <dsp:spPr>
        <a:xfrm>
          <a:off x="3691869" y="1863121"/>
          <a:ext cx="228018" cy="365697"/>
        </a:xfrm>
        <a:prstGeom prst="rightArrow">
          <a:avLst>
            <a:gd name="adj1" fmla="val 60000"/>
            <a:gd name="adj2" fmla="val 50000"/>
          </a:avLst>
        </a:prstGeom>
        <a:solidFill>
          <a:schemeClr val="accent4">
            <a:hueOff val="-1488257"/>
            <a:satOff val="8966"/>
            <a:lumOff val="71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latin typeface="Times New Roman" panose="02020603050405020304" pitchFamily="18" charset="0"/>
            <a:cs typeface="Times New Roman" panose="02020603050405020304" pitchFamily="18" charset="0"/>
          </a:endParaRPr>
        </a:p>
      </dsp:txBody>
      <dsp:txXfrm>
        <a:off x="3691869" y="1936260"/>
        <a:ext cx="159613" cy="219419"/>
      </dsp:txXfrm>
    </dsp:sp>
    <dsp:sp modelId="{13B51268-9534-4848-8AD7-D09F67FB7037}">
      <dsp:nvSpPr>
        <dsp:cNvPr id="0" name=""/>
        <dsp:cNvSpPr/>
      </dsp:nvSpPr>
      <dsp:spPr>
        <a:xfrm>
          <a:off x="4027444" y="1508179"/>
          <a:ext cx="1075580" cy="1075580"/>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Times New Roman" panose="02020603050405020304" pitchFamily="18" charset="0"/>
              <a:cs typeface="Times New Roman" panose="02020603050405020304" pitchFamily="18" charset="0"/>
            </a:rPr>
            <a:t>Employee engagement surveys</a:t>
          </a:r>
          <a:endParaRPr lang="en-IN" sz="1100" kern="1200">
            <a:latin typeface="Times New Roman" panose="02020603050405020304" pitchFamily="18" charset="0"/>
            <a:cs typeface="Times New Roman" panose="02020603050405020304" pitchFamily="18" charset="0"/>
          </a:endParaRPr>
        </a:p>
      </dsp:txBody>
      <dsp:txXfrm>
        <a:off x="4184959" y="1665694"/>
        <a:ext cx="760550" cy="760550"/>
      </dsp:txXfrm>
    </dsp:sp>
    <dsp:sp modelId="{67CD17A9-C4E5-4CD0-B432-E697F428A3E4}">
      <dsp:nvSpPr>
        <dsp:cNvPr id="0" name=""/>
        <dsp:cNvSpPr/>
      </dsp:nvSpPr>
      <dsp:spPr>
        <a:xfrm rot="5400000">
          <a:off x="2945420" y="2609570"/>
          <a:ext cx="228018" cy="365697"/>
        </a:xfrm>
        <a:prstGeom prst="rightArrow">
          <a:avLst>
            <a:gd name="adj1" fmla="val 60000"/>
            <a:gd name="adj2" fmla="val 50000"/>
          </a:avLst>
        </a:prstGeom>
        <a:solidFill>
          <a:schemeClr val="accent4">
            <a:hueOff val="-2976513"/>
            <a:satOff val="17933"/>
            <a:lumOff val="143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latin typeface="Times New Roman" panose="02020603050405020304" pitchFamily="18" charset="0"/>
            <a:cs typeface="Times New Roman" panose="02020603050405020304" pitchFamily="18" charset="0"/>
          </a:endParaRPr>
        </a:p>
      </dsp:txBody>
      <dsp:txXfrm>
        <a:off x="2979623" y="2648507"/>
        <a:ext cx="159613" cy="219419"/>
      </dsp:txXfrm>
    </dsp:sp>
    <dsp:sp modelId="{8A859C2B-0C5A-450C-B9BF-27EE2013E660}">
      <dsp:nvSpPr>
        <dsp:cNvPr id="0" name=""/>
        <dsp:cNvSpPr/>
      </dsp:nvSpPr>
      <dsp:spPr>
        <a:xfrm>
          <a:off x="2521639" y="3013984"/>
          <a:ext cx="1075580" cy="1075580"/>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Times New Roman" panose="02020603050405020304" pitchFamily="18" charset="0"/>
              <a:cs typeface="Times New Roman" panose="02020603050405020304" pitchFamily="18" charset="0"/>
            </a:rPr>
            <a:t>Usage of sales force</a:t>
          </a:r>
          <a:endParaRPr lang="en-IN" sz="1100" kern="1200">
            <a:latin typeface="Times New Roman" panose="02020603050405020304" pitchFamily="18" charset="0"/>
            <a:cs typeface="Times New Roman" panose="02020603050405020304" pitchFamily="18" charset="0"/>
          </a:endParaRPr>
        </a:p>
      </dsp:txBody>
      <dsp:txXfrm>
        <a:off x="2679154" y="3171499"/>
        <a:ext cx="760550" cy="760550"/>
      </dsp:txXfrm>
    </dsp:sp>
    <dsp:sp modelId="{F14B8705-494D-45F5-A20B-BBAB87C61717}">
      <dsp:nvSpPr>
        <dsp:cNvPr id="0" name=""/>
        <dsp:cNvSpPr/>
      </dsp:nvSpPr>
      <dsp:spPr>
        <a:xfrm rot="10800000">
          <a:off x="2198971" y="1863121"/>
          <a:ext cx="228018" cy="365697"/>
        </a:xfrm>
        <a:prstGeom prst="rightArrow">
          <a:avLst>
            <a:gd name="adj1" fmla="val 60000"/>
            <a:gd name="adj2" fmla="val 50000"/>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latin typeface="Times New Roman" panose="02020603050405020304" pitchFamily="18" charset="0"/>
            <a:cs typeface="Times New Roman" panose="02020603050405020304" pitchFamily="18" charset="0"/>
          </a:endParaRPr>
        </a:p>
      </dsp:txBody>
      <dsp:txXfrm rot="10800000">
        <a:off x="2267376" y="1936260"/>
        <a:ext cx="159613" cy="219419"/>
      </dsp:txXfrm>
    </dsp:sp>
    <dsp:sp modelId="{EE825B05-D230-4EA6-AB04-6DEA1EDC612E}">
      <dsp:nvSpPr>
        <dsp:cNvPr id="0" name=""/>
        <dsp:cNvSpPr/>
      </dsp:nvSpPr>
      <dsp:spPr>
        <a:xfrm>
          <a:off x="1015834" y="1508179"/>
          <a:ext cx="1075580" cy="1075580"/>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latin typeface="Times New Roman" panose="02020603050405020304" pitchFamily="18" charset="0"/>
              <a:cs typeface="Times New Roman" panose="02020603050405020304" pitchFamily="18" charset="0"/>
            </a:rPr>
            <a:t>Stay and exit interviews</a:t>
          </a:r>
          <a:endParaRPr lang="en-IN" sz="1100" kern="1200">
            <a:latin typeface="Times New Roman" panose="02020603050405020304" pitchFamily="18" charset="0"/>
            <a:cs typeface="Times New Roman" panose="02020603050405020304" pitchFamily="18" charset="0"/>
          </a:endParaRPr>
        </a:p>
      </dsp:txBody>
      <dsp:txXfrm>
        <a:off x="1173349" y="1665694"/>
        <a:ext cx="760550" cy="76055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12022A-D139-45B0-8C17-EA1812976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 Marin</cp:lastModifiedBy>
  <cp:revision>3</cp:revision>
  <dcterms:created xsi:type="dcterms:W3CDTF">2020-11-11T12:38:00Z</dcterms:created>
  <dcterms:modified xsi:type="dcterms:W3CDTF">2020-12-13T23:34:00Z</dcterms:modified>
</cp:coreProperties>
</file>