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B1882F" w14:textId="77777777" w:rsidR="00CE72F1" w:rsidRDefault="00884F86" w:rsidP="00CE72F1">
      <w:pPr>
        <w:spacing w:line="480" w:lineRule="auto"/>
        <w:rPr>
          <w:rFonts w:ascii="Times New Roman" w:hAnsi="Times New Roman" w:cs="Times New Roman"/>
        </w:rPr>
      </w:pPr>
      <w:r w:rsidRPr="00CE72F1">
        <w:rPr>
          <w:rFonts w:ascii="Times New Roman" w:hAnsi="Times New Roman" w:cs="Times New Roman"/>
        </w:rPr>
        <w:t>The topic that will be discussed is the hoplite tactics within warfare, with the main focus on the phalanx, around the classical period and how it was used in war. Although the phalanx is only one attribute to the tactics within hoplite warfare. There is a strong precedent that the phalanx is understood to a degree however, there is much unknown when looking at the phalanx. People such as Van Wees in his book ‘</w:t>
      </w:r>
      <w:r w:rsidRPr="00CE72F1">
        <w:rPr>
          <w:rFonts w:ascii="Times New Roman" w:hAnsi="Times New Roman" w:cs="Times New Roman"/>
          <w:i/>
        </w:rPr>
        <w:t>Greek Warfare and Myths and Realities’</w:t>
      </w:r>
      <w:r w:rsidRPr="00CE72F1">
        <w:rPr>
          <w:rFonts w:ascii="Times New Roman" w:hAnsi="Times New Roman" w:cs="Times New Roman"/>
        </w:rPr>
        <w:t xml:space="preserve"> alongside </w:t>
      </w:r>
      <w:proofErr w:type="spellStart"/>
      <w:r w:rsidRPr="00CE72F1">
        <w:rPr>
          <w:rFonts w:ascii="Times New Roman" w:hAnsi="Times New Roman" w:cs="Times New Roman"/>
        </w:rPr>
        <w:t>Kagan’s</w:t>
      </w:r>
      <w:proofErr w:type="spellEnd"/>
      <w:r w:rsidRPr="00CE72F1">
        <w:rPr>
          <w:rFonts w:ascii="Times New Roman" w:hAnsi="Times New Roman" w:cs="Times New Roman"/>
        </w:rPr>
        <w:t xml:space="preserve"> ‘</w:t>
      </w:r>
      <w:r w:rsidRPr="00CE72F1">
        <w:rPr>
          <w:rFonts w:ascii="Times New Roman" w:hAnsi="Times New Roman" w:cs="Times New Roman"/>
          <w:i/>
        </w:rPr>
        <w:t xml:space="preserve">Men of Bronze’ </w:t>
      </w:r>
      <w:r w:rsidRPr="00CE72F1">
        <w:rPr>
          <w:rFonts w:ascii="Times New Roman" w:hAnsi="Times New Roman" w:cs="Times New Roman"/>
        </w:rPr>
        <w:t>look in detail at the hoplite phalanx within warfare</w:t>
      </w:r>
      <w:r w:rsidR="00CF70A1" w:rsidRPr="00CE72F1">
        <w:rPr>
          <w:rFonts w:ascii="Times New Roman" w:hAnsi="Times New Roman" w:cs="Times New Roman"/>
        </w:rPr>
        <w:t xml:space="preserve"> and areas surrounding it.</w:t>
      </w:r>
      <w:r w:rsidRPr="00CE72F1">
        <w:rPr>
          <w:rFonts w:ascii="Times New Roman" w:hAnsi="Times New Roman" w:cs="Times New Roman"/>
        </w:rPr>
        <w:t xml:space="preserve"> Topics that are discussed within the phalanx are varied. There is the way in which the hoplite came about, the fighting style alongside formations and the mentality held. The views upon the othismos, the use of the equipment; the famous shield and spear that a hoplite would adorn then. Many of these areas are still debated on what they actually are but they all have helped us grasp stronger understandings upon the way in which the phalanx worked.</w:t>
      </w:r>
    </w:p>
    <w:p w14:paraId="670E8238" w14:textId="168CEECA" w:rsidR="00884F86" w:rsidRPr="00CE72F1" w:rsidRDefault="00884F86" w:rsidP="00CE72F1">
      <w:pPr>
        <w:spacing w:line="480" w:lineRule="auto"/>
        <w:rPr>
          <w:rFonts w:ascii="Times New Roman" w:hAnsi="Times New Roman" w:cs="Times New Roman"/>
        </w:rPr>
      </w:pPr>
      <w:r w:rsidRPr="00CE72F1">
        <w:rPr>
          <w:rFonts w:ascii="Times New Roman" w:hAnsi="Times New Roman" w:cs="Times New Roman"/>
        </w:rPr>
        <w:t xml:space="preserve"> So although focusing on the phalanx there is a selection of sub topics that allow for a larger understanding of the hoplite’s tactics in warfare. Through the articles used there will be a variation of subjects discussed. These subjects are areas that cover, the as formerly stated sub subjects of the phalanx and its use within hoplite tactics around warfare. When looking at the effectiveness around the effectiveness and how much we actually know on it.</w:t>
      </w:r>
      <w:r w:rsidR="00CF70A1" w:rsidRPr="00CE72F1">
        <w:rPr>
          <w:rFonts w:ascii="Times New Roman" w:hAnsi="Times New Roman" w:cs="Times New Roman"/>
        </w:rPr>
        <w:t xml:space="preserve"> The sources themselves are collectively around the 2009-2013 period, showing that modern scholarship has recently found aspects of the phalanx that where either unknown or already discussed.</w:t>
      </w:r>
    </w:p>
    <w:p w14:paraId="69033674" w14:textId="77777777" w:rsidR="006502B0" w:rsidRPr="00CE72F1" w:rsidRDefault="006502B0" w:rsidP="00CE72F1">
      <w:pPr>
        <w:autoSpaceDE w:val="0"/>
        <w:autoSpaceDN w:val="0"/>
        <w:adjustRightInd w:val="0"/>
        <w:spacing w:line="480" w:lineRule="auto"/>
        <w:rPr>
          <w:rFonts w:ascii="Times New Roman" w:hAnsi="Times New Roman" w:cs="Times New Roman"/>
          <w:color w:val="353535"/>
          <w:lang w:val="en-US"/>
        </w:rPr>
      </w:pPr>
    </w:p>
    <w:p w14:paraId="118F4941" w14:textId="6B0EBD3B" w:rsidR="00A40EF6" w:rsidRPr="00CE72F1" w:rsidRDefault="00A40EF6" w:rsidP="00CE72F1">
      <w:pPr>
        <w:autoSpaceDE w:val="0"/>
        <w:autoSpaceDN w:val="0"/>
        <w:adjustRightInd w:val="0"/>
        <w:spacing w:line="480" w:lineRule="auto"/>
        <w:rPr>
          <w:rFonts w:ascii="Times New Roman" w:hAnsi="Times New Roman" w:cs="Times New Roman"/>
          <w:color w:val="353535"/>
          <w:lang w:val="en-US"/>
        </w:rPr>
      </w:pPr>
      <w:r w:rsidRPr="00CE72F1">
        <w:rPr>
          <w:rFonts w:ascii="Times New Roman" w:hAnsi="Times New Roman" w:cs="Times New Roman"/>
          <w:color w:val="353535"/>
          <w:lang w:val="en-US"/>
        </w:rPr>
        <w:t>Matthew</w:t>
      </w:r>
      <w:r w:rsidR="003B66F3" w:rsidRPr="00CE72F1">
        <w:rPr>
          <w:rFonts w:ascii="Times New Roman" w:hAnsi="Times New Roman" w:cs="Times New Roman"/>
          <w:color w:val="353535"/>
          <w:lang w:val="en-US"/>
        </w:rPr>
        <w:t>’</w:t>
      </w:r>
      <w:r w:rsidRPr="00CE72F1">
        <w:rPr>
          <w:rFonts w:ascii="Times New Roman" w:hAnsi="Times New Roman" w:cs="Times New Roman"/>
          <w:color w:val="353535"/>
          <w:lang w:val="en-US"/>
        </w:rPr>
        <w:t>s</w:t>
      </w:r>
      <w:r w:rsidR="003B66F3"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 xml:space="preserve">argument </w:t>
      </w:r>
      <w:r w:rsidR="003B66F3" w:rsidRPr="00CE72F1">
        <w:rPr>
          <w:rFonts w:ascii="Times New Roman" w:hAnsi="Times New Roman" w:cs="Times New Roman"/>
          <w:color w:val="353535"/>
          <w:lang w:val="en-US"/>
        </w:rPr>
        <w:t>in</w:t>
      </w:r>
      <w:r w:rsidR="003B66F3"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 xml:space="preserve">this article is based on the word </w:t>
      </w:r>
      <w:r w:rsidR="003B66F3" w:rsidRPr="00CE72F1">
        <w:rPr>
          <w:rFonts w:ascii="Times New Roman" w:hAnsi="Times New Roman" w:cs="Times New Roman"/>
          <w:color w:val="353535"/>
          <w:lang w:val="en-US"/>
        </w:rPr>
        <w:t>o</w:t>
      </w:r>
      <w:r w:rsidRPr="00CE72F1">
        <w:rPr>
          <w:rFonts w:ascii="Times New Roman" w:hAnsi="Times New Roman" w:cs="Times New Roman"/>
          <w:color w:val="353535"/>
          <w:lang w:val="en-US"/>
        </w:rPr>
        <w:t xml:space="preserve">thismos. Matthew shows </w:t>
      </w:r>
      <w:r w:rsidR="003B66F3" w:rsidRPr="00CE72F1">
        <w:rPr>
          <w:rFonts w:ascii="Times New Roman" w:hAnsi="Times New Roman" w:cs="Times New Roman"/>
          <w:color w:val="353535"/>
          <w:lang w:val="en-US"/>
        </w:rPr>
        <w:t xml:space="preserve">that </w:t>
      </w:r>
      <w:r w:rsidRPr="00CE72F1">
        <w:rPr>
          <w:rFonts w:ascii="Times New Roman" w:hAnsi="Times New Roman" w:cs="Times New Roman"/>
          <w:color w:val="353535"/>
          <w:lang w:val="en-US"/>
        </w:rPr>
        <w:t xml:space="preserve">there are two main arguments that try to explain the meaning </w:t>
      </w:r>
      <w:r w:rsidR="003B66F3" w:rsidRPr="00CE72F1">
        <w:rPr>
          <w:rFonts w:ascii="Times New Roman" w:hAnsi="Times New Roman" w:cs="Times New Roman"/>
          <w:color w:val="353535"/>
          <w:lang w:val="en-US"/>
        </w:rPr>
        <w:t>of</w:t>
      </w:r>
      <w:r w:rsidR="003B66F3"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 xml:space="preserve">the </w:t>
      </w:r>
      <w:r w:rsidR="003B66F3" w:rsidRPr="00CE72F1">
        <w:rPr>
          <w:rFonts w:ascii="Times New Roman" w:hAnsi="Times New Roman" w:cs="Times New Roman"/>
          <w:color w:val="353535"/>
          <w:lang w:val="en-US"/>
        </w:rPr>
        <w:t>o</w:t>
      </w:r>
      <w:r w:rsidRPr="00CE72F1">
        <w:rPr>
          <w:rFonts w:ascii="Times New Roman" w:hAnsi="Times New Roman" w:cs="Times New Roman"/>
          <w:color w:val="353535"/>
          <w:lang w:val="en-US"/>
        </w:rPr>
        <w:t>thismos. Matthew starts</w:t>
      </w:r>
      <w:r w:rsidR="003B66F3" w:rsidRPr="00CE72F1">
        <w:rPr>
          <w:rFonts w:ascii="Times New Roman" w:hAnsi="Times New Roman" w:cs="Times New Roman"/>
          <w:color w:val="353535"/>
          <w:lang w:val="en-US"/>
        </w:rPr>
        <w:t xml:space="preserve"> by</w:t>
      </w:r>
      <w:r w:rsidRPr="00CE72F1">
        <w:rPr>
          <w:rFonts w:ascii="Times New Roman" w:hAnsi="Times New Roman" w:cs="Times New Roman"/>
          <w:color w:val="353535"/>
          <w:lang w:val="en-US"/>
        </w:rPr>
        <w:t xml:space="preserve"> using literary sources to try find the evidence to support </w:t>
      </w:r>
      <w:r w:rsidR="003B66F3" w:rsidRPr="00CE72F1">
        <w:rPr>
          <w:rFonts w:ascii="Times New Roman" w:hAnsi="Times New Roman" w:cs="Times New Roman"/>
          <w:color w:val="353535"/>
          <w:lang w:val="en-US"/>
        </w:rPr>
        <w:t xml:space="preserve"> the orthodox view</w:t>
      </w:r>
      <w:r w:rsidRPr="00CE72F1">
        <w:rPr>
          <w:rFonts w:ascii="Times New Roman" w:hAnsi="Times New Roman" w:cs="Times New Roman"/>
          <w:color w:val="353535"/>
          <w:lang w:val="en-US"/>
        </w:rPr>
        <w:t>.</w:t>
      </w:r>
      <w:r w:rsidR="00940EA2" w:rsidRPr="00CE72F1">
        <w:rPr>
          <w:rStyle w:val="FootnoteReference"/>
          <w:rFonts w:ascii="Times New Roman" w:hAnsi="Times New Roman" w:cs="Times New Roman"/>
          <w:color w:val="353535"/>
          <w:lang w:val="en-US"/>
        </w:rPr>
        <w:footnoteReference w:id="1"/>
      </w:r>
      <w:r w:rsidRPr="00CE72F1">
        <w:rPr>
          <w:rFonts w:ascii="Times New Roman" w:hAnsi="Times New Roman" w:cs="Times New Roman"/>
          <w:color w:val="353535"/>
          <w:lang w:val="en-US"/>
        </w:rPr>
        <w:t xml:space="preserve"> Matthew shows through reenacting the hoplite </w:t>
      </w:r>
      <w:r w:rsidR="0070237C" w:rsidRPr="00CE72F1">
        <w:rPr>
          <w:rFonts w:ascii="Times New Roman" w:hAnsi="Times New Roman" w:cs="Times New Roman"/>
          <w:color w:val="353535"/>
          <w:lang w:val="en-US"/>
        </w:rPr>
        <w:t>line</w:t>
      </w:r>
      <w:r w:rsidRPr="00CE72F1">
        <w:rPr>
          <w:rFonts w:ascii="Times New Roman" w:hAnsi="Times New Roman" w:cs="Times New Roman"/>
          <w:color w:val="353535"/>
          <w:lang w:val="en-US"/>
        </w:rPr>
        <w:t xml:space="preserve"> that the second view, the </w:t>
      </w:r>
      <w:r w:rsidR="003B66F3" w:rsidRPr="00CE72F1">
        <w:rPr>
          <w:rFonts w:ascii="Times New Roman" w:hAnsi="Times New Roman" w:cs="Times New Roman"/>
          <w:color w:val="353535"/>
          <w:lang w:val="en-US"/>
        </w:rPr>
        <w:t>h</w:t>
      </w:r>
      <w:r w:rsidRPr="00CE72F1">
        <w:rPr>
          <w:rFonts w:ascii="Times New Roman" w:hAnsi="Times New Roman" w:cs="Times New Roman"/>
          <w:color w:val="353535"/>
          <w:lang w:val="en-US"/>
        </w:rPr>
        <w:t xml:space="preserve">eretical </w:t>
      </w:r>
      <w:r w:rsidR="003B66F3" w:rsidRPr="00CE72F1">
        <w:rPr>
          <w:rFonts w:ascii="Times New Roman" w:hAnsi="Times New Roman" w:cs="Times New Roman"/>
          <w:color w:val="353535"/>
          <w:lang w:val="en-US"/>
        </w:rPr>
        <w:t>one,</w:t>
      </w:r>
      <w:r w:rsidR="003B66F3" w:rsidRPr="00CE72F1">
        <w:rPr>
          <w:rFonts w:ascii="Times New Roman" w:hAnsi="Times New Roman" w:cs="Times New Roman"/>
          <w:color w:val="353535"/>
          <w:lang w:val="en-US"/>
        </w:rPr>
        <w:t xml:space="preserve"> </w:t>
      </w:r>
      <w:r w:rsidR="0070237C" w:rsidRPr="00CE72F1">
        <w:rPr>
          <w:rFonts w:ascii="Times New Roman" w:hAnsi="Times New Roman" w:cs="Times New Roman"/>
          <w:color w:val="353535"/>
          <w:lang w:val="en-US"/>
        </w:rPr>
        <w:t xml:space="preserve">is also applicable </w:t>
      </w:r>
      <w:r w:rsidR="0070237C" w:rsidRPr="00CE72F1">
        <w:rPr>
          <w:rFonts w:ascii="Times New Roman" w:hAnsi="Times New Roman" w:cs="Times New Roman"/>
          <w:color w:val="353535"/>
          <w:lang w:val="en-US"/>
        </w:rPr>
        <w:lastRenderedPageBreak/>
        <w:t xml:space="preserve">to the term </w:t>
      </w:r>
      <w:r w:rsidR="003B66F3" w:rsidRPr="00CE72F1">
        <w:rPr>
          <w:rFonts w:ascii="Times New Roman" w:hAnsi="Times New Roman" w:cs="Times New Roman"/>
          <w:color w:val="353535"/>
          <w:lang w:val="en-US"/>
        </w:rPr>
        <w:t>o</w:t>
      </w:r>
      <w:r w:rsidR="0070237C" w:rsidRPr="00CE72F1">
        <w:rPr>
          <w:rFonts w:ascii="Times New Roman" w:hAnsi="Times New Roman" w:cs="Times New Roman"/>
          <w:color w:val="353535"/>
          <w:lang w:val="en-US"/>
        </w:rPr>
        <w:t>thismos</w:t>
      </w:r>
      <w:r w:rsidRPr="00CE72F1">
        <w:rPr>
          <w:rFonts w:ascii="Times New Roman" w:hAnsi="Times New Roman" w:cs="Times New Roman"/>
          <w:color w:val="353535"/>
          <w:lang w:val="en-US"/>
        </w:rPr>
        <w:t>.</w:t>
      </w:r>
      <w:r w:rsidR="00940EA2" w:rsidRPr="00CE72F1">
        <w:rPr>
          <w:rStyle w:val="FootnoteReference"/>
          <w:rFonts w:ascii="Times New Roman" w:hAnsi="Times New Roman" w:cs="Times New Roman"/>
          <w:color w:val="353535"/>
          <w:lang w:val="en-US"/>
        </w:rPr>
        <w:footnoteReference w:id="2"/>
      </w:r>
      <w:r w:rsidRPr="00CE72F1">
        <w:rPr>
          <w:rFonts w:ascii="Times New Roman" w:hAnsi="Times New Roman" w:cs="Times New Roman"/>
          <w:color w:val="353535"/>
          <w:lang w:val="en-US"/>
        </w:rPr>
        <w:t xml:space="preserve"> This view is that the hoplites did not engage with a literal shove but at a spear</w:t>
      </w:r>
      <w:r w:rsidR="003B66F3" w:rsidRPr="00CE72F1">
        <w:rPr>
          <w:rFonts w:ascii="Times New Roman" w:hAnsi="Times New Roman" w:cs="Times New Roman"/>
          <w:color w:val="353535"/>
          <w:lang w:val="en-US"/>
        </w:rPr>
        <w:t>’</w:t>
      </w:r>
      <w:r w:rsidRPr="00CE72F1">
        <w:rPr>
          <w:rFonts w:ascii="Times New Roman" w:hAnsi="Times New Roman" w:cs="Times New Roman"/>
          <w:color w:val="353535"/>
          <w:lang w:val="en-US"/>
        </w:rPr>
        <w:t xml:space="preserve">s length. Matthew </w:t>
      </w:r>
      <w:r w:rsidR="003B66F3" w:rsidRPr="00CE72F1">
        <w:rPr>
          <w:rFonts w:ascii="Times New Roman" w:hAnsi="Times New Roman" w:cs="Times New Roman"/>
          <w:color w:val="353535"/>
          <w:lang w:val="en-US"/>
        </w:rPr>
        <w:t>concludes</w:t>
      </w:r>
      <w:r w:rsidRPr="00CE72F1">
        <w:rPr>
          <w:rFonts w:ascii="Times New Roman" w:hAnsi="Times New Roman" w:cs="Times New Roman"/>
          <w:color w:val="353535"/>
          <w:lang w:val="en-US"/>
        </w:rPr>
        <w:t xml:space="preserve"> that the word </w:t>
      </w:r>
      <w:r w:rsidR="003B66F3" w:rsidRPr="00CE72F1">
        <w:rPr>
          <w:rFonts w:ascii="Times New Roman" w:hAnsi="Times New Roman" w:cs="Times New Roman"/>
          <w:color w:val="353535"/>
          <w:lang w:val="en-US"/>
        </w:rPr>
        <w:t>o</w:t>
      </w:r>
      <w:r w:rsidRPr="00CE72F1">
        <w:rPr>
          <w:rFonts w:ascii="Times New Roman" w:hAnsi="Times New Roman" w:cs="Times New Roman"/>
          <w:color w:val="353535"/>
          <w:lang w:val="en-US"/>
        </w:rPr>
        <w:t>thismos is still unknown</w:t>
      </w:r>
      <w:r w:rsidR="00884F86" w:rsidRPr="00CE72F1">
        <w:rPr>
          <w:rFonts w:ascii="Times New Roman" w:hAnsi="Times New Roman" w:cs="Times New Roman"/>
          <w:color w:val="353535"/>
          <w:lang w:val="en-US"/>
        </w:rPr>
        <w:t>.</w:t>
      </w:r>
    </w:p>
    <w:p w14:paraId="40FA08BF" w14:textId="0B385FC2" w:rsidR="00A40EF6" w:rsidRPr="00CE72F1" w:rsidRDefault="00A40EF6" w:rsidP="00CE72F1">
      <w:pPr>
        <w:autoSpaceDE w:val="0"/>
        <w:autoSpaceDN w:val="0"/>
        <w:adjustRightInd w:val="0"/>
        <w:spacing w:line="480" w:lineRule="auto"/>
        <w:rPr>
          <w:rFonts w:ascii="Times New Roman" w:hAnsi="Times New Roman" w:cs="Times New Roman"/>
          <w:color w:val="353535"/>
          <w:lang w:val="en-US"/>
        </w:rPr>
      </w:pPr>
      <w:r w:rsidRPr="00CE72F1">
        <w:rPr>
          <w:rFonts w:ascii="Times New Roman" w:hAnsi="Times New Roman" w:cs="Times New Roman"/>
          <w:color w:val="353535"/>
          <w:lang w:val="en-US"/>
        </w:rPr>
        <w:t xml:space="preserve">The argument debated by Matthews is relevant as shown by Hans Van Wees. Both scholars address how there is a large discrepancy in the </w:t>
      </w:r>
      <w:r w:rsidR="003B66F3" w:rsidRPr="00CE72F1">
        <w:rPr>
          <w:rFonts w:ascii="Times New Roman" w:hAnsi="Times New Roman" w:cs="Times New Roman"/>
          <w:color w:val="353535"/>
          <w:lang w:val="en-US"/>
        </w:rPr>
        <w:t>o</w:t>
      </w:r>
      <w:r w:rsidRPr="00CE72F1">
        <w:rPr>
          <w:rFonts w:ascii="Times New Roman" w:hAnsi="Times New Roman" w:cs="Times New Roman"/>
          <w:color w:val="353535"/>
          <w:lang w:val="en-US"/>
        </w:rPr>
        <w:t>thismos debate.</w:t>
      </w:r>
      <w:r w:rsidR="00940EA2" w:rsidRPr="00CE72F1">
        <w:rPr>
          <w:rStyle w:val="FootnoteReference"/>
          <w:rFonts w:ascii="Times New Roman" w:hAnsi="Times New Roman" w:cs="Times New Roman"/>
          <w:color w:val="353535"/>
          <w:lang w:val="en-US"/>
        </w:rPr>
        <w:footnoteReference w:id="3"/>
      </w:r>
      <w:r w:rsidRPr="00CE72F1">
        <w:rPr>
          <w:rFonts w:ascii="Times New Roman" w:hAnsi="Times New Roman" w:cs="Times New Roman"/>
          <w:color w:val="353535"/>
          <w:lang w:val="en-US"/>
        </w:rPr>
        <w:t xml:space="preserve"> Van Wees and Matthews both use the same sources to try build a stronger understanding. But </w:t>
      </w:r>
      <w:r w:rsidR="003B66F3" w:rsidRPr="00CE72F1">
        <w:rPr>
          <w:rFonts w:ascii="Times New Roman" w:hAnsi="Times New Roman" w:cs="Times New Roman"/>
          <w:color w:val="353535"/>
          <w:lang w:val="en-US"/>
        </w:rPr>
        <w:t>they</w:t>
      </w:r>
      <w:r w:rsidR="003B66F3"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 xml:space="preserve">arrive at </w:t>
      </w:r>
      <w:r w:rsidR="00940EA2" w:rsidRPr="00CE72F1">
        <w:rPr>
          <w:rFonts w:ascii="Times New Roman" w:hAnsi="Times New Roman" w:cs="Times New Roman"/>
          <w:color w:val="353535"/>
          <w:lang w:val="en-US"/>
        </w:rPr>
        <w:t>almost identical</w:t>
      </w:r>
      <w:r w:rsidRPr="00CE72F1">
        <w:rPr>
          <w:rFonts w:ascii="Times New Roman" w:hAnsi="Times New Roman" w:cs="Times New Roman"/>
          <w:color w:val="353535"/>
          <w:lang w:val="en-US"/>
        </w:rPr>
        <w:t xml:space="preserve"> conclusions when looking at the </w:t>
      </w:r>
      <w:r w:rsidR="003B66F3" w:rsidRPr="00CE72F1">
        <w:rPr>
          <w:rFonts w:ascii="Times New Roman" w:hAnsi="Times New Roman" w:cs="Times New Roman"/>
          <w:color w:val="353535"/>
          <w:lang w:val="en-US"/>
        </w:rPr>
        <w:t>meaning</w:t>
      </w:r>
      <w:r w:rsidR="003B66F3" w:rsidRPr="00CE72F1">
        <w:rPr>
          <w:rFonts w:ascii="Times New Roman" w:hAnsi="Times New Roman" w:cs="Times New Roman"/>
          <w:color w:val="353535"/>
          <w:lang w:val="en-US"/>
        </w:rPr>
        <w:t xml:space="preserve"> </w:t>
      </w:r>
      <w:r w:rsidR="003B66F3" w:rsidRPr="00CE72F1">
        <w:rPr>
          <w:rFonts w:ascii="Times New Roman" w:hAnsi="Times New Roman" w:cs="Times New Roman"/>
          <w:color w:val="353535"/>
          <w:lang w:val="en-US"/>
        </w:rPr>
        <w:t>of o</w:t>
      </w:r>
      <w:r w:rsidRPr="00CE72F1">
        <w:rPr>
          <w:rFonts w:ascii="Times New Roman" w:hAnsi="Times New Roman" w:cs="Times New Roman"/>
          <w:color w:val="353535"/>
          <w:lang w:val="en-US"/>
        </w:rPr>
        <w:t xml:space="preserve">thismos. Although Van Wees </w:t>
      </w:r>
      <w:r w:rsidR="003B66F3" w:rsidRPr="00CE72F1">
        <w:rPr>
          <w:rFonts w:ascii="Times New Roman" w:hAnsi="Times New Roman" w:cs="Times New Roman"/>
          <w:color w:val="353535"/>
          <w:lang w:val="en-US"/>
        </w:rPr>
        <w:t>does not</w:t>
      </w:r>
      <w:r w:rsidR="003B66F3"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use the terms Orthodox and Heretical like Matthews</w:t>
      </w:r>
      <w:r w:rsidR="00940EA2" w:rsidRPr="00CE72F1">
        <w:rPr>
          <w:rFonts w:ascii="Times New Roman" w:hAnsi="Times New Roman" w:cs="Times New Roman"/>
          <w:color w:val="353535"/>
          <w:lang w:val="en-US"/>
        </w:rPr>
        <w:t>.</w:t>
      </w:r>
      <w:r w:rsidR="00B04D9B" w:rsidRPr="00CE72F1">
        <w:rPr>
          <w:rFonts w:ascii="Times New Roman" w:hAnsi="Times New Roman" w:cs="Times New Roman"/>
          <w:color w:val="353535"/>
          <w:lang w:val="en-US"/>
        </w:rPr>
        <w:t xml:space="preserve"> V</w:t>
      </w:r>
      <w:r w:rsidR="00940EA2" w:rsidRPr="00CE72F1">
        <w:rPr>
          <w:rFonts w:ascii="Times New Roman" w:hAnsi="Times New Roman" w:cs="Times New Roman"/>
          <w:color w:val="353535"/>
          <w:lang w:val="en-US"/>
        </w:rPr>
        <w:t>an Wees does show how there is a variation of ways that the Othismos could have played out in combat.</w:t>
      </w:r>
      <w:r w:rsidR="00940EA2" w:rsidRPr="00CE72F1">
        <w:rPr>
          <w:rStyle w:val="FootnoteReference"/>
          <w:rFonts w:ascii="Times New Roman" w:hAnsi="Times New Roman" w:cs="Times New Roman"/>
          <w:color w:val="353535"/>
          <w:lang w:val="en-US"/>
        </w:rPr>
        <w:footnoteReference w:id="4"/>
      </w:r>
      <w:r w:rsidR="00940EA2" w:rsidRPr="00CE72F1">
        <w:rPr>
          <w:rFonts w:ascii="Times New Roman" w:hAnsi="Times New Roman" w:cs="Times New Roman"/>
          <w:color w:val="353535"/>
          <w:lang w:val="en-US"/>
        </w:rPr>
        <w:t xml:space="preserve"> B</w:t>
      </w:r>
      <w:r w:rsidRPr="00CE72F1">
        <w:rPr>
          <w:rFonts w:ascii="Times New Roman" w:hAnsi="Times New Roman" w:cs="Times New Roman"/>
          <w:color w:val="353535"/>
          <w:lang w:val="en-US"/>
        </w:rPr>
        <w:t xml:space="preserve">oth find evidence that supports that there are two ways in which the Othismos may have taken place. Which shows how the trend in scholarship between the authors has </w:t>
      </w:r>
      <w:r w:rsidR="00884F86" w:rsidRPr="00CE72F1">
        <w:rPr>
          <w:rFonts w:ascii="Times New Roman" w:hAnsi="Times New Roman" w:cs="Times New Roman"/>
          <w:color w:val="353535"/>
          <w:lang w:val="en-US"/>
        </w:rPr>
        <w:t>actually changed slightly. As Van Wees was written in 2004, whereas Mathew’s was written in 2009. Within this 5 year time period we can see that there are two sides created on the term of the othismos. This explains that the subject of the phalanx has been looked at further in time to see if there is any more of a grasp on the use of the phalanx and what went on within conflict.</w:t>
      </w:r>
    </w:p>
    <w:p w14:paraId="532E61D3" w14:textId="1FB0CC3D" w:rsidR="00AA1CBB" w:rsidRPr="00CE72F1" w:rsidRDefault="00A40EF6" w:rsidP="00CE72F1">
      <w:pPr>
        <w:spacing w:line="480" w:lineRule="auto"/>
        <w:rPr>
          <w:rFonts w:ascii="Times New Roman" w:hAnsi="Times New Roman" w:cs="Times New Roman"/>
          <w:color w:val="353535"/>
          <w:lang w:val="en-US"/>
        </w:rPr>
      </w:pPr>
      <w:r w:rsidRPr="00CE72F1">
        <w:rPr>
          <w:rFonts w:ascii="Times New Roman" w:hAnsi="Times New Roman" w:cs="Times New Roman"/>
          <w:color w:val="353535"/>
          <w:lang w:val="en-US"/>
        </w:rPr>
        <w:t xml:space="preserve">Overall the debate presented by Matthews is a strong piece of work that shows a good </w:t>
      </w:r>
      <w:r w:rsidR="00B04D9B" w:rsidRPr="00CE72F1">
        <w:rPr>
          <w:rFonts w:ascii="Times New Roman" w:hAnsi="Times New Roman" w:cs="Times New Roman"/>
          <w:color w:val="353535"/>
          <w:lang w:val="en-US"/>
        </w:rPr>
        <w:t xml:space="preserve"> </w:t>
      </w:r>
      <w:r w:rsidRPr="00CE72F1">
        <w:rPr>
          <w:rFonts w:ascii="Times New Roman" w:hAnsi="Times New Roman" w:cs="Times New Roman"/>
          <w:color w:val="353535"/>
          <w:lang w:val="en-US"/>
        </w:rPr>
        <w:t xml:space="preserve">when looking at the use of the </w:t>
      </w:r>
      <w:r w:rsidR="00D45DBC" w:rsidRPr="00CE72F1">
        <w:rPr>
          <w:rFonts w:ascii="Times New Roman" w:hAnsi="Times New Roman" w:cs="Times New Roman"/>
          <w:color w:val="353535"/>
          <w:lang w:val="en-US"/>
        </w:rPr>
        <w:t>o</w:t>
      </w:r>
      <w:r w:rsidRPr="00CE72F1">
        <w:rPr>
          <w:rFonts w:ascii="Times New Roman" w:hAnsi="Times New Roman" w:cs="Times New Roman"/>
          <w:color w:val="353535"/>
          <w:lang w:val="en-US"/>
        </w:rPr>
        <w:t xml:space="preserve">thismos. There is a strong understanding that can be seen carried throughout. </w:t>
      </w:r>
      <w:r w:rsidR="00940EA2" w:rsidRPr="00CE72F1">
        <w:rPr>
          <w:rFonts w:ascii="Times New Roman" w:hAnsi="Times New Roman" w:cs="Times New Roman"/>
          <w:color w:val="353535"/>
          <w:lang w:val="en-US"/>
        </w:rPr>
        <w:t xml:space="preserve">However, there is an issue to the article as there is a noticeable absence of modern scholarship used within. </w:t>
      </w:r>
      <w:r w:rsidRPr="00CE72F1">
        <w:rPr>
          <w:rFonts w:ascii="Times New Roman" w:hAnsi="Times New Roman" w:cs="Times New Roman"/>
          <w:color w:val="353535"/>
          <w:lang w:val="en-US"/>
        </w:rPr>
        <w:t xml:space="preserve">Then when looking at the arguments on both sides there is clear evidence, from using the ancient </w:t>
      </w:r>
      <w:r w:rsidR="00940EA2" w:rsidRPr="00CE72F1">
        <w:rPr>
          <w:rFonts w:ascii="Times New Roman" w:hAnsi="Times New Roman" w:cs="Times New Roman"/>
          <w:color w:val="353535"/>
          <w:lang w:val="en-US"/>
        </w:rPr>
        <w:t xml:space="preserve">literary </w:t>
      </w:r>
      <w:r w:rsidRPr="00CE72F1">
        <w:rPr>
          <w:rFonts w:ascii="Times New Roman" w:hAnsi="Times New Roman" w:cs="Times New Roman"/>
          <w:color w:val="353535"/>
          <w:lang w:val="en-US"/>
        </w:rPr>
        <w:t>sources and reenacting that the orthodox and heretical arguments. Which presents the work to lack a sense of  reinforcement in Matthews points and explanations.</w:t>
      </w:r>
    </w:p>
    <w:p w14:paraId="356BBEB5" w14:textId="77777777" w:rsidR="00050CA6" w:rsidRPr="00CE72F1" w:rsidRDefault="00050CA6" w:rsidP="00CE72F1">
      <w:pPr>
        <w:spacing w:line="480" w:lineRule="auto"/>
        <w:rPr>
          <w:rFonts w:ascii="Times New Roman" w:hAnsi="Times New Roman" w:cs="Times New Roman"/>
        </w:rPr>
      </w:pPr>
    </w:p>
    <w:p w14:paraId="0180048B" w14:textId="7C10F162" w:rsidR="00ED28CE" w:rsidRPr="00CE72F1" w:rsidRDefault="00050CA6" w:rsidP="00CE72F1">
      <w:pPr>
        <w:spacing w:line="480" w:lineRule="auto"/>
        <w:rPr>
          <w:rFonts w:ascii="Times New Roman" w:hAnsi="Times New Roman" w:cs="Times New Roman"/>
        </w:rPr>
      </w:pPr>
      <w:r w:rsidRPr="00CE72F1">
        <w:rPr>
          <w:rFonts w:ascii="Times New Roman" w:hAnsi="Times New Roman" w:cs="Times New Roman"/>
        </w:rPr>
        <w:lastRenderedPageBreak/>
        <w:t xml:space="preserve">The article written by Echeverria is </w:t>
      </w:r>
      <w:r w:rsidR="003B66F3" w:rsidRPr="00CE72F1">
        <w:rPr>
          <w:rFonts w:ascii="Times New Roman" w:hAnsi="Times New Roman" w:cs="Times New Roman"/>
        </w:rPr>
        <w:t>discussing</w:t>
      </w:r>
      <w:r w:rsidRPr="00CE72F1">
        <w:rPr>
          <w:rFonts w:ascii="Times New Roman" w:hAnsi="Times New Roman" w:cs="Times New Roman"/>
        </w:rPr>
        <w:t xml:space="preserve"> the scholarly debate to the origins of the hoplite and phalanx. The first area of debate Echeverria starts with is the origin of the hoplite. This is by looking at the possibility that the name derived from the equipment used by the warrior. With particular reference to the shield used.</w:t>
      </w:r>
      <w:r w:rsidRPr="00CE72F1">
        <w:rPr>
          <w:rStyle w:val="FootnoteReference"/>
          <w:rFonts w:ascii="Times New Roman" w:hAnsi="Times New Roman" w:cs="Times New Roman"/>
        </w:rPr>
        <w:footnoteReference w:id="5"/>
      </w:r>
      <w:r w:rsidRPr="00CE72F1">
        <w:rPr>
          <w:rFonts w:ascii="Times New Roman" w:hAnsi="Times New Roman" w:cs="Times New Roman"/>
        </w:rPr>
        <w:t xml:space="preserve"> Then Echeverria looks at the reason for the hoplite to exist through literary evidence. For which there is a large amount of evidence supporting the classical period for the word to be common.</w:t>
      </w:r>
      <w:r w:rsidRPr="00CE72F1">
        <w:rPr>
          <w:rStyle w:val="FootnoteReference"/>
          <w:rFonts w:ascii="Times New Roman" w:hAnsi="Times New Roman" w:cs="Times New Roman"/>
        </w:rPr>
        <w:footnoteReference w:id="6"/>
      </w:r>
      <w:r w:rsidRPr="00CE72F1">
        <w:rPr>
          <w:rFonts w:ascii="Times New Roman" w:hAnsi="Times New Roman" w:cs="Times New Roman"/>
        </w:rPr>
        <w:t xml:space="preserve"> While stating in the archaic period the term does not exist. Then Echeverria’s argument moves focus onto the phalanx. To which Echeverria argues is a classical period term that is supported by the evidence he has access too.</w:t>
      </w:r>
      <w:r w:rsidRPr="00CE72F1">
        <w:rPr>
          <w:rStyle w:val="FootnoteReference"/>
          <w:rFonts w:ascii="Times New Roman" w:hAnsi="Times New Roman" w:cs="Times New Roman"/>
        </w:rPr>
        <w:footnoteReference w:id="7"/>
      </w:r>
      <w:r w:rsidRPr="00CE72F1">
        <w:rPr>
          <w:rFonts w:ascii="Times New Roman" w:hAnsi="Times New Roman" w:cs="Times New Roman"/>
        </w:rPr>
        <w:t xml:space="preserve"> Echeverria concludes that the terms and explanations for the hoplite and phalanx are still debated, but states that the two words are strictly classical phrases. </w:t>
      </w:r>
    </w:p>
    <w:p w14:paraId="273AF35B" w14:textId="67125C22" w:rsidR="001E5D91" w:rsidRPr="00CE72F1" w:rsidRDefault="00050CA6" w:rsidP="00CE72F1">
      <w:pPr>
        <w:spacing w:line="480" w:lineRule="auto"/>
        <w:rPr>
          <w:rFonts w:ascii="Times New Roman" w:hAnsi="Times New Roman" w:cs="Times New Roman"/>
        </w:rPr>
      </w:pPr>
      <w:r w:rsidRPr="00CE72F1">
        <w:rPr>
          <w:rFonts w:ascii="Times New Roman" w:hAnsi="Times New Roman" w:cs="Times New Roman"/>
        </w:rPr>
        <w:t>The debated topic on hoplite’s and phalanxes when looking at the origins of the areas is varied. There is evidence showing the hoplite being used in the Homeric period. However the Hoplite is argued to have been around from the 8</w:t>
      </w:r>
      <w:r w:rsidRPr="00CE72F1">
        <w:rPr>
          <w:rFonts w:ascii="Times New Roman" w:hAnsi="Times New Roman" w:cs="Times New Roman"/>
          <w:vertAlign w:val="superscript"/>
        </w:rPr>
        <w:t>th</w:t>
      </w:r>
      <w:r w:rsidRPr="00CE72F1">
        <w:rPr>
          <w:rFonts w:ascii="Times New Roman" w:hAnsi="Times New Roman" w:cs="Times New Roman"/>
        </w:rPr>
        <w:t xml:space="preserve"> and 9</w:t>
      </w:r>
      <w:r w:rsidRPr="00CE72F1">
        <w:rPr>
          <w:rFonts w:ascii="Times New Roman" w:hAnsi="Times New Roman" w:cs="Times New Roman"/>
          <w:vertAlign w:val="superscript"/>
        </w:rPr>
        <w:t>th</w:t>
      </w:r>
      <w:r w:rsidRPr="00CE72F1">
        <w:rPr>
          <w:rFonts w:ascii="Times New Roman" w:hAnsi="Times New Roman" w:cs="Times New Roman"/>
        </w:rPr>
        <w:t xml:space="preserve"> Century prior to what Echeverria says.</w:t>
      </w:r>
      <w:r w:rsidRPr="00CE72F1">
        <w:rPr>
          <w:rStyle w:val="FootnoteReference"/>
          <w:rFonts w:ascii="Times New Roman" w:hAnsi="Times New Roman" w:cs="Times New Roman"/>
        </w:rPr>
        <w:footnoteReference w:id="8"/>
      </w:r>
      <w:r w:rsidRPr="00CE72F1">
        <w:rPr>
          <w:rFonts w:ascii="Times New Roman" w:hAnsi="Times New Roman" w:cs="Times New Roman"/>
        </w:rPr>
        <w:t xml:space="preserve"> When looking at the origin of the Phalanx however, Echeverria’s view is more accepted by modern scholarship. With Van Wees explaining why there is a gap in the field.</w:t>
      </w:r>
      <w:r w:rsidRPr="00CE72F1">
        <w:rPr>
          <w:rStyle w:val="FootnoteReference"/>
          <w:rFonts w:ascii="Times New Roman" w:hAnsi="Times New Roman" w:cs="Times New Roman"/>
        </w:rPr>
        <w:footnoteReference w:id="9"/>
      </w:r>
      <w:r w:rsidRPr="00CE72F1">
        <w:rPr>
          <w:rFonts w:ascii="Times New Roman" w:hAnsi="Times New Roman" w:cs="Times New Roman"/>
        </w:rPr>
        <w:t xml:space="preserve"> Justifying why the term should be deemed a classical phrase.</w:t>
      </w:r>
      <w:r w:rsidR="00E032B7" w:rsidRPr="00CE72F1">
        <w:rPr>
          <w:rFonts w:ascii="Times New Roman" w:hAnsi="Times New Roman" w:cs="Times New Roman"/>
        </w:rPr>
        <w:t xml:space="preserve"> Overall </w:t>
      </w:r>
      <w:r w:rsidR="00D45DBC" w:rsidRPr="00CE72F1">
        <w:rPr>
          <w:rFonts w:ascii="Times New Roman" w:hAnsi="Times New Roman" w:cs="Times New Roman"/>
        </w:rPr>
        <w:t xml:space="preserve">Echeverria shows the </w:t>
      </w:r>
      <w:r w:rsidR="000E6562" w:rsidRPr="00CE72F1">
        <w:rPr>
          <w:rFonts w:ascii="Times New Roman" w:hAnsi="Times New Roman" w:cs="Times New Roman"/>
        </w:rPr>
        <w:t>relevance</w:t>
      </w:r>
      <w:r w:rsidR="00D45DBC" w:rsidRPr="00CE72F1">
        <w:rPr>
          <w:rFonts w:ascii="Times New Roman" w:hAnsi="Times New Roman" w:cs="Times New Roman"/>
        </w:rPr>
        <w:t xml:space="preserve"> </w:t>
      </w:r>
      <w:r w:rsidR="000E6562" w:rsidRPr="00CE72F1">
        <w:rPr>
          <w:rFonts w:ascii="Times New Roman" w:hAnsi="Times New Roman" w:cs="Times New Roman"/>
        </w:rPr>
        <w:t>to</w:t>
      </w:r>
      <w:r w:rsidR="00D45DBC" w:rsidRPr="00CE72F1">
        <w:rPr>
          <w:rFonts w:ascii="Times New Roman" w:hAnsi="Times New Roman" w:cs="Times New Roman"/>
        </w:rPr>
        <w:t xml:space="preserve"> the phalanx in modern scholarship and through </w:t>
      </w:r>
      <w:r w:rsidR="000E6562" w:rsidRPr="00CE72F1">
        <w:rPr>
          <w:rFonts w:ascii="Times New Roman" w:hAnsi="Times New Roman" w:cs="Times New Roman"/>
        </w:rPr>
        <w:t>the classical period. Mainly by explaining its evidence and showing the trends of the phalanx within its formations and tactical layouts.</w:t>
      </w:r>
    </w:p>
    <w:p w14:paraId="1B96C001" w14:textId="46FE3165" w:rsidR="001E5D91" w:rsidRPr="00CE72F1" w:rsidRDefault="001E5D91" w:rsidP="00CE72F1">
      <w:pPr>
        <w:spacing w:line="480" w:lineRule="auto"/>
        <w:rPr>
          <w:rFonts w:ascii="Times New Roman" w:hAnsi="Times New Roman" w:cs="Times New Roman"/>
        </w:rPr>
      </w:pPr>
      <w:r w:rsidRPr="00CE72F1">
        <w:rPr>
          <w:rFonts w:ascii="Times New Roman" w:hAnsi="Times New Roman" w:cs="Times New Roman"/>
        </w:rPr>
        <w:t>Overall the debate presented is a well structured piece. Echeverria’s use of modern scholarship helps the article hold relevancy and support to areas that are critical for us to understand the origin of the hoplite.</w:t>
      </w:r>
      <w:r w:rsidRPr="00CE72F1">
        <w:rPr>
          <w:rStyle w:val="FootnoteReference"/>
          <w:rFonts w:ascii="Times New Roman" w:hAnsi="Times New Roman" w:cs="Times New Roman"/>
        </w:rPr>
        <w:footnoteReference w:id="10"/>
      </w:r>
      <w:r w:rsidRPr="00CE72F1">
        <w:rPr>
          <w:rFonts w:ascii="Times New Roman" w:hAnsi="Times New Roman" w:cs="Times New Roman"/>
        </w:rPr>
        <w:t xml:space="preserve"> Then Echeverria relies heavily on Xenophon which is </w:t>
      </w:r>
      <w:r w:rsidRPr="00CE72F1">
        <w:rPr>
          <w:rFonts w:ascii="Times New Roman" w:hAnsi="Times New Roman" w:cs="Times New Roman"/>
        </w:rPr>
        <w:lastRenderedPageBreak/>
        <w:t>understandable as to why, as Xenophon among Thucydides hold accurate and reliable accounts of battles</w:t>
      </w:r>
      <w:r w:rsidR="00F96588" w:rsidRPr="00CE72F1">
        <w:rPr>
          <w:rFonts w:ascii="Times New Roman" w:hAnsi="Times New Roman" w:cs="Times New Roman"/>
        </w:rPr>
        <w:t xml:space="preserve"> when looking at the phalanx. The ability to understand the hoplite through accounts of contemporary generals of the time allows there to be a  of understanding that we as a reader or researcher can actually take on and see realistically.</w:t>
      </w:r>
      <w:r w:rsidR="00EC627A" w:rsidRPr="00CE72F1">
        <w:rPr>
          <w:rFonts w:ascii="Times New Roman" w:hAnsi="Times New Roman" w:cs="Times New Roman"/>
        </w:rPr>
        <w:t xml:space="preserve"> </w:t>
      </w:r>
      <w:r w:rsidR="00A85135" w:rsidRPr="00CE72F1">
        <w:rPr>
          <w:rFonts w:ascii="Times New Roman" w:hAnsi="Times New Roman" w:cs="Times New Roman"/>
        </w:rPr>
        <w:t>This allows us to understand how and why the phalanx came around to existence and what it was perceived to ‘do’ within a battlefield.</w:t>
      </w:r>
    </w:p>
    <w:p w14:paraId="0150B275" w14:textId="77777777" w:rsidR="00ED28CE" w:rsidRPr="00CE72F1" w:rsidRDefault="00ED28CE" w:rsidP="00CE72F1">
      <w:pPr>
        <w:spacing w:line="480" w:lineRule="auto"/>
        <w:rPr>
          <w:rFonts w:ascii="Times New Roman" w:hAnsi="Times New Roman" w:cs="Times New Roman"/>
        </w:rPr>
      </w:pPr>
    </w:p>
    <w:p w14:paraId="0FDAE44C" w14:textId="47DF1A12" w:rsidR="004220AC" w:rsidRPr="00CE72F1" w:rsidRDefault="004220AC" w:rsidP="00CE72F1">
      <w:pPr>
        <w:spacing w:line="480" w:lineRule="auto"/>
        <w:rPr>
          <w:rFonts w:ascii="Times New Roman" w:hAnsi="Times New Roman" w:cs="Times New Roman"/>
        </w:rPr>
      </w:pPr>
      <w:r w:rsidRPr="00CE72F1">
        <w:rPr>
          <w:rFonts w:ascii="Times New Roman" w:hAnsi="Times New Roman" w:cs="Times New Roman"/>
        </w:rPr>
        <w:t>Konijendijk’s</w:t>
      </w:r>
      <w:r w:rsidR="00AD1A42" w:rsidRPr="00CE72F1">
        <w:rPr>
          <w:rFonts w:ascii="Times New Roman" w:hAnsi="Times New Roman" w:cs="Times New Roman"/>
        </w:rPr>
        <w:t xml:space="preserve"> work argues why the Persian forces should have won at Plataea in 479 B.C. by working on a comparative basis of Persian versus Greek in terms of </w:t>
      </w:r>
      <w:r w:rsidR="00A3625F" w:rsidRPr="00CE72F1">
        <w:rPr>
          <w:rFonts w:ascii="Times New Roman" w:hAnsi="Times New Roman" w:cs="Times New Roman"/>
        </w:rPr>
        <w:t>equipment</w:t>
      </w:r>
      <w:r w:rsidR="00AD1A42" w:rsidRPr="00CE72F1">
        <w:rPr>
          <w:rFonts w:ascii="Times New Roman" w:hAnsi="Times New Roman" w:cs="Times New Roman"/>
        </w:rPr>
        <w:t>.</w:t>
      </w:r>
      <w:r w:rsidR="00AD1A42" w:rsidRPr="00CE72F1">
        <w:rPr>
          <w:rStyle w:val="FootnoteReference"/>
          <w:rFonts w:ascii="Times New Roman" w:hAnsi="Times New Roman" w:cs="Times New Roman"/>
        </w:rPr>
        <w:footnoteReference w:id="11"/>
      </w:r>
      <w:r w:rsidR="00AD1A42" w:rsidRPr="00CE72F1">
        <w:rPr>
          <w:rFonts w:ascii="Times New Roman" w:hAnsi="Times New Roman" w:cs="Times New Roman"/>
        </w:rPr>
        <w:t xml:space="preserve"> </w:t>
      </w:r>
      <w:r w:rsidR="00C90C9A" w:rsidRPr="00CE72F1">
        <w:rPr>
          <w:rFonts w:ascii="Times New Roman" w:hAnsi="Times New Roman" w:cs="Times New Roman"/>
        </w:rPr>
        <w:t xml:space="preserve">This </w:t>
      </w:r>
      <w:r w:rsidR="00A3625F" w:rsidRPr="00CE72F1">
        <w:rPr>
          <w:rFonts w:ascii="Times New Roman" w:hAnsi="Times New Roman" w:cs="Times New Roman"/>
        </w:rPr>
        <w:t>argument is</w:t>
      </w:r>
      <w:r w:rsidR="00C90C9A" w:rsidRPr="00CE72F1">
        <w:rPr>
          <w:rFonts w:ascii="Times New Roman" w:hAnsi="Times New Roman" w:cs="Times New Roman"/>
        </w:rPr>
        <w:t xml:space="preserve"> broken down into themes in which </w:t>
      </w:r>
      <w:r w:rsidRPr="00CE72F1">
        <w:rPr>
          <w:rFonts w:ascii="Times New Roman" w:hAnsi="Times New Roman" w:cs="Times New Roman"/>
        </w:rPr>
        <w:t>Konijendijk</w:t>
      </w:r>
      <w:r w:rsidR="00C90C9A" w:rsidRPr="00CE72F1">
        <w:rPr>
          <w:rFonts w:ascii="Times New Roman" w:hAnsi="Times New Roman" w:cs="Times New Roman"/>
        </w:rPr>
        <w:t xml:space="preserve"> looks at the equipment used, the tactics and the start of the war itself. The main argument </w:t>
      </w:r>
      <w:r w:rsidRPr="00CE72F1">
        <w:rPr>
          <w:rFonts w:ascii="Times New Roman" w:hAnsi="Times New Roman" w:cs="Times New Roman"/>
        </w:rPr>
        <w:t>Konijendijk</w:t>
      </w:r>
      <w:r w:rsidR="00C90C9A" w:rsidRPr="00CE72F1">
        <w:rPr>
          <w:rFonts w:ascii="Times New Roman" w:hAnsi="Times New Roman" w:cs="Times New Roman"/>
        </w:rPr>
        <w:t xml:space="preserve"> has for the equipment used by the Persians is to counter that of the bias Greek accounts recorded. Through this </w:t>
      </w:r>
      <w:r w:rsidR="00A3625F" w:rsidRPr="00CE72F1">
        <w:rPr>
          <w:rFonts w:ascii="Times New Roman" w:hAnsi="Times New Roman" w:cs="Times New Roman"/>
        </w:rPr>
        <w:t xml:space="preserve">Konijendijk  </w:t>
      </w:r>
      <w:r w:rsidR="00C90C9A" w:rsidRPr="00CE72F1">
        <w:rPr>
          <w:rFonts w:ascii="Times New Roman" w:hAnsi="Times New Roman" w:cs="Times New Roman"/>
        </w:rPr>
        <w:t>states and reinforces that the two forces where not so dissimilar.</w:t>
      </w:r>
      <w:r w:rsidR="00A3625F" w:rsidRPr="00CE72F1">
        <w:rPr>
          <w:rStyle w:val="FootnoteReference"/>
          <w:rFonts w:ascii="Times New Roman" w:hAnsi="Times New Roman" w:cs="Times New Roman"/>
        </w:rPr>
        <w:footnoteReference w:id="12"/>
      </w:r>
      <w:r w:rsidR="00C90C9A" w:rsidRPr="00CE72F1">
        <w:rPr>
          <w:rFonts w:ascii="Times New Roman" w:hAnsi="Times New Roman" w:cs="Times New Roman"/>
        </w:rPr>
        <w:t xml:space="preserve"> Then when </w:t>
      </w:r>
      <w:r w:rsidRPr="00CE72F1">
        <w:rPr>
          <w:rFonts w:ascii="Times New Roman" w:hAnsi="Times New Roman" w:cs="Times New Roman"/>
        </w:rPr>
        <w:t>Konijendijk</w:t>
      </w:r>
      <w:r w:rsidR="00C90C9A" w:rsidRPr="00CE72F1">
        <w:rPr>
          <w:rFonts w:ascii="Times New Roman" w:hAnsi="Times New Roman" w:cs="Times New Roman"/>
        </w:rPr>
        <w:t xml:space="preserve">  shifts the argument </w:t>
      </w:r>
      <w:r w:rsidR="00A3625F" w:rsidRPr="00CE72F1">
        <w:rPr>
          <w:rFonts w:ascii="Times New Roman" w:hAnsi="Times New Roman" w:cs="Times New Roman"/>
        </w:rPr>
        <w:t>to</w:t>
      </w:r>
      <w:r w:rsidR="00C90C9A" w:rsidRPr="00CE72F1">
        <w:rPr>
          <w:rFonts w:ascii="Times New Roman" w:hAnsi="Times New Roman" w:cs="Times New Roman"/>
        </w:rPr>
        <w:t xml:space="preserve"> the tactics he shows clearly that the evidence shown states that the </w:t>
      </w:r>
      <w:r w:rsidR="00A3625F" w:rsidRPr="00CE72F1">
        <w:rPr>
          <w:rFonts w:ascii="Times New Roman" w:hAnsi="Times New Roman" w:cs="Times New Roman"/>
        </w:rPr>
        <w:t>Persian</w:t>
      </w:r>
      <w:r w:rsidR="00C90C9A" w:rsidRPr="00CE72F1">
        <w:rPr>
          <w:rFonts w:ascii="Times New Roman" w:hAnsi="Times New Roman" w:cs="Times New Roman"/>
        </w:rPr>
        <w:t xml:space="preserve"> forces where more trained than the Greek forces on average when regarding combat. Finally </w:t>
      </w:r>
      <w:r w:rsidRPr="00CE72F1">
        <w:rPr>
          <w:rFonts w:ascii="Times New Roman" w:hAnsi="Times New Roman" w:cs="Times New Roman"/>
        </w:rPr>
        <w:t>Konijendijk</w:t>
      </w:r>
      <w:r w:rsidR="00C90C9A" w:rsidRPr="00CE72F1">
        <w:rPr>
          <w:rFonts w:ascii="Times New Roman" w:hAnsi="Times New Roman" w:cs="Times New Roman"/>
        </w:rPr>
        <w:t xml:space="preserve"> focuses on a couple more points. Those being the superiority of the Persian cavalry, and the time </w:t>
      </w:r>
      <w:proofErr w:type="spellStart"/>
      <w:r w:rsidR="00C90C9A" w:rsidRPr="00CE72F1">
        <w:rPr>
          <w:rFonts w:ascii="Times New Roman" w:hAnsi="Times New Roman" w:cs="Times New Roman"/>
        </w:rPr>
        <w:t>Mardonious</w:t>
      </w:r>
      <w:proofErr w:type="spellEnd"/>
      <w:r w:rsidR="00C90C9A" w:rsidRPr="00CE72F1">
        <w:rPr>
          <w:rFonts w:ascii="Times New Roman" w:hAnsi="Times New Roman" w:cs="Times New Roman"/>
        </w:rPr>
        <w:t xml:space="preserve"> forces attacked was due to a lack of provisions.</w:t>
      </w:r>
    </w:p>
    <w:p w14:paraId="5B74F2C4" w14:textId="77777777" w:rsidR="004220AC" w:rsidRPr="00CE72F1" w:rsidRDefault="004220AC" w:rsidP="00CE72F1">
      <w:pPr>
        <w:spacing w:line="480" w:lineRule="auto"/>
        <w:rPr>
          <w:rFonts w:ascii="Times New Roman" w:hAnsi="Times New Roman" w:cs="Times New Roman"/>
        </w:rPr>
      </w:pPr>
      <w:r w:rsidRPr="00CE72F1">
        <w:rPr>
          <w:rFonts w:ascii="Times New Roman" w:hAnsi="Times New Roman" w:cs="Times New Roman"/>
        </w:rPr>
        <w:t>The relationship to the modern scholarship reflects the views held on the hoplite. While the article is about the Persian forces at Plataea, the comparative focus on the hoplite is the baseline of a standard which can be assessed. Through ‘Men of Bronze’ when looking at the tactics of the hoplite we see that it was not down entirely to the hoplite at all.</w:t>
      </w:r>
      <w:r w:rsidRPr="00CE72F1">
        <w:rPr>
          <w:rStyle w:val="FootnoteReference"/>
          <w:rFonts w:ascii="Times New Roman" w:hAnsi="Times New Roman" w:cs="Times New Roman"/>
        </w:rPr>
        <w:footnoteReference w:id="13"/>
      </w:r>
      <w:r w:rsidRPr="00CE72F1">
        <w:rPr>
          <w:rFonts w:ascii="Times New Roman" w:hAnsi="Times New Roman" w:cs="Times New Roman"/>
        </w:rPr>
        <w:t xml:space="preserve"> </w:t>
      </w:r>
    </w:p>
    <w:p w14:paraId="30922AE9" w14:textId="77777777" w:rsidR="004220AC" w:rsidRPr="00CE72F1" w:rsidRDefault="004220AC" w:rsidP="00CE72F1">
      <w:pPr>
        <w:spacing w:line="480" w:lineRule="auto"/>
        <w:rPr>
          <w:rFonts w:ascii="Times New Roman" w:hAnsi="Times New Roman" w:cs="Times New Roman"/>
        </w:rPr>
      </w:pPr>
      <w:r w:rsidRPr="00CE72F1">
        <w:rPr>
          <w:rFonts w:ascii="Times New Roman" w:hAnsi="Times New Roman" w:cs="Times New Roman"/>
        </w:rPr>
        <w:t xml:space="preserve">Overall the article presents a good well-argued view about the Persian forces at Plataea. Something that is especially eye-catching is how Konijendijk critically targets the work of </w:t>
      </w:r>
      <w:proofErr w:type="spellStart"/>
      <w:r w:rsidRPr="00CE72F1">
        <w:rPr>
          <w:rFonts w:ascii="Times New Roman" w:hAnsi="Times New Roman" w:cs="Times New Roman"/>
        </w:rPr>
        <w:lastRenderedPageBreak/>
        <w:t>Cawkwell</w:t>
      </w:r>
      <w:proofErr w:type="spellEnd"/>
      <w:r w:rsidRPr="00CE72F1">
        <w:rPr>
          <w:rFonts w:ascii="Times New Roman" w:hAnsi="Times New Roman" w:cs="Times New Roman"/>
        </w:rPr>
        <w:t>.</w:t>
      </w:r>
      <w:r w:rsidRPr="00CE72F1">
        <w:rPr>
          <w:rStyle w:val="FootnoteReference"/>
          <w:rFonts w:ascii="Times New Roman" w:hAnsi="Times New Roman" w:cs="Times New Roman"/>
        </w:rPr>
        <w:footnoteReference w:id="14"/>
      </w:r>
      <w:r w:rsidRPr="00CE72F1">
        <w:rPr>
          <w:rFonts w:ascii="Times New Roman" w:hAnsi="Times New Roman" w:cs="Times New Roman"/>
        </w:rPr>
        <w:t xml:space="preserve"> Other scholars used by Konijendijk are otherwise used to help support his view. Within Konijendijk’s  argument and support the side of Konijendijk which shows the Persian forces to not be so unequipped and disorganised. Rather they promote and help dismiss the bias which is brought to attention by Herodotus, making the depiction of the battle a more equal representation. On reflection Konijendijk’s article is a good read, as it is trying to make a more realistic representation of past events.</w:t>
      </w:r>
    </w:p>
    <w:p w14:paraId="72850116" w14:textId="77777777" w:rsidR="004220AC" w:rsidRPr="00CE72F1" w:rsidRDefault="004220AC" w:rsidP="00CE72F1">
      <w:pPr>
        <w:spacing w:line="480" w:lineRule="auto"/>
        <w:rPr>
          <w:rFonts w:ascii="Times New Roman" w:hAnsi="Times New Roman" w:cs="Times New Roman"/>
        </w:rPr>
      </w:pPr>
    </w:p>
    <w:p w14:paraId="73879E07" w14:textId="77777777" w:rsidR="00FB4EB7" w:rsidRPr="00CE72F1" w:rsidRDefault="00F42802" w:rsidP="00CE72F1">
      <w:pPr>
        <w:spacing w:line="480" w:lineRule="auto"/>
        <w:rPr>
          <w:rFonts w:ascii="Times New Roman" w:hAnsi="Times New Roman" w:cs="Times New Roman"/>
        </w:rPr>
      </w:pPr>
      <w:r w:rsidRPr="00CE72F1">
        <w:rPr>
          <w:rFonts w:ascii="Times New Roman" w:hAnsi="Times New Roman" w:cs="Times New Roman"/>
        </w:rPr>
        <w:t>The argument set by Runciman as to why hoplite warfare barely changes from the 7</w:t>
      </w:r>
      <w:r w:rsidRPr="00CE72F1">
        <w:rPr>
          <w:rFonts w:ascii="Times New Roman" w:hAnsi="Times New Roman" w:cs="Times New Roman"/>
          <w:vertAlign w:val="superscript"/>
        </w:rPr>
        <w:t>th</w:t>
      </w:r>
      <w:r w:rsidRPr="00CE72F1">
        <w:rPr>
          <w:rFonts w:ascii="Times New Roman" w:hAnsi="Times New Roman" w:cs="Times New Roman"/>
        </w:rPr>
        <w:t xml:space="preserve"> century to the mid 4</w:t>
      </w:r>
      <w:r w:rsidRPr="00CE72F1">
        <w:rPr>
          <w:rFonts w:ascii="Times New Roman" w:hAnsi="Times New Roman" w:cs="Times New Roman"/>
          <w:vertAlign w:val="superscript"/>
        </w:rPr>
        <w:t>th</w:t>
      </w:r>
      <w:r w:rsidRPr="00CE72F1">
        <w:rPr>
          <w:rFonts w:ascii="Times New Roman" w:hAnsi="Times New Roman" w:cs="Times New Roman"/>
        </w:rPr>
        <w:t xml:space="preserve"> century is all down to the warrior culture of Greek society. Within this argument Runciman looks at a varied manner of reasons as to why the hoplite would have been the warriors they were, through societal standards. Then within his argument Runciman looks at how the introduction </w:t>
      </w:r>
      <w:r w:rsidR="00A95342" w:rsidRPr="00CE72F1">
        <w:rPr>
          <w:rFonts w:ascii="Times New Roman" w:hAnsi="Times New Roman" w:cs="Times New Roman"/>
        </w:rPr>
        <w:t>of</w:t>
      </w:r>
      <w:r w:rsidRPr="00CE72F1">
        <w:rPr>
          <w:rFonts w:ascii="Times New Roman" w:hAnsi="Times New Roman" w:cs="Times New Roman"/>
        </w:rPr>
        <w:t xml:space="preserve"> the mercenary would impact the society and how changes to the once social norms </w:t>
      </w:r>
      <w:r w:rsidR="00A95342" w:rsidRPr="00CE72F1">
        <w:rPr>
          <w:rFonts w:ascii="Times New Roman" w:hAnsi="Times New Roman" w:cs="Times New Roman"/>
        </w:rPr>
        <w:t xml:space="preserve">develop into new and more </w:t>
      </w:r>
      <w:r w:rsidRPr="00CE72F1">
        <w:rPr>
          <w:rFonts w:ascii="Times New Roman" w:hAnsi="Times New Roman" w:cs="Times New Roman"/>
        </w:rPr>
        <w:t>common societal attributes</w:t>
      </w:r>
      <w:r w:rsidR="00A95342" w:rsidRPr="00CE72F1">
        <w:rPr>
          <w:rFonts w:ascii="Times New Roman" w:hAnsi="Times New Roman" w:cs="Times New Roman"/>
        </w:rPr>
        <w:t>, changing the overall dynamic of the society.</w:t>
      </w:r>
    </w:p>
    <w:p w14:paraId="34C66842" w14:textId="032F51CA" w:rsidR="009430D3" w:rsidRPr="00CE72F1" w:rsidRDefault="009430D3" w:rsidP="00CE72F1">
      <w:pPr>
        <w:spacing w:line="480" w:lineRule="auto"/>
        <w:rPr>
          <w:rFonts w:ascii="Times New Roman" w:hAnsi="Times New Roman" w:cs="Times New Roman"/>
        </w:rPr>
      </w:pPr>
      <w:r w:rsidRPr="00CE72F1">
        <w:rPr>
          <w:rFonts w:ascii="Times New Roman" w:hAnsi="Times New Roman" w:cs="Times New Roman"/>
        </w:rPr>
        <w:t>The overall view from Runciman allows us to understand that the way in which a member of the society in those times would have been shaped in his environment when understanding warfare and the position of the individual. Van Wees builds on this and explains that the reality of the society, no matter how engulfed it is will always have fear</w:t>
      </w:r>
      <w:r w:rsidR="00C656AA" w:rsidRPr="00CE72F1">
        <w:rPr>
          <w:rFonts w:ascii="Times New Roman" w:hAnsi="Times New Roman" w:cs="Times New Roman"/>
        </w:rPr>
        <w:t xml:space="preserve"> and other emotions</w:t>
      </w:r>
      <w:r w:rsidR="00C656AA" w:rsidRPr="00CE72F1">
        <w:rPr>
          <w:rStyle w:val="FootnoteReference"/>
          <w:rFonts w:ascii="Times New Roman" w:hAnsi="Times New Roman" w:cs="Times New Roman"/>
        </w:rPr>
        <w:footnoteReference w:id="15"/>
      </w:r>
      <w:r w:rsidRPr="00CE72F1">
        <w:rPr>
          <w:rFonts w:ascii="Times New Roman" w:hAnsi="Times New Roman" w:cs="Times New Roman"/>
        </w:rPr>
        <w:t xml:space="preserve"> But in the classical period, the rise of the phalanx required that level of repressed emotion to comply to the needs of the society.</w:t>
      </w:r>
      <w:r w:rsidR="00C656AA" w:rsidRPr="00CE72F1">
        <w:rPr>
          <w:rStyle w:val="FootnoteReference"/>
          <w:rFonts w:ascii="Times New Roman" w:hAnsi="Times New Roman" w:cs="Times New Roman"/>
        </w:rPr>
        <w:footnoteReference w:id="16"/>
      </w:r>
      <w:r w:rsidRPr="00CE72F1">
        <w:rPr>
          <w:rFonts w:ascii="Times New Roman" w:hAnsi="Times New Roman" w:cs="Times New Roman"/>
        </w:rPr>
        <w:t xml:space="preserve"> ‘Men of Bronze’ fully supports the views held by Runciman, and quotes him directly for allowing an insight into the manner of the society and the needs of the warrior, in this case, the hoplite.</w:t>
      </w:r>
      <w:r w:rsidR="00C656AA" w:rsidRPr="00CE72F1">
        <w:rPr>
          <w:rStyle w:val="FootnoteReference"/>
          <w:rFonts w:ascii="Times New Roman" w:hAnsi="Times New Roman" w:cs="Times New Roman"/>
        </w:rPr>
        <w:footnoteReference w:id="17"/>
      </w:r>
      <w:r w:rsidR="00C656AA" w:rsidRPr="00CE72F1">
        <w:rPr>
          <w:rFonts w:ascii="Times New Roman" w:hAnsi="Times New Roman" w:cs="Times New Roman"/>
        </w:rPr>
        <w:t xml:space="preserve"> </w:t>
      </w:r>
      <w:r w:rsidR="006963B6" w:rsidRPr="00CE72F1">
        <w:rPr>
          <w:rFonts w:ascii="Times New Roman" w:hAnsi="Times New Roman" w:cs="Times New Roman"/>
        </w:rPr>
        <w:t xml:space="preserve">This is relevant as the article written by </w:t>
      </w:r>
      <w:r w:rsidR="006963B6" w:rsidRPr="00CE72F1">
        <w:rPr>
          <w:rFonts w:ascii="Times New Roman" w:hAnsi="Times New Roman" w:cs="Times New Roman"/>
        </w:rPr>
        <w:lastRenderedPageBreak/>
        <w:t xml:space="preserve">Runciman is form 1998 and </w:t>
      </w:r>
      <w:proofErr w:type="spellStart"/>
      <w:r w:rsidR="006963B6" w:rsidRPr="00CE72F1">
        <w:rPr>
          <w:rFonts w:ascii="Times New Roman" w:hAnsi="Times New Roman" w:cs="Times New Roman"/>
        </w:rPr>
        <w:t>Kagan’s</w:t>
      </w:r>
      <w:proofErr w:type="spellEnd"/>
      <w:r w:rsidR="006963B6" w:rsidRPr="00CE72F1">
        <w:rPr>
          <w:rFonts w:ascii="Times New Roman" w:hAnsi="Times New Roman" w:cs="Times New Roman"/>
        </w:rPr>
        <w:t xml:space="preserve"> book is from 2013, showing the lack of advancement per say since Runciman’s findings. </w:t>
      </w:r>
      <w:r w:rsidR="00C656AA" w:rsidRPr="00CE72F1">
        <w:rPr>
          <w:rFonts w:ascii="Times New Roman" w:hAnsi="Times New Roman" w:cs="Times New Roman"/>
        </w:rPr>
        <w:t xml:space="preserve">In this case the article holds the main precedent within its relationship to scholarship and allowing us to understand the mentality of the warrior of their time. </w:t>
      </w:r>
      <w:r w:rsidR="00F65216" w:rsidRPr="00CE72F1">
        <w:rPr>
          <w:rFonts w:ascii="Times New Roman" w:hAnsi="Times New Roman" w:cs="Times New Roman"/>
        </w:rPr>
        <w:t>The view that the mercenary flux impacted the view and attitude of the warrior culture within the polis’ is also widely accepted by the 4</w:t>
      </w:r>
      <w:r w:rsidR="00F65216" w:rsidRPr="00CE72F1">
        <w:rPr>
          <w:rFonts w:ascii="Times New Roman" w:hAnsi="Times New Roman" w:cs="Times New Roman"/>
          <w:vertAlign w:val="superscript"/>
        </w:rPr>
        <w:t>th</w:t>
      </w:r>
      <w:r w:rsidR="00F65216" w:rsidRPr="00CE72F1">
        <w:rPr>
          <w:rFonts w:ascii="Times New Roman" w:hAnsi="Times New Roman" w:cs="Times New Roman"/>
        </w:rPr>
        <w:t xml:space="preserve"> century.</w:t>
      </w:r>
      <w:r w:rsidR="00F65216" w:rsidRPr="00CE72F1">
        <w:rPr>
          <w:rStyle w:val="FootnoteReference"/>
          <w:rFonts w:ascii="Times New Roman" w:hAnsi="Times New Roman" w:cs="Times New Roman"/>
        </w:rPr>
        <w:footnoteReference w:id="18"/>
      </w:r>
      <w:r w:rsidR="00F65216" w:rsidRPr="00CE72F1">
        <w:rPr>
          <w:rFonts w:ascii="Times New Roman" w:hAnsi="Times New Roman" w:cs="Times New Roman"/>
        </w:rPr>
        <w:t xml:space="preserve"> Where we see sources such Thucydides talk about their role and </w:t>
      </w:r>
      <w:proofErr w:type="spellStart"/>
      <w:r w:rsidR="00F65216" w:rsidRPr="00CE72F1">
        <w:rPr>
          <w:rFonts w:ascii="Times New Roman" w:hAnsi="Times New Roman" w:cs="Times New Roman"/>
        </w:rPr>
        <w:t>Xenephon</w:t>
      </w:r>
      <w:proofErr w:type="spellEnd"/>
      <w:r w:rsidR="00F65216" w:rsidRPr="00CE72F1">
        <w:rPr>
          <w:rFonts w:ascii="Times New Roman" w:hAnsi="Times New Roman" w:cs="Times New Roman"/>
        </w:rPr>
        <w:t xml:space="preserve"> who was himself apart of the mercenary movement.</w:t>
      </w:r>
      <w:r w:rsidR="00A5522E" w:rsidRPr="00CE72F1">
        <w:rPr>
          <w:rFonts w:ascii="Times New Roman" w:hAnsi="Times New Roman" w:cs="Times New Roman"/>
        </w:rPr>
        <w:t xml:space="preserve"> </w:t>
      </w:r>
    </w:p>
    <w:p w14:paraId="79BE1CD5" w14:textId="0D651AF5" w:rsidR="00A5522E" w:rsidRPr="00CE72F1" w:rsidRDefault="00A5522E" w:rsidP="00CE72F1">
      <w:pPr>
        <w:spacing w:line="480" w:lineRule="auto"/>
        <w:rPr>
          <w:rFonts w:ascii="Times New Roman" w:hAnsi="Times New Roman" w:cs="Times New Roman"/>
        </w:rPr>
      </w:pPr>
      <w:r w:rsidRPr="00CE72F1">
        <w:rPr>
          <w:rFonts w:ascii="Times New Roman" w:hAnsi="Times New Roman" w:cs="Times New Roman"/>
        </w:rPr>
        <w:t xml:space="preserve">Overall the article is a thrilling read. The method of looking within the society of the ancient world is a very insightful read. The lay out of the overall article with structure and writing provides an easy read and an educational and enlightening read. Runciman’s way of breaking the research into ‘memes’ allows a simplification and logical stance as to how the society of the hoplite was influenced by the second hand forms of warfare, through trophy’s and weaponry. It also supports the views of the overall debate of the hoplite phalanx. For how else can the phalanx be understood if not by the warriors who took part. </w:t>
      </w:r>
    </w:p>
    <w:p w14:paraId="7AC7DAFA" w14:textId="6028AEF1" w:rsidR="00A5522E" w:rsidRPr="00CE72F1" w:rsidRDefault="00A5522E" w:rsidP="00CE72F1">
      <w:pPr>
        <w:spacing w:line="480" w:lineRule="auto"/>
        <w:rPr>
          <w:rFonts w:ascii="Times New Roman" w:hAnsi="Times New Roman" w:cs="Times New Roman"/>
        </w:rPr>
      </w:pPr>
    </w:p>
    <w:p w14:paraId="13CC32CA" w14:textId="456A9AB0" w:rsidR="00A5522E" w:rsidRPr="00CE72F1" w:rsidRDefault="00A5522E" w:rsidP="00CE72F1">
      <w:pPr>
        <w:spacing w:line="480" w:lineRule="auto"/>
        <w:rPr>
          <w:rFonts w:ascii="Times New Roman" w:hAnsi="Times New Roman" w:cs="Times New Roman"/>
        </w:rPr>
      </w:pPr>
      <w:proofErr w:type="spellStart"/>
      <w:r w:rsidRPr="00CE72F1">
        <w:rPr>
          <w:rFonts w:ascii="Times New Roman" w:hAnsi="Times New Roman" w:cs="Times New Roman"/>
        </w:rPr>
        <w:t>Bertosa’s</w:t>
      </w:r>
      <w:proofErr w:type="spellEnd"/>
      <w:r w:rsidRPr="00CE72F1">
        <w:rPr>
          <w:rFonts w:ascii="Times New Roman" w:hAnsi="Times New Roman" w:cs="Times New Roman"/>
        </w:rPr>
        <w:t xml:space="preserve"> article looks at the distribution of </w:t>
      </w:r>
      <w:r w:rsidR="00CD49E9" w:rsidRPr="00CE72F1">
        <w:rPr>
          <w:rFonts w:ascii="Times New Roman" w:hAnsi="Times New Roman" w:cs="Times New Roman"/>
        </w:rPr>
        <w:t>equipment</w:t>
      </w:r>
      <w:r w:rsidRPr="00CE72F1">
        <w:rPr>
          <w:rFonts w:ascii="Times New Roman" w:hAnsi="Times New Roman" w:cs="Times New Roman"/>
        </w:rPr>
        <w:t xml:space="preserve"> among the hoplite around the 330’s.. The main argument set forward is that the Athenians implemented an issue and return system in the Ephebic reform.</w:t>
      </w:r>
      <w:r w:rsidR="00CD49E9" w:rsidRPr="00CE72F1">
        <w:rPr>
          <w:rStyle w:val="FootnoteReference"/>
          <w:rFonts w:ascii="Times New Roman" w:hAnsi="Times New Roman" w:cs="Times New Roman"/>
        </w:rPr>
        <w:footnoteReference w:id="19"/>
      </w:r>
      <w:r w:rsidRPr="00CE72F1">
        <w:rPr>
          <w:rFonts w:ascii="Times New Roman" w:hAnsi="Times New Roman" w:cs="Times New Roman"/>
        </w:rPr>
        <w:t xml:space="preserve">  He states this as his main argument and explains that it was the key way for the Athenians to hold a mass call to arms and supply </w:t>
      </w:r>
      <w:proofErr w:type="spellStart"/>
      <w:r w:rsidRPr="00CE72F1">
        <w:rPr>
          <w:rFonts w:ascii="Times New Roman" w:hAnsi="Times New Roman" w:cs="Times New Roman"/>
          <w:i/>
        </w:rPr>
        <w:t>Thetes</w:t>
      </w:r>
      <w:proofErr w:type="spellEnd"/>
      <w:r w:rsidRPr="00CE72F1">
        <w:rPr>
          <w:rFonts w:ascii="Times New Roman" w:hAnsi="Times New Roman" w:cs="Times New Roman"/>
          <w:i/>
        </w:rPr>
        <w:t xml:space="preserve"> </w:t>
      </w:r>
      <w:r w:rsidRPr="00CE72F1">
        <w:rPr>
          <w:rFonts w:ascii="Times New Roman" w:hAnsi="Times New Roman" w:cs="Times New Roman"/>
        </w:rPr>
        <w:t>and the poor.</w:t>
      </w:r>
      <w:r w:rsidR="00CD49E9" w:rsidRPr="00CE72F1">
        <w:rPr>
          <w:rStyle w:val="FootnoteReference"/>
          <w:rFonts w:ascii="Times New Roman" w:hAnsi="Times New Roman" w:cs="Times New Roman"/>
        </w:rPr>
        <w:footnoteReference w:id="20"/>
      </w:r>
      <w:r w:rsidRPr="00CE72F1">
        <w:rPr>
          <w:rFonts w:ascii="Times New Roman" w:hAnsi="Times New Roman" w:cs="Times New Roman"/>
        </w:rPr>
        <w:t xml:space="preserve"> For if they have access they can </w:t>
      </w:r>
      <w:r w:rsidR="00CD49E9" w:rsidRPr="00CE72F1">
        <w:rPr>
          <w:rFonts w:ascii="Times New Roman" w:hAnsi="Times New Roman" w:cs="Times New Roman"/>
        </w:rPr>
        <w:t>deploy a larger force of warriors, in this case hoplites, to form the phalanx</w:t>
      </w:r>
      <w:r w:rsidRPr="00CE72F1">
        <w:rPr>
          <w:rFonts w:ascii="Times New Roman" w:hAnsi="Times New Roman" w:cs="Times New Roman"/>
        </w:rPr>
        <w:t>.</w:t>
      </w:r>
    </w:p>
    <w:p w14:paraId="674B0F1B" w14:textId="66560D9C" w:rsidR="00A5522E" w:rsidRPr="00CE72F1" w:rsidRDefault="00A5522E" w:rsidP="00CE72F1">
      <w:pPr>
        <w:spacing w:line="480" w:lineRule="auto"/>
        <w:rPr>
          <w:rFonts w:ascii="Times New Roman" w:hAnsi="Times New Roman" w:cs="Times New Roman"/>
        </w:rPr>
      </w:pPr>
      <w:r w:rsidRPr="00CE72F1">
        <w:rPr>
          <w:rFonts w:ascii="Times New Roman" w:hAnsi="Times New Roman" w:cs="Times New Roman"/>
        </w:rPr>
        <w:lastRenderedPageBreak/>
        <w:t>The relationship to scholarship is undecided, when looking at the section of Van Wees where it talks about ‘</w:t>
      </w:r>
      <w:r w:rsidRPr="00CE72F1">
        <w:rPr>
          <w:rFonts w:ascii="Times New Roman" w:hAnsi="Times New Roman" w:cs="Times New Roman"/>
          <w:i/>
        </w:rPr>
        <w:t>Bare Necessities’</w:t>
      </w:r>
      <w:r w:rsidR="00CD49E9" w:rsidRPr="00CE72F1">
        <w:rPr>
          <w:rFonts w:ascii="Times New Roman" w:hAnsi="Times New Roman" w:cs="Times New Roman"/>
          <w:i/>
        </w:rPr>
        <w:t>.</w:t>
      </w:r>
      <w:r w:rsidR="00CD49E9" w:rsidRPr="00CE72F1">
        <w:rPr>
          <w:rStyle w:val="FootnoteReference"/>
          <w:rFonts w:ascii="Times New Roman" w:hAnsi="Times New Roman" w:cs="Times New Roman"/>
        </w:rPr>
        <w:footnoteReference w:id="21"/>
      </w:r>
      <w:r w:rsidRPr="00CE72F1">
        <w:rPr>
          <w:rFonts w:ascii="Times New Roman" w:hAnsi="Times New Roman" w:cs="Times New Roman"/>
        </w:rPr>
        <w:t xml:space="preserve"> There is no mention of the mobilisation of equipment, however Van Wees does mention how Greek forces pre 330’s BC had to buy their own armour and if </w:t>
      </w:r>
      <w:r w:rsidR="00CD49E9" w:rsidRPr="00CE72F1">
        <w:rPr>
          <w:rFonts w:ascii="Times New Roman" w:hAnsi="Times New Roman" w:cs="Times New Roman"/>
        </w:rPr>
        <w:t>they</w:t>
      </w:r>
      <w:r w:rsidRPr="00CE72F1">
        <w:rPr>
          <w:rFonts w:ascii="Times New Roman" w:hAnsi="Times New Roman" w:cs="Times New Roman"/>
        </w:rPr>
        <w:t xml:space="preserve"> could not would have to become ranged units. However this may be a rare view on the idea of a mass universally available level of equipment it shows the importance of the hoplite within Greece. By allowing a mass mobilisation to field more heavy units, or units capable of fighting within a phalanx shows how the phalanx was a useful military component to the war.</w:t>
      </w:r>
      <w:r w:rsidR="00CD49E9" w:rsidRPr="00CE72F1">
        <w:rPr>
          <w:rFonts w:ascii="Times New Roman" w:hAnsi="Times New Roman" w:cs="Times New Roman"/>
        </w:rPr>
        <w:t xml:space="preserve"> As the main component of the hoplite was through his spear and shield.</w:t>
      </w:r>
      <w:r w:rsidR="00CD49E9" w:rsidRPr="00CE72F1">
        <w:rPr>
          <w:rStyle w:val="FootnoteReference"/>
          <w:rFonts w:ascii="Times New Roman" w:hAnsi="Times New Roman" w:cs="Times New Roman"/>
        </w:rPr>
        <w:footnoteReference w:id="22"/>
      </w:r>
    </w:p>
    <w:p w14:paraId="5CD530CD" w14:textId="0E55099E" w:rsidR="00A5522E" w:rsidRPr="00CE72F1" w:rsidRDefault="00884F86" w:rsidP="00CE72F1">
      <w:pPr>
        <w:spacing w:line="480" w:lineRule="auto"/>
        <w:rPr>
          <w:rFonts w:ascii="Times New Roman" w:hAnsi="Times New Roman" w:cs="Times New Roman"/>
        </w:rPr>
      </w:pPr>
      <w:r w:rsidRPr="00CE72F1">
        <w:rPr>
          <w:rFonts w:ascii="Times New Roman" w:hAnsi="Times New Roman" w:cs="Times New Roman"/>
        </w:rPr>
        <w:t xml:space="preserve">Overall, the article reflects on some key areas which really allow the development of an understanding of a more communally developed point </w:t>
      </w:r>
      <w:r w:rsidR="00CD49E9" w:rsidRPr="00CE72F1">
        <w:rPr>
          <w:rFonts w:ascii="Times New Roman" w:hAnsi="Times New Roman" w:cs="Times New Roman"/>
        </w:rPr>
        <w:t>o</w:t>
      </w:r>
      <w:r w:rsidRPr="00CE72F1">
        <w:rPr>
          <w:rFonts w:ascii="Times New Roman" w:hAnsi="Times New Roman" w:cs="Times New Roman"/>
        </w:rPr>
        <w:t xml:space="preserve">f warfare, making the defence of the city more than a matter of self-funding </w:t>
      </w:r>
      <w:r w:rsidR="00CD49E9" w:rsidRPr="00CE72F1">
        <w:rPr>
          <w:rFonts w:ascii="Times New Roman" w:hAnsi="Times New Roman" w:cs="Times New Roman"/>
        </w:rPr>
        <w:t>by</w:t>
      </w:r>
      <w:r w:rsidRPr="00CE72F1">
        <w:rPr>
          <w:rFonts w:ascii="Times New Roman" w:hAnsi="Times New Roman" w:cs="Times New Roman"/>
        </w:rPr>
        <w:t xml:space="preserve"> donors.</w:t>
      </w:r>
      <w:r w:rsidR="00CD49E9" w:rsidRPr="00CE72F1">
        <w:rPr>
          <w:rStyle w:val="FootnoteReference"/>
          <w:rFonts w:ascii="Times New Roman" w:hAnsi="Times New Roman" w:cs="Times New Roman"/>
        </w:rPr>
        <w:footnoteReference w:id="23"/>
      </w:r>
      <w:r w:rsidRPr="00CE72F1">
        <w:rPr>
          <w:rFonts w:ascii="Times New Roman" w:hAnsi="Times New Roman" w:cs="Times New Roman"/>
        </w:rPr>
        <w:t xml:space="preserve"> Therefor creating the greater force. </w:t>
      </w:r>
      <w:proofErr w:type="spellStart"/>
      <w:r w:rsidRPr="00CE72F1">
        <w:rPr>
          <w:rFonts w:ascii="Times New Roman" w:hAnsi="Times New Roman" w:cs="Times New Roman"/>
        </w:rPr>
        <w:t>Bertosa</w:t>
      </w:r>
      <w:proofErr w:type="spellEnd"/>
      <w:r w:rsidRPr="00CE72F1">
        <w:rPr>
          <w:rFonts w:ascii="Times New Roman" w:hAnsi="Times New Roman" w:cs="Times New Roman"/>
        </w:rPr>
        <w:t>’ article is a</w:t>
      </w:r>
      <w:r w:rsidR="00CD49E9" w:rsidRPr="00CE72F1">
        <w:rPr>
          <w:rFonts w:ascii="Times New Roman" w:hAnsi="Times New Roman" w:cs="Times New Roman"/>
        </w:rPr>
        <w:t>n</w:t>
      </w:r>
      <w:r w:rsidRPr="00CE72F1">
        <w:rPr>
          <w:rFonts w:ascii="Times New Roman" w:hAnsi="Times New Roman" w:cs="Times New Roman"/>
        </w:rPr>
        <w:t xml:space="preserve"> educational read, the detail is laid out bare and explanation for the circumstances that impact the Athenian forces as well and how they adapt to overcome the events of a great battle, and the evidence of donors through equipment. What is also interesting is that there is archaeological evidence for the tokens. Which on reflection is a system to which is still prominent to this day and impacts society throughout on a communal spectrum.</w:t>
      </w:r>
    </w:p>
    <w:p w14:paraId="0372D786" w14:textId="77777777" w:rsidR="00884F86" w:rsidRPr="00CE72F1" w:rsidRDefault="00884F86" w:rsidP="00CE72F1">
      <w:pPr>
        <w:spacing w:line="480" w:lineRule="auto"/>
        <w:rPr>
          <w:rFonts w:ascii="Times New Roman" w:hAnsi="Times New Roman" w:cs="Times New Roman"/>
        </w:rPr>
      </w:pPr>
    </w:p>
    <w:p w14:paraId="45A7C0C1" w14:textId="6981F307" w:rsidR="007E029C" w:rsidRPr="00CE72F1" w:rsidRDefault="007E029C" w:rsidP="00CE72F1">
      <w:pPr>
        <w:spacing w:line="480" w:lineRule="auto"/>
        <w:rPr>
          <w:rFonts w:ascii="Times New Roman" w:hAnsi="Times New Roman" w:cs="Times New Roman"/>
        </w:rPr>
      </w:pPr>
      <w:r w:rsidRPr="00CE72F1">
        <w:rPr>
          <w:rFonts w:ascii="Times New Roman" w:hAnsi="Times New Roman" w:cs="Times New Roman"/>
        </w:rPr>
        <w:t xml:space="preserve">In conclusion the phalanx was a huge part of hoplite warfare, but is still holds more for scholars to discover. It is shown through Matthews how the othismos is a new trend to scholars that is slowly developing but shows the requirement of the hoplite in combat is mixed. The use of Runciman and </w:t>
      </w:r>
      <w:r w:rsidRPr="00CE72F1">
        <w:rPr>
          <w:rFonts w:ascii="Times New Roman" w:hAnsi="Times New Roman" w:cs="Times New Roman"/>
        </w:rPr>
        <w:t xml:space="preserve">Echeverria </w:t>
      </w:r>
      <w:r w:rsidRPr="00CE72F1">
        <w:rPr>
          <w:rFonts w:ascii="Times New Roman" w:hAnsi="Times New Roman" w:cs="Times New Roman"/>
        </w:rPr>
        <w:t xml:space="preserve">together  allow a look into the hoplite and the </w:t>
      </w:r>
      <w:r w:rsidRPr="00CE72F1">
        <w:rPr>
          <w:rFonts w:ascii="Times New Roman" w:hAnsi="Times New Roman" w:cs="Times New Roman"/>
        </w:rPr>
        <w:lastRenderedPageBreak/>
        <w:t xml:space="preserve">use of the phalanx and how it is a useful tactic in warfare but requires levels of training and commitment overall to accomplish success. </w:t>
      </w:r>
      <w:proofErr w:type="spellStart"/>
      <w:r w:rsidRPr="00CE72F1">
        <w:rPr>
          <w:rFonts w:ascii="Times New Roman" w:hAnsi="Times New Roman" w:cs="Times New Roman"/>
        </w:rPr>
        <w:t>Bertosa</w:t>
      </w:r>
      <w:proofErr w:type="spellEnd"/>
      <w:r w:rsidRPr="00CE72F1">
        <w:rPr>
          <w:rFonts w:ascii="Times New Roman" w:hAnsi="Times New Roman" w:cs="Times New Roman"/>
        </w:rPr>
        <w:t xml:space="preserve"> shows an angle of warfare for the hoplite which highlights the value in the hoplite and therefor the phalanx. Finally there is the view of </w:t>
      </w:r>
      <w:r w:rsidRPr="00CE72F1">
        <w:rPr>
          <w:rFonts w:ascii="Times New Roman" w:hAnsi="Times New Roman" w:cs="Times New Roman"/>
        </w:rPr>
        <w:t xml:space="preserve">Konijendijk </w:t>
      </w:r>
      <w:r w:rsidRPr="00CE72F1">
        <w:rPr>
          <w:rFonts w:ascii="Times New Roman" w:hAnsi="Times New Roman" w:cs="Times New Roman"/>
        </w:rPr>
        <w:t>which shows how the Greeks of the time where lacking training and efficient skills in warfare. Overall the article</w:t>
      </w:r>
      <w:r w:rsidR="00A54D52" w:rsidRPr="00CE72F1">
        <w:rPr>
          <w:rFonts w:ascii="Times New Roman" w:hAnsi="Times New Roman" w:cs="Times New Roman"/>
        </w:rPr>
        <w:t>’s</w:t>
      </w:r>
      <w:r w:rsidRPr="00CE72F1">
        <w:rPr>
          <w:rFonts w:ascii="Times New Roman" w:hAnsi="Times New Roman" w:cs="Times New Roman"/>
        </w:rPr>
        <w:t xml:space="preserve"> that held the best opinion on the phalanx </w:t>
      </w:r>
      <w:r w:rsidR="00A54D52" w:rsidRPr="00CE72F1">
        <w:rPr>
          <w:rFonts w:ascii="Times New Roman" w:hAnsi="Times New Roman" w:cs="Times New Roman"/>
        </w:rPr>
        <w:t>used in hoplite warfare</w:t>
      </w:r>
      <w:r w:rsidRPr="00CE72F1">
        <w:rPr>
          <w:rFonts w:ascii="Times New Roman" w:hAnsi="Times New Roman" w:cs="Times New Roman"/>
        </w:rPr>
        <w:t xml:space="preserve"> </w:t>
      </w:r>
      <w:r w:rsidR="00141989" w:rsidRPr="00CE72F1">
        <w:rPr>
          <w:rFonts w:ascii="Times New Roman" w:hAnsi="Times New Roman" w:cs="Times New Roman"/>
        </w:rPr>
        <w:t>were</w:t>
      </w:r>
      <w:r w:rsidRPr="00CE72F1">
        <w:rPr>
          <w:rFonts w:ascii="Times New Roman" w:hAnsi="Times New Roman" w:cs="Times New Roman"/>
        </w:rPr>
        <w:t xml:space="preserve"> Matthews and </w:t>
      </w:r>
      <w:r w:rsidR="00141989" w:rsidRPr="00CE72F1">
        <w:rPr>
          <w:rFonts w:ascii="Times New Roman" w:hAnsi="Times New Roman" w:cs="Times New Roman"/>
        </w:rPr>
        <w:t xml:space="preserve">2012 </w:t>
      </w:r>
      <w:r w:rsidRPr="00CE72F1">
        <w:rPr>
          <w:rFonts w:ascii="Times New Roman" w:hAnsi="Times New Roman" w:cs="Times New Roman"/>
        </w:rPr>
        <w:t xml:space="preserve">. </w:t>
      </w:r>
      <w:r w:rsidR="00A54D52" w:rsidRPr="00CE72F1">
        <w:rPr>
          <w:rFonts w:ascii="Times New Roman" w:hAnsi="Times New Roman" w:cs="Times New Roman"/>
        </w:rPr>
        <w:t>As b</w:t>
      </w:r>
      <w:r w:rsidRPr="00CE72F1">
        <w:rPr>
          <w:rFonts w:ascii="Times New Roman" w:hAnsi="Times New Roman" w:cs="Times New Roman"/>
        </w:rPr>
        <w:t xml:space="preserve">oth </w:t>
      </w:r>
      <w:r w:rsidR="00A54D52" w:rsidRPr="00CE72F1">
        <w:rPr>
          <w:rFonts w:ascii="Times New Roman" w:hAnsi="Times New Roman" w:cs="Times New Roman"/>
        </w:rPr>
        <w:t>scholars</w:t>
      </w:r>
      <w:r w:rsidRPr="00CE72F1">
        <w:rPr>
          <w:rFonts w:ascii="Times New Roman" w:hAnsi="Times New Roman" w:cs="Times New Roman"/>
        </w:rPr>
        <w:t xml:space="preserve"> analyse or show direct knowledge of the phalanx on a</w:t>
      </w:r>
      <w:r w:rsidR="00A54D52" w:rsidRPr="00CE72F1">
        <w:rPr>
          <w:rFonts w:ascii="Times New Roman" w:hAnsi="Times New Roman" w:cs="Times New Roman"/>
        </w:rPr>
        <w:t>n</w:t>
      </w:r>
      <w:r w:rsidRPr="00CE72F1">
        <w:rPr>
          <w:rFonts w:ascii="Times New Roman" w:hAnsi="Times New Roman" w:cs="Times New Roman"/>
        </w:rPr>
        <w:t xml:space="preserve"> in-depth </w:t>
      </w:r>
      <w:r w:rsidR="00A54D52" w:rsidRPr="00CE72F1">
        <w:rPr>
          <w:rFonts w:ascii="Times New Roman" w:hAnsi="Times New Roman" w:cs="Times New Roman"/>
        </w:rPr>
        <w:t xml:space="preserve">scale. </w:t>
      </w:r>
      <w:r w:rsidRPr="00CE72F1">
        <w:rPr>
          <w:rFonts w:ascii="Times New Roman" w:hAnsi="Times New Roman" w:cs="Times New Roman"/>
        </w:rPr>
        <w:br w:type="page"/>
      </w:r>
    </w:p>
    <w:p w14:paraId="4E5FA124" w14:textId="4CD294EA" w:rsidR="006502B0" w:rsidRPr="00CF70A1" w:rsidRDefault="006502B0" w:rsidP="00CF70A1">
      <w:pPr>
        <w:spacing w:line="480" w:lineRule="auto"/>
        <w:jc w:val="center"/>
        <w:rPr>
          <w:rFonts w:ascii="Times New Roman" w:hAnsi="Times New Roman" w:cs="Times New Roman"/>
          <w:sz w:val="28"/>
        </w:rPr>
      </w:pPr>
      <w:r w:rsidRPr="00CF70A1">
        <w:rPr>
          <w:rFonts w:ascii="Times New Roman" w:hAnsi="Times New Roman" w:cs="Times New Roman"/>
          <w:sz w:val="28"/>
        </w:rPr>
        <w:lastRenderedPageBreak/>
        <w:t>Bibliography</w:t>
      </w:r>
    </w:p>
    <w:p w14:paraId="7B397EC9" w14:textId="296416A1" w:rsidR="006502B0" w:rsidRPr="00CF70A1" w:rsidRDefault="006502B0" w:rsidP="006502B0">
      <w:pPr>
        <w:rPr>
          <w:rFonts w:ascii="Times New Roman" w:hAnsi="Times New Roman" w:cs="Times New Roman"/>
          <w:sz w:val="28"/>
        </w:rPr>
      </w:pPr>
      <w:r w:rsidRPr="00CF70A1">
        <w:rPr>
          <w:rFonts w:ascii="Times New Roman" w:hAnsi="Times New Roman" w:cs="Times New Roman"/>
          <w:sz w:val="28"/>
        </w:rPr>
        <w:t xml:space="preserve">Modern Authors </w:t>
      </w:r>
    </w:p>
    <w:p w14:paraId="7FC4F22E" w14:textId="77777777" w:rsidR="006502B0" w:rsidRDefault="006502B0" w:rsidP="006502B0">
      <w:pPr>
        <w:rPr>
          <w:rFonts w:ascii="Times New Roman" w:hAnsi="Times New Roman" w:cs="Times New Roman"/>
        </w:rPr>
      </w:pPr>
    </w:p>
    <w:p w14:paraId="168BB5BE" w14:textId="093D7957" w:rsidR="006502B0" w:rsidRPr="009B715A" w:rsidRDefault="006502B0" w:rsidP="006502B0">
      <w:pPr>
        <w:rPr>
          <w:rFonts w:ascii="Times New Roman" w:hAnsi="Times New Roman" w:cs="Times New Roman"/>
        </w:rPr>
      </w:pPr>
      <w:proofErr w:type="spellStart"/>
      <w:r w:rsidRPr="009B715A">
        <w:rPr>
          <w:rFonts w:ascii="Times New Roman" w:hAnsi="Times New Roman" w:cs="Times New Roman"/>
        </w:rPr>
        <w:t>Kagan</w:t>
      </w:r>
      <w:proofErr w:type="spellEnd"/>
      <w:r w:rsidRPr="009B715A">
        <w:rPr>
          <w:rFonts w:ascii="Times New Roman" w:hAnsi="Times New Roman" w:cs="Times New Roman"/>
        </w:rPr>
        <w:t xml:space="preserve">, D; </w:t>
      </w:r>
      <w:proofErr w:type="spellStart"/>
      <w:r w:rsidRPr="009B715A">
        <w:rPr>
          <w:rFonts w:ascii="Times New Roman" w:hAnsi="Times New Roman" w:cs="Times New Roman"/>
        </w:rPr>
        <w:t>Viggiano</w:t>
      </w:r>
      <w:proofErr w:type="spellEnd"/>
      <w:r w:rsidRPr="009B715A">
        <w:rPr>
          <w:rFonts w:ascii="Times New Roman" w:hAnsi="Times New Roman" w:cs="Times New Roman"/>
        </w:rPr>
        <w:t xml:space="preserve">, G, F. (2013) </w:t>
      </w:r>
      <w:r w:rsidRPr="009B715A">
        <w:rPr>
          <w:rFonts w:ascii="Times New Roman" w:hAnsi="Times New Roman" w:cs="Times New Roman"/>
          <w:i/>
        </w:rPr>
        <w:t xml:space="preserve">Men of Bronze. </w:t>
      </w:r>
      <w:r w:rsidRPr="009B715A">
        <w:rPr>
          <w:rFonts w:ascii="Times New Roman" w:hAnsi="Times New Roman" w:cs="Times New Roman"/>
        </w:rPr>
        <w:t>Princetown University Press. [Accessed</w:t>
      </w:r>
      <w:r w:rsidR="009B7578">
        <w:rPr>
          <w:rFonts w:ascii="Times New Roman" w:hAnsi="Times New Roman" w:cs="Times New Roman"/>
        </w:rPr>
        <w:t xml:space="preserve"> 7/12/18</w:t>
      </w:r>
      <w:r w:rsidRPr="009B715A">
        <w:rPr>
          <w:rFonts w:ascii="Times New Roman" w:hAnsi="Times New Roman" w:cs="Times New Roman"/>
        </w:rPr>
        <w:t xml:space="preserve">] </w:t>
      </w:r>
      <w:hyperlink r:id="rId7" w:history="1">
        <w:r w:rsidRPr="009B715A">
          <w:rPr>
            <w:rStyle w:val="Hyperlink"/>
            <w:rFonts w:ascii="Times New Roman" w:hAnsi="Times New Roman" w:cs="Times New Roman"/>
          </w:rPr>
          <w:t>https://www-dawsonera-com.ezpr</w:t>
        </w:r>
        <w:r w:rsidRPr="009B715A">
          <w:rPr>
            <w:rStyle w:val="Hyperlink"/>
            <w:rFonts w:ascii="Times New Roman" w:hAnsi="Times New Roman" w:cs="Times New Roman"/>
          </w:rPr>
          <w:t>o</w:t>
        </w:r>
        <w:r w:rsidRPr="009B715A">
          <w:rPr>
            <w:rStyle w:val="Hyperlink"/>
            <w:rFonts w:ascii="Times New Roman" w:hAnsi="Times New Roman" w:cs="Times New Roman"/>
          </w:rPr>
          <w:t>xy.uwtsd.ac.uk/abstract/9781400846306</w:t>
        </w:r>
      </w:hyperlink>
      <w:r w:rsidRPr="009B715A">
        <w:rPr>
          <w:rFonts w:ascii="Times New Roman" w:hAnsi="Times New Roman" w:cs="Times New Roman"/>
        </w:rPr>
        <w:t xml:space="preserve"> </w:t>
      </w:r>
    </w:p>
    <w:p w14:paraId="09AB954F" w14:textId="77777777" w:rsidR="006502B0" w:rsidRDefault="006502B0" w:rsidP="006502B0">
      <w:pPr>
        <w:rPr>
          <w:rFonts w:ascii="Times New Roman" w:hAnsi="Times New Roman" w:cs="Times New Roman"/>
        </w:rPr>
      </w:pPr>
    </w:p>
    <w:p w14:paraId="582CE091" w14:textId="154B6D44" w:rsidR="006502B0" w:rsidRPr="009B715A" w:rsidRDefault="006502B0" w:rsidP="006502B0">
      <w:pPr>
        <w:rPr>
          <w:rFonts w:ascii="Times New Roman" w:hAnsi="Times New Roman" w:cs="Times New Roman"/>
        </w:rPr>
      </w:pPr>
      <w:r w:rsidRPr="009B715A">
        <w:rPr>
          <w:rFonts w:ascii="Times New Roman" w:hAnsi="Times New Roman" w:cs="Times New Roman"/>
        </w:rPr>
        <w:t xml:space="preserve">Van Wees, H. (2011) </w:t>
      </w:r>
      <w:r w:rsidRPr="009B715A">
        <w:rPr>
          <w:rFonts w:ascii="Times New Roman" w:hAnsi="Times New Roman" w:cs="Times New Roman"/>
          <w:i/>
        </w:rPr>
        <w:t xml:space="preserve">Greek Warfare Myths and Realities. </w:t>
      </w:r>
      <w:r w:rsidRPr="009B715A">
        <w:rPr>
          <w:rFonts w:ascii="Times New Roman" w:hAnsi="Times New Roman" w:cs="Times New Roman"/>
        </w:rPr>
        <w:t>London: Bloomsbury Publishing Plc.</w:t>
      </w:r>
    </w:p>
    <w:p w14:paraId="3A9A6D3D" w14:textId="77777777" w:rsidR="00FB4EB7" w:rsidRDefault="00FB4EB7" w:rsidP="008447E9">
      <w:pPr>
        <w:spacing w:line="276" w:lineRule="auto"/>
        <w:rPr>
          <w:rFonts w:ascii="Times New Roman" w:hAnsi="Times New Roman" w:cs="Times New Roman"/>
        </w:rPr>
      </w:pPr>
    </w:p>
    <w:p w14:paraId="515D9F04" w14:textId="2B925ECA" w:rsidR="00FB4EB7" w:rsidRPr="00CF70A1" w:rsidRDefault="006502B0" w:rsidP="008447E9">
      <w:pPr>
        <w:spacing w:line="276" w:lineRule="auto"/>
        <w:rPr>
          <w:rFonts w:ascii="Times New Roman" w:hAnsi="Times New Roman" w:cs="Times New Roman"/>
          <w:sz w:val="28"/>
        </w:rPr>
      </w:pPr>
      <w:r w:rsidRPr="00CF70A1">
        <w:rPr>
          <w:rFonts w:ascii="Times New Roman" w:hAnsi="Times New Roman" w:cs="Times New Roman"/>
          <w:sz w:val="28"/>
        </w:rPr>
        <w:t>Journals</w:t>
      </w:r>
    </w:p>
    <w:p w14:paraId="294B277A" w14:textId="433640B9" w:rsidR="006502B0" w:rsidRDefault="006502B0" w:rsidP="008447E9">
      <w:pPr>
        <w:spacing w:line="276" w:lineRule="auto"/>
        <w:rPr>
          <w:rFonts w:ascii="Times New Roman" w:hAnsi="Times New Roman" w:cs="Times New Roman"/>
        </w:rPr>
      </w:pPr>
    </w:p>
    <w:p w14:paraId="0F5CBD38" w14:textId="759726C4" w:rsidR="006502B0" w:rsidRPr="006736DF" w:rsidRDefault="006502B0" w:rsidP="006502B0">
      <w:pPr>
        <w:rPr>
          <w:rFonts w:ascii="Times New Roman" w:hAnsi="Times New Roman" w:cs="Times New Roman"/>
        </w:rPr>
      </w:pPr>
      <w:proofErr w:type="spellStart"/>
      <w:r w:rsidRPr="006736DF">
        <w:rPr>
          <w:rFonts w:ascii="Times New Roman" w:hAnsi="Times New Roman" w:cs="Times New Roman"/>
        </w:rPr>
        <w:t>Bertosa</w:t>
      </w:r>
      <w:proofErr w:type="spellEnd"/>
      <w:r w:rsidRPr="006736DF">
        <w:rPr>
          <w:rFonts w:ascii="Times New Roman" w:hAnsi="Times New Roman" w:cs="Times New Roman"/>
        </w:rPr>
        <w:t xml:space="preserve">, B. (2003) ‘The Supply of Hoplite Equipment by the Athenian State down to the </w:t>
      </w:r>
      <w:proofErr w:type="spellStart"/>
      <w:r w:rsidRPr="006736DF">
        <w:rPr>
          <w:rFonts w:ascii="Times New Roman" w:hAnsi="Times New Roman" w:cs="Times New Roman"/>
        </w:rPr>
        <w:t>Lamian</w:t>
      </w:r>
      <w:proofErr w:type="spellEnd"/>
      <w:r w:rsidRPr="006736DF">
        <w:rPr>
          <w:rFonts w:ascii="Times New Roman" w:hAnsi="Times New Roman" w:cs="Times New Roman"/>
        </w:rPr>
        <w:t xml:space="preserve"> War’, </w:t>
      </w:r>
      <w:r w:rsidRPr="006736DF">
        <w:rPr>
          <w:rFonts w:ascii="Times New Roman" w:hAnsi="Times New Roman" w:cs="Times New Roman"/>
          <w:i/>
        </w:rPr>
        <w:t xml:space="preserve">The Journal of Military History, </w:t>
      </w:r>
      <w:r w:rsidRPr="006736DF">
        <w:rPr>
          <w:rFonts w:ascii="Times New Roman" w:hAnsi="Times New Roman" w:cs="Times New Roman"/>
        </w:rPr>
        <w:t>Vol. 67, pp, 361-379 [Accessed</w:t>
      </w:r>
      <w:r w:rsidR="009B7578">
        <w:rPr>
          <w:rFonts w:ascii="Times New Roman" w:hAnsi="Times New Roman" w:cs="Times New Roman"/>
        </w:rPr>
        <w:t xml:space="preserve"> 10/12/18</w:t>
      </w:r>
      <w:r w:rsidRPr="006736DF">
        <w:rPr>
          <w:rFonts w:ascii="Times New Roman" w:hAnsi="Times New Roman" w:cs="Times New Roman"/>
        </w:rPr>
        <w:t xml:space="preserve">] </w:t>
      </w:r>
      <w:hyperlink r:id="rId8" w:history="1">
        <w:r w:rsidRPr="006736DF">
          <w:rPr>
            <w:rStyle w:val="Hyperlink"/>
            <w:rFonts w:ascii="Times New Roman" w:hAnsi="Times New Roman" w:cs="Times New Roman"/>
          </w:rPr>
          <w:t>https://www.jstor.org/stable/pdf/3093460.pdf</w:t>
        </w:r>
      </w:hyperlink>
      <w:r w:rsidRPr="006736DF">
        <w:rPr>
          <w:rFonts w:ascii="Times New Roman" w:hAnsi="Times New Roman" w:cs="Times New Roman"/>
        </w:rPr>
        <w:t xml:space="preserve"> </w:t>
      </w:r>
    </w:p>
    <w:p w14:paraId="135DC50A" w14:textId="73D3C3BD" w:rsidR="006502B0" w:rsidRDefault="006502B0" w:rsidP="008447E9">
      <w:pPr>
        <w:spacing w:line="276" w:lineRule="auto"/>
        <w:rPr>
          <w:rFonts w:ascii="Times New Roman" w:hAnsi="Times New Roman" w:cs="Times New Roman"/>
        </w:rPr>
      </w:pPr>
    </w:p>
    <w:p w14:paraId="1E0924EB" w14:textId="53CE3A8D" w:rsidR="006502B0" w:rsidRDefault="006502B0" w:rsidP="008447E9">
      <w:pPr>
        <w:spacing w:line="276" w:lineRule="auto"/>
        <w:rPr>
          <w:rStyle w:val="Hyperlink"/>
          <w:rFonts w:ascii="Times New Roman" w:hAnsi="Times New Roman" w:cs="Times New Roman"/>
        </w:rPr>
      </w:pPr>
      <w:proofErr w:type="spellStart"/>
      <w:r w:rsidRPr="009B715A">
        <w:rPr>
          <w:rFonts w:ascii="Times New Roman" w:hAnsi="Times New Roman" w:cs="Times New Roman"/>
        </w:rPr>
        <w:t>Echevererría</w:t>
      </w:r>
      <w:proofErr w:type="spellEnd"/>
      <w:r w:rsidRPr="009B715A">
        <w:rPr>
          <w:rFonts w:ascii="Times New Roman" w:hAnsi="Times New Roman" w:cs="Times New Roman"/>
        </w:rPr>
        <w:t xml:space="preserve">, F. (2012) ‘Hoplite and Phalanx in Archaic and Classical Greece: A </w:t>
      </w:r>
      <w:proofErr w:type="spellStart"/>
      <w:r w:rsidRPr="009B715A">
        <w:rPr>
          <w:rFonts w:ascii="Times New Roman" w:hAnsi="Times New Roman" w:cs="Times New Roman"/>
        </w:rPr>
        <w:t>Reassessement</w:t>
      </w:r>
      <w:proofErr w:type="spellEnd"/>
      <w:r w:rsidRPr="009B715A">
        <w:rPr>
          <w:rFonts w:ascii="Times New Roman" w:hAnsi="Times New Roman" w:cs="Times New Roman"/>
        </w:rPr>
        <w:t xml:space="preserve">, </w:t>
      </w:r>
      <w:r w:rsidRPr="009B715A">
        <w:rPr>
          <w:rFonts w:ascii="Times New Roman" w:hAnsi="Times New Roman" w:cs="Times New Roman"/>
          <w:i/>
        </w:rPr>
        <w:t>Classical Philology,</w:t>
      </w:r>
      <w:r w:rsidRPr="009B715A">
        <w:rPr>
          <w:rFonts w:ascii="Times New Roman" w:hAnsi="Times New Roman" w:cs="Times New Roman"/>
        </w:rPr>
        <w:t xml:space="preserve"> Vol. 107, pp. 291-318. [Accessed</w:t>
      </w:r>
      <w:r w:rsidR="009B7578">
        <w:rPr>
          <w:rFonts w:ascii="Times New Roman" w:hAnsi="Times New Roman" w:cs="Times New Roman"/>
        </w:rPr>
        <w:t xml:space="preserve"> 8/12/18</w:t>
      </w:r>
      <w:r w:rsidRPr="009B715A">
        <w:rPr>
          <w:rFonts w:ascii="Times New Roman" w:hAnsi="Times New Roman" w:cs="Times New Roman"/>
        </w:rPr>
        <w:t xml:space="preserve">] </w:t>
      </w:r>
      <w:hyperlink r:id="rId9" w:history="1">
        <w:r w:rsidRPr="009B715A">
          <w:rPr>
            <w:rStyle w:val="Hyperlink"/>
            <w:rFonts w:ascii="Times New Roman" w:hAnsi="Times New Roman" w:cs="Times New Roman"/>
          </w:rPr>
          <w:t>https://www.jstor.org/stable/pdf/10.1086/666924.pdf?refreqid=excelsior%3A9f5775b5487a83eb77771de2e81b61aa</w:t>
        </w:r>
      </w:hyperlink>
    </w:p>
    <w:p w14:paraId="059C30FA" w14:textId="540F9A25" w:rsidR="006502B0" w:rsidRDefault="006502B0" w:rsidP="008447E9">
      <w:pPr>
        <w:spacing w:line="276" w:lineRule="auto"/>
        <w:rPr>
          <w:rFonts w:ascii="Times New Roman" w:hAnsi="Times New Roman" w:cs="Times New Roman"/>
        </w:rPr>
      </w:pPr>
    </w:p>
    <w:p w14:paraId="0A670BE2" w14:textId="77777777" w:rsidR="006502B0" w:rsidRPr="009B715A" w:rsidRDefault="006502B0" w:rsidP="006502B0">
      <w:pPr>
        <w:rPr>
          <w:rFonts w:ascii="Times New Roman" w:hAnsi="Times New Roman" w:cs="Times New Roman"/>
        </w:rPr>
      </w:pPr>
      <w:r w:rsidRPr="009B715A">
        <w:rPr>
          <w:rFonts w:ascii="Times New Roman" w:hAnsi="Times New Roman" w:cs="Times New Roman"/>
        </w:rPr>
        <w:t xml:space="preserve">Konijendijk, R. (2012) ‘‘NEITHER THE LESS VALOUR NOR THE WEAKER’: PERSIAN MILITARY MIGHT AND THE BATTLE OF PLATAIA’, </w:t>
      </w:r>
      <w:r w:rsidRPr="009B715A">
        <w:rPr>
          <w:rFonts w:ascii="Times New Roman" w:hAnsi="Times New Roman" w:cs="Times New Roman"/>
          <w:i/>
        </w:rPr>
        <w:t xml:space="preserve">Historia: </w:t>
      </w:r>
      <w:proofErr w:type="spellStart"/>
      <w:r w:rsidRPr="009B715A">
        <w:rPr>
          <w:rFonts w:ascii="Times New Roman" w:hAnsi="Times New Roman" w:cs="Times New Roman"/>
          <w:i/>
        </w:rPr>
        <w:t>Zeitschrift</w:t>
      </w:r>
      <w:proofErr w:type="spellEnd"/>
      <w:r w:rsidRPr="009B715A">
        <w:rPr>
          <w:rFonts w:ascii="Times New Roman" w:hAnsi="Times New Roman" w:cs="Times New Roman"/>
          <w:i/>
        </w:rPr>
        <w:t xml:space="preserve"> </w:t>
      </w:r>
      <w:proofErr w:type="spellStart"/>
      <w:r w:rsidRPr="009B715A">
        <w:rPr>
          <w:rFonts w:ascii="Times New Roman" w:hAnsi="Times New Roman" w:cs="Times New Roman"/>
          <w:i/>
        </w:rPr>
        <w:t>für</w:t>
      </w:r>
      <w:proofErr w:type="spellEnd"/>
      <w:r w:rsidRPr="009B715A">
        <w:rPr>
          <w:rFonts w:ascii="Times New Roman" w:hAnsi="Times New Roman" w:cs="Times New Roman"/>
          <w:i/>
        </w:rPr>
        <w:t xml:space="preserve"> Alte </w:t>
      </w:r>
      <w:proofErr w:type="spellStart"/>
      <w:r w:rsidRPr="009B715A">
        <w:rPr>
          <w:rFonts w:ascii="Times New Roman" w:hAnsi="Times New Roman" w:cs="Times New Roman"/>
          <w:i/>
        </w:rPr>
        <w:t>Geschite</w:t>
      </w:r>
      <w:proofErr w:type="spellEnd"/>
      <w:r w:rsidRPr="009B715A">
        <w:rPr>
          <w:rFonts w:ascii="Times New Roman" w:hAnsi="Times New Roman" w:cs="Times New Roman"/>
          <w:i/>
        </w:rPr>
        <w:t xml:space="preserve">, </w:t>
      </w:r>
      <w:r w:rsidRPr="009B715A">
        <w:rPr>
          <w:rFonts w:ascii="Times New Roman" w:hAnsi="Times New Roman" w:cs="Times New Roman"/>
        </w:rPr>
        <w:t xml:space="preserve">pp. 1-17 [Accessed] </w:t>
      </w:r>
      <w:hyperlink r:id="rId10" w:history="1">
        <w:r w:rsidRPr="009B715A">
          <w:rPr>
            <w:rStyle w:val="Hyperlink"/>
            <w:rFonts w:ascii="Times New Roman" w:hAnsi="Times New Roman" w:cs="Times New Roman"/>
          </w:rPr>
          <w:t>https://www.jstor.org/stable/pdf/41342866.pdf?refreqid=excelsior%3Ae3af04fbf917c2b469ae8e7222c1f754</w:t>
        </w:r>
      </w:hyperlink>
      <w:r w:rsidRPr="009B715A">
        <w:rPr>
          <w:rFonts w:ascii="Times New Roman" w:hAnsi="Times New Roman" w:cs="Times New Roman"/>
        </w:rPr>
        <w:t xml:space="preserve"> </w:t>
      </w:r>
    </w:p>
    <w:p w14:paraId="75996789" w14:textId="2E3F8171" w:rsidR="006502B0" w:rsidRDefault="006502B0" w:rsidP="008447E9">
      <w:pPr>
        <w:spacing w:line="276" w:lineRule="auto"/>
        <w:rPr>
          <w:rFonts w:ascii="Times New Roman" w:hAnsi="Times New Roman" w:cs="Times New Roman"/>
        </w:rPr>
      </w:pPr>
    </w:p>
    <w:p w14:paraId="66236588" w14:textId="46534B68" w:rsidR="006502B0" w:rsidRPr="009B715A" w:rsidRDefault="006502B0" w:rsidP="006502B0">
      <w:pPr>
        <w:rPr>
          <w:rFonts w:ascii="Times New Roman" w:hAnsi="Times New Roman" w:cs="Times New Roman"/>
        </w:rPr>
      </w:pPr>
      <w:r w:rsidRPr="009B715A">
        <w:rPr>
          <w:rFonts w:ascii="Times New Roman" w:hAnsi="Times New Roman" w:cs="Times New Roman"/>
        </w:rPr>
        <w:t xml:space="preserve">Matthew, C, A. (2009) ‘When push comes to shove: what was the “Othismos” of Hoplite Combat’, </w:t>
      </w:r>
      <w:proofErr w:type="spellStart"/>
      <w:r w:rsidRPr="009B715A">
        <w:rPr>
          <w:rFonts w:ascii="Times New Roman" w:hAnsi="Times New Roman" w:cs="Times New Roman"/>
          <w:i/>
        </w:rPr>
        <w:t>Zeitschriff</w:t>
      </w:r>
      <w:proofErr w:type="spellEnd"/>
      <w:r w:rsidRPr="009B715A">
        <w:rPr>
          <w:rFonts w:ascii="Times New Roman" w:hAnsi="Times New Roman" w:cs="Times New Roman"/>
          <w:i/>
        </w:rPr>
        <w:t xml:space="preserve"> </w:t>
      </w:r>
      <w:proofErr w:type="spellStart"/>
      <w:r w:rsidRPr="009B715A">
        <w:rPr>
          <w:rFonts w:ascii="Times New Roman" w:hAnsi="Times New Roman" w:cs="Times New Roman"/>
          <w:i/>
        </w:rPr>
        <w:t>für</w:t>
      </w:r>
      <w:proofErr w:type="spellEnd"/>
      <w:r w:rsidRPr="009B715A">
        <w:rPr>
          <w:rFonts w:ascii="Times New Roman" w:hAnsi="Times New Roman" w:cs="Times New Roman"/>
          <w:i/>
        </w:rPr>
        <w:t xml:space="preserve"> Alte </w:t>
      </w:r>
      <w:proofErr w:type="spellStart"/>
      <w:r w:rsidRPr="009B715A">
        <w:rPr>
          <w:rFonts w:ascii="Times New Roman" w:hAnsi="Times New Roman" w:cs="Times New Roman"/>
          <w:i/>
        </w:rPr>
        <w:t>Geschichte</w:t>
      </w:r>
      <w:proofErr w:type="spellEnd"/>
      <w:r w:rsidRPr="009B715A">
        <w:rPr>
          <w:rFonts w:ascii="Times New Roman" w:hAnsi="Times New Roman" w:cs="Times New Roman"/>
          <w:i/>
        </w:rPr>
        <w:t xml:space="preserve">, </w:t>
      </w:r>
      <w:r w:rsidRPr="009B715A">
        <w:rPr>
          <w:rFonts w:ascii="Times New Roman" w:hAnsi="Times New Roman" w:cs="Times New Roman"/>
        </w:rPr>
        <w:t>pp. 395-415. [Accessed</w:t>
      </w:r>
      <w:r w:rsidR="009B7578">
        <w:rPr>
          <w:rFonts w:ascii="Times New Roman" w:hAnsi="Times New Roman" w:cs="Times New Roman"/>
        </w:rPr>
        <w:t xml:space="preserve"> 8/12/18</w:t>
      </w:r>
      <w:r w:rsidRPr="009B715A">
        <w:rPr>
          <w:rFonts w:ascii="Times New Roman" w:hAnsi="Times New Roman" w:cs="Times New Roman"/>
        </w:rPr>
        <w:t xml:space="preserve">] </w:t>
      </w:r>
      <w:hyperlink r:id="rId11" w:history="1">
        <w:r w:rsidRPr="009B715A">
          <w:rPr>
            <w:rStyle w:val="Hyperlink"/>
            <w:rFonts w:ascii="Times New Roman" w:hAnsi="Times New Roman" w:cs="Times New Roman"/>
          </w:rPr>
          <w:t>https://www.jstor.org/stable/pdf/25598486.pdf</w:t>
        </w:r>
      </w:hyperlink>
      <w:r w:rsidRPr="009B715A">
        <w:rPr>
          <w:rFonts w:ascii="Times New Roman" w:hAnsi="Times New Roman" w:cs="Times New Roman"/>
        </w:rPr>
        <w:t xml:space="preserve"> </w:t>
      </w:r>
    </w:p>
    <w:p w14:paraId="5555A98F" w14:textId="1448B2EC" w:rsidR="006502B0" w:rsidRDefault="006502B0" w:rsidP="008447E9">
      <w:pPr>
        <w:spacing w:line="276" w:lineRule="auto"/>
        <w:rPr>
          <w:rFonts w:ascii="Times New Roman" w:hAnsi="Times New Roman" w:cs="Times New Roman"/>
        </w:rPr>
      </w:pPr>
      <w:r>
        <w:rPr>
          <w:rFonts w:ascii="Times New Roman" w:hAnsi="Times New Roman" w:cs="Times New Roman"/>
        </w:rPr>
        <w:t xml:space="preserve"> </w:t>
      </w:r>
    </w:p>
    <w:p w14:paraId="1C283E58" w14:textId="7993634B" w:rsidR="006502B0" w:rsidRPr="009B715A" w:rsidRDefault="006502B0" w:rsidP="006502B0">
      <w:pPr>
        <w:rPr>
          <w:rFonts w:ascii="Times New Roman" w:hAnsi="Times New Roman" w:cs="Times New Roman"/>
        </w:rPr>
      </w:pPr>
      <w:r w:rsidRPr="009B715A">
        <w:rPr>
          <w:rFonts w:ascii="Times New Roman" w:hAnsi="Times New Roman" w:cs="Times New Roman"/>
        </w:rPr>
        <w:t xml:space="preserve">Runciman, W, G. (1998) ‘Greek Hoplites, Warrior Culture, and Indirect Bias’, </w:t>
      </w:r>
      <w:r w:rsidRPr="009B715A">
        <w:rPr>
          <w:rFonts w:ascii="Times New Roman" w:hAnsi="Times New Roman" w:cs="Times New Roman"/>
          <w:i/>
        </w:rPr>
        <w:t>The Journal the Royal Anthropological Institute</w:t>
      </w:r>
      <w:r w:rsidRPr="009B715A">
        <w:rPr>
          <w:rFonts w:ascii="Times New Roman" w:hAnsi="Times New Roman" w:cs="Times New Roman"/>
        </w:rPr>
        <w:t>, Vol. 4, pp. 731-751. [Accessed</w:t>
      </w:r>
      <w:r w:rsidR="009B7578">
        <w:rPr>
          <w:rFonts w:ascii="Times New Roman" w:hAnsi="Times New Roman" w:cs="Times New Roman"/>
        </w:rPr>
        <w:t xml:space="preserve"> 8/12/18</w:t>
      </w:r>
      <w:r w:rsidRPr="009B715A">
        <w:rPr>
          <w:rFonts w:ascii="Times New Roman" w:hAnsi="Times New Roman" w:cs="Times New Roman"/>
        </w:rPr>
        <w:t xml:space="preserve">] </w:t>
      </w:r>
      <w:hyperlink r:id="rId12" w:history="1">
        <w:r w:rsidRPr="009B715A">
          <w:rPr>
            <w:rStyle w:val="Hyperlink"/>
            <w:rFonts w:ascii="Times New Roman" w:hAnsi="Times New Roman" w:cs="Times New Roman"/>
          </w:rPr>
          <w:t>https://www.jstor.org/stable/pdf/3034830.pdf</w:t>
        </w:r>
      </w:hyperlink>
      <w:r w:rsidRPr="009B715A">
        <w:rPr>
          <w:rFonts w:ascii="Times New Roman" w:hAnsi="Times New Roman" w:cs="Times New Roman"/>
        </w:rPr>
        <w:t xml:space="preserve"> </w:t>
      </w:r>
    </w:p>
    <w:p w14:paraId="4404C780" w14:textId="4EEC74E8" w:rsidR="006502B0" w:rsidRPr="00FB4EB7" w:rsidRDefault="006502B0" w:rsidP="008447E9">
      <w:pPr>
        <w:spacing w:line="276" w:lineRule="auto"/>
        <w:rPr>
          <w:rFonts w:ascii="Times New Roman" w:hAnsi="Times New Roman" w:cs="Times New Roman"/>
        </w:rPr>
      </w:pPr>
      <w:r>
        <w:rPr>
          <w:rFonts w:ascii="Times New Roman" w:hAnsi="Times New Roman" w:cs="Times New Roman"/>
        </w:rPr>
        <w:t xml:space="preserve"> </w:t>
      </w:r>
    </w:p>
    <w:sectPr w:rsidR="006502B0" w:rsidRPr="00FB4EB7"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94D98" w14:textId="77777777" w:rsidR="002508EA" w:rsidRDefault="002508EA" w:rsidP="00940EA2">
      <w:r>
        <w:separator/>
      </w:r>
    </w:p>
  </w:endnote>
  <w:endnote w:type="continuationSeparator" w:id="0">
    <w:p w14:paraId="49779EA7" w14:textId="77777777" w:rsidR="002508EA" w:rsidRDefault="002508EA" w:rsidP="00940E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6C563" w14:textId="77777777" w:rsidR="002508EA" w:rsidRDefault="002508EA" w:rsidP="00940EA2">
      <w:r>
        <w:separator/>
      </w:r>
    </w:p>
  </w:footnote>
  <w:footnote w:type="continuationSeparator" w:id="0">
    <w:p w14:paraId="3A7931CD" w14:textId="77777777" w:rsidR="002508EA" w:rsidRDefault="002508EA" w:rsidP="00940EA2">
      <w:r>
        <w:continuationSeparator/>
      </w:r>
    </w:p>
  </w:footnote>
  <w:footnote w:id="1">
    <w:p w14:paraId="13A58F64" w14:textId="77777777" w:rsidR="00940EA2" w:rsidRDefault="00940EA2">
      <w:pPr>
        <w:pStyle w:val="FootnoteText"/>
      </w:pPr>
      <w:r>
        <w:rPr>
          <w:rStyle w:val="FootnoteReference"/>
        </w:rPr>
        <w:footnoteRef/>
      </w:r>
      <w:r>
        <w:t xml:space="preserve"> Matthew 2012</w:t>
      </w:r>
      <w:r w:rsidR="003B66F3">
        <w:t>:</w:t>
      </w:r>
      <w:r>
        <w:t xml:space="preserve"> 396-397</w:t>
      </w:r>
    </w:p>
  </w:footnote>
  <w:footnote w:id="2">
    <w:p w14:paraId="517A9F35" w14:textId="77777777" w:rsidR="00940EA2" w:rsidRDefault="00940EA2">
      <w:pPr>
        <w:pStyle w:val="FootnoteText"/>
      </w:pPr>
      <w:r>
        <w:rPr>
          <w:rStyle w:val="FootnoteReference"/>
        </w:rPr>
        <w:footnoteRef/>
      </w:r>
      <w:r>
        <w:t xml:space="preserve"> Matthew 2012: 411</w:t>
      </w:r>
    </w:p>
  </w:footnote>
  <w:footnote w:id="3">
    <w:p w14:paraId="683A90B7" w14:textId="77777777" w:rsidR="00940EA2" w:rsidRDefault="00940EA2">
      <w:pPr>
        <w:pStyle w:val="FootnoteText"/>
      </w:pPr>
      <w:r>
        <w:rPr>
          <w:rStyle w:val="FootnoteReference"/>
        </w:rPr>
        <w:footnoteRef/>
      </w:r>
      <w:r>
        <w:t xml:space="preserve"> Van Wees 2011: 188</w:t>
      </w:r>
    </w:p>
  </w:footnote>
  <w:footnote w:id="4">
    <w:p w14:paraId="763E4FE3" w14:textId="77777777" w:rsidR="00940EA2" w:rsidRDefault="00940EA2">
      <w:pPr>
        <w:pStyle w:val="FootnoteText"/>
      </w:pPr>
      <w:r>
        <w:rPr>
          <w:rStyle w:val="FootnoteReference"/>
        </w:rPr>
        <w:footnoteRef/>
      </w:r>
      <w:r>
        <w:t xml:space="preserve"> Van Wees 2011: 188-190</w:t>
      </w:r>
    </w:p>
  </w:footnote>
  <w:footnote w:id="5">
    <w:p w14:paraId="4F8BB92A" w14:textId="77777777" w:rsidR="00050CA6" w:rsidRDefault="00050CA6">
      <w:pPr>
        <w:pStyle w:val="FootnoteText"/>
      </w:pPr>
      <w:r>
        <w:rPr>
          <w:rStyle w:val="FootnoteReference"/>
        </w:rPr>
        <w:footnoteRef/>
      </w:r>
      <w:r>
        <w:t xml:space="preserve"> </w:t>
      </w:r>
      <w:r>
        <w:rPr>
          <w:rFonts w:ascii="Times New Roman" w:hAnsi="Times New Roman" w:cs="Times New Roman"/>
        </w:rPr>
        <w:t>Echeverria</w:t>
      </w:r>
      <w:r>
        <w:rPr>
          <w:rFonts w:ascii="Times New Roman" w:hAnsi="Times New Roman" w:cs="Times New Roman"/>
        </w:rPr>
        <w:t xml:space="preserve"> 2012: 292-293</w:t>
      </w:r>
    </w:p>
  </w:footnote>
  <w:footnote w:id="6">
    <w:p w14:paraId="3E4B6A48" w14:textId="77777777" w:rsidR="00050CA6" w:rsidRDefault="00050CA6">
      <w:pPr>
        <w:pStyle w:val="FootnoteText"/>
      </w:pPr>
      <w:r>
        <w:rPr>
          <w:rStyle w:val="FootnoteReference"/>
        </w:rPr>
        <w:footnoteRef/>
      </w:r>
      <w:r>
        <w:t xml:space="preserve"> </w:t>
      </w:r>
      <w:r>
        <w:rPr>
          <w:rFonts w:ascii="Times New Roman" w:hAnsi="Times New Roman" w:cs="Times New Roman"/>
        </w:rPr>
        <w:t>Echeverria</w:t>
      </w:r>
      <w:r>
        <w:rPr>
          <w:rFonts w:ascii="Times New Roman" w:hAnsi="Times New Roman" w:cs="Times New Roman"/>
        </w:rPr>
        <w:t xml:space="preserve"> 2012: 295</w:t>
      </w:r>
    </w:p>
  </w:footnote>
  <w:footnote w:id="7">
    <w:p w14:paraId="6E3926D1" w14:textId="77777777" w:rsidR="00050CA6" w:rsidRDefault="00050CA6">
      <w:pPr>
        <w:pStyle w:val="FootnoteText"/>
      </w:pPr>
      <w:r>
        <w:rPr>
          <w:rStyle w:val="FootnoteReference"/>
        </w:rPr>
        <w:footnoteRef/>
      </w:r>
      <w:r>
        <w:t xml:space="preserve"> </w:t>
      </w:r>
      <w:r>
        <w:rPr>
          <w:rFonts w:ascii="Times New Roman" w:hAnsi="Times New Roman" w:cs="Times New Roman"/>
        </w:rPr>
        <w:t>Echeverria</w:t>
      </w:r>
      <w:r>
        <w:rPr>
          <w:rFonts w:ascii="Times New Roman" w:hAnsi="Times New Roman" w:cs="Times New Roman"/>
        </w:rPr>
        <w:t xml:space="preserve"> 2012: 304-306 </w:t>
      </w:r>
    </w:p>
  </w:footnote>
  <w:footnote w:id="8">
    <w:p w14:paraId="219317E3" w14:textId="77777777" w:rsidR="00050CA6" w:rsidRDefault="00050CA6">
      <w:pPr>
        <w:pStyle w:val="FootnoteText"/>
      </w:pPr>
      <w:r>
        <w:rPr>
          <w:rStyle w:val="FootnoteReference"/>
        </w:rPr>
        <w:footnoteRef/>
      </w:r>
      <w:r>
        <w:t xml:space="preserve"> </w:t>
      </w:r>
      <w:proofErr w:type="spellStart"/>
      <w:r>
        <w:t>Kagan</w:t>
      </w:r>
      <w:proofErr w:type="spellEnd"/>
      <w:r>
        <w:t xml:space="preserve"> 2013: 143</w:t>
      </w:r>
    </w:p>
  </w:footnote>
  <w:footnote w:id="9">
    <w:p w14:paraId="230831F7" w14:textId="77777777" w:rsidR="00050CA6" w:rsidRDefault="00050CA6">
      <w:pPr>
        <w:pStyle w:val="FootnoteText"/>
      </w:pPr>
      <w:r>
        <w:rPr>
          <w:rStyle w:val="FootnoteReference"/>
        </w:rPr>
        <w:footnoteRef/>
      </w:r>
      <w:r>
        <w:t xml:space="preserve"> Van Wees: 2011: 2</w:t>
      </w:r>
    </w:p>
  </w:footnote>
  <w:footnote w:id="10">
    <w:p w14:paraId="0C7183AF" w14:textId="77777777" w:rsidR="001E5D91" w:rsidRDefault="001E5D91">
      <w:pPr>
        <w:pStyle w:val="FootnoteText"/>
      </w:pPr>
      <w:r>
        <w:rPr>
          <w:rStyle w:val="FootnoteReference"/>
        </w:rPr>
        <w:footnoteRef/>
      </w:r>
      <w:r>
        <w:t xml:space="preserve"> </w:t>
      </w:r>
      <w:r>
        <w:rPr>
          <w:rFonts w:ascii="Times New Roman" w:hAnsi="Times New Roman" w:cs="Times New Roman"/>
        </w:rPr>
        <w:t>Echeverria</w:t>
      </w:r>
      <w:r>
        <w:rPr>
          <w:rFonts w:ascii="Times New Roman" w:hAnsi="Times New Roman" w:cs="Times New Roman"/>
        </w:rPr>
        <w:t xml:space="preserve"> 2012: 3</w:t>
      </w:r>
    </w:p>
  </w:footnote>
  <w:footnote w:id="11">
    <w:p w14:paraId="79D597D4" w14:textId="77777777" w:rsidR="00AD1A42" w:rsidRDefault="00AD1A42">
      <w:pPr>
        <w:pStyle w:val="FootnoteText"/>
      </w:pPr>
      <w:r>
        <w:rPr>
          <w:rStyle w:val="FootnoteReference"/>
        </w:rPr>
        <w:footnoteRef/>
      </w:r>
      <w:r>
        <w:t xml:space="preserve"> </w:t>
      </w:r>
      <w:r w:rsidR="004220AC">
        <w:t>Konijendijk</w:t>
      </w:r>
      <w:r>
        <w:t xml:space="preserve">  2012: 2</w:t>
      </w:r>
    </w:p>
  </w:footnote>
  <w:footnote w:id="12">
    <w:p w14:paraId="122E9641" w14:textId="77777777" w:rsidR="00A3625F" w:rsidRDefault="00A3625F">
      <w:pPr>
        <w:pStyle w:val="FootnoteText"/>
      </w:pPr>
      <w:r>
        <w:rPr>
          <w:rStyle w:val="FootnoteReference"/>
        </w:rPr>
        <w:footnoteRef/>
      </w:r>
      <w:r>
        <w:t xml:space="preserve"> </w:t>
      </w:r>
      <w:r>
        <w:t xml:space="preserve">Konijendijk  </w:t>
      </w:r>
      <w:r>
        <w:t>2012: 5</w:t>
      </w:r>
    </w:p>
  </w:footnote>
  <w:footnote w:id="13">
    <w:p w14:paraId="2047075E" w14:textId="77777777" w:rsidR="004220AC" w:rsidRDefault="004220AC">
      <w:pPr>
        <w:pStyle w:val="FootnoteText"/>
      </w:pPr>
      <w:r>
        <w:rPr>
          <w:rStyle w:val="FootnoteReference"/>
        </w:rPr>
        <w:footnoteRef/>
      </w:r>
      <w:r>
        <w:t xml:space="preserve"> </w:t>
      </w:r>
      <w:proofErr w:type="spellStart"/>
      <w:r>
        <w:t>Kagan</w:t>
      </w:r>
      <w:proofErr w:type="spellEnd"/>
      <w:r>
        <w:t xml:space="preserve"> 2013: 181</w:t>
      </w:r>
    </w:p>
  </w:footnote>
  <w:footnote w:id="14">
    <w:p w14:paraId="5FF26D20" w14:textId="77777777" w:rsidR="004220AC" w:rsidRDefault="004220AC">
      <w:pPr>
        <w:pStyle w:val="FootnoteText"/>
      </w:pPr>
      <w:r>
        <w:rPr>
          <w:rStyle w:val="FootnoteReference"/>
        </w:rPr>
        <w:footnoteRef/>
      </w:r>
      <w:r>
        <w:t xml:space="preserve"> Konijendijk 2012: 16</w:t>
      </w:r>
      <w:r>
        <w:t xml:space="preserve">  </w:t>
      </w:r>
    </w:p>
  </w:footnote>
  <w:footnote w:id="15">
    <w:p w14:paraId="4BFB8B2D" w14:textId="77777777" w:rsidR="00C656AA" w:rsidRDefault="00C656AA">
      <w:pPr>
        <w:pStyle w:val="FootnoteText"/>
      </w:pPr>
      <w:r>
        <w:rPr>
          <w:rStyle w:val="FootnoteReference"/>
        </w:rPr>
        <w:footnoteRef/>
      </w:r>
      <w:r>
        <w:t xml:space="preserve"> Van Wees 2011: 192-193</w:t>
      </w:r>
    </w:p>
  </w:footnote>
  <w:footnote w:id="16">
    <w:p w14:paraId="0C17220E" w14:textId="77777777" w:rsidR="00C656AA" w:rsidRDefault="00C656AA">
      <w:pPr>
        <w:pStyle w:val="FootnoteText"/>
      </w:pPr>
      <w:r>
        <w:rPr>
          <w:rStyle w:val="FootnoteReference"/>
        </w:rPr>
        <w:footnoteRef/>
      </w:r>
      <w:r>
        <w:t xml:space="preserve"> Van Wees 2011: 193</w:t>
      </w:r>
    </w:p>
  </w:footnote>
  <w:footnote w:id="17">
    <w:p w14:paraId="6E822B5B" w14:textId="77777777" w:rsidR="00C656AA" w:rsidRDefault="00C656AA">
      <w:pPr>
        <w:pStyle w:val="FootnoteText"/>
      </w:pPr>
      <w:r>
        <w:rPr>
          <w:rStyle w:val="FootnoteReference"/>
        </w:rPr>
        <w:footnoteRef/>
      </w:r>
      <w:r>
        <w:t xml:space="preserve"> </w:t>
      </w:r>
      <w:proofErr w:type="spellStart"/>
      <w:r>
        <w:t>Kagan</w:t>
      </w:r>
      <w:proofErr w:type="spellEnd"/>
      <w:r>
        <w:t xml:space="preserve"> 2012: 73-74</w:t>
      </w:r>
    </w:p>
  </w:footnote>
  <w:footnote w:id="18">
    <w:p w14:paraId="12C62BB6" w14:textId="77777777" w:rsidR="00F65216" w:rsidRDefault="00F65216">
      <w:pPr>
        <w:pStyle w:val="FootnoteText"/>
      </w:pPr>
      <w:r>
        <w:rPr>
          <w:rStyle w:val="FootnoteReference"/>
        </w:rPr>
        <w:footnoteRef/>
      </w:r>
      <w:r>
        <w:t xml:space="preserve"> Van Wees 2011: 75-76</w:t>
      </w:r>
    </w:p>
  </w:footnote>
  <w:footnote w:id="19">
    <w:p w14:paraId="25BD1A52" w14:textId="1C14D5AD" w:rsidR="00CD49E9" w:rsidRDefault="00CD49E9">
      <w:pPr>
        <w:pStyle w:val="FootnoteText"/>
      </w:pPr>
      <w:r>
        <w:rPr>
          <w:rStyle w:val="FootnoteReference"/>
        </w:rPr>
        <w:footnoteRef/>
      </w:r>
      <w:r>
        <w:t xml:space="preserve"> </w:t>
      </w:r>
      <w:proofErr w:type="spellStart"/>
      <w:r>
        <w:t>Bertosa</w:t>
      </w:r>
      <w:proofErr w:type="spellEnd"/>
      <w:r>
        <w:t xml:space="preserve"> 2003: 374</w:t>
      </w:r>
    </w:p>
  </w:footnote>
  <w:footnote w:id="20">
    <w:p w14:paraId="5F134DE6" w14:textId="1BD153A0" w:rsidR="00CD49E9" w:rsidRDefault="00CD49E9">
      <w:pPr>
        <w:pStyle w:val="FootnoteText"/>
      </w:pPr>
      <w:r>
        <w:rPr>
          <w:rStyle w:val="FootnoteReference"/>
        </w:rPr>
        <w:footnoteRef/>
      </w:r>
      <w:r>
        <w:t xml:space="preserve"> </w:t>
      </w:r>
      <w:proofErr w:type="spellStart"/>
      <w:r>
        <w:t>Bertosa</w:t>
      </w:r>
      <w:proofErr w:type="spellEnd"/>
      <w:r>
        <w:t xml:space="preserve"> 2003: 364</w:t>
      </w:r>
    </w:p>
  </w:footnote>
  <w:footnote w:id="21">
    <w:p w14:paraId="3713B1A3" w14:textId="457FE4B6" w:rsidR="00CD49E9" w:rsidRDefault="00CD49E9">
      <w:pPr>
        <w:pStyle w:val="FootnoteText"/>
      </w:pPr>
      <w:r>
        <w:rPr>
          <w:rStyle w:val="FootnoteReference"/>
        </w:rPr>
        <w:footnoteRef/>
      </w:r>
      <w:r>
        <w:t xml:space="preserve"> Van Wees 2011: 102-114</w:t>
      </w:r>
    </w:p>
  </w:footnote>
  <w:footnote w:id="22">
    <w:p w14:paraId="33210430" w14:textId="7C86981C" w:rsidR="00CD49E9" w:rsidRDefault="00CD49E9">
      <w:pPr>
        <w:pStyle w:val="FootnoteText"/>
      </w:pPr>
      <w:r>
        <w:rPr>
          <w:rStyle w:val="FootnoteReference"/>
        </w:rPr>
        <w:footnoteRef/>
      </w:r>
      <w:r>
        <w:t xml:space="preserve"> Van Wees </w:t>
      </w:r>
      <w:r w:rsidR="00B767B2">
        <w:t>2011</w:t>
      </w:r>
      <w:bookmarkStart w:id="0" w:name="_GoBack"/>
      <w:bookmarkEnd w:id="0"/>
      <w:r>
        <w:t>: 48</w:t>
      </w:r>
    </w:p>
  </w:footnote>
  <w:footnote w:id="23">
    <w:p w14:paraId="6F5EB41C" w14:textId="11D78D79" w:rsidR="00CD49E9" w:rsidRDefault="00CD49E9">
      <w:pPr>
        <w:pStyle w:val="FootnoteText"/>
      </w:pPr>
      <w:r>
        <w:rPr>
          <w:rStyle w:val="FootnoteReference"/>
        </w:rPr>
        <w:footnoteRef/>
      </w:r>
      <w:r>
        <w:t xml:space="preserve"> </w:t>
      </w:r>
      <w:proofErr w:type="spellStart"/>
      <w:r>
        <w:t>Bertosa</w:t>
      </w:r>
      <w:proofErr w:type="spellEnd"/>
      <w:r>
        <w:t xml:space="preserve"> 2003: 371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47"/>
    <w:rsid w:val="00050CA6"/>
    <w:rsid w:val="0005646F"/>
    <w:rsid w:val="000D1EBF"/>
    <w:rsid w:val="000E6562"/>
    <w:rsid w:val="000F777A"/>
    <w:rsid w:val="001258C6"/>
    <w:rsid w:val="00141989"/>
    <w:rsid w:val="00153E57"/>
    <w:rsid w:val="00197C64"/>
    <w:rsid w:val="001D39C5"/>
    <w:rsid w:val="001E5D91"/>
    <w:rsid w:val="002508EA"/>
    <w:rsid w:val="00290D79"/>
    <w:rsid w:val="002A612C"/>
    <w:rsid w:val="002C7268"/>
    <w:rsid w:val="002F6145"/>
    <w:rsid w:val="00373A84"/>
    <w:rsid w:val="003B66F3"/>
    <w:rsid w:val="00420F47"/>
    <w:rsid w:val="004220AC"/>
    <w:rsid w:val="00462588"/>
    <w:rsid w:val="00473108"/>
    <w:rsid w:val="004E5071"/>
    <w:rsid w:val="005368C5"/>
    <w:rsid w:val="0056274D"/>
    <w:rsid w:val="0058121A"/>
    <w:rsid w:val="00586D12"/>
    <w:rsid w:val="005E4F46"/>
    <w:rsid w:val="006502B0"/>
    <w:rsid w:val="006963B6"/>
    <w:rsid w:val="0070237C"/>
    <w:rsid w:val="007D4EA3"/>
    <w:rsid w:val="007E029C"/>
    <w:rsid w:val="007F20B8"/>
    <w:rsid w:val="00814598"/>
    <w:rsid w:val="00826699"/>
    <w:rsid w:val="0083583C"/>
    <w:rsid w:val="008447E9"/>
    <w:rsid w:val="00884F86"/>
    <w:rsid w:val="00906D6A"/>
    <w:rsid w:val="00940EA2"/>
    <w:rsid w:val="009430D3"/>
    <w:rsid w:val="00966BC7"/>
    <w:rsid w:val="009B7578"/>
    <w:rsid w:val="00A32C05"/>
    <w:rsid w:val="00A3625F"/>
    <w:rsid w:val="00A40EF6"/>
    <w:rsid w:val="00A54D52"/>
    <w:rsid w:val="00A5522E"/>
    <w:rsid w:val="00A85135"/>
    <w:rsid w:val="00A95342"/>
    <w:rsid w:val="00AA1CBB"/>
    <w:rsid w:val="00AD1A42"/>
    <w:rsid w:val="00B04D9B"/>
    <w:rsid w:val="00B767B2"/>
    <w:rsid w:val="00C04E45"/>
    <w:rsid w:val="00C52AAD"/>
    <w:rsid w:val="00C656AA"/>
    <w:rsid w:val="00C90160"/>
    <w:rsid w:val="00C90C9A"/>
    <w:rsid w:val="00CB6C9B"/>
    <w:rsid w:val="00CD49E9"/>
    <w:rsid w:val="00CE72F1"/>
    <w:rsid w:val="00CF2CFB"/>
    <w:rsid w:val="00CF70A1"/>
    <w:rsid w:val="00D402CF"/>
    <w:rsid w:val="00D45DBC"/>
    <w:rsid w:val="00DE428A"/>
    <w:rsid w:val="00E032B7"/>
    <w:rsid w:val="00EC627A"/>
    <w:rsid w:val="00ED28CE"/>
    <w:rsid w:val="00F05170"/>
    <w:rsid w:val="00F42802"/>
    <w:rsid w:val="00F612D0"/>
    <w:rsid w:val="00F65216"/>
    <w:rsid w:val="00F96588"/>
    <w:rsid w:val="00FB4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24D6E"/>
  <w14:defaultImageDpi w14:val="32767"/>
  <w15:chartTrackingRefBased/>
  <w15:docId w15:val="{3CA354C6-3EFE-9447-A01A-7DB4893FF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40EA2"/>
    <w:rPr>
      <w:sz w:val="20"/>
      <w:szCs w:val="20"/>
    </w:rPr>
  </w:style>
  <w:style w:type="character" w:customStyle="1" w:styleId="FootnoteTextChar">
    <w:name w:val="Footnote Text Char"/>
    <w:basedOn w:val="DefaultParagraphFont"/>
    <w:link w:val="FootnoteText"/>
    <w:uiPriority w:val="99"/>
    <w:semiHidden/>
    <w:rsid w:val="00940EA2"/>
    <w:rPr>
      <w:sz w:val="20"/>
      <w:szCs w:val="20"/>
    </w:rPr>
  </w:style>
  <w:style w:type="character" w:styleId="FootnoteReference">
    <w:name w:val="footnote reference"/>
    <w:basedOn w:val="DefaultParagraphFont"/>
    <w:uiPriority w:val="99"/>
    <w:semiHidden/>
    <w:unhideWhenUsed/>
    <w:rsid w:val="00940EA2"/>
    <w:rPr>
      <w:vertAlign w:val="superscript"/>
    </w:rPr>
  </w:style>
  <w:style w:type="paragraph" w:styleId="Header">
    <w:name w:val="header"/>
    <w:basedOn w:val="Normal"/>
    <w:link w:val="HeaderChar"/>
    <w:uiPriority w:val="99"/>
    <w:unhideWhenUsed/>
    <w:rsid w:val="000F777A"/>
    <w:pPr>
      <w:tabs>
        <w:tab w:val="center" w:pos="4680"/>
        <w:tab w:val="right" w:pos="9360"/>
      </w:tabs>
    </w:pPr>
  </w:style>
  <w:style w:type="character" w:customStyle="1" w:styleId="HeaderChar">
    <w:name w:val="Header Char"/>
    <w:basedOn w:val="DefaultParagraphFont"/>
    <w:link w:val="Header"/>
    <w:uiPriority w:val="99"/>
    <w:rsid w:val="000F777A"/>
  </w:style>
  <w:style w:type="paragraph" w:styleId="Footer">
    <w:name w:val="footer"/>
    <w:basedOn w:val="Normal"/>
    <w:link w:val="FooterChar"/>
    <w:uiPriority w:val="99"/>
    <w:unhideWhenUsed/>
    <w:rsid w:val="000F777A"/>
    <w:pPr>
      <w:tabs>
        <w:tab w:val="center" w:pos="4680"/>
        <w:tab w:val="right" w:pos="9360"/>
      </w:tabs>
    </w:pPr>
  </w:style>
  <w:style w:type="character" w:customStyle="1" w:styleId="FooterChar">
    <w:name w:val="Footer Char"/>
    <w:basedOn w:val="DefaultParagraphFont"/>
    <w:link w:val="Footer"/>
    <w:uiPriority w:val="99"/>
    <w:rsid w:val="000F777A"/>
  </w:style>
  <w:style w:type="paragraph" w:styleId="BalloonText">
    <w:name w:val="Balloon Text"/>
    <w:basedOn w:val="Normal"/>
    <w:link w:val="BalloonTextChar"/>
    <w:uiPriority w:val="99"/>
    <w:semiHidden/>
    <w:unhideWhenUsed/>
    <w:rsid w:val="003B66F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B66F3"/>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B66F3"/>
    <w:rPr>
      <w:sz w:val="16"/>
      <w:szCs w:val="16"/>
    </w:rPr>
  </w:style>
  <w:style w:type="paragraph" w:styleId="CommentText">
    <w:name w:val="annotation text"/>
    <w:basedOn w:val="Normal"/>
    <w:link w:val="CommentTextChar"/>
    <w:uiPriority w:val="99"/>
    <w:semiHidden/>
    <w:unhideWhenUsed/>
    <w:rsid w:val="003B66F3"/>
    <w:rPr>
      <w:sz w:val="20"/>
      <w:szCs w:val="20"/>
    </w:rPr>
  </w:style>
  <w:style w:type="character" w:customStyle="1" w:styleId="CommentTextChar">
    <w:name w:val="Comment Text Char"/>
    <w:basedOn w:val="DefaultParagraphFont"/>
    <w:link w:val="CommentText"/>
    <w:uiPriority w:val="99"/>
    <w:semiHidden/>
    <w:rsid w:val="003B66F3"/>
    <w:rPr>
      <w:sz w:val="20"/>
      <w:szCs w:val="20"/>
    </w:rPr>
  </w:style>
  <w:style w:type="paragraph" w:styleId="CommentSubject">
    <w:name w:val="annotation subject"/>
    <w:basedOn w:val="CommentText"/>
    <w:next w:val="CommentText"/>
    <w:link w:val="CommentSubjectChar"/>
    <w:uiPriority w:val="99"/>
    <w:semiHidden/>
    <w:unhideWhenUsed/>
    <w:rsid w:val="003B66F3"/>
    <w:rPr>
      <w:b/>
      <w:bCs/>
    </w:rPr>
  </w:style>
  <w:style w:type="character" w:customStyle="1" w:styleId="CommentSubjectChar">
    <w:name w:val="Comment Subject Char"/>
    <w:basedOn w:val="CommentTextChar"/>
    <w:link w:val="CommentSubject"/>
    <w:uiPriority w:val="99"/>
    <w:semiHidden/>
    <w:rsid w:val="003B66F3"/>
    <w:rPr>
      <w:b/>
      <w:bCs/>
      <w:sz w:val="20"/>
      <w:szCs w:val="20"/>
    </w:rPr>
  </w:style>
  <w:style w:type="character" w:styleId="Hyperlink">
    <w:name w:val="Hyperlink"/>
    <w:basedOn w:val="DefaultParagraphFont"/>
    <w:uiPriority w:val="99"/>
    <w:unhideWhenUsed/>
    <w:rsid w:val="006502B0"/>
    <w:rPr>
      <w:color w:val="0563C1" w:themeColor="hyperlink"/>
      <w:u w:val="single"/>
    </w:rPr>
  </w:style>
  <w:style w:type="character" w:styleId="FollowedHyperlink">
    <w:name w:val="FollowedHyperlink"/>
    <w:basedOn w:val="DefaultParagraphFont"/>
    <w:uiPriority w:val="99"/>
    <w:semiHidden/>
    <w:unhideWhenUsed/>
    <w:rsid w:val="006502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3093460.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awsonera-com.ezproxy.uwtsd.ac.uk/abstract/9781400846306" TargetMode="External"/><Relationship Id="rId12" Type="http://schemas.openxmlformats.org/officeDocument/2006/relationships/hyperlink" Target="https://www.jstor.org/stable/pdf/3034830.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pdf/25598486.pdf" TargetMode="External"/><Relationship Id="rId5" Type="http://schemas.openxmlformats.org/officeDocument/2006/relationships/footnotes" Target="footnotes.xml"/><Relationship Id="rId10" Type="http://schemas.openxmlformats.org/officeDocument/2006/relationships/hyperlink" Target="https://www.jstor.org/stable/pdf/41342866.pdf?refreqid=excelsior%3Ae3af04fbf917c2b469ae8e7222c1f754" TargetMode="External"/><Relationship Id="rId4" Type="http://schemas.openxmlformats.org/officeDocument/2006/relationships/webSettings" Target="webSettings.xml"/><Relationship Id="rId9" Type="http://schemas.openxmlformats.org/officeDocument/2006/relationships/hyperlink" Target="https://www.jstor.org/stable/pdf/10.1086/666924.pdf?refreqid=excelsior%3A9f5775b5487a83eb77771de2e81b61a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0A037-530C-D441-BC3C-BB66D540D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694</TotalTime>
  <Pages>9</Pages>
  <Words>2322</Words>
  <Characters>13236</Characters>
  <Application>Microsoft Office Word</Application>
  <DocSecurity>0</DocSecurity>
  <Lines>110</Lines>
  <Paragraphs>31</Paragraphs>
  <ScaleCrop>false</ScaleCrop>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273</cp:revision>
  <dcterms:created xsi:type="dcterms:W3CDTF">2018-12-05T14:20:00Z</dcterms:created>
  <dcterms:modified xsi:type="dcterms:W3CDTF">2018-12-10T18:30:00Z</dcterms:modified>
</cp:coreProperties>
</file>