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1BB7F" w14:textId="77777777" w:rsidR="008B0B01" w:rsidRPr="00C448C8" w:rsidRDefault="008B0B01" w:rsidP="008B0B01">
      <w:pPr>
        <w:pStyle w:val="NormalWeb"/>
        <w:spacing w:before="0" w:beforeAutospacing="0" w:after="0" w:afterAutospacing="0"/>
        <w:ind w:left="-180" w:right="-334"/>
        <w:rPr>
          <w:rFonts w:ascii="Times New Roman" w:hAnsi="Times New Roman"/>
          <w:sz w:val="24"/>
          <w:szCs w:val="24"/>
        </w:rPr>
      </w:pPr>
      <w:bookmarkStart w:id="0" w:name="_Hlk526433641"/>
      <w:bookmarkStart w:id="1" w:name="_Hlk12527937"/>
      <w:r w:rsidRPr="00C448C8">
        <w:rPr>
          <w:rFonts w:ascii="Times New Roman" w:hAnsi="Times New Roman"/>
          <w:noProof/>
          <w:sz w:val="24"/>
          <w:szCs w:val="24"/>
        </w:rPr>
        <w:drawing>
          <wp:inline distT="0" distB="0" distL="0" distR="0" wp14:anchorId="58772016" wp14:editId="6D16E38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23429F9A" w14:textId="77777777" w:rsidR="008B0B01" w:rsidRPr="00C448C8" w:rsidRDefault="008B0B01" w:rsidP="008B0B01">
      <w:pPr>
        <w:pStyle w:val="NormalWeb"/>
        <w:spacing w:before="0" w:beforeAutospacing="0" w:after="0" w:afterAutospacing="0"/>
        <w:ind w:left="-180" w:right="-334"/>
        <w:rPr>
          <w:rFonts w:ascii="Times New Roman" w:hAnsi="Times New Roman"/>
          <w:sz w:val="24"/>
          <w:szCs w:val="24"/>
        </w:rPr>
      </w:pPr>
    </w:p>
    <w:p w14:paraId="4DF18DB8" w14:textId="77777777" w:rsidR="008B0B01" w:rsidRPr="00C448C8" w:rsidRDefault="008B0B01" w:rsidP="008B0B01">
      <w:pPr>
        <w:pStyle w:val="NormalWeb"/>
        <w:spacing w:before="0" w:beforeAutospacing="0" w:after="0" w:afterAutospacing="0"/>
        <w:ind w:left="-180" w:right="-334"/>
        <w:rPr>
          <w:rFonts w:ascii="Times New Roman" w:hAnsi="Times New Roman"/>
          <w:sz w:val="24"/>
          <w:szCs w:val="24"/>
        </w:rPr>
      </w:pPr>
    </w:p>
    <w:p w14:paraId="46D6A8B8" w14:textId="77777777" w:rsidR="008B0B01" w:rsidRPr="00C448C8" w:rsidRDefault="008B0B01" w:rsidP="008B0B01">
      <w:pPr>
        <w:pStyle w:val="NormalWeb"/>
        <w:spacing w:before="0" w:beforeAutospacing="0" w:after="0" w:afterAutospacing="0"/>
        <w:ind w:left="-180" w:right="-334"/>
        <w:jc w:val="center"/>
        <w:rPr>
          <w:rFonts w:ascii="Times New Roman" w:hAnsi="Times New Roman"/>
          <w:b/>
          <w:sz w:val="24"/>
          <w:szCs w:val="24"/>
          <w:lang w:val="cy-GB"/>
        </w:rPr>
      </w:pPr>
      <w:r w:rsidRPr="00C448C8">
        <w:rPr>
          <w:rFonts w:ascii="Times New Roman" w:hAnsi="Times New Roman"/>
          <w:b/>
          <w:sz w:val="24"/>
          <w:szCs w:val="24"/>
          <w:lang w:val="cy-GB"/>
        </w:rPr>
        <w:t xml:space="preserve">Postgraduate/Distance Learning </w:t>
      </w:r>
    </w:p>
    <w:p w14:paraId="341366F9" w14:textId="77777777" w:rsidR="008B0B01" w:rsidRPr="00C448C8" w:rsidRDefault="008B0B01" w:rsidP="008B0B01">
      <w:pPr>
        <w:pStyle w:val="NormalWeb"/>
        <w:spacing w:before="0" w:beforeAutospacing="0" w:after="0" w:afterAutospacing="0"/>
        <w:ind w:left="-180" w:right="-334"/>
        <w:jc w:val="center"/>
        <w:rPr>
          <w:rFonts w:ascii="Times New Roman" w:hAnsi="Times New Roman"/>
          <w:b/>
          <w:sz w:val="24"/>
          <w:szCs w:val="24"/>
        </w:rPr>
      </w:pPr>
      <w:r w:rsidRPr="00C448C8">
        <w:rPr>
          <w:rFonts w:ascii="Times New Roman" w:hAnsi="Times New Roman"/>
          <w:b/>
          <w:sz w:val="24"/>
          <w:szCs w:val="24"/>
          <w:lang w:val="cy-GB"/>
        </w:rPr>
        <w:t>Assignment coversheet &amp; feedback form</w:t>
      </w:r>
    </w:p>
    <w:p w14:paraId="676226E9" w14:textId="77777777" w:rsidR="008B0B01" w:rsidRPr="00C448C8" w:rsidRDefault="008B0B01" w:rsidP="008B0B01">
      <w:pPr>
        <w:rPr>
          <w:lang w:val="cy-GB"/>
        </w:rPr>
      </w:pPr>
    </w:p>
    <w:p w14:paraId="3B7BAB49" w14:textId="77777777" w:rsidR="008B0B01" w:rsidRPr="00C448C8" w:rsidRDefault="008B0B01" w:rsidP="008B0B01">
      <w:pPr>
        <w:pStyle w:val="Heading3"/>
        <w:jc w:val="center"/>
        <w:rPr>
          <w:rFonts w:ascii="Times New Roman" w:hAnsi="Times New Roman" w:cs="Times New Roman"/>
          <w:sz w:val="24"/>
          <w:szCs w:val="24"/>
          <w:lang w:val="cy-GB"/>
        </w:rPr>
      </w:pPr>
      <w:r w:rsidRPr="00C448C8">
        <w:rPr>
          <w:rFonts w:ascii="Times New Roman" w:hAnsi="Times New Roman" w:cs="Times New Roman"/>
          <w:sz w:val="24"/>
          <w:szCs w:val="24"/>
          <w:lang w:val="cy-GB"/>
        </w:rPr>
        <w:t>THIS SHEET MUST BE THE FIRST PAGE OF THE ASSIGNMENT YOU ARE SUBMITTING  (DO NOT SEND AS A SEPARATE FILE)</w:t>
      </w:r>
    </w:p>
    <w:p w14:paraId="1266E5EA" w14:textId="77777777" w:rsidR="008B0B01" w:rsidRPr="00C448C8" w:rsidRDefault="008B0B01" w:rsidP="008B0B01">
      <w:pPr>
        <w:pStyle w:val="Heading3"/>
        <w:jc w:val="center"/>
        <w:rPr>
          <w:rFonts w:ascii="Times New Roman" w:hAnsi="Times New Roman" w:cs="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3"/>
        <w:gridCol w:w="423"/>
        <w:gridCol w:w="1499"/>
        <w:gridCol w:w="286"/>
        <w:gridCol w:w="1795"/>
      </w:tblGrid>
      <w:tr w:rsidR="008B0B01" w:rsidRPr="00C448C8" w14:paraId="59E7AB23" w14:textId="77777777" w:rsidTr="00C51BA1">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08F060C"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b/>
                <w:sz w:val="24"/>
                <w:szCs w:val="24"/>
              </w:rPr>
              <w:t>For completion by the student</w:t>
            </w:r>
            <w:r w:rsidRPr="00C448C8">
              <w:rPr>
                <w:rFonts w:ascii="Times New Roman" w:hAnsi="Times New Roman"/>
                <w:sz w:val="24"/>
                <w:szCs w:val="24"/>
              </w:rPr>
              <w:t>:</w:t>
            </w:r>
          </w:p>
        </w:tc>
      </w:tr>
      <w:tr w:rsidR="008B0B01" w:rsidRPr="00C448C8" w14:paraId="048C0B21" w14:textId="77777777" w:rsidTr="00C51BA1">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279D4112"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Student Name: </w:t>
            </w:r>
            <w:r w:rsidRPr="00C448C8">
              <w:rPr>
                <w:rFonts w:ascii="Times New Roman" w:hAnsi="Times New Roman"/>
                <w:b/>
                <w:sz w:val="24"/>
                <w:szCs w:val="24"/>
              </w:rPr>
              <w:t>Elizabeth Flynn</w:t>
            </w:r>
          </w:p>
          <w:p w14:paraId="56D623D5"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p>
          <w:p w14:paraId="7029897A"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Student </w:t>
            </w:r>
            <w:r w:rsidRPr="00C448C8">
              <w:rPr>
                <w:rFonts w:ascii="Times New Roman" w:hAnsi="Times New Roman"/>
                <w:b/>
                <w:bCs/>
                <w:sz w:val="24"/>
                <w:szCs w:val="24"/>
                <w:u w:val="single"/>
              </w:rPr>
              <w:t>University</w:t>
            </w:r>
            <w:r w:rsidRPr="00C448C8">
              <w:rPr>
                <w:rFonts w:ascii="Times New Roman" w:hAnsi="Times New Roman"/>
                <w:sz w:val="24"/>
                <w:szCs w:val="24"/>
                <w:u w:val="single"/>
              </w:rPr>
              <w:t xml:space="preserve"> </w:t>
            </w:r>
            <w:r w:rsidRPr="00C448C8">
              <w:rPr>
                <w:rFonts w:ascii="Times New Roman" w:hAnsi="Times New Roman"/>
                <w:sz w:val="24"/>
                <w:szCs w:val="24"/>
              </w:rPr>
              <w:t xml:space="preserve">Email: </w:t>
            </w:r>
            <w:r w:rsidRPr="00C448C8">
              <w:rPr>
                <w:rFonts w:ascii="Times New Roman" w:hAnsi="Times New Roman"/>
                <w:b/>
                <w:sz w:val="24"/>
                <w:szCs w:val="24"/>
              </w:rPr>
              <w:t>1805402@student.uwtsd.ac.uk</w:t>
            </w:r>
          </w:p>
        </w:tc>
      </w:tr>
      <w:tr w:rsidR="008B0B01" w:rsidRPr="00C448C8" w14:paraId="39EBB514" w14:textId="77777777" w:rsidTr="00C51BA1">
        <w:trPr>
          <w:trHeight w:val="849"/>
        </w:trPr>
        <w:tc>
          <w:tcPr>
            <w:tcW w:w="4788" w:type="dxa"/>
            <w:tcBorders>
              <w:top w:val="single" w:sz="4" w:space="0" w:color="000000"/>
              <w:left w:val="single" w:sz="4" w:space="0" w:color="000000"/>
              <w:bottom w:val="single" w:sz="4" w:space="0" w:color="000000"/>
              <w:right w:val="single" w:sz="4" w:space="0" w:color="000000"/>
            </w:tcBorders>
          </w:tcPr>
          <w:p w14:paraId="0B93A392"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Module code: </w:t>
            </w:r>
            <w:r w:rsidRPr="00C448C8">
              <w:rPr>
                <w:rFonts w:ascii="Times New Roman" w:hAnsi="Times New Roman"/>
                <w:b/>
                <w:sz w:val="24"/>
                <w:szCs w:val="24"/>
              </w:rPr>
              <w:t>HPCA7003</w:t>
            </w:r>
          </w:p>
          <w:p w14:paraId="39F6BC74"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p>
          <w:p w14:paraId="49A8929F"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Module title: </w:t>
            </w:r>
            <w:r w:rsidRPr="00C448C8">
              <w:rPr>
                <w:rFonts w:ascii="Times New Roman" w:hAnsi="Times New Roman"/>
                <w:b/>
                <w:sz w:val="24"/>
                <w:szCs w:val="24"/>
              </w:rPr>
              <w:t>History of Astrology</w:t>
            </w:r>
          </w:p>
          <w:p w14:paraId="630DA77D"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p>
        </w:tc>
        <w:tc>
          <w:tcPr>
            <w:tcW w:w="2266" w:type="dxa"/>
            <w:gridSpan w:val="3"/>
            <w:tcBorders>
              <w:top w:val="single" w:sz="4" w:space="0" w:color="000000"/>
              <w:left w:val="single" w:sz="4" w:space="0" w:color="000000"/>
              <w:bottom w:val="single" w:sz="4" w:space="0" w:color="000000"/>
              <w:right w:val="single" w:sz="4" w:space="0" w:color="000000"/>
            </w:tcBorders>
          </w:tcPr>
          <w:p w14:paraId="1DDF5C6D"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sz w:val="24"/>
                <w:szCs w:val="24"/>
              </w:rPr>
              <w:t>Student ID number:</w:t>
            </w:r>
          </w:p>
          <w:p w14:paraId="1CE9784C" w14:textId="77777777" w:rsidR="008B0B01" w:rsidRPr="00C448C8" w:rsidRDefault="008B0B01" w:rsidP="00C51BA1">
            <w:pPr>
              <w:spacing w:line="256" w:lineRule="auto"/>
            </w:pPr>
          </w:p>
          <w:p w14:paraId="43B8C603" w14:textId="77777777" w:rsidR="008B0B01" w:rsidRPr="00C448C8" w:rsidRDefault="008B0B01" w:rsidP="00C51BA1">
            <w:pPr>
              <w:spacing w:line="256" w:lineRule="auto"/>
              <w:rPr>
                <w:b/>
              </w:rPr>
            </w:pPr>
            <w:r w:rsidRPr="00C448C8">
              <w:rPr>
                <w:b/>
              </w:rPr>
              <w:t>1805402</w:t>
            </w:r>
          </w:p>
        </w:tc>
        <w:tc>
          <w:tcPr>
            <w:tcW w:w="1802" w:type="dxa"/>
            <w:tcBorders>
              <w:top w:val="single" w:sz="4" w:space="0" w:color="000000"/>
              <w:left w:val="single" w:sz="4" w:space="0" w:color="000000"/>
              <w:bottom w:val="single" w:sz="4" w:space="0" w:color="000000"/>
              <w:right w:val="single" w:sz="4" w:space="0" w:color="000000"/>
            </w:tcBorders>
            <w:hideMark/>
          </w:tcPr>
          <w:p w14:paraId="22914918"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sz w:val="24"/>
                <w:szCs w:val="24"/>
              </w:rPr>
              <w:t>Educational support needs:</w:t>
            </w:r>
          </w:p>
          <w:p w14:paraId="3AADD5B1"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b/>
                <w:sz w:val="24"/>
                <w:szCs w:val="24"/>
              </w:rPr>
              <w:t>No</w:t>
            </w:r>
          </w:p>
        </w:tc>
      </w:tr>
      <w:tr w:rsidR="008B0B01" w:rsidRPr="00C448C8" w14:paraId="009C1F8D" w14:textId="77777777" w:rsidTr="00C51BA1">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28E8893" w14:textId="79F44C21"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Assignment title: </w:t>
            </w:r>
            <w:r w:rsidRPr="00C448C8">
              <w:rPr>
                <w:rFonts w:ascii="Times New Roman" w:hAnsi="Times New Roman"/>
                <w:b/>
                <w:sz w:val="24"/>
                <w:szCs w:val="24"/>
              </w:rPr>
              <w:t>A discussion on the role of astrology in the European medieval world focussing on two primary sources.</w:t>
            </w:r>
          </w:p>
          <w:p w14:paraId="7459B0A8"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p>
          <w:p w14:paraId="2FDB06AE"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sz w:val="24"/>
                <w:szCs w:val="24"/>
              </w:rPr>
              <w:t xml:space="preserve">Assignment due date: </w:t>
            </w:r>
            <w:r w:rsidRPr="00C448C8">
              <w:rPr>
                <w:rFonts w:ascii="Times New Roman" w:hAnsi="Times New Roman"/>
                <w:b/>
                <w:sz w:val="24"/>
                <w:szCs w:val="24"/>
              </w:rPr>
              <w:t>8</w:t>
            </w:r>
            <w:r w:rsidRPr="00C448C8">
              <w:rPr>
                <w:rFonts w:ascii="Times New Roman" w:hAnsi="Times New Roman"/>
                <w:b/>
                <w:sz w:val="24"/>
                <w:szCs w:val="24"/>
                <w:vertAlign w:val="superscript"/>
              </w:rPr>
              <w:t>th</w:t>
            </w:r>
            <w:r w:rsidRPr="00C448C8">
              <w:rPr>
                <w:rFonts w:ascii="Times New Roman" w:hAnsi="Times New Roman"/>
                <w:b/>
                <w:sz w:val="24"/>
                <w:szCs w:val="24"/>
              </w:rPr>
              <w:t xml:space="preserve"> July 2019</w:t>
            </w:r>
          </w:p>
        </w:tc>
      </w:tr>
      <w:tr w:rsidR="008B0B01" w:rsidRPr="00C448C8" w14:paraId="58923485" w14:textId="77777777" w:rsidTr="00C51BA1">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0730BA4" w14:textId="77777777" w:rsidR="008B0B01" w:rsidRPr="00C448C8" w:rsidRDefault="008B0B01" w:rsidP="00C51BA1">
            <w:pPr>
              <w:spacing w:line="256" w:lineRule="auto"/>
            </w:pPr>
            <w:r w:rsidRPr="00C448C8">
              <w:t>This assignment is for the       1</w:t>
            </w:r>
            <w:r w:rsidRPr="00C448C8">
              <w:rPr>
                <w:vertAlign w:val="superscript"/>
              </w:rPr>
              <w:t xml:space="preserve">st </w:t>
            </w:r>
            <w:r w:rsidRPr="00C448C8">
              <w:fldChar w:fldCharType="begin">
                <w:ffData>
                  <w:name w:val="Check13"/>
                  <w:enabled/>
                  <w:calcOnExit w:val="0"/>
                  <w:checkBox>
                    <w:sizeAuto/>
                    <w:default w:val="0"/>
                  </w:checkBox>
                </w:ffData>
              </w:fldChar>
            </w:r>
            <w:bookmarkStart w:id="2" w:name="Check13"/>
            <w:r w:rsidRPr="00C448C8">
              <w:instrText xml:space="preserve"> FORMCHECKBOX </w:instrText>
            </w:r>
            <w:r w:rsidR="00D12800">
              <w:fldChar w:fldCharType="separate"/>
            </w:r>
            <w:r w:rsidRPr="00C448C8">
              <w:fldChar w:fldCharType="end"/>
            </w:r>
            <w:bookmarkEnd w:id="2"/>
            <w:r w:rsidRPr="00C448C8">
              <w:t xml:space="preserve">    2</w:t>
            </w:r>
            <w:r w:rsidRPr="00C448C8">
              <w:rPr>
                <w:vertAlign w:val="superscript"/>
              </w:rPr>
              <w:t>nd</w:t>
            </w:r>
            <w:r w:rsidRPr="00C448C8">
              <w:t xml:space="preserve">  </w:t>
            </w:r>
            <w:r w:rsidRPr="00C448C8">
              <w:fldChar w:fldCharType="begin">
                <w:ffData>
                  <w:name w:val="Check14"/>
                  <w:enabled/>
                  <w:calcOnExit w:val="0"/>
                  <w:checkBox>
                    <w:sizeAuto/>
                    <w:default w:val="0"/>
                  </w:checkBox>
                </w:ffData>
              </w:fldChar>
            </w:r>
            <w:bookmarkStart w:id="3" w:name="Check14"/>
            <w:r w:rsidRPr="00C448C8">
              <w:instrText xml:space="preserve"> FORMCHECKBOX </w:instrText>
            </w:r>
            <w:r w:rsidR="00D12800">
              <w:fldChar w:fldCharType="separate"/>
            </w:r>
            <w:r w:rsidRPr="00C448C8">
              <w:fldChar w:fldCharType="end"/>
            </w:r>
            <w:bookmarkEnd w:id="3"/>
            <w:r w:rsidRPr="00C448C8">
              <w:t xml:space="preserve">     3</w:t>
            </w:r>
            <w:r w:rsidRPr="00C448C8">
              <w:rPr>
                <w:vertAlign w:val="superscript"/>
              </w:rPr>
              <w:t>rd</w:t>
            </w:r>
            <w:r w:rsidRPr="00C448C8">
              <w:t xml:space="preserve">  </w:t>
            </w:r>
            <w:r w:rsidRPr="00C448C8">
              <w:fldChar w:fldCharType="begin">
                <w:ffData>
                  <w:name w:val="Check15"/>
                  <w:enabled/>
                  <w:calcOnExit w:val="0"/>
                  <w:checkBox>
                    <w:sizeAuto/>
                    <w:default w:val="0"/>
                  </w:checkBox>
                </w:ffData>
              </w:fldChar>
            </w:r>
            <w:bookmarkStart w:id="4" w:name="Check15"/>
            <w:r w:rsidRPr="00C448C8">
              <w:instrText xml:space="preserve"> FORMCHECKBOX </w:instrText>
            </w:r>
            <w:r w:rsidR="00D12800">
              <w:fldChar w:fldCharType="separate"/>
            </w:r>
            <w:r w:rsidRPr="00C448C8">
              <w:fldChar w:fldCharType="end"/>
            </w:r>
            <w:bookmarkEnd w:id="4"/>
            <w:r w:rsidRPr="00C448C8">
              <w:t xml:space="preserve">      4</w:t>
            </w:r>
            <w:r w:rsidRPr="00C448C8">
              <w:rPr>
                <w:vertAlign w:val="superscript"/>
              </w:rPr>
              <w:t>th</w:t>
            </w:r>
            <w:r w:rsidRPr="00C448C8">
              <w:t xml:space="preserve"> </w:t>
            </w:r>
            <w:r w:rsidRPr="00C448C8">
              <w:fldChar w:fldCharType="begin">
                <w:ffData>
                  <w:name w:val="Check16"/>
                  <w:enabled/>
                  <w:calcOnExit w:val="0"/>
                  <w:checkBox>
                    <w:sizeAuto/>
                    <w:default w:val="0"/>
                  </w:checkBox>
                </w:ffData>
              </w:fldChar>
            </w:r>
            <w:bookmarkStart w:id="5" w:name="Check16"/>
            <w:r w:rsidRPr="00C448C8">
              <w:instrText xml:space="preserve"> FORMCHECKBOX </w:instrText>
            </w:r>
            <w:r w:rsidR="00D12800">
              <w:fldChar w:fldCharType="separate"/>
            </w:r>
            <w:r w:rsidRPr="00C448C8">
              <w:fldChar w:fldCharType="end"/>
            </w:r>
            <w:bookmarkEnd w:id="5"/>
            <w:r w:rsidRPr="00C448C8">
              <w:t xml:space="preserve">      5</w:t>
            </w:r>
            <w:r w:rsidRPr="00C448C8">
              <w:rPr>
                <w:vertAlign w:val="superscript"/>
              </w:rPr>
              <w:t>th</w:t>
            </w:r>
            <w:r w:rsidRPr="00C448C8">
              <w:t xml:space="preserve"> </w:t>
            </w:r>
            <w:r w:rsidRPr="00C448C8">
              <w:fldChar w:fldCharType="begin">
                <w:ffData>
                  <w:name w:val="Check17"/>
                  <w:enabled/>
                  <w:calcOnExit w:val="0"/>
                  <w:checkBox>
                    <w:sizeAuto/>
                    <w:default w:val="1"/>
                  </w:checkBox>
                </w:ffData>
              </w:fldChar>
            </w:r>
            <w:bookmarkStart w:id="6" w:name="Check17"/>
            <w:r w:rsidRPr="00C448C8">
              <w:instrText xml:space="preserve"> FORMCHECKBOX </w:instrText>
            </w:r>
            <w:r w:rsidR="00D12800">
              <w:fldChar w:fldCharType="separate"/>
            </w:r>
            <w:r w:rsidRPr="00C448C8">
              <w:fldChar w:fldCharType="end"/>
            </w:r>
            <w:bookmarkEnd w:id="6"/>
            <w:r w:rsidRPr="00C448C8">
              <w:t xml:space="preserve">      6</w:t>
            </w:r>
            <w:r w:rsidRPr="00C448C8">
              <w:rPr>
                <w:vertAlign w:val="superscript"/>
              </w:rPr>
              <w:t>th</w:t>
            </w:r>
            <w:r w:rsidRPr="00C448C8">
              <w:t xml:space="preserve"> </w:t>
            </w:r>
            <w:r w:rsidRPr="00C448C8">
              <w:fldChar w:fldCharType="begin">
                <w:ffData>
                  <w:name w:val="Check18"/>
                  <w:enabled/>
                  <w:calcOnExit w:val="0"/>
                  <w:checkBox>
                    <w:sizeAuto/>
                    <w:default w:val="0"/>
                  </w:checkBox>
                </w:ffData>
              </w:fldChar>
            </w:r>
            <w:bookmarkStart w:id="7" w:name="Check18"/>
            <w:r w:rsidRPr="00C448C8">
              <w:instrText xml:space="preserve"> FORMCHECKBOX </w:instrText>
            </w:r>
            <w:r w:rsidR="00D12800">
              <w:fldChar w:fldCharType="separate"/>
            </w:r>
            <w:r w:rsidRPr="00C448C8">
              <w:fldChar w:fldCharType="end"/>
            </w:r>
            <w:bookmarkEnd w:id="7"/>
            <w:r w:rsidRPr="00C448C8">
              <w:rPr>
                <w:b/>
              </w:rPr>
              <w:t xml:space="preserve">   </w:t>
            </w:r>
            <w:r w:rsidRPr="00C448C8">
              <w:t>module of the degree</w:t>
            </w:r>
          </w:p>
        </w:tc>
      </w:tr>
      <w:tr w:rsidR="008B0B01" w:rsidRPr="00C448C8" w14:paraId="0CD70CDB" w14:textId="77777777" w:rsidTr="00C51BA1">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7BF5C284"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sz w:val="24"/>
                <w:szCs w:val="24"/>
              </w:rPr>
              <w:t>I confirm that this is my original work and that I have adhered to the University policy on plagiarism.</w:t>
            </w:r>
          </w:p>
          <w:p w14:paraId="1E343EA3"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sz w:val="24"/>
                <w:szCs w:val="24"/>
              </w:rPr>
              <w:t>Signed ……………………………………………………………</w:t>
            </w:r>
          </w:p>
          <w:p w14:paraId="5553B048" w14:textId="77777777" w:rsidR="008B0B01" w:rsidRPr="00C448C8" w:rsidRDefault="008B0B01" w:rsidP="00C51BA1">
            <w:pPr>
              <w:pStyle w:val="NormalWeb"/>
              <w:spacing w:before="0" w:beforeAutospacing="0" w:after="0" w:afterAutospacing="0" w:line="256" w:lineRule="auto"/>
              <w:ind w:right="34"/>
              <w:rPr>
                <w:rFonts w:ascii="Times New Roman" w:hAnsi="Times New Roman"/>
                <w:b/>
                <w:sz w:val="24"/>
                <w:szCs w:val="24"/>
              </w:rPr>
            </w:pPr>
            <w:r w:rsidRPr="00C448C8">
              <w:rPr>
                <w:rFonts w:ascii="Times New Roman" w:hAnsi="Times New Roman"/>
                <w:b/>
                <w:sz w:val="24"/>
                <w:szCs w:val="24"/>
              </w:rPr>
              <w:t xml:space="preserve">Email submission: if you are submitting this form via email, please tick this box </w:t>
            </w:r>
            <w:r w:rsidRPr="00C448C8">
              <w:rPr>
                <w:rFonts w:ascii="Times New Roman" w:hAnsi="Times New Roman"/>
                <w:sz w:val="24"/>
                <w:szCs w:val="24"/>
              </w:rPr>
              <w:fldChar w:fldCharType="begin">
                <w:ffData>
                  <w:name w:val=""/>
                  <w:enabled/>
                  <w:calcOnExit w:val="0"/>
                  <w:checkBox>
                    <w:sizeAuto/>
                    <w:default w:val="1"/>
                  </w:checkBox>
                </w:ffData>
              </w:fldChar>
            </w:r>
            <w:r w:rsidRPr="00C448C8">
              <w:rPr>
                <w:rFonts w:ascii="Times New Roman" w:hAnsi="Times New Roman"/>
                <w:sz w:val="24"/>
                <w:szCs w:val="24"/>
              </w:rPr>
              <w:instrText xml:space="preserve"> FORMCHECKBOX </w:instrText>
            </w:r>
            <w:r w:rsidR="00D12800">
              <w:rPr>
                <w:rFonts w:ascii="Times New Roman" w:hAnsi="Times New Roman"/>
                <w:sz w:val="24"/>
                <w:szCs w:val="24"/>
              </w:rPr>
            </w:r>
            <w:r w:rsidR="00D12800">
              <w:rPr>
                <w:rFonts w:ascii="Times New Roman" w:hAnsi="Times New Roman"/>
                <w:sz w:val="24"/>
                <w:szCs w:val="24"/>
              </w:rPr>
              <w:fldChar w:fldCharType="separate"/>
            </w:r>
            <w:r w:rsidRPr="00C448C8">
              <w:rPr>
                <w:rFonts w:ascii="Times New Roman" w:hAnsi="Times New Roman"/>
                <w:sz w:val="24"/>
                <w:szCs w:val="24"/>
              </w:rPr>
              <w:fldChar w:fldCharType="end"/>
            </w:r>
          </w:p>
          <w:p w14:paraId="069E956C" w14:textId="77777777" w:rsidR="008B0B01" w:rsidRPr="00C448C8" w:rsidRDefault="008B0B01" w:rsidP="00C51BA1">
            <w:pPr>
              <w:pStyle w:val="NormalWeb"/>
              <w:spacing w:before="0" w:beforeAutospacing="0" w:after="0" w:afterAutospacing="0" w:line="256" w:lineRule="auto"/>
              <w:ind w:right="34"/>
              <w:rPr>
                <w:rFonts w:ascii="Times New Roman" w:hAnsi="Times New Roman"/>
                <w:sz w:val="24"/>
                <w:szCs w:val="24"/>
              </w:rPr>
            </w:pPr>
            <w:r w:rsidRPr="00C448C8">
              <w:rPr>
                <w:rFonts w:ascii="Times New Roman" w:hAnsi="Times New Roman"/>
                <w:b/>
                <w:sz w:val="24"/>
                <w:szCs w:val="24"/>
              </w:rPr>
              <w:t>(as a substitute for your signature) to confirm that you agree to the above declaration.</w:t>
            </w:r>
          </w:p>
        </w:tc>
      </w:tr>
      <w:tr w:rsidR="008B0B01" w:rsidRPr="00C448C8" w14:paraId="21D7A91C" w14:textId="77777777" w:rsidTr="00C51BA1">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3114DF03" w14:textId="77777777" w:rsidR="008B0B01" w:rsidRPr="00C448C8" w:rsidRDefault="008B0B01" w:rsidP="00C51BA1">
            <w:pPr>
              <w:spacing w:line="256" w:lineRule="auto"/>
              <w:rPr>
                <w:b/>
              </w:rPr>
            </w:pPr>
          </w:p>
          <w:p w14:paraId="08BC4B70" w14:textId="77777777" w:rsidR="008B0B01" w:rsidRPr="00C448C8" w:rsidRDefault="008B0B01" w:rsidP="00C51BA1">
            <w:pPr>
              <w:spacing w:line="256" w:lineRule="auto"/>
            </w:pPr>
            <w:r w:rsidRPr="00C448C8">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8B0B01" w:rsidRPr="00C448C8" w14:paraId="3D47D7DD" w14:textId="77777777" w:rsidTr="00C51BA1">
              <w:tc>
                <w:tcPr>
                  <w:tcW w:w="6970" w:type="dxa"/>
                  <w:tcBorders>
                    <w:top w:val="single" w:sz="4" w:space="0" w:color="auto"/>
                    <w:left w:val="single" w:sz="4" w:space="0" w:color="auto"/>
                    <w:bottom w:val="single" w:sz="4" w:space="0" w:color="auto"/>
                    <w:right w:val="single" w:sz="4" w:space="0" w:color="auto"/>
                  </w:tcBorders>
                </w:tcPr>
                <w:p w14:paraId="3AA6B6E5" w14:textId="77777777" w:rsidR="008B0B01" w:rsidRPr="00C448C8" w:rsidRDefault="008B0B01" w:rsidP="00C51BA1">
                  <w:pPr>
                    <w:spacing w:line="256" w:lineRule="auto"/>
                  </w:pPr>
                </w:p>
                <w:p w14:paraId="28C3334E" w14:textId="77777777" w:rsidR="008B0B01" w:rsidRPr="00C448C8" w:rsidRDefault="008B0B01" w:rsidP="00C51BA1">
                  <w:pPr>
                    <w:spacing w:line="256" w:lineRule="auto"/>
                  </w:pPr>
                  <w:r w:rsidRPr="00C448C8">
                    <w:t>1</w:t>
                  </w:r>
                  <w:r w:rsidRPr="00C448C8">
                    <w:rPr>
                      <w:vertAlign w:val="superscript"/>
                    </w:rPr>
                    <w:t>st</w:t>
                  </w:r>
                  <w:r w:rsidRPr="00C448C8">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393EF15" w14:textId="77777777" w:rsidR="008B0B01" w:rsidRPr="00C448C8" w:rsidRDefault="008B0B01" w:rsidP="00C51BA1">
                  <w:pPr>
                    <w:spacing w:line="256" w:lineRule="auto"/>
                  </w:pPr>
                </w:p>
              </w:tc>
            </w:tr>
            <w:tr w:rsidR="008B0B01" w:rsidRPr="00C448C8" w14:paraId="35E1FD3C" w14:textId="77777777" w:rsidTr="00C51BA1">
              <w:tc>
                <w:tcPr>
                  <w:tcW w:w="6970" w:type="dxa"/>
                  <w:tcBorders>
                    <w:top w:val="single" w:sz="4" w:space="0" w:color="auto"/>
                    <w:left w:val="single" w:sz="4" w:space="0" w:color="auto"/>
                    <w:bottom w:val="single" w:sz="4" w:space="0" w:color="auto"/>
                    <w:right w:val="single" w:sz="4" w:space="0" w:color="auto"/>
                  </w:tcBorders>
                </w:tcPr>
                <w:p w14:paraId="08310DF5" w14:textId="77777777" w:rsidR="008B0B01" w:rsidRPr="00C448C8" w:rsidRDefault="008B0B01" w:rsidP="00C51BA1">
                  <w:pPr>
                    <w:spacing w:line="256" w:lineRule="auto"/>
                  </w:pPr>
                </w:p>
                <w:p w14:paraId="5CF12D38" w14:textId="77777777" w:rsidR="008B0B01" w:rsidRPr="00C448C8" w:rsidRDefault="008B0B01" w:rsidP="00C51BA1">
                  <w:pPr>
                    <w:spacing w:line="256" w:lineRule="auto"/>
                  </w:pPr>
                  <w:r w:rsidRPr="00C448C8">
                    <w:t>2</w:t>
                  </w:r>
                  <w:r w:rsidRPr="00C448C8">
                    <w:rPr>
                      <w:vertAlign w:val="superscript"/>
                    </w:rPr>
                    <w:t>nd</w:t>
                  </w:r>
                  <w:r w:rsidRPr="00C448C8">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B60A68B" w14:textId="77777777" w:rsidR="008B0B01" w:rsidRPr="00C448C8" w:rsidRDefault="008B0B01" w:rsidP="00C51BA1">
                  <w:pPr>
                    <w:spacing w:line="256" w:lineRule="auto"/>
                  </w:pPr>
                </w:p>
              </w:tc>
            </w:tr>
            <w:tr w:rsidR="008B0B01" w:rsidRPr="00C448C8" w14:paraId="1FA40357" w14:textId="77777777" w:rsidTr="00C51BA1">
              <w:tc>
                <w:tcPr>
                  <w:tcW w:w="6970" w:type="dxa"/>
                  <w:tcBorders>
                    <w:top w:val="single" w:sz="4" w:space="0" w:color="auto"/>
                    <w:left w:val="single" w:sz="4" w:space="0" w:color="auto"/>
                    <w:bottom w:val="single" w:sz="4" w:space="0" w:color="auto"/>
                    <w:right w:val="single" w:sz="4" w:space="0" w:color="auto"/>
                  </w:tcBorders>
                </w:tcPr>
                <w:p w14:paraId="39BCBF5D" w14:textId="77777777" w:rsidR="008B0B01" w:rsidRPr="00C448C8" w:rsidRDefault="008B0B01" w:rsidP="00C51BA1">
                  <w:pPr>
                    <w:spacing w:line="256" w:lineRule="auto"/>
                  </w:pPr>
                </w:p>
                <w:p w14:paraId="19062117" w14:textId="77777777" w:rsidR="008B0B01" w:rsidRPr="00C448C8" w:rsidRDefault="008B0B01" w:rsidP="00C51BA1">
                  <w:pPr>
                    <w:spacing w:line="256" w:lineRule="auto"/>
                  </w:pPr>
                  <w:r w:rsidRPr="00C448C8">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B301BB7" w14:textId="77777777" w:rsidR="008B0B01" w:rsidRPr="00C448C8" w:rsidRDefault="008B0B01" w:rsidP="00C51BA1">
                  <w:pPr>
                    <w:spacing w:line="256" w:lineRule="auto"/>
                  </w:pPr>
                </w:p>
              </w:tc>
            </w:tr>
            <w:tr w:rsidR="008B0B01" w:rsidRPr="00C448C8" w14:paraId="06127A37" w14:textId="77777777" w:rsidTr="00C51BA1">
              <w:tc>
                <w:tcPr>
                  <w:tcW w:w="6970" w:type="dxa"/>
                  <w:tcBorders>
                    <w:top w:val="single" w:sz="4" w:space="0" w:color="auto"/>
                    <w:left w:val="single" w:sz="4" w:space="0" w:color="auto"/>
                    <w:bottom w:val="single" w:sz="4" w:space="0" w:color="auto"/>
                    <w:right w:val="single" w:sz="4" w:space="0" w:color="auto"/>
                  </w:tcBorders>
                </w:tcPr>
                <w:p w14:paraId="7220DB7F" w14:textId="77777777" w:rsidR="008B0B01" w:rsidRPr="00C448C8" w:rsidRDefault="008B0B01" w:rsidP="00C51BA1">
                  <w:pPr>
                    <w:spacing w:line="256" w:lineRule="auto"/>
                  </w:pPr>
                </w:p>
                <w:p w14:paraId="71918E7F" w14:textId="77777777" w:rsidR="008B0B01" w:rsidRPr="00C448C8" w:rsidRDefault="008B0B01" w:rsidP="00C51BA1">
                  <w:pPr>
                    <w:spacing w:line="256" w:lineRule="auto"/>
                    <w:rPr>
                      <w:b/>
                    </w:rPr>
                  </w:pPr>
                  <w:r w:rsidRPr="00C448C8">
                    <w:rPr>
                      <w:b/>
                    </w:rPr>
                    <w:t>Final Mark</w:t>
                  </w:r>
                </w:p>
                <w:p w14:paraId="7814859C" w14:textId="77777777" w:rsidR="008B0B01" w:rsidRPr="00C448C8" w:rsidRDefault="008B0B01" w:rsidP="00C51BA1">
                  <w:pPr>
                    <w:spacing w:line="256" w:lineRule="auto"/>
                  </w:pPr>
                </w:p>
              </w:tc>
              <w:tc>
                <w:tcPr>
                  <w:tcW w:w="1660" w:type="dxa"/>
                  <w:tcBorders>
                    <w:top w:val="single" w:sz="4" w:space="0" w:color="auto"/>
                    <w:left w:val="single" w:sz="4" w:space="0" w:color="auto"/>
                    <w:bottom w:val="single" w:sz="4" w:space="0" w:color="auto"/>
                    <w:right w:val="single" w:sz="4" w:space="0" w:color="auto"/>
                  </w:tcBorders>
                </w:tcPr>
                <w:p w14:paraId="4656AC08" w14:textId="77777777" w:rsidR="008B0B01" w:rsidRPr="00C448C8" w:rsidRDefault="008B0B01" w:rsidP="00C51BA1">
                  <w:pPr>
                    <w:spacing w:line="256" w:lineRule="auto"/>
                  </w:pPr>
                </w:p>
              </w:tc>
            </w:tr>
          </w:tbl>
          <w:p w14:paraId="0DE73227" w14:textId="77777777" w:rsidR="008B0B01" w:rsidRPr="00C448C8" w:rsidRDefault="008B0B01" w:rsidP="00C51BA1">
            <w:pPr>
              <w:pStyle w:val="NormalWeb"/>
              <w:spacing w:before="0" w:beforeAutospacing="0" w:after="0" w:afterAutospacing="0" w:line="256" w:lineRule="auto"/>
              <w:ind w:left="142" w:right="34"/>
              <w:rPr>
                <w:rFonts w:ascii="Times New Roman" w:hAnsi="Times New Roman"/>
                <w:b/>
                <w:sz w:val="24"/>
                <w:szCs w:val="24"/>
              </w:rPr>
            </w:pPr>
          </w:p>
          <w:p w14:paraId="797BAF0C" w14:textId="77777777" w:rsidR="008B0B01" w:rsidRPr="00C448C8" w:rsidRDefault="008B0B01" w:rsidP="00C51BA1">
            <w:pPr>
              <w:pStyle w:val="NormalWeb"/>
              <w:spacing w:before="0" w:beforeAutospacing="0" w:after="0" w:afterAutospacing="0" w:line="256" w:lineRule="auto"/>
              <w:ind w:left="142" w:right="34"/>
              <w:rPr>
                <w:rFonts w:ascii="Times New Roman" w:hAnsi="Times New Roman"/>
                <w:sz w:val="24"/>
                <w:szCs w:val="24"/>
              </w:rPr>
            </w:pPr>
            <w:r w:rsidRPr="00C448C8">
              <w:rPr>
                <w:rFonts w:ascii="Times New Roman" w:hAnsi="Times New Roman"/>
                <w:b/>
                <w:sz w:val="24"/>
                <w:szCs w:val="24"/>
              </w:rPr>
              <w:t>NB.</w:t>
            </w:r>
            <w:r w:rsidRPr="00C448C8">
              <w:rPr>
                <w:rFonts w:ascii="Times New Roman" w:hAnsi="Times New Roman"/>
                <w:sz w:val="24"/>
                <w:szCs w:val="24"/>
              </w:rPr>
              <w:t xml:space="preserve">  All marks are provisional until confirmed by the Final Examination Board.</w:t>
            </w:r>
          </w:p>
          <w:p w14:paraId="439A7B6D" w14:textId="77777777" w:rsidR="00C448C8" w:rsidRDefault="00C448C8" w:rsidP="00C51BA1">
            <w:pPr>
              <w:pStyle w:val="NormalWeb"/>
              <w:spacing w:before="0" w:beforeAutospacing="0" w:after="0" w:afterAutospacing="0" w:line="256" w:lineRule="auto"/>
              <w:rPr>
                <w:rFonts w:ascii="Times New Roman" w:hAnsi="Times New Roman"/>
                <w:b/>
                <w:sz w:val="24"/>
                <w:szCs w:val="24"/>
              </w:rPr>
            </w:pPr>
          </w:p>
          <w:p w14:paraId="010D1386" w14:textId="71A78B5E" w:rsidR="008B0B01" w:rsidRPr="00C448C8" w:rsidRDefault="008B0B01" w:rsidP="00C51BA1">
            <w:pPr>
              <w:pStyle w:val="NormalWeb"/>
              <w:spacing w:before="0" w:beforeAutospacing="0" w:after="0" w:afterAutospacing="0" w:line="256" w:lineRule="auto"/>
              <w:rPr>
                <w:rFonts w:ascii="Times New Roman" w:hAnsi="Times New Roman"/>
                <w:b/>
                <w:sz w:val="24"/>
                <w:szCs w:val="24"/>
              </w:rPr>
            </w:pPr>
            <w:r w:rsidRPr="00C448C8">
              <w:rPr>
                <w:rFonts w:ascii="Times New Roman" w:hAnsi="Times New Roman"/>
                <w:b/>
                <w:sz w:val="24"/>
                <w:szCs w:val="24"/>
              </w:rPr>
              <w:lastRenderedPageBreak/>
              <w:t>For completion by Marker 1:</w:t>
            </w:r>
          </w:p>
          <w:p w14:paraId="6DB2BB4B" w14:textId="77777777" w:rsidR="008B0B01" w:rsidRPr="00C448C8" w:rsidRDefault="008B0B01" w:rsidP="00C51BA1">
            <w:pPr>
              <w:pStyle w:val="NormalWeb"/>
              <w:spacing w:line="256" w:lineRule="auto"/>
              <w:rPr>
                <w:rFonts w:ascii="Times New Roman" w:hAnsi="Times New Roman"/>
                <w:sz w:val="24"/>
                <w:szCs w:val="24"/>
              </w:rPr>
            </w:pPr>
            <w:r w:rsidRPr="00C448C8">
              <w:rPr>
                <w:rFonts w:ascii="Times New Roman" w:hAnsi="Times New Roman"/>
                <w:sz w:val="24"/>
                <w:szCs w:val="24"/>
              </w:rPr>
              <w:t>Comments:</w:t>
            </w:r>
          </w:p>
          <w:p w14:paraId="7CC80E40" w14:textId="77777777" w:rsidR="008B0B01" w:rsidRPr="00C448C8" w:rsidRDefault="008B0B01" w:rsidP="00C51BA1">
            <w:pPr>
              <w:pStyle w:val="NormalWeb"/>
              <w:spacing w:line="256" w:lineRule="auto"/>
              <w:rPr>
                <w:rFonts w:ascii="Times New Roman" w:hAnsi="Times New Roman"/>
                <w:sz w:val="24"/>
                <w:szCs w:val="24"/>
              </w:rPr>
            </w:pPr>
          </w:p>
        </w:tc>
      </w:tr>
      <w:tr w:rsidR="008B0B01" w:rsidRPr="00C448C8" w14:paraId="147E7D00" w14:textId="77777777" w:rsidTr="00C51BA1">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697F5463" w14:textId="77777777" w:rsidR="008B0B01" w:rsidRPr="00C448C8" w:rsidRDefault="008B0B01" w:rsidP="00C51BA1">
            <w:pPr>
              <w:pStyle w:val="NormalWeb"/>
              <w:spacing w:beforeAutospacing="0" w:afterAutospacing="0" w:line="256" w:lineRule="auto"/>
              <w:ind w:left="142" w:right="34"/>
              <w:rPr>
                <w:rFonts w:ascii="Times New Roman" w:hAnsi="Times New Roman"/>
                <w:sz w:val="24"/>
                <w:szCs w:val="24"/>
              </w:rPr>
            </w:pPr>
            <w:r w:rsidRPr="00C448C8">
              <w:rPr>
                <w:rFonts w:ascii="Times New Roman" w:hAnsi="Times New Roman"/>
                <w:sz w:val="24"/>
                <w:szCs w:val="24"/>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4D5432A" w14:textId="77777777" w:rsidR="008B0B01" w:rsidRPr="00C448C8" w:rsidRDefault="008B0B01" w:rsidP="00C51BA1">
            <w:pPr>
              <w:pStyle w:val="NormalWeb"/>
              <w:spacing w:beforeAutospacing="0" w:after="0" w:afterAutospacing="0" w:line="256" w:lineRule="auto"/>
              <w:ind w:left="142" w:right="34"/>
              <w:rPr>
                <w:rFonts w:ascii="Times New Roman" w:hAnsi="Times New Roman"/>
                <w:sz w:val="24"/>
                <w:szCs w:val="24"/>
              </w:rPr>
            </w:pPr>
            <w:r w:rsidRPr="00C448C8">
              <w:rPr>
                <w:rFonts w:ascii="Times New Roman" w:hAnsi="Times New Roman"/>
                <w:sz w:val="24"/>
                <w:szCs w:val="24"/>
              </w:rPr>
              <w:t>Date:</w:t>
            </w:r>
          </w:p>
        </w:tc>
      </w:tr>
      <w:tr w:rsidR="008B0B01" w:rsidRPr="00C448C8" w14:paraId="37E3E425" w14:textId="77777777" w:rsidTr="00C51BA1">
        <w:tc>
          <w:tcPr>
            <w:tcW w:w="8856" w:type="dxa"/>
            <w:gridSpan w:val="5"/>
            <w:tcBorders>
              <w:top w:val="single" w:sz="4" w:space="0" w:color="000000"/>
              <w:left w:val="single" w:sz="4" w:space="0" w:color="000000"/>
              <w:bottom w:val="single" w:sz="4" w:space="0" w:color="000000"/>
              <w:right w:val="single" w:sz="4" w:space="0" w:color="000000"/>
            </w:tcBorders>
          </w:tcPr>
          <w:p w14:paraId="538E1B33"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i/>
                <w:sz w:val="24"/>
                <w:szCs w:val="24"/>
              </w:rPr>
            </w:pPr>
          </w:p>
          <w:p w14:paraId="0DB66832" w14:textId="77777777" w:rsidR="008B0B01" w:rsidRPr="00C448C8" w:rsidRDefault="008B0B01" w:rsidP="00C51BA1">
            <w:pPr>
              <w:pStyle w:val="NormalWeb"/>
              <w:spacing w:before="0" w:beforeAutospacing="0" w:after="0" w:afterAutospacing="0" w:line="256" w:lineRule="auto"/>
              <w:ind w:right="-334"/>
              <w:rPr>
                <w:rFonts w:ascii="Times New Roman" w:hAnsi="Times New Roman"/>
                <w:b/>
                <w:bCs/>
                <w:sz w:val="24"/>
                <w:szCs w:val="24"/>
              </w:rPr>
            </w:pPr>
            <w:r w:rsidRPr="00C448C8">
              <w:rPr>
                <w:rFonts w:ascii="Times New Roman" w:hAnsi="Times New Roman"/>
                <w:b/>
                <w:bCs/>
                <w:sz w:val="24"/>
                <w:szCs w:val="24"/>
              </w:rPr>
              <w:t>For completion by Marker 2/Moderator:</w:t>
            </w:r>
          </w:p>
          <w:p w14:paraId="29C7F286" w14:textId="77777777" w:rsidR="008B0B01" w:rsidRPr="00C448C8" w:rsidRDefault="008B0B01" w:rsidP="00C51BA1">
            <w:pPr>
              <w:pStyle w:val="NormalWeb"/>
              <w:spacing w:before="0" w:beforeAutospacing="0" w:after="0" w:afterAutospacing="0" w:line="256" w:lineRule="auto"/>
              <w:ind w:right="-334"/>
              <w:rPr>
                <w:rFonts w:ascii="Times New Roman" w:hAnsi="Times New Roman"/>
                <w:b/>
                <w:bCs/>
                <w:sz w:val="24"/>
                <w:szCs w:val="24"/>
              </w:rPr>
            </w:pPr>
          </w:p>
          <w:p w14:paraId="76AFC688"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r w:rsidRPr="00C448C8">
              <w:rPr>
                <w:rFonts w:ascii="Times New Roman" w:hAnsi="Times New Roman"/>
                <w:bCs/>
                <w:sz w:val="24"/>
                <w:szCs w:val="24"/>
              </w:rPr>
              <w:t>Comments:</w:t>
            </w:r>
          </w:p>
          <w:p w14:paraId="50605707"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1AF778B1"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22DDED47"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36E48181"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7748FAFE"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45D1C6E7"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1BC863A9"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71A418C4"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3F571742"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0B2402CA"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7F8BC19E"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2F8FBA1E"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tc>
      </w:tr>
      <w:tr w:rsidR="008B0B01" w:rsidRPr="00C448C8" w14:paraId="308FE773" w14:textId="77777777" w:rsidTr="00C51BA1">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CB431B7"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r w:rsidRPr="00C448C8">
              <w:rPr>
                <w:rFonts w:ascii="Times New Roman" w:hAnsi="Times New Roman"/>
                <w:bCs/>
                <w:sz w:val="24"/>
                <w:szCs w:val="24"/>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7E3FDE3"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r w:rsidRPr="00C448C8">
              <w:rPr>
                <w:rFonts w:ascii="Times New Roman" w:hAnsi="Times New Roman"/>
                <w:bCs/>
                <w:sz w:val="24"/>
                <w:szCs w:val="24"/>
              </w:rPr>
              <w:t>Date:</w:t>
            </w:r>
          </w:p>
        </w:tc>
      </w:tr>
      <w:tr w:rsidR="008B0B01" w:rsidRPr="00C448C8" w14:paraId="3D7818B6" w14:textId="77777777" w:rsidTr="00C51BA1">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BAEF588" w14:textId="77777777" w:rsidR="008B0B01" w:rsidRPr="00C448C8" w:rsidRDefault="008B0B01" w:rsidP="00C51BA1">
            <w:pPr>
              <w:spacing w:line="256" w:lineRule="auto"/>
              <w:rPr>
                <w:b/>
              </w:rPr>
            </w:pPr>
            <w:r w:rsidRPr="00C448C8">
              <w:rPr>
                <w:b/>
              </w:rPr>
              <w:t>External Examiner’s comments (if relevant)</w:t>
            </w:r>
          </w:p>
          <w:p w14:paraId="220E1236"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10DD771D"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1B2F50AE"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0136DF15"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3118E120"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228160D2"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586C0F3F"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4491D9DD"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2A5FB9B8"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356497CB"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p w14:paraId="6F201951" w14:textId="77777777" w:rsidR="008B0B01" w:rsidRPr="00C448C8" w:rsidRDefault="008B0B01" w:rsidP="00C51BA1">
            <w:pPr>
              <w:pStyle w:val="NormalWeb"/>
              <w:spacing w:before="0" w:beforeAutospacing="0" w:after="0" w:afterAutospacing="0" w:line="256" w:lineRule="auto"/>
              <w:ind w:right="-334"/>
              <w:rPr>
                <w:rFonts w:ascii="Times New Roman" w:hAnsi="Times New Roman"/>
                <w:bCs/>
                <w:sz w:val="24"/>
                <w:szCs w:val="24"/>
              </w:rPr>
            </w:pPr>
          </w:p>
        </w:tc>
      </w:tr>
      <w:tr w:rsidR="008B0B01" w:rsidRPr="00C448C8" w14:paraId="1FC01242" w14:textId="77777777" w:rsidTr="00C51BA1">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358C154" w14:textId="77777777" w:rsidR="008B0B01" w:rsidRPr="00C448C8" w:rsidRDefault="008B0B01" w:rsidP="00C51BA1">
            <w:pPr>
              <w:spacing w:line="256" w:lineRule="auto"/>
            </w:pPr>
            <w:r w:rsidRPr="00C448C8">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EFD8ABC" w14:textId="77777777" w:rsidR="008B0B01" w:rsidRPr="00C448C8" w:rsidRDefault="008B0B01" w:rsidP="00C51BA1">
            <w:pPr>
              <w:spacing w:line="256" w:lineRule="auto"/>
            </w:pPr>
            <w:r w:rsidRPr="00C448C8">
              <w:t>Date:</w:t>
            </w:r>
          </w:p>
        </w:tc>
      </w:tr>
    </w:tbl>
    <w:p w14:paraId="0A16E114" w14:textId="77777777" w:rsidR="008B0B01" w:rsidRPr="00C448C8" w:rsidRDefault="008B0B01" w:rsidP="008B0B01">
      <w:pPr>
        <w:rPr>
          <w:bCs/>
          <w:color w:val="000000"/>
        </w:rPr>
        <w:sectPr w:rsidR="008B0B01" w:rsidRPr="00C448C8">
          <w:pgSz w:w="12240" w:h="15840"/>
          <w:pgMar w:top="567" w:right="1797" w:bottom="567" w:left="1797" w:header="567" w:footer="720" w:gutter="0"/>
          <w:pgNumType w:start="1"/>
          <w:cols w:space="720"/>
        </w:sectPr>
      </w:pPr>
    </w:p>
    <w:bookmarkEnd w:id="0"/>
    <w:bookmarkEnd w:id="1"/>
    <w:p w14:paraId="1EC5ECB2" w14:textId="41662A15" w:rsidR="009F4C5A" w:rsidRDefault="009F4C5A" w:rsidP="007649A7">
      <w:pPr>
        <w:rPr>
          <w:b/>
        </w:rPr>
      </w:pPr>
      <w:r w:rsidRPr="00C448C8">
        <w:rPr>
          <w:b/>
        </w:rPr>
        <w:lastRenderedPageBreak/>
        <w:t>A discussion on the role of astrology in the European medieval world focussing on primary sources.</w:t>
      </w:r>
    </w:p>
    <w:p w14:paraId="3D109D0F" w14:textId="627751ED" w:rsidR="00527AF3" w:rsidRDefault="009F4C5A" w:rsidP="00527AF3">
      <w:pPr>
        <w:spacing w:before="240"/>
        <w:rPr>
          <w:bCs/>
        </w:rPr>
      </w:pPr>
      <w:r>
        <w:t>Word count: 3</w:t>
      </w:r>
      <w:r w:rsidR="00C04F15">
        <w:t>1</w:t>
      </w:r>
      <w:r w:rsidR="006E2216">
        <w:t>48</w:t>
      </w:r>
    </w:p>
    <w:p w14:paraId="6263D7A9" w14:textId="77777777" w:rsidR="00E56FE3" w:rsidRDefault="00E56FE3" w:rsidP="007649A7">
      <w:pPr>
        <w:rPr>
          <w:bCs/>
        </w:rPr>
      </w:pPr>
    </w:p>
    <w:p w14:paraId="2D69A1EC" w14:textId="79AC4F1C" w:rsidR="00922414" w:rsidRPr="00C448C8" w:rsidRDefault="00922414" w:rsidP="007649A7">
      <w:pPr>
        <w:rPr>
          <w:b/>
          <w:bCs/>
        </w:rPr>
      </w:pPr>
      <w:r w:rsidRPr="00C448C8">
        <w:rPr>
          <w:b/>
          <w:bCs/>
        </w:rPr>
        <w:t>Introduction</w:t>
      </w:r>
    </w:p>
    <w:p w14:paraId="62FFA6B7" w14:textId="77777777" w:rsidR="00922414" w:rsidRPr="00C448C8" w:rsidRDefault="00922414" w:rsidP="007649A7">
      <w:pPr>
        <w:rPr>
          <w:b/>
          <w:bCs/>
        </w:rPr>
      </w:pPr>
    </w:p>
    <w:p w14:paraId="7A116905" w14:textId="17ECFBCD" w:rsidR="00C448C8" w:rsidRDefault="007649A7" w:rsidP="00C448C8">
      <w:pPr>
        <w:pStyle w:val="NormalWeb"/>
        <w:spacing w:before="0" w:beforeAutospacing="0" w:after="0" w:afterAutospacing="0"/>
        <w:ind w:right="-334"/>
        <w:jc w:val="both"/>
        <w:rPr>
          <w:rFonts w:ascii="Times New Roman" w:hAnsi="Times New Roman"/>
          <w:bCs/>
          <w:sz w:val="24"/>
          <w:szCs w:val="24"/>
        </w:rPr>
      </w:pPr>
      <w:r w:rsidRPr="00C448C8">
        <w:rPr>
          <w:rFonts w:ascii="Times New Roman" w:hAnsi="Times New Roman"/>
          <w:bCs/>
          <w:sz w:val="24"/>
          <w:szCs w:val="24"/>
        </w:rPr>
        <w:t xml:space="preserve">This essay will discuss the role astrology played within the European medieval world by examining two textual primary sources: selections from Hildegard of </w:t>
      </w:r>
      <w:proofErr w:type="spellStart"/>
      <w:r w:rsidRPr="00C448C8">
        <w:rPr>
          <w:rFonts w:ascii="Times New Roman" w:hAnsi="Times New Roman"/>
          <w:bCs/>
          <w:sz w:val="24"/>
          <w:szCs w:val="24"/>
        </w:rPr>
        <w:t>Bingen’s</w:t>
      </w:r>
      <w:proofErr w:type="spellEnd"/>
      <w:r w:rsidRPr="00C448C8">
        <w:rPr>
          <w:rFonts w:ascii="Times New Roman" w:hAnsi="Times New Roman"/>
          <w:bCs/>
          <w:sz w:val="24"/>
          <w:szCs w:val="24"/>
        </w:rPr>
        <w:t xml:space="preserve"> (1098-1179 C.E.) </w:t>
      </w:r>
      <w:r w:rsidRPr="00C448C8">
        <w:rPr>
          <w:rFonts w:ascii="Times New Roman" w:hAnsi="Times New Roman"/>
          <w:bCs/>
          <w:i/>
          <w:sz w:val="24"/>
          <w:szCs w:val="24"/>
        </w:rPr>
        <w:t xml:space="preserve">Cause et cure </w:t>
      </w:r>
      <w:r w:rsidRPr="00C448C8">
        <w:rPr>
          <w:rFonts w:ascii="Times New Roman" w:hAnsi="Times New Roman"/>
          <w:bCs/>
          <w:sz w:val="24"/>
          <w:szCs w:val="24"/>
        </w:rPr>
        <w:t>(‘Causes and Cures’</w:t>
      </w:r>
      <w:r w:rsidR="00C87BCE">
        <w:rPr>
          <w:rFonts w:ascii="Times New Roman" w:hAnsi="Times New Roman"/>
          <w:bCs/>
          <w:sz w:val="24"/>
          <w:szCs w:val="24"/>
        </w:rPr>
        <w:t>,</w:t>
      </w:r>
      <w:r w:rsidRPr="00C448C8">
        <w:rPr>
          <w:rFonts w:ascii="Times New Roman" w:hAnsi="Times New Roman"/>
          <w:bCs/>
          <w:sz w:val="24"/>
          <w:szCs w:val="24"/>
        </w:rPr>
        <w:t xml:space="preserve"> c.1151-8 C.E) will be analysed alongside lines from the seventh book of John of Gower’s (c.1330-1408</w:t>
      </w:r>
      <w:r w:rsidR="006947CB">
        <w:rPr>
          <w:rFonts w:ascii="Times New Roman" w:hAnsi="Times New Roman"/>
          <w:bCs/>
          <w:sz w:val="24"/>
          <w:szCs w:val="24"/>
        </w:rPr>
        <w:t xml:space="preserve"> </w:t>
      </w:r>
      <w:r w:rsidRPr="00C448C8">
        <w:rPr>
          <w:rFonts w:ascii="Times New Roman" w:hAnsi="Times New Roman"/>
          <w:bCs/>
          <w:sz w:val="24"/>
          <w:szCs w:val="24"/>
        </w:rPr>
        <w:t xml:space="preserve">C.E.) </w:t>
      </w:r>
      <w:proofErr w:type="spellStart"/>
      <w:r w:rsidRPr="00C448C8">
        <w:rPr>
          <w:rFonts w:ascii="Times New Roman" w:hAnsi="Times New Roman"/>
          <w:bCs/>
          <w:i/>
          <w:sz w:val="24"/>
          <w:szCs w:val="24"/>
        </w:rPr>
        <w:t>Confessio</w:t>
      </w:r>
      <w:proofErr w:type="spellEnd"/>
      <w:r w:rsidRPr="00C448C8">
        <w:rPr>
          <w:rFonts w:ascii="Times New Roman" w:hAnsi="Times New Roman"/>
          <w:bCs/>
          <w:i/>
          <w:sz w:val="24"/>
          <w:szCs w:val="24"/>
        </w:rPr>
        <w:t xml:space="preserve"> </w:t>
      </w:r>
      <w:proofErr w:type="spellStart"/>
      <w:r w:rsidRPr="00C448C8">
        <w:rPr>
          <w:rFonts w:ascii="Times New Roman" w:hAnsi="Times New Roman"/>
          <w:bCs/>
          <w:i/>
          <w:sz w:val="24"/>
          <w:szCs w:val="24"/>
        </w:rPr>
        <w:t>Amantis</w:t>
      </w:r>
      <w:proofErr w:type="spellEnd"/>
      <w:r w:rsidRPr="00C448C8">
        <w:rPr>
          <w:rFonts w:ascii="Times New Roman" w:hAnsi="Times New Roman"/>
          <w:bCs/>
          <w:i/>
          <w:sz w:val="24"/>
          <w:szCs w:val="24"/>
        </w:rPr>
        <w:t xml:space="preserve"> </w:t>
      </w:r>
      <w:r w:rsidRPr="00C448C8">
        <w:rPr>
          <w:rFonts w:ascii="Times New Roman" w:hAnsi="Times New Roman"/>
          <w:bCs/>
          <w:sz w:val="24"/>
          <w:szCs w:val="24"/>
        </w:rPr>
        <w:t>(‘The Lover’s Confession’, c.1386-c.90</w:t>
      </w:r>
      <w:r w:rsidR="006947CB">
        <w:rPr>
          <w:rFonts w:ascii="Times New Roman" w:hAnsi="Times New Roman"/>
          <w:bCs/>
          <w:sz w:val="24"/>
          <w:szCs w:val="24"/>
        </w:rPr>
        <w:t xml:space="preserve"> </w:t>
      </w:r>
      <w:r w:rsidRPr="00C448C8">
        <w:rPr>
          <w:rFonts w:ascii="Times New Roman" w:hAnsi="Times New Roman"/>
          <w:bCs/>
          <w:sz w:val="24"/>
          <w:szCs w:val="24"/>
        </w:rPr>
        <w:t>C.E.).</w:t>
      </w:r>
      <w:r w:rsidRPr="00C448C8">
        <w:rPr>
          <w:rStyle w:val="FootnoteReference"/>
          <w:rFonts w:ascii="Times New Roman" w:hAnsi="Times New Roman"/>
          <w:bCs/>
          <w:sz w:val="24"/>
          <w:szCs w:val="24"/>
        </w:rPr>
        <w:footnoteReference w:id="1"/>
      </w:r>
      <w:r w:rsidRPr="00C448C8">
        <w:rPr>
          <w:rFonts w:ascii="Times New Roman" w:hAnsi="Times New Roman"/>
          <w:bCs/>
          <w:sz w:val="24"/>
          <w:szCs w:val="24"/>
        </w:rPr>
        <w:t xml:space="preserve"> This essay will follow Miri Rubin’s broad definition of ‘medieval Europe’ as ‘ranging from around 500 to 1500’ C.E. and encompassing ‘the westernmost part of a vast continental mass’ which ‘shared’ a ‘Christian culture’.</w:t>
      </w:r>
      <w:r w:rsidRPr="00C448C8">
        <w:rPr>
          <w:rStyle w:val="FootnoteReference"/>
          <w:rFonts w:ascii="Times New Roman" w:hAnsi="Times New Roman"/>
          <w:bCs/>
          <w:sz w:val="24"/>
          <w:szCs w:val="24"/>
        </w:rPr>
        <w:footnoteReference w:id="2"/>
      </w:r>
      <w:r w:rsidRPr="00C448C8">
        <w:rPr>
          <w:rFonts w:ascii="Times New Roman" w:hAnsi="Times New Roman"/>
          <w:bCs/>
          <w:sz w:val="24"/>
          <w:szCs w:val="24"/>
        </w:rPr>
        <w:t xml:space="preserve"> </w:t>
      </w:r>
      <w:r w:rsidR="00C40D3D">
        <w:rPr>
          <w:rFonts w:ascii="Times New Roman" w:hAnsi="Times New Roman"/>
          <w:bCs/>
          <w:sz w:val="24"/>
          <w:szCs w:val="24"/>
        </w:rPr>
        <w:t>Nicholas Campion’s definition of ‘astrology’ as the act of interpreting the ‘word of the stars’ will be followed.</w:t>
      </w:r>
      <w:r w:rsidRPr="00C448C8">
        <w:rPr>
          <w:rStyle w:val="FootnoteReference"/>
          <w:rFonts w:ascii="Times New Roman" w:hAnsi="Times New Roman"/>
          <w:bCs/>
          <w:sz w:val="24"/>
          <w:szCs w:val="24"/>
        </w:rPr>
        <w:footnoteReference w:id="3"/>
      </w:r>
      <w:r w:rsidRPr="00C448C8">
        <w:rPr>
          <w:rFonts w:ascii="Times New Roman" w:hAnsi="Times New Roman"/>
          <w:bCs/>
          <w:sz w:val="24"/>
          <w:szCs w:val="24"/>
        </w:rPr>
        <w:t xml:space="preserve"> This act, as</w:t>
      </w:r>
      <w:r w:rsidR="00F162D3">
        <w:rPr>
          <w:rFonts w:ascii="Times New Roman" w:hAnsi="Times New Roman"/>
          <w:bCs/>
          <w:sz w:val="24"/>
          <w:szCs w:val="24"/>
        </w:rPr>
        <w:t xml:space="preserve"> Campion</w:t>
      </w:r>
      <w:r w:rsidRPr="00C448C8">
        <w:rPr>
          <w:rFonts w:ascii="Times New Roman" w:hAnsi="Times New Roman"/>
          <w:bCs/>
          <w:sz w:val="24"/>
          <w:szCs w:val="24"/>
        </w:rPr>
        <w:t xml:space="preserve"> has concluded, implies an underlying belief in the interpreter that a </w:t>
      </w:r>
      <w:r w:rsidR="00C90F9A">
        <w:rPr>
          <w:rFonts w:ascii="Times New Roman" w:hAnsi="Times New Roman"/>
          <w:bCs/>
          <w:sz w:val="24"/>
          <w:szCs w:val="24"/>
        </w:rPr>
        <w:t xml:space="preserve">‘significant </w:t>
      </w:r>
      <w:r w:rsidRPr="00C448C8">
        <w:rPr>
          <w:rFonts w:ascii="Times New Roman" w:hAnsi="Times New Roman"/>
          <w:bCs/>
          <w:sz w:val="24"/>
          <w:szCs w:val="24"/>
        </w:rPr>
        <w:t>relationship</w:t>
      </w:r>
      <w:r w:rsidR="00C90F9A">
        <w:rPr>
          <w:rFonts w:ascii="Times New Roman" w:hAnsi="Times New Roman"/>
          <w:bCs/>
          <w:sz w:val="24"/>
          <w:szCs w:val="24"/>
        </w:rPr>
        <w:t>’</w:t>
      </w:r>
      <w:r w:rsidRPr="00C448C8">
        <w:rPr>
          <w:rFonts w:ascii="Times New Roman" w:hAnsi="Times New Roman"/>
          <w:bCs/>
          <w:sz w:val="24"/>
          <w:szCs w:val="24"/>
        </w:rPr>
        <w:t xml:space="preserve"> exists between celestial bodies (stars and planets) and human bodies.</w:t>
      </w:r>
      <w:r w:rsidRPr="00C448C8">
        <w:rPr>
          <w:rStyle w:val="FootnoteReference"/>
          <w:rFonts w:ascii="Times New Roman" w:hAnsi="Times New Roman"/>
          <w:bCs/>
          <w:sz w:val="24"/>
          <w:szCs w:val="24"/>
        </w:rPr>
        <w:footnoteReference w:id="4"/>
      </w:r>
      <w:r w:rsidRPr="00C448C8">
        <w:rPr>
          <w:rFonts w:ascii="Times New Roman" w:hAnsi="Times New Roman"/>
          <w:bCs/>
          <w:sz w:val="24"/>
          <w:szCs w:val="24"/>
        </w:rPr>
        <w:t xml:space="preserve"> </w:t>
      </w:r>
      <w:bookmarkStart w:id="8" w:name="_Hlk13316110"/>
      <w:r w:rsidR="00C448C8" w:rsidRPr="00C448C8">
        <w:rPr>
          <w:rFonts w:ascii="Times New Roman" w:hAnsi="Times New Roman"/>
          <w:bCs/>
          <w:sz w:val="24"/>
          <w:szCs w:val="24"/>
        </w:rPr>
        <w:t xml:space="preserve">After introducing the sources and their creators, this essay will explore </w:t>
      </w:r>
      <w:bookmarkEnd w:id="8"/>
      <w:r w:rsidR="00C448C8" w:rsidRPr="00C448C8">
        <w:rPr>
          <w:rFonts w:ascii="Times New Roman" w:hAnsi="Times New Roman"/>
          <w:bCs/>
          <w:sz w:val="24"/>
          <w:szCs w:val="24"/>
        </w:rPr>
        <w:t xml:space="preserve">the ways in which Hildegard and Gower integrated pre-existing </w:t>
      </w:r>
      <w:r w:rsidR="00585369">
        <w:rPr>
          <w:rFonts w:ascii="Times New Roman" w:hAnsi="Times New Roman"/>
          <w:bCs/>
          <w:sz w:val="24"/>
          <w:szCs w:val="24"/>
        </w:rPr>
        <w:t xml:space="preserve">ideas surrounding astrology </w:t>
      </w:r>
      <w:r w:rsidR="00037792">
        <w:rPr>
          <w:rFonts w:ascii="Times New Roman" w:hAnsi="Times New Roman"/>
          <w:bCs/>
          <w:sz w:val="24"/>
          <w:szCs w:val="24"/>
        </w:rPr>
        <w:t xml:space="preserve">– particularly </w:t>
      </w:r>
      <w:r w:rsidR="00C40D3D">
        <w:rPr>
          <w:rFonts w:ascii="Times New Roman" w:hAnsi="Times New Roman"/>
          <w:bCs/>
          <w:sz w:val="24"/>
          <w:szCs w:val="24"/>
        </w:rPr>
        <w:t>those purporting to belong to Aristotle (</w:t>
      </w:r>
      <w:r w:rsidR="006947CB">
        <w:rPr>
          <w:rFonts w:ascii="Times New Roman" w:hAnsi="Times New Roman"/>
          <w:bCs/>
          <w:sz w:val="24"/>
          <w:szCs w:val="24"/>
        </w:rPr>
        <w:t>384-22 B.C.E.</w:t>
      </w:r>
      <w:r w:rsidR="00C40D3D">
        <w:rPr>
          <w:rFonts w:ascii="Times New Roman" w:hAnsi="Times New Roman"/>
          <w:bCs/>
          <w:sz w:val="24"/>
          <w:szCs w:val="24"/>
        </w:rPr>
        <w:t xml:space="preserve">) and </w:t>
      </w:r>
      <w:r w:rsidR="00037792">
        <w:rPr>
          <w:rFonts w:ascii="Times New Roman" w:hAnsi="Times New Roman"/>
          <w:bCs/>
          <w:sz w:val="24"/>
          <w:szCs w:val="24"/>
        </w:rPr>
        <w:t>St. Augustine of Hippo</w:t>
      </w:r>
      <w:r w:rsidR="00F162D3">
        <w:rPr>
          <w:rFonts w:ascii="Times New Roman" w:hAnsi="Times New Roman"/>
          <w:bCs/>
          <w:sz w:val="24"/>
          <w:szCs w:val="24"/>
        </w:rPr>
        <w:t xml:space="preserve"> </w:t>
      </w:r>
      <w:r w:rsidR="00F162D3">
        <w:t>(354-430 C.E.)</w:t>
      </w:r>
      <w:r w:rsidR="00037792">
        <w:rPr>
          <w:rFonts w:ascii="Times New Roman" w:hAnsi="Times New Roman"/>
          <w:bCs/>
          <w:sz w:val="24"/>
          <w:szCs w:val="24"/>
        </w:rPr>
        <w:t xml:space="preserve"> – </w:t>
      </w:r>
      <w:r w:rsidR="00C448C8" w:rsidRPr="00C448C8">
        <w:rPr>
          <w:rFonts w:ascii="Times New Roman" w:hAnsi="Times New Roman"/>
          <w:bCs/>
          <w:sz w:val="24"/>
          <w:szCs w:val="24"/>
        </w:rPr>
        <w:t xml:space="preserve">into their own work and what these methods of integration might mean in relation to their daily interactions with astrology. It will </w:t>
      </w:r>
      <w:r w:rsidR="00C26329">
        <w:rPr>
          <w:rFonts w:ascii="Times New Roman" w:hAnsi="Times New Roman"/>
          <w:bCs/>
          <w:sz w:val="24"/>
          <w:szCs w:val="24"/>
        </w:rPr>
        <w:t>specifically explore</w:t>
      </w:r>
      <w:r w:rsidR="00C448C8" w:rsidRPr="00C448C8">
        <w:rPr>
          <w:rFonts w:ascii="Times New Roman" w:hAnsi="Times New Roman"/>
          <w:bCs/>
          <w:sz w:val="24"/>
          <w:szCs w:val="24"/>
        </w:rPr>
        <w:t xml:space="preserve"> the portrayal of the signs of the zodiac, the way horoscopes are presented, and the </w:t>
      </w:r>
      <w:r w:rsidR="005632D9">
        <w:rPr>
          <w:rFonts w:ascii="Times New Roman" w:hAnsi="Times New Roman"/>
          <w:bCs/>
          <w:sz w:val="24"/>
          <w:szCs w:val="24"/>
        </w:rPr>
        <w:t>relationship between astrology and Christian</w:t>
      </w:r>
      <w:r w:rsidR="00227C7A">
        <w:rPr>
          <w:rFonts w:ascii="Times New Roman" w:hAnsi="Times New Roman"/>
          <w:bCs/>
          <w:sz w:val="24"/>
          <w:szCs w:val="24"/>
        </w:rPr>
        <w:t>ity</w:t>
      </w:r>
      <w:r w:rsidR="00C448C8" w:rsidRPr="00C448C8">
        <w:rPr>
          <w:rFonts w:ascii="Times New Roman" w:hAnsi="Times New Roman"/>
          <w:bCs/>
          <w:sz w:val="24"/>
          <w:szCs w:val="24"/>
        </w:rPr>
        <w:t xml:space="preserve"> in each source.</w:t>
      </w:r>
    </w:p>
    <w:p w14:paraId="3DB42EDF" w14:textId="4476F8D4" w:rsidR="00347D8C" w:rsidRDefault="00347D8C" w:rsidP="00C448C8">
      <w:pPr>
        <w:pStyle w:val="NormalWeb"/>
        <w:spacing w:before="0" w:beforeAutospacing="0" w:after="0" w:afterAutospacing="0"/>
        <w:ind w:right="-334"/>
        <w:jc w:val="both"/>
        <w:rPr>
          <w:rFonts w:ascii="Times New Roman" w:hAnsi="Times New Roman"/>
          <w:bCs/>
          <w:sz w:val="24"/>
          <w:szCs w:val="24"/>
        </w:rPr>
      </w:pPr>
    </w:p>
    <w:p w14:paraId="78779646" w14:textId="77777777" w:rsidR="007E67AF" w:rsidRDefault="007E67AF" w:rsidP="007E67AF">
      <w:pPr>
        <w:pStyle w:val="NormalWeb"/>
        <w:spacing w:before="0" w:beforeAutospacing="0" w:after="0" w:afterAutospacing="0"/>
        <w:ind w:right="-334"/>
        <w:jc w:val="both"/>
        <w:rPr>
          <w:rFonts w:ascii="Times New Roman" w:hAnsi="Times New Roman"/>
          <w:b/>
          <w:bCs/>
          <w:sz w:val="24"/>
          <w:szCs w:val="24"/>
        </w:rPr>
      </w:pPr>
      <w:r>
        <w:rPr>
          <w:rFonts w:ascii="Times New Roman" w:hAnsi="Times New Roman"/>
          <w:b/>
          <w:bCs/>
          <w:sz w:val="24"/>
          <w:szCs w:val="24"/>
        </w:rPr>
        <w:t>Sources and Creators</w:t>
      </w:r>
    </w:p>
    <w:p w14:paraId="1ECD04D0" w14:textId="77777777" w:rsidR="007E67AF" w:rsidRDefault="007E67AF" w:rsidP="007E67AF">
      <w:pPr>
        <w:pStyle w:val="NormalWeb"/>
        <w:spacing w:before="0" w:beforeAutospacing="0" w:after="0" w:afterAutospacing="0"/>
        <w:ind w:right="-334"/>
        <w:jc w:val="both"/>
        <w:rPr>
          <w:rFonts w:ascii="Times New Roman" w:hAnsi="Times New Roman"/>
          <w:bCs/>
          <w:sz w:val="24"/>
          <w:szCs w:val="24"/>
        </w:rPr>
      </w:pPr>
    </w:p>
    <w:p w14:paraId="660A59BF" w14:textId="29CF34DD" w:rsidR="00965561" w:rsidRPr="00965561" w:rsidRDefault="007E67AF" w:rsidP="007E67AF">
      <w:pPr>
        <w:pStyle w:val="NormalWeb"/>
        <w:spacing w:before="0" w:beforeAutospacing="0" w:after="0" w:afterAutospacing="0"/>
        <w:ind w:right="-334"/>
        <w:jc w:val="both"/>
        <w:rPr>
          <w:rFonts w:ascii="Times New Roman" w:hAnsi="Times New Roman"/>
          <w:bCs/>
          <w:color w:val="auto"/>
          <w:sz w:val="24"/>
          <w:szCs w:val="24"/>
        </w:rPr>
      </w:pPr>
      <w:r w:rsidRPr="000429F3">
        <w:rPr>
          <w:rFonts w:ascii="Times New Roman" w:hAnsi="Times New Roman"/>
          <w:bCs/>
          <w:sz w:val="24"/>
          <w:szCs w:val="24"/>
        </w:rPr>
        <w:t xml:space="preserve">This essay will refer to Margret Berger’s partial translation – from Latin with German interjections into English – of </w:t>
      </w:r>
      <w:proofErr w:type="spellStart"/>
      <w:r w:rsidRPr="000429F3">
        <w:rPr>
          <w:rFonts w:ascii="Times New Roman" w:hAnsi="Times New Roman"/>
          <w:bCs/>
          <w:i/>
          <w:sz w:val="24"/>
          <w:szCs w:val="24"/>
        </w:rPr>
        <w:t>Beate</w:t>
      </w:r>
      <w:proofErr w:type="spellEnd"/>
      <w:r w:rsidRPr="000429F3">
        <w:rPr>
          <w:rFonts w:ascii="Times New Roman" w:hAnsi="Times New Roman"/>
          <w:bCs/>
          <w:i/>
          <w:sz w:val="24"/>
          <w:szCs w:val="24"/>
        </w:rPr>
        <w:t xml:space="preserve"> </w:t>
      </w:r>
      <w:proofErr w:type="spellStart"/>
      <w:r w:rsidRPr="000429F3">
        <w:rPr>
          <w:rFonts w:ascii="Times New Roman" w:hAnsi="Times New Roman"/>
          <w:bCs/>
          <w:i/>
          <w:sz w:val="24"/>
          <w:szCs w:val="24"/>
        </w:rPr>
        <w:t>Hildegardis</w:t>
      </w:r>
      <w:proofErr w:type="spellEnd"/>
      <w:r w:rsidRPr="000429F3">
        <w:rPr>
          <w:rFonts w:ascii="Times New Roman" w:hAnsi="Times New Roman"/>
          <w:bCs/>
          <w:i/>
          <w:sz w:val="24"/>
          <w:szCs w:val="24"/>
        </w:rPr>
        <w:t xml:space="preserve"> cause et cure </w:t>
      </w:r>
      <w:r w:rsidRPr="000429F3">
        <w:rPr>
          <w:rFonts w:ascii="Times New Roman" w:hAnsi="Times New Roman"/>
          <w:bCs/>
          <w:sz w:val="24"/>
          <w:szCs w:val="24"/>
        </w:rPr>
        <w:t>(‘Blessed Hildegarde’s Causes and Cures’), the single thirteenth-century manuscript within which this holistic wellness manual survives.</w:t>
      </w:r>
      <w:r w:rsidRPr="000429F3">
        <w:rPr>
          <w:rStyle w:val="FootnoteReference"/>
          <w:rFonts w:ascii="Times New Roman" w:hAnsi="Times New Roman"/>
          <w:bCs/>
          <w:sz w:val="24"/>
          <w:szCs w:val="24"/>
        </w:rPr>
        <w:footnoteReference w:id="5"/>
      </w:r>
      <w:r w:rsidRPr="000429F3">
        <w:rPr>
          <w:rFonts w:ascii="Times New Roman" w:hAnsi="Times New Roman"/>
          <w:bCs/>
          <w:i/>
          <w:sz w:val="24"/>
          <w:szCs w:val="24"/>
        </w:rPr>
        <w:t xml:space="preserve"> </w:t>
      </w:r>
      <w:r w:rsidRPr="000429F3">
        <w:rPr>
          <w:rFonts w:ascii="Times New Roman" w:hAnsi="Times New Roman"/>
          <w:bCs/>
          <w:sz w:val="24"/>
          <w:szCs w:val="24"/>
        </w:rPr>
        <w:t xml:space="preserve">Berger has argued that evidence, both in Hildegard’s accepted works and those of her hagiographers, suggests that Hildegard wrote one text on ‘natural philosophy and medicine’ which was later split into what are now known as </w:t>
      </w:r>
      <w:proofErr w:type="spellStart"/>
      <w:r w:rsidRPr="000429F3">
        <w:rPr>
          <w:rFonts w:ascii="Times New Roman" w:hAnsi="Times New Roman"/>
          <w:bCs/>
          <w:i/>
          <w:sz w:val="24"/>
          <w:szCs w:val="24"/>
        </w:rPr>
        <w:t>Physica</w:t>
      </w:r>
      <w:proofErr w:type="spellEnd"/>
      <w:r w:rsidRPr="000429F3">
        <w:rPr>
          <w:rFonts w:ascii="Times New Roman" w:hAnsi="Times New Roman"/>
          <w:bCs/>
          <w:i/>
          <w:sz w:val="24"/>
          <w:szCs w:val="24"/>
        </w:rPr>
        <w:t xml:space="preserve"> </w:t>
      </w:r>
      <w:r w:rsidRPr="000429F3">
        <w:rPr>
          <w:rFonts w:ascii="Times New Roman" w:hAnsi="Times New Roman"/>
          <w:bCs/>
          <w:sz w:val="24"/>
          <w:szCs w:val="24"/>
        </w:rPr>
        <w:t xml:space="preserve"> and </w:t>
      </w:r>
      <w:r w:rsidRPr="000429F3">
        <w:rPr>
          <w:rFonts w:ascii="Times New Roman" w:hAnsi="Times New Roman"/>
          <w:bCs/>
          <w:i/>
          <w:sz w:val="24"/>
          <w:szCs w:val="24"/>
        </w:rPr>
        <w:t>Cause et cure</w:t>
      </w:r>
      <w:r w:rsidRPr="000429F3">
        <w:rPr>
          <w:rFonts w:ascii="Times New Roman" w:hAnsi="Times New Roman"/>
          <w:bCs/>
          <w:sz w:val="24"/>
          <w:szCs w:val="24"/>
        </w:rPr>
        <w:t>.</w:t>
      </w:r>
      <w:r w:rsidRPr="000429F3">
        <w:rPr>
          <w:rStyle w:val="FootnoteReference"/>
          <w:rFonts w:ascii="Times New Roman" w:hAnsi="Times New Roman"/>
          <w:bCs/>
          <w:sz w:val="24"/>
          <w:szCs w:val="24"/>
        </w:rPr>
        <w:footnoteReference w:id="6"/>
      </w:r>
      <w:r w:rsidRPr="000429F3">
        <w:rPr>
          <w:rFonts w:ascii="Times New Roman" w:hAnsi="Times New Roman"/>
          <w:bCs/>
          <w:sz w:val="24"/>
          <w:szCs w:val="24"/>
        </w:rPr>
        <w:t xml:space="preserve"> The </w:t>
      </w:r>
      <w:r w:rsidRPr="000429F3">
        <w:rPr>
          <w:rFonts w:ascii="Times New Roman" w:hAnsi="Times New Roman"/>
          <w:bCs/>
          <w:sz w:val="24"/>
          <w:szCs w:val="24"/>
        </w:rPr>
        <w:lastRenderedPageBreak/>
        <w:t>latter’s contents circuitously range from the creation of the universe to the lunar horoscopes based on the conception days of children.</w:t>
      </w:r>
      <w:r w:rsidRPr="000429F3">
        <w:rPr>
          <w:rStyle w:val="FootnoteReference"/>
          <w:rFonts w:ascii="Times New Roman" w:hAnsi="Times New Roman"/>
          <w:bCs/>
          <w:sz w:val="24"/>
          <w:szCs w:val="24"/>
        </w:rPr>
        <w:footnoteReference w:id="7"/>
      </w:r>
      <w:r w:rsidRPr="000429F3">
        <w:rPr>
          <w:rFonts w:ascii="Times New Roman" w:hAnsi="Times New Roman"/>
          <w:bCs/>
          <w:sz w:val="24"/>
          <w:szCs w:val="24"/>
        </w:rPr>
        <w:t xml:space="preserve"> </w:t>
      </w:r>
      <w:r w:rsidR="0053069F">
        <w:rPr>
          <w:rFonts w:ascii="Times New Roman" w:hAnsi="Times New Roman"/>
          <w:bCs/>
          <w:sz w:val="24"/>
          <w:szCs w:val="24"/>
        </w:rPr>
        <w:t xml:space="preserve">Whilst Charles Singer argued in 1917 against </w:t>
      </w:r>
      <w:r w:rsidR="0053069F">
        <w:rPr>
          <w:rFonts w:ascii="Times New Roman" w:hAnsi="Times New Roman"/>
          <w:bCs/>
          <w:i/>
          <w:sz w:val="24"/>
          <w:szCs w:val="24"/>
        </w:rPr>
        <w:t xml:space="preserve">Cause et cure </w:t>
      </w:r>
      <w:r w:rsidR="0053069F">
        <w:rPr>
          <w:rFonts w:ascii="Times New Roman" w:hAnsi="Times New Roman"/>
          <w:bCs/>
          <w:sz w:val="24"/>
          <w:szCs w:val="24"/>
        </w:rPr>
        <w:t xml:space="preserve">being admitted into Hildegard’s corpus, Peter </w:t>
      </w:r>
      <w:proofErr w:type="spellStart"/>
      <w:r w:rsidR="0053069F">
        <w:rPr>
          <w:rFonts w:ascii="Times New Roman" w:hAnsi="Times New Roman"/>
          <w:bCs/>
          <w:sz w:val="24"/>
          <w:szCs w:val="24"/>
        </w:rPr>
        <w:t>Dronke</w:t>
      </w:r>
      <w:proofErr w:type="spellEnd"/>
      <w:r w:rsidR="0053069F">
        <w:rPr>
          <w:rFonts w:ascii="Times New Roman" w:hAnsi="Times New Roman"/>
          <w:bCs/>
          <w:sz w:val="24"/>
          <w:szCs w:val="24"/>
        </w:rPr>
        <w:t xml:space="preserve"> has more recently accepted its provenance</w:t>
      </w:r>
      <w:r w:rsidRPr="000429F3">
        <w:rPr>
          <w:rFonts w:ascii="Times New Roman" w:hAnsi="Times New Roman"/>
          <w:bCs/>
          <w:sz w:val="24"/>
          <w:szCs w:val="24"/>
        </w:rPr>
        <w:t>.</w:t>
      </w:r>
      <w:r w:rsidRPr="000429F3">
        <w:rPr>
          <w:rStyle w:val="FootnoteReference"/>
          <w:rFonts w:ascii="Times New Roman" w:hAnsi="Times New Roman"/>
          <w:bCs/>
          <w:sz w:val="24"/>
          <w:szCs w:val="24"/>
        </w:rPr>
        <w:footnoteReference w:id="8"/>
      </w:r>
      <w:r w:rsidRPr="000429F3">
        <w:rPr>
          <w:rFonts w:ascii="Times New Roman" w:hAnsi="Times New Roman"/>
          <w:bCs/>
          <w:sz w:val="24"/>
          <w:szCs w:val="24"/>
        </w:rPr>
        <w:t xml:space="preserve"> Berger</w:t>
      </w:r>
      <w:r w:rsidR="00C35F50">
        <w:rPr>
          <w:rFonts w:ascii="Times New Roman" w:hAnsi="Times New Roman"/>
          <w:bCs/>
          <w:sz w:val="24"/>
          <w:szCs w:val="24"/>
        </w:rPr>
        <w:t>, too, has tended towards acceptance,</w:t>
      </w:r>
      <w:r w:rsidRPr="000429F3">
        <w:rPr>
          <w:rFonts w:ascii="Times New Roman" w:hAnsi="Times New Roman"/>
          <w:bCs/>
          <w:sz w:val="24"/>
          <w:szCs w:val="24"/>
        </w:rPr>
        <w:t xml:space="preserve"> despite what she has dubbed its ‘quite precarious’ ‘manuscript tradition’.</w:t>
      </w:r>
      <w:r w:rsidRPr="000429F3">
        <w:rPr>
          <w:rStyle w:val="FootnoteReference"/>
          <w:rFonts w:ascii="Times New Roman" w:hAnsi="Times New Roman"/>
          <w:bCs/>
          <w:sz w:val="24"/>
          <w:szCs w:val="24"/>
        </w:rPr>
        <w:footnoteReference w:id="9"/>
      </w:r>
      <w:r w:rsidRPr="000429F3">
        <w:rPr>
          <w:rFonts w:ascii="Times New Roman" w:hAnsi="Times New Roman"/>
          <w:bCs/>
          <w:sz w:val="24"/>
          <w:szCs w:val="24"/>
        </w:rPr>
        <w:t xml:space="preserve"> </w:t>
      </w:r>
      <w:r w:rsidR="00F65034">
        <w:rPr>
          <w:rFonts w:ascii="Times New Roman" w:hAnsi="Times New Roman"/>
          <w:bCs/>
          <w:sz w:val="24"/>
          <w:szCs w:val="24"/>
        </w:rPr>
        <w:t>This essay will accept Hildegard’s authorship.</w:t>
      </w:r>
      <w:r w:rsidRPr="000429F3">
        <w:rPr>
          <w:rFonts w:ascii="Times New Roman" w:hAnsi="Times New Roman"/>
          <w:bCs/>
          <w:sz w:val="24"/>
          <w:szCs w:val="24"/>
        </w:rPr>
        <w:t xml:space="preserve"> </w:t>
      </w:r>
      <w:r w:rsidRPr="000429F3">
        <w:rPr>
          <w:rFonts w:ascii="Times New Roman" w:hAnsi="Times New Roman"/>
          <w:bCs/>
          <w:color w:val="auto"/>
          <w:sz w:val="24"/>
          <w:szCs w:val="24"/>
        </w:rPr>
        <w:t xml:space="preserve">Given by her parents as a child oblate to the care of Jutta of </w:t>
      </w:r>
      <w:proofErr w:type="spellStart"/>
      <w:r w:rsidRPr="000429F3">
        <w:rPr>
          <w:rFonts w:ascii="Times New Roman" w:hAnsi="Times New Roman"/>
          <w:bCs/>
          <w:color w:val="auto"/>
          <w:sz w:val="24"/>
          <w:szCs w:val="24"/>
        </w:rPr>
        <w:t>Sponheim</w:t>
      </w:r>
      <w:proofErr w:type="spellEnd"/>
      <w:r w:rsidRPr="000429F3">
        <w:rPr>
          <w:rFonts w:ascii="Times New Roman" w:hAnsi="Times New Roman"/>
          <w:bCs/>
          <w:color w:val="auto"/>
          <w:sz w:val="24"/>
          <w:szCs w:val="24"/>
        </w:rPr>
        <w:t xml:space="preserve">, Hildegard rose to fulfil Jutta’s eventual role of Abbess of Benedictine women </w:t>
      </w:r>
      <w:proofErr w:type="spellStart"/>
      <w:r w:rsidRPr="000429F3">
        <w:rPr>
          <w:rFonts w:ascii="Times New Roman" w:hAnsi="Times New Roman"/>
          <w:bCs/>
          <w:color w:val="auto"/>
          <w:sz w:val="24"/>
          <w:szCs w:val="24"/>
        </w:rPr>
        <w:t>Disibodenberg</w:t>
      </w:r>
      <w:proofErr w:type="spellEnd"/>
      <w:r w:rsidRPr="000429F3">
        <w:rPr>
          <w:rFonts w:ascii="Times New Roman" w:hAnsi="Times New Roman"/>
          <w:bCs/>
          <w:color w:val="auto"/>
          <w:sz w:val="24"/>
          <w:szCs w:val="24"/>
        </w:rPr>
        <w:t>, which was by that time a double monastery.</w:t>
      </w:r>
      <w:r w:rsidRPr="000429F3">
        <w:rPr>
          <w:rStyle w:val="FootnoteReference"/>
          <w:rFonts w:ascii="Times New Roman" w:hAnsi="Times New Roman"/>
          <w:bCs/>
          <w:color w:val="auto"/>
          <w:sz w:val="24"/>
          <w:szCs w:val="24"/>
        </w:rPr>
        <w:footnoteReference w:id="10"/>
      </w:r>
      <w:r w:rsidRPr="000429F3">
        <w:rPr>
          <w:rFonts w:ascii="Times New Roman" w:hAnsi="Times New Roman"/>
          <w:bCs/>
          <w:color w:val="auto"/>
          <w:sz w:val="24"/>
          <w:szCs w:val="24"/>
        </w:rPr>
        <w:t xml:space="preserve"> In 1148 she founded a monastery at </w:t>
      </w:r>
      <w:proofErr w:type="spellStart"/>
      <w:r w:rsidRPr="000429F3">
        <w:rPr>
          <w:rFonts w:ascii="Times New Roman" w:hAnsi="Times New Roman"/>
          <w:bCs/>
          <w:color w:val="auto"/>
          <w:sz w:val="24"/>
          <w:szCs w:val="24"/>
        </w:rPr>
        <w:t>Rupertsberg</w:t>
      </w:r>
      <w:proofErr w:type="spellEnd"/>
      <w:r w:rsidRPr="000429F3">
        <w:rPr>
          <w:rFonts w:ascii="Times New Roman" w:hAnsi="Times New Roman"/>
          <w:bCs/>
          <w:color w:val="auto"/>
          <w:sz w:val="24"/>
          <w:szCs w:val="24"/>
        </w:rPr>
        <w:t xml:space="preserve"> where, as Victoria Sweet has noted, ‘all of the other nuns (and their property)’ hitherto at </w:t>
      </w:r>
      <w:proofErr w:type="spellStart"/>
      <w:r w:rsidRPr="000429F3">
        <w:rPr>
          <w:rFonts w:ascii="Times New Roman" w:hAnsi="Times New Roman"/>
          <w:bCs/>
          <w:color w:val="auto"/>
          <w:sz w:val="24"/>
          <w:szCs w:val="24"/>
        </w:rPr>
        <w:t>Disibodenberg</w:t>
      </w:r>
      <w:proofErr w:type="spellEnd"/>
      <w:r w:rsidRPr="000429F3">
        <w:rPr>
          <w:rFonts w:ascii="Times New Roman" w:hAnsi="Times New Roman"/>
          <w:bCs/>
          <w:color w:val="auto"/>
          <w:sz w:val="24"/>
          <w:szCs w:val="24"/>
        </w:rPr>
        <w:t xml:space="preserve"> joined her.</w:t>
      </w:r>
      <w:r w:rsidRPr="000429F3">
        <w:rPr>
          <w:rStyle w:val="FootnoteReference"/>
          <w:rFonts w:ascii="Times New Roman" w:hAnsi="Times New Roman"/>
          <w:bCs/>
          <w:color w:val="auto"/>
          <w:sz w:val="24"/>
          <w:szCs w:val="24"/>
        </w:rPr>
        <w:footnoteReference w:id="11"/>
      </w:r>
      <w:r w:rsidRPr="000429F3">
        <w:rPr>
          <w:rFonts w:ascii="Times New Roman" w:hAnsi="Times New Roman"/>
          <w:bCs/>
          <w:color w:val="auto"/>
          <w:sz w:val="24"/>
          <w:szCs w:val="24"/>
        </w:rPr>
        <w:t xml:space="preserve"> During her first decade at</w:t>
      </w:r>
      <w:r>
        <w:rPr>
          <w:rFonts w:ascii="Times New Roman" w:hAnsi="Times New Roman"/>
          <w:bCs/>
          <w:color w:val="auto"/>
          <w:sz w:val="24"/>
          <w:szCs w:val="24"/>
        </w:rPr>
        <w:t xml:space="preserve"> </w:t>
      </w:r>
      <w:proofErr w:type="spellStart"/>
      <w:r>
        <w:rPr>
          <w:rFonts w:ascii="Times New Roman" w:hAnsi="Times New Roman"/>
          <w:bCs/>
          <w:color w:val="auto"/>
          <w:sz w:val="24"/>
          <w:szCs w:val="24"/>
        </w:rPr>
        <w:t>Ruperstberg</w:t>
      </w:r>
      <w:proofErr w:type="spellEnd"/>
      <w:r>
        <w:rPr>
          <w:rFonts w:ascii="Times New Roman" w:hAnsi="Times New Roman"/>
          <w:bCs/>
          <w:color w:val="auto"/>
          <w:sz w:val="24"/>
          <w:szCs w:val="24"/>
        </w:rPr>
        <w:t xml:space="preserve">, Hildegard created </w:t>
      </w:r>
      <w:r>
        <w:rPr>
          <w:rFonts w:ascii="Times New Roman" w:hAnsi="Times New Roman"/>
          <w:bCs/>
          <w:i/>
          <w:color w:val="auto"/>
          <w:sz w:val="24"/>
          <w:szCs w:val="24"/>
        </w:rPr>
        <w:t>Cause et cure</w:t>
      </w:r>
      <w:r>
        <w:rPr>
          <w:rFonts w:ascii="Times New Roman" w:hAnsi="Times New Roman"/>
          <w:bCs/>
          <w:color w:val="auto"/>
          <w:sz w:val="24"/>
          <w:szCs w:val="24"/>
        </w:rPr>
        <w:t xml:space="preserve">; </w:t>
      </w:r>
      <w:r w:rsidRPr="00E1530C">
        <w:rPr>
          <w:rFonts w:ascii="Times New Roman" w:hAnsi="Times New Roman"/>
          <w:bCs/>
          <w:color w:val="auto"/>
          <w:sz w:val="24"/>
          <w:szCs w:val="24"/>
        </w:rPr>
        <w:t>perhaps, as Sweet has argued, to teach</w:t>
      </w:r>
      <w:r w:rsidR="00287D52">
        <w:rPr>
          <w:rFonts w:ascii="Times New Roman" w:hAnsi="Times New Roman"/>
          <w:bCs/>
          <w:color w:val="auto"/>
          <w:sz w:val="24"/>
          <w:szCs w:val="24"/>
        </w:rPr>
        <w:t xml:space="preserve"> other</w:t>
      </w:r>
      <w:r w:rsidRPr="00E1530C">
        <w:rPr>
          <w:rFonts w:ascii="Times New Roman" w:hAnsi="Times New Roman"/>
          <w:bCs/>
          <w:color w:val="auto"/>
          <w:sz w:val="24"/>
          <w:szCs w:val="24"/>
        </w:rPr>
        <w:t xml:space="preserve"> women living in </w:t>
      </w:r>
      <w:r w:rsidR="00B93986">
        <w:rPr>
          <w:rFonts w:ascii="Times New Roman" w:hAnsi="Times New Roman"/>
          <w:bCs/>
          <w:color w:val="auto"/>
          <w:sz w:val="24"/>
          <w:szCs w:val="24"/>
        </w:rPr>
        <w:t xml:space="preserve">their </w:t>
      </w:r>
      <w:r w:rsidRPr="00E1530C">
        <w:rPr>
          <w:rFonts w:ascii="Times New Roman" w:hAnsi="Times New Roman"/>
          <w:bCs/>
          <w:color w:val="auto"/>
          <w:sz w:val="24"/>
          <w:szCs w:val="24"/>
        </w:rPr>
        <w:t>religious setting to apply the ‘natural sciences’ within the limits of Christianity to maintain physical and spiritual wellness of themselves and others.</w:t>
      </w:r>
      <w:r w:rsidRPr="00E1530C">
        <w:rPr>
          <w:rStyle w:val="FootnoteReference"/>
          <w:rFonts w:ascii="Times New Roman" w:hAnsi="Times New Roman"/>
          <w:bCs/>
          <w:color w:val="auto"/>
          <w:sz w:val="24"/>
          <w:szCs w:val="24"/>
        </w:rPr>
        <w:footnoteReference w:id="12"/>
      </w:r>
    </w:p>
    <w:p w14:paraId="4D9D4E74" w14:textId="77777777" w:rsidR="00965561" w:rsidRPr="00965561" w:rsidRDefault="00965561" w:rsidP="007E67AF">
      <w:pPr>
        <w:pStyle w:val="NormalWeb"/>
        <w:spacing w:before="0" w:beforeAutospacing="0" w:after="0" w:afterAutospacing="0"/>
        <w:ind w:right="-334"/>
        <w:jc w:val="both"/>
        <w:rPr>
          <w:rFonts w:ascii="Times New Roman" w:hAnsi="Times New Roman"/>
          <w:bCs/>
          <w:color w:val="auto"/>
          <w:sz w:val="24"/>
          <w:szCs w:val="24"/>
        </w:rPr>
      </w:pPr>
    </w:p>
    <w:p w14:paraId="590FD3DE" w14:textId="254E5B87" w:rsidR="00965561" w:rsidRDefault="00965561" w:rsidP="00965561">
      <w:pPr>
        <w:pStyle w:val="NormalWeb"/>
        <w:spacing w:before="0" w:beforeAutospacing="0" w:after="0" w:afterAutospacing="0"/>
        <w:ind w:right="-334"/>
        <w:jc w:val="both"/>
        <w:rPr>
          <w:rFonts w:ascii="Times New Roman" w:hAnsi="Times New Roman"/>
          <w:bCs/>
          <w:color w:val="auto"/>
          <w:sz w:val="24"/>
          <w:szCs w:val="24"/>
        </w:rPr>
      </w:pPr>
      <w:r w:rsidRPr="00965561">
        <w:rPr>
          <w:rFonts w:ascii="Times New Roman" w:hAnsi="Times New Roman"/>
          <w:bCs/>
          <w:sz w:val="24"/>
          <w:szCs w:val="24"/>
        </w:rPr>
        <w:t>Whilst Hildegard’s life and works can thus be positioned within a religious context, David R. Carlson has highlighted the lack of modern academic consensus on how Gower afforded to live and write</w:t>
      </w:r>
      <w:r w:rsidR="00C24DD7">
        <w:rPr>
          <w:rFonts w:ascii="Times New Roman" w:hAnsi="Times New Roman"/>
          <w:bCs/>
          <w:sz w:val="24"/>
          <w:szCs w:val="24"/>
        </w:rPr>
        <w:t xml:space="preserve"> in medieval England</w:t>
      </w:r>
      <w:r w:rsidRPr="00965561">
        <w:rPr>
          <w:rFonts w:ascii="Times New Roman" w:hAnsi="Times New Roman"/>
          <w:bCs/>
          <w:sz w:val="24"/>
          <w:szCs w:val="24"/>
        </w:rPr>
        <w:t xml:space="preserve">, though </w:t>
      </w:r>
      <w:r w:rsidR="00F1705E">
        <w:rPr>
          <w:rFonts w:ascii="Times New Roman" w:hAnsi="Times New Roman"/>
          <w:bCs/>
          <w:sz w:val="24"/>
          <w:szCs w:val="24"/>
        </w:rPr>
        <w:t xml:space="preserve">he </w:t>
      </w:r>
      <w:r w:rsidRPr="00965561">
        <w:rPr>
          <w:rFonts w:ascii="Times New Roman" w:hAnsi="Times New Roman"/>
          <w:bCs/>
          <w:sz w:val="24"/>
          <w:szCs w:val="24"/>
        </w:rPr>
        <w:t>does present the currently-favoured possibilities as practicing law and/or dealing in land.</w:t>
      </w:r>
      <w:r w:rsidRPr="00965561">
        <w:rPr>
          <w:rStyle w:val="FootnoteReference"/>
          <w:rFonts w:ascii="Times New Roman" w:hAnsi="Times New Roman"/>
          <w:bCs/>
          <w:sz w:val="24"/>
          <w:szCs w:val="24"/>
        </w:rPr>
        <w:footnoteReference w:id="13"/>
      </w:r>
      <w:r w:rsidRPr="00965561">
        <w:rPr>
          <w:rFonts w:ascii="Times New Roman" w:hAnsi="Times New Roman"/>
          <w:bCs/>
          <w:sz w:val="24"/>
          <w:szCs w:val="24"/>
        </w:rPr>
        <w:t xml:space="preserve"> </w:t>
      </w:r>
      <w:r w:rsidR="00C24DD7">
        <w:rPr>
          <w:rFonts w:ascii="Times New Roman" w:hAnsi="Times New Roman"/>
          <w:bCs/>
          <w:sz w:val="24"/>
          <w:szCs w:val="24"/>
        </w:rPr>
        <w:t xml:space="preserve">Martin J. </w:t>
      </w:r>
      <w:proofErr w:type="spellStart"/>
      <w:r w:rsidR="00C24DD7">
        <w:rPr>
          <w:rFonts w:ascii="Times New Roman" w:hAnsi="Times New Roman"/>
          <w:bCs/>
          <w:sz w:val="24"/>
          <w:szCs w:val="24"/>
        </w:rPr>
        <w:t>Duffell</w:t>
      </w:r>
      <w:proofErr w:type="spellEnd"/>
      <w:r w:rsidR="00C24DD7">
        <w:rPr>
          <w:rFonts w:ascii="Times New Roman" w:hAnsi="Times New Roman"/>
          <w:bCs/>
          <w:sz w:val="24"/>
          <w:szCs w:val="24"/>
        </w:rPr>
        <w:t xml:space="preserve"> has offered a summary of his version of Gower’s life as </w:t>
      </w:r>
      <w:r w:rsidR="005354FF">
        <w:rPr>
          <w:rFonts w:ascii="Times New Roman" w:hAnsi="Times New Roman"/>
          <w:bCs/>
          <w:sz w:val="24"/>
          <w:szCs w:val="24"/>
        </w:rPr>
        <w:t>including</w:t>
      </w:r>
      <w:r w:rsidR="00C24DD7">
        <w:rPr>
          <w:rFonts w:ascii="Times New Roman" w:hAnsi="Times New Roman"/>
          <w:bCs/>
          <w:sz w:val="24"/>
          <w:szCs w:val="24"/>
        </w:rPr>
        <w:t xml:space="preserve"> a</w:t>
      </w:r>
      <w:r w:rsidR="005354FF">
        <w:rPr>
          <w:rFonts w:ascii="Times New Roman" w:hAnsi="Times New Roman"/>
          <w:bCs/>
          <w:sz w:val="24"/>
          <w:szCs w:val="24"/>
        </w:rPr>
        <w:t>n</w:t>
      </w:r>
      <w:r w:rsidR="00C24DD7">
        <w:rPr>
          <w:rFonts w:ascii="Times New Roman" w:hAnsi="Times New Roman"/>
          <w:bCs/>
          <w:sz w:val="24"/>
          <w:szCs w:val="24"/>
        </w:rPr>
        <w:t xml:space="preserve"> ‘undoubtedly close’ friendship with Geoffrey Chauce</w:t>
      </w:r>
      <w:r w:rsidR="0097211A">
        <w:rPr>
          <w:rFonts w:ascii="Times New Roman" w:hAnsi="Times New Roman"/>
          <w:bCs/>
          <w:sz w:val="24"/>
          <w:szCs w:val="24"/>
        </w:rPr>
        <w:t>r</w:t>
      </w:r>
      <w:r w:rsidR="005354FF">
        <w:rPr>
          <w:rFonts w:ascii="Times New Roman" w:hAnsi="Times New Roman"/>
          <w:bCs/>
          <w:sz w:val="24"/>
          <w:szCs w:val="24"/>
        </w:rPr>
        <w:t xml:space="preserve"> based on</w:t>
      </w:r>
      <w:r w:rsidR="00BD0791">
        <w:rPr>
          <w:rFonts w:ascii="Times New Roman" w:hAnsi="Times New Roman"/>
          <w:bCs/>
          <w:sz w:val="24"/>
          <w:szCs w:val="24"/>
        </w:rPr>
        <w:t xml:space="preserve"> </w:t>
      </w:r>
      <w:r w:rsidR="005354FF">
        <w:rPr>
          <w:rFonts w:ascii="Times New Roman" w:hAnsi="Times New Roman"/>
          <w:bCs/>
          <w:sz w:val="24"/>
          <w:szCs w:val="24"/>
        </w:rPr>
        <w:t>reciprocal textual inclusion</w:t>
      </w:r>
      <w:r w:rsidR="0097211A">
        <w:rPr>
          <w:rFonts w:ascii="Times New Roman" w:hAnsi="Times New Roman"/>
          <w:bCs/>
          <w:sz w:val="24"/>
          <w:szCs w:val="24"/>
        </w:rPr>
        <w:t>.</w:t>
      </w:r>
      <w:r w:rsidR="0097211A">
        <w:rPr>
          <w:rStyle w:val="FootnoteReference"/>
          <w:rFonts w:ascii="Times New Roman" w:hAnsi="Times New Roman"/>
          <w:bCs/>
          <w:sz w:val="24"/>
          <w:szCs w:val="24"/>
        </w:rPr>
        <w:footnoteReference w:id="14"/>
      </w:r>
      <w:r w:rsidR="008F781A">
        <w:rPr>
          <w:rFonts w:ascii="Times New Roman" w:hAnsi="Times New Roman"/>
          <w:bCs/>
          <w:sz w:val="24"/>
          <w:szCs w:val="24"/>
        </w:rPr>
        <w:t xml:space="preserve"> </w:t>
      </w:r>
      <w:proofErr w:type="spellStart"/>
      <w:r w:rsidR="0097211A">
        <w:rPr>
          <w:rFonts w:ascii="Times New Roman" w:hAnsi="Times New Roman"/>
          <w:bCs/>
          <w:sz w:val="24"/>
          <w:szCs w:val="24"/>
        </w:rPr>
        <w:t>Duffell</w:t>
      </w:r>
      <w:proofErr w:type="spellEnd"/>
      <w:r w:rsidR="0097211A">
        <w:rPr>
          <w:rFonts w:ascii="Times New Roman" w:hAnsi="Times New Roman"/>
          <w:bCs/>
          <w:sz w:val="24"/>
          <w:szCs w:val="24"/>
        </w:rPr>
        <w:t xml:space="preserve"> has extended this to </w:t>
      </w:r>
      <w:r w:rsidR="0081531B">
        <w:rPr>
          <w:rFonts w:ascii="Times New Roman" w:hAnsi="Times New Roman"/>
          <w:bCs/>
          <w:sz w:val="24"/>
          <w:szCs w:val="24"/>
        </w:rPr>
        <w:t xml:space="preserve">conjecture that Chaucer’s popular success in Middle English composition was instrumental in Gower using that language </w:t>
      </w:r>
      <w:r w:rsidR="001035CC">
        <w:rPr>
          <w:rFonts w:ascii="Times New Roman" w:hAnsi="Times New Roman"/>
          <w:bCs/>
          <w:sz w:val="24"/>
          <w:szCs w:val="24"/>
        </w:rPr>
        <w:t xml:space="preserve">to compose </w:t>
      </w:r>
      <w:proofErr w:type="spellStart"/>
      <w:r w:rsidR="001035CC">
        <w:rPr>
          <w:rFonts w:ascii="Times New Roman" w:hAnsi="Times New Roman"/>
          <w:bCs/>
          <w:i/>
          <w:sz w:val="24"/>
          <w:szCs w:val="24"/>
        </w:rPr>
        <w:t>Confessio</w:t>
      </w:r>
      <w:proofErr w:type="spellEnd"/>
      <w:r w:rsidR="001035CC">
        <w:rPr>
          <w:rFonts w:ascii="Times New Roman" w:hAnsi="Times New Roman"/>
          <w:bCs/>
          <w:i/>
          <w:sz w:val="24"/>
          <w:szCs w:val="24"/>
        </w:rPr>
        <w:t xml:space="preserve"> </w:t>
      </w:r>
      <w:proofErr w:type="spellStart"/>
      <w:r w:rsidR="001035CC">
        <w:rPr>
          <w:rFonts w:ascii="Times New Roman" w:hAnsi="Times New Roman"/>
          <w:bCs/>
          <w:i/>
          <w:sz w:val="24"/>
          <w:szCs w:val="24"/>
        </w:rPr>
        <w:t>Amantis</w:t>
      </w:r>
      <w:proofErr w:type="spellEnd"/>
      <w:r w:rsidR="0081531B">
        <w:rPr>
          <w:rFonts w:ascii="Times New Roman" w:hAnsi="Times New Roman"/>
          <w:bCs/>
          <w:sz w:val="24"/>
          <w:szCs w:val="24"/>
        </w:rPr>
        <w:t>.</w:t>
      </w:r>
      <w:r w:rsidR="0081531B">
        <w:rPr>
          <w:rStyle w:val="FootnoteReference"/>
          <w:rFonts w:ascii="Times New Roman" w:hAnsi="Times New Roman"/>
          <w:bCs/>
          <w:sz w:val="24"/>
          <w:szCs w:val="24"/>
        </w:rPr>
        <w:footnoteReference w:id="15"/>
      </w:r>
      <w:r w:rsidR="00C24DD7">
        <w:rPr>
          <w:rFonts w:ascii="Times New Roman" w:hAnsi="Times New Roman"/>
          <w:bCs/>
          <w:sz w:val="24"/>
          <w:szCs w:val="24"/>
        </w:rPr>
        <w:t xml:space="preserve"> </w:t>
      </w:r>
      <w:proofErr w:type="spellStart"/>
      <w:r>
        <w:rPr>
          <w:rFonts w:ascii="Times New Roman" w:hAnsi="Times New Roman"/>
          <w:bCs/>
          <w:i/>
          <w:sz w:val="24"/>
          <w:szCs w:val="24"/>
        </w:rPr>
        <w:t>Confessio</w:t>
      </w:r>
      <w:proofErr w:type="spellEnd"/>
      <w:r>
        <w:rPr>
          <w:rFonts w:ascii="Times New Roman" w:hAnsi="Times New Roman"/>
          <w:bCs/>
          <w:i/>
          <w:sz w:val="24"/>
          <w:szCs w:val="24"/>
        </w:rPr>
        <w:t xml:space="preserve"> </w:t>
      </w:r>
      <w:proofErr w:type="spellStart"/>
      <w:r>
        <w:rPr>
          <w:rFonts w:ascii="Times New Roman" w:hAnsi="Times New Roman"/>
          <w:bCs/>
          <w:i/>
          <w:sz w:val="24"/>
          <w:szCs w:val="24"/>
        </w:rPr>
        <w:t>Amantis</w:t>
      </w:r>
      <w:proofErr w:type="spellEnd"/>
      <w:r>
        <w:rPr>
          <w:rFonts w:ascii="Times New Roman" w:hAnsi="Times New Roman"/>
          <w:bCs/>
          <w:i/>
          <w:sz w:val="24"/>
          <w:szCs w:val="24"/>
        </w:rPr>
        <w:t xml:space="preserve"> </w:t>
      </w:r>
      <w:r>
        <w:rPr>
          <w:rFonts w:ascii="Times New Roman" w:hAnsi="Times New Roman"/>
          <w:bCs/>
          <w:sz w:val="24"/>
          <w:szCs w:val="24"/>
        </w:rPr>
        <w:t xml:space="preserve">is a </w:t>
      </w:r>
      <w:r w:rsidR="003421BC">
        <w:rPr>
          <w:rFonts w:ascii="Times New Roman" w:hAnsi="Times New Roman"/>
          <w:bCs/>
          <w:sz w:val="24"/>
          <w:szCs w:val="24"/>
        </w:rPr>
        <w:t>dialogic poem</w:t>
      </w:r>
      <w:r>
        <w:rPr>
          <w:rFonts w:ascii="Times New Roman" w:hAnsi="Times New Roman"/>
          <w:bCs/>
          <w:sz w:val="24"/>
          <w:szCs w:val="24"/>
        </w:rPr>
        <w:t xml:space="preserve"> comprising a prologue with eight subsequent thematic books, with the overarching structure of a lover, conventionally </w:t>
      </w:r>
      <w:proofErr w:type="spellStart"/>
      <w:r>
        <w:rPr>
          <w:rFonts w:ascii="Times New Roman" w:hAnsi="Times New Roman"/>
          <w:bCs/>
          <w:sz w:val="24"/>
          <w:szCs w:val="24"/>
        </w:rPr>
        <w:t>Amans</w:t>
      </w:r>
      <w:proofErr w:type="spellEnd"/>
      <w:r>
        <w:rPr>
          <w:rFonts w:ascii="Times New Roman" w:hAnsi="Times New Roman"/>
          <w:bCs/>
          <w:sz w:val="24"/>
          <w:szCs w:val="24"/>
        </w:rPr>
        <w:t>, entering into a confession of his love-related sins to Venus’s chaplain, Genius.</w:t>
      </w:r>
      <w:r>
        <w:rPr>
          <w:rStyle w:val="FootnoteReference"/>
          <w:rFonts w:ascii="Times New Roman" w:hAnsi="Times New Roman"/>
          <w:bCs/>
          <w:sz w:val="24"/>
          <w:szCs w:val="24"/>
        </w:rPr>
        <w:footnoteReference w:id="16"/>
      </w:r>
      <w:r>
        <w:rPr>
          <w:rFonts w:ascii="Times New Roman" w:hAnsi="Times New Roman"/>
          <w:bCs/>
          <w:sz w:val="24"/>
          <w:szCs w:val="24"/>
        </w:rPr>
        <w:t xml:space="preserve"> The first six books correlate with confessions relating to six of the </w:t>
      </w:r>
      <w:r w:rsidR="007C59FD">
        <w:rPr>
          <w:rFonts w:ascii="Times New Roman" w:hAnsi="Times New Roman"/>
          <w:bCs/>
          <w:sz w:val="24"/>
          <w:szCs w:val="24"/>
        </w:rPr>
        <w:t>S</w:t>
      </w:r>
      <w:r>
        <w:rPr>
          <w:rFonts w:ascii="Times New Roman" w:hAnsi="Times New Roman"/>
          <w:bCs/>
          <w:sz w:val="24"/>
          <w:szCs w:val="24"/>
        </w:rPr>
        <w:t xml:space="preserve">even </w:t>
      </w:r>
      <w:r w:rsidR="007C59FD">
        <w:rPr>
          <w:rFonts w:ascii="Times New Roman" w:hAnsi="Times New Roman"/>
          <w:bCs/>
          <w:sz w:val="24"/>
          <w:szCs w:val="24"/>
        </w:rPr>
        <w:t>D</w:t>
      </w:r>
      <w:r>
        <w:rPr>
          <w:rFonts w:ascii="Times New Roman" w:hAnsi="Times New Roman"/>
          <w:bCs/>
          <w:sz w:val="24"/>
          <w:szCs w:val="24"/>
        </w:rPr>
        <w:t xml:space="preserve">eadly </w:t>
      </w:r>
      <w:r w:rsidR="007C59FD">
        <w:rPr>
          <w:rFonts w:ascii="Times New Roman" w:hAnsi="Times New Roman"/>
          <w:bCs/>
          <w:sz w:val="24"/>
          <w:szCs w:val="24"/>
        </w:rPr>
        <w:t>S</w:t>
      </w:r>
      <w:r>
        <w:rPr>
          <w:rFonts w:ascii="Times New Roman" w:hAnsi="Times New Roman"/>
          <w:bCs/>
          <w:sz w:val="24"/>
          <w:szCs w:val="24"/>
        </w:rPr>
        <w:t>ins.</w:t>
      </w:r>
      <w:r>
        <w:rPr>
          <w:rStyle w:val="FootnoteReference"/>
          <w:rFonts w:ascii="Times New Roman" w:hAnsi="Times New Roman"/>
          <w:bCs/>
          <w:sz w:val="24"/>
          <w:szCs w:val="24"/>
        </w:rPr>
        <w:footnoteReference w:id="17"/>
      </w:r>
      <w:r>
        <w:rPr>
          <w:rFonts w:ascii="Times New Roman" w:hAnsi="Times New Roman"/>
          <w:bCs/>
          <w:sz w:val="24"/>
          <w:szCs w:val="24"/>
        </w:rPr>
        <w:t xml:space="preserve"> </w:t>
      </w:r>
      <w:r w:rsidRPr="00A32F4C">
        <w:rPr>
          <w:rFonts w:ascii="Times New Roman" w:hAnsi="Times New Roman"/>
          <w:bCs/>
          <w:sz w:val="24"/>
          <w:szCs w:val="24"/>
        </w:rPr>
        <w:t xml:space="preserve">The seventh book – with which this essay will interact – offers a break in </w:t>
      </w:r>
      <w:proofErr w:type="spellStart"/>
      <w:r w:rsidRPr="00A32F4C">
        <w:rPr>
          <w:rFonts w:ascii="Times New Roman" w:hAnsi="Times New Roman"/>
          <w:bCs/>
          <w:sz w:val="24"/>
          <w:szCs w:val="24"/>
        </w:rPr>
        <w:t>Amans’s</w:t>
      </w:r>
      <w:proofErr w:type="spellEnd"/>
      <w:r w:rsidRPr="00A32F4C">
        <w:rPr>
          <w:rFonts w:ascii="Times New Roman" w:hAnsi="Times New Roman"/>
          <w:bCs/>
          <w:sz w:val="24"/>
          <w:szCs w:val="24"/>
        </w:rPr>
        <w:t xml:space="preserve"> confession, allowing Genius the opportunity to share his knowledge of</w:t>
      </w:r>
      <w:r w:rsidR="003421BC">
        <w:rPr>
          <w:rFonts w:ascii="Times New Roman" w:hAnsi="Times New Roman"/>
          <w:bCs/>
          <w:sz w:val="24"/>
          <w:szCs w:val="24"/>
        </w:rPr>
        <w:t xml:space="preserve"> Alexander the Great’s purported Aristotelian curriculum</w:t>
      </w:r>
      <w:r w:rsidRPr="00A32F4C">
        <w:rPr>
          <w:rFonts w:ascii="Times New Roman" w:hAnsi="Times New Roman"/>
          <w:bCs/>
          <w:sz w:val="24"/>
          <w:szCs w:val="24"/>
        </w:rPr>
        <w:t>.</w:t>
      </w:r>
      <w:r w:rsidRPr="00A32F4C">
        <w:rPr>
          <w:rStyle w:val="FootnoteReference"/>
          <w:rFonts w:ascii="Times New Roman" w:hAnsi="Times New Roman"/>
          <w:bCs/>
          <w:sz w:val="24"/>
          <w:szCs w:val="24"/>
        </w:rPr>
        <w:footnoteReference w:id="18"/>
      </w:r>
      <w:r w:rsidRPr="00A32F4C">
        <w:rPr>
          <w:rFonts w:ascii="Times New Roman" w:hAnsi="Times New Roman"/>
          <w:bCs/>
          <w:sz w:val="24"/>
          <w:szCs w:val="24"/>
        </w:rPr>
        <w:t xml:space="preserve"> </w:t>
      </w:r>
      <w:r>
        <w:rPr>
          <w:rFonts w:ascii="Times New Roman" w:hAnsi="Times New Roman"/>
          <w:bCs/>
          <w:color w:val="auto"/>
          <w:sz w:val="24"/>
          <w:szCs w:val="24"/>
        </w:rPr>
        <w:t>T</w:t>
      </w:r>
      <w:r>
        <w:rPr>
          <w:rFonts w:ascii="Times New Roman" w:hAnsi="Times New Roman"/>
          <w:bCs/>
          <w:sz w:val="24"/>
          <w:szCs w:val="24"/>
        </w:rPr>
        <w:t xml:space="preserve">he manuscript tradition of </w:t>
      </w:r>
      <w:proofErr w:type="spellStart"/>
      <w:r>
        <w:rPr>
          <w:rFonts w:ascii="Times New Roman" w:hAnsi="Times New Roman"/>
          <w:bCs/>
          <w:i/>
          <w:sz w:val="24"/>
          <w:szCs w:val="24"/>
        </w:rPr>
        <w:t>Confessio</w:t>
      </w:r>
      <w:proofErr w:type="spellEnd"/>
      <w:r>
        <w:rPr>
          <w:rFonts w:ascii="Times New Roman" w:hAnsi="Times New Roman"/>
          <w:bCs/>
          <w:i/>
          <w:sz w:val="24"/>
          <w:szCs w:val="24"/>
        </w:rPr>
        <w:t xml:space="preserve"> </w:t>
      </w:r>
      <w:proofErr w:type="spellStart"/>
      <w:r>
        <w:rPr>
          <w:rFonts w:ascii="Times New Roman" w:hAnsi="Times New Roman"/>
          <w:bCs/>
          <w:i/>
          <w:sz w:val="24"/>
          <w:szCs w:val="24"/>
        </w:rPr>
        <w:t>Amantis</w:t>
      </w:r>
      <w:proofErr w:type="spellEnd"/>
      <w:r>
        <w:rPr>
          <w:rFonts w:ascii="Times New Roman" w:hAnsi="Times New Roman"/>
          <w:bCs/>
          <w:sz w:val="24"/>
          <w:szCs w:val="24"/>
        </w:rPr>
        <w:t xml:space="preserve">, in contrast to that of </w:t>
      </w:r>
      <w:r>
        <w:rPr>
          <w:rFonts w:ascii="Times New Roman" w:hAnsi="Times New Roman"/>
          <w:bCs/>
          <w:i/>
          <w:sz w:val="24"/>
          <w:szCs w:val="24"/>
        </w:rPr>
        <w:t>Cause et cure</w:t>
      </w:r>
      <w:r>
        <w:rPr>
          <w:rFonts w:ascii="Times New Roman" w:hAnsi="Times New Roman"/>
          <w:bCs/>
          <w:sz w:val="24"/>
          <w:szCs w:val="24"/>
        </w:rPr>
        <w:t>,</w:t>
      </w:r>
      <w:r>
        <w:rPr>
          <w:rFonts w:ascii="Times New Roman" w:hAnsi="Times New Roman"/>
          <w:bCs/>
          <w:i/>
          <w:sz w:val="24"/>
          <w:szCs w:val="24"/>
        </w:rPr>
        <w:t xml:space="preserve"> </w:t>
      </w:r>
      <w:r>
        <w:rPr>
          <w:rFonts w:ascii="Times New Roman" w:hAnsi="Times New Roman"/>
          <w:bCs/>
          <w:sz w:val="24"/>
          <w:szCs w:val="24"/>
        </w:rPr>
        <w:t xml:space="preserve">is particularly strong: it appears to have been a popular text, </w:t>
      </w:r>
      <w:r w:rsidR="00750A1A">
        <w:rPr>
          <w:rFonts w:ascii="Times New Roman" w:hAnsi="Times New Roman"/>
          <w:bCs/>
          <w:sz w:val="24"/>
          <w:szCs w:val="24"/>
        </w:rPr>
        <w:t xml:space="preserve">with forty-nine </w:t>
      </w:r>
      <w:r w:rsidR="00750A1A">
        <w:rPr>
          <w:rFonts w:ascii="Times New Roman" w:hAnsi="Times New Roman"/>
          <w:bCs/>
          <w:sz w:val="24"/>
          <w:szCs w:val="24"/>
        </w:rPr>
        <w:lastRenderedPageBreak/>
        <w:t>extant</w:t>
      </w:r>
      <w:r w:rsidR="00952014">
        <w:rPr>
          <w:rFonts w:ascii="Times New Roman" w:hAnsi="Times New Roman"/>
          <w:bCs/>
          <w:sz w:val="24"/>
          <w:szCs w:val="24"/>
        </w:rPr>
        <w:t xml:space="preserve"> manuscript</w:t>
      </w:r>
      <w:r w:rsidR="00CF6E02">
        <w:rPr>
          <w:rFonts w:ascii="Times New Roman" w:hAnsi="Times New Roman"/>
          <w:bCs/>
          <w:sz w:val="24"/>
          <w:szCs w:val="24"/>
        </w:rPr>
        <w:t xml:space="preserve"> versions </w:t>
      </w:r>
      <w:r w:rsidR="002716E5">
        <w:rPr>
          <w:rFonts w:ascii="Times New Roman" w:hAnsi="Times New Roman"/>
          <w:bCs/>
          <w:sz w:val="24"/>
          <w:szCs w:val="24"/>
        </w:rPr>
        <w:t>classified</w:t>
      </w:r>
      <w:r w:rsidR="00952014">
        <w:rPr>
          <w:rFonts w:ascii="Times New Roman" w:hAnsi="Times New Roman"/>
          <w:bCs/>
          <w:sz w:val="24"/>
          <w:szCs w:val="24"/>
        </w:rPr>
        <w:t xml:space="preserve"> by John Fisher.</w:t>
      </w:r>
      <w:r>
        <w:rPr>
          <w:rStyle w:val="FootnoteReference"/>
          <w:rFonts w:ascii="Times New Roman" w:hAnsi="Times New Roman"/>
          <w:bCs/>
          <w:sz w:val="24"/>
          <w:szCs w:val="24"/>
        </w:rPr>
        <w:footnoteReference w:id="19"/>
      </w:r>
      <w:r>
        <w:rPr>
          <w:rFonts w:ascii="Times New Roman" w:hAnsi="Times New Roman"/>
          <w:bCs/>
          <w:sz w:val="24"/>
          <w:szCs w:val="24"/>
        </w:rPr>
        <w:t xml:space="preserve"> This essay will refer to </w:t>
      </w:r>
      <w:r w:rsidR="005477A3">
        <w:rPr>
          <w:rFonts w:ascii="Times New Roman" w:hAnsi="Times New Roman"/>
          <w:bCs/>
          <w:sz w:val="24"/>
          <w:szCs w:val="24"/>
        </w:rPr>
        <w:t xml:space="preserve">the </w:t>
      </w:r>
      <w:r w:rsidR="00EE3429">
        <w:rPr>
          <w:rFonts w:ascii="Times New Roman" w:hAnsi="Times New Roman"/>
          <w:bCs/>
          <w:sz w:val="24"/>
          <w:szCs w:val="24"/>
        </w:rPr>
        <w:t xml:space="preserve">book seven </w:t>
      </w:r>
      <w:r w:rsidR="000D53A2">
        <w:rPr>
          <w:rFonts w:ascii="Times New Roman" w:hAnsi="Times New Roman"/>
          <w:bCs/>
          <w:sz w:val="24"/>
          <w:szCs w:val="24"/>
        </w:rPr>
        <w:t>of</w:t>
      </w:r>
      <w:r w:rsidR="005477A3">
        <w:rPr>
          <w:rFonts w:ascii="Times New Roman" w:hAnsi="Times New Roman"/>
          <w:bCs/>
          <w:sz w:val="24"/>
          <w:szCs w:val="24"/>
        </w:rPr>
        <w:t>fered in</w:t>
      </w:r>
      <w:r w:rsidR="00EE3429">
        <w:rPr>
          <w:rFonts w:ascii="Times New Roman" w:hAnsi="Times New Roman"/>
          <w:bCs/>
          <w:sz w:val="24"/>
          <w:szCs w:val="24"/>
        </w:rPr>
        <w:t xml:space="preserve"> </w:t>
      </w:r>
      <w:r>
        <w:rPr>
          <w:rFonts w:ascii="Times New Roman" w:hAnsi="Times New Roman"/>
          <w:bCs/>
          <w:sz w:val="24"/>
          <w:szCs w:val="24"/>
        </w:rPr>
        <w:t>Russell A. Peck’s amalgamated edition of these Middle English manuscripts.</w:t>
      </w:r>
      <w:r>
        <w:rPr>
          <w:rStyle w:val="FootnoteReference"/>
          <w:rFonts w:ascii="Times New Roman" w:hAnsi="Times New Roman"/>
          <w:bCs/>
          <w:sz w:val="24"/>
          <w:szCs w:val="24"/>
        </w:rPr>
        <w:footnoteReference w:id="20"/>
      </w:r>
      <w:r>
        <w:rPr>
          <w:rFonts w:ascii="Times New Roman" w:hAnsi="Times New Roman"/>
          <w:bCs/>
          <w:sz w:val="24"/>
          <w:szCs w:val="24"/>
        </w:rPr>
        <w:t xml:space="preserve"> </w:t>
      </w:r>
    </w:p>
    <w:p w14:paraId="10F824A3" w14:textId="7E6F58CE" w:rsidR="00965561" w:rsidRDefault="00965561" w:rsidP="00965561">
      <w:pPr>
        <w:rPr>
          <w:rFonts w:eastAsiaTheme="minorHAnsi"/>
          <w:lang w:eastAsia="en-GB"/>
        </w:rPr>
      </w:pPr>
    </w:p>
    <w:p w14:paraId="47F477C2" w14:textId="51313DA8" w:rsidR="005354FF" w:rsidRDefault="005354FF" w:rsidP="005354FF">
      <w:pPr>
        <w:jc w:val="both"/>
        <w:rPr>
          <w:b/>
        </w:rPr>
      </w:pPr>
      <w:r>
        <w:rPr>
          <w:b/>
        </w:rPr>
        <w:t xml:space="preserve">Medieval </w:t>
      </w:r>
      <w:r w:rsidR="00B73D5E">
        <w:rPr>
          <w:b/>
        </w:rPr>
        <w:t>Europe: Astrology and Christianity</w:t>
      </w:r>
    </w:p>
    <w:p w14:paraId="08A3230C" w14:textId="77777777" w:rsidR="005354FF" w:rsidRDefault="005354FF" w:rsidP="005354FF">
      <w:pPr>
        <w:jc w:val="both"/>
      </w:pPr>
    </w:p>
    <w:p w14:paraId="75844777" w14:textId="768166C1" w:rsidR="005354FF" w:rsidRDefault="00CE7004" w:rsidP="005354FF">
      <w:pPr>
        <w:jc w:val="both"/>
        <w:rPr>
          <w:i/>
        </w:rPr>
      </w:pPr>
      <w:r>
        <w:t>T</w:t>
      </w:r>
      <w:r w:rsidR="005354FF">
        <w:t xml:space="preserve">his essay draws an intrinsic link between medieval Europe and medieval Christianity, thereby entwining medieval astrology with both. Whilst Hildegard wrote </w:t>
      </w:r>
      <w:r w:rsidR="005354FF">
        <w:rPr>
          <w:i/>
        </w:rPr>
        <w:t xml:space="preserve">Cause et cure </w:t>
      </w:r>
      <w:r w:rsidR="005354FF">
        <w:t xml:space="preserve">from within a Benedictine monastery, </w:t>
      </w:r>
      <w:r w:rsidR="002E545D">
        <w:t xml:space="preserve">thus </w:t>
      </w:r>
      <w:r w:rsidR="005354FF">
        <w:t>implicitly creating a</w:t>
      </w:r>
      <w:r w:rsidR="005B12B6">
        <w:t>n</w:t>
      </w:r>
      <w:r w:rsidR="005354FF">
        <w:t xml:space="preserve"> </w:t>
      </w:r>
      <w:r w:rsidR="005B12B6">
        <w:t>association</w:t>
      </w:r>
      <w:r w:rsidR="005354FF">
        <w:t xml:space="preserve"> between its contents and the religion she both practiced and was surrounded by, Gower</w:t>
      </w:r>
      <w:r w:rsidR="002E545D">
        <w:t>’s</w:t>
      </w:r>
      <w:r w:rsidR="005354FF">
        <w:t xml:space="preserve"> secular </w:t>
      </w:r>
      <w:r w:rsidR="002E545D">
        <w:t xml:space="preserve">status </w:t>
      </w:r>
      <w:r w:rsidR="005354FF">
        <w:t xml:space="preserve">did not distance him far from medieval Christianity. On the contrary, Fisher has concluded that, based on contemporary records, Gower lived within the grounds of – and made use of the library at – St. Mary </w:t>
      </w:r>
      <w:proofErr w:type="spellStart"/>
      <w:r w:rsidR="005354FF">
        <w:t>Overeys</w:t>
      </w:r>
      <w:proofErr w:type="spellEnd"/>
      <w:r w:rsidR="005354FF">
        <w:t xml:space="preserve"> Priory in Southwark for the final three decades of his life.</w:t>
      </w:r>
      <w:r w:rsidR="005354FF">
        <w:rPr>
          <w:rStyle w:val="FootnoteReference"/>
        </w:rPr>
        <w:footnoteReference w:id="21"/>
      </w:r>
      <w:r w:rsidR="005354FF">
        <w:t xml:space="preserve"> Even without this connection, the power of the Christian faith within medieval Europe appears to have been pervasive</w:t>
      </w:r>
      <w:r w:rsidR="00F5675F">
        <w:t>;</w:t>
      </w:r>
      <w:r w:rsidR="005354FF">
        <w:t xml:space="preserve"> as Rubin and Walter Simons have together argued, ‘efforts by papacy, bishops, theologians, poets and rulers to define and then maintain’ it are all ‘encountered’ in extant sources from this period.</w:t>
      </w:r>
      <w:r w:rsidR="005354FF">
        <w:rPr>
          <w:rStyle w:val="FootnoteReference"/>
        </w:rPr>
        <w:footnoteReference w:id="22"/>
      </w:r>
      <w:r w:rsidR="005354FF">
        <w:t xml:space="preserve"> </w:t>
      </w:r>
      <w:r w:rsidR="00D365F5">
        <w:t xml:space="preserve">That Rubin and Simons group members of the  upper echelons of both religious and secular society with the poets whose work bridged, mirrored, and commented upon their relationship with the rest of society is perhaps telling. </w:t>
      </w:r>
      <w:r w:rsidR="00DE6465">
        <w:t xml:space="preserve">This historiographical perspective implies that the relationship between </w:t>
      </w:r>
      <w:r w:rsidR="00D365F5">
        <w:t>medieval European people and the Christian church was such that few could escape it</w:t>
      </w:r>
      <w:r w:rsidR="000B6B6B">
        <w:t>, an implication significant in any discussion of medieval astrology</w:t>
      </w:r>
      <w:r w:rsidR="00D365F5">
        <w:t xml:space="preserve">. </w:t>
      </w:r>
    </w:p>
    <w:p w14:paraId="1F8F59B2" w14:textId="32C6804A" w:rsidR="00D94837" w:rsidRDefault="00D94837" w:rsidP="005354FF">
      <w:pPr>
        <w:jc w:val="both"/>
        <w:rPr>
          <w:i/>
        </w:rPr>
      </w:pPr>
    </w:p>
    <w:p w14:paraId="77A0E527" w14:textId="2A5369F4" w:rsidR="00D94837" w:rsidRDefault="00D94837" w:rsidP="005354FF">
      <w:pPr>
        <w:jc w:val="both"/>
      </w:pPr>
      <w:r>
        <w:t xml:space="preserve">That tension existed between the theological framework of medieval Christianity and at least some facets of astrology appears clear in the works of St. Augustine of Hippo, with whom Singer has argued Hildegard would have been familiar and upon whose </w:t>
      </w:r>
      <w:r>
        <w:rPr>
          <w:i/>
        </w:rPr>
        <w:t xml:space="preserve">Confessions </w:t>
      </w:r>
      <w:r>
        <w:t>(397-400 C.E.) Peck has argued Gower drew heavy influence.</w:t>
      </w:r>
      <w:r>
        <w:rPr>
          <w:rStyle w:val="FootnoteReference"/>
        </w:rPr>
        <w:footnoteReference w:id="23"/>
      </w:r>
      <w:r>
        <w:rPr>
          <w:bCs/>
        </w:rPr>
        <w:t xml:space="preserve"> </w:t>
      </w:r>
      <w:r>
        <w:t>Augustine repeatedly refer</w:t>
      </w:r>
      <w:r w:rsidR="00AB239C">
        <w:t>s</w:t>
      </w:r>
      <w:r>
        <w:t xml:space="preserve"> to astrology in his writings, particularly in his </w:t>
      </w:r>
      <w:r>
        <w:rPr>
          <w:i/>
        </w:rPr>
        <w:t xml:space="preserve">Confessions </w:t>
      </w:r>
      <w:r>
        <w:t xml:space="preserve">and the </w:t>
      </w:r>
      <w:r>
        <w:rPr>
          <w:i/>
        </w:rPr>
        <w:t xml:space="preserve">City of God </w:t>
      </w:r>
      <w:r>
        <w:t>(426 C.E.)</w:t>
      </w:r>
      <w:r>
        <w:rPr>
          <w:i/>
        </w:rPr>
        <w:t xml:space="preserve">. </w:t>
      </w:r>
      <w:r>
        <w:t>In the former he confessed to consulting ‘those cheats known as astrologers’ as a young Manichaean before converting to Christianity, and begged God’s mercy as he later ‘rejected [their] false divinations and blasphemous nonsense’.</w:t>
      </w:r>
      <w:r>
        <w:rPr>
          <w:rStyle w:val="FootnoteReference"/>
        </w:rPr>
        <w:footnoteReference w:id="24"/>
      </w:r>
      <w:r>
        <w:t xml:space="preserve"> In the fifth book of the </w:t>
      </w:r>
      <w:r>
        <w:rPr>
          <w:i/>
        </w:rPr>
        <w:t>City of God</w:t>
      </w:r>
      <w:r>
        <w:t>, astrology as a divinatory vehicle comes under Augustine’s fire.</w:t>
      </w:r>
      <w:r>
        <w:rPr>
          <w:rStyle w:val="FootnoteReference"/>
        </w:rPr>
        <w:footnoteReference w:id="25"/>
      </w:r>
      <w:r>
        <w:t xml:space="preserve"> Here, too, Augustine particularly attacks attacking natal horoscopes; borrowing and extending upon Cicero’s argument in </w:t>
      </w:r>
      <w:r>
        <w:rPr>
          <w:i/>
        </w:rPr>
        <w:t xml:space="preserve">De </w:t>
      </w:r>
      <w:proofErr w:type="spellStart"/>
      <w:r>
        <w:rPr>
          <w:i/>
        </w:rPr>
        <w:t>Divinatione</w:t>
      </w:r>
      <w:proofErr w:type="spellEnd"/>
      <w:r>
        <w:rPr>
          <w:i/>
        </w:rPr>
        <w:t xml:space="preserve"> </w:t>
      </w:r>
      <w:r>
        <w:t xml:space="preserve">that twins – sharing conception time, parents, and </w:t>
      </w:r>
      <w:r>
        <w:lastRenderedPageBreak/>
        <w:t>much else besides – should live identical star-mapped lives but actually do not, thus apparently disproving all astrology</w:t>
      </w:r>
      <w:r>
        <w:rPr>
          <w:i/>
        </w:rPr>
        <w:t>.</w:t>
      </w:r>
      <w:r w:rsidRPr="00D46D76">
        <w:rPr>
          <w:rStyle w:val="FootnoteReference"/>
        </w:rPr>
        <w:footnoteReference w:id="26"/>
      </w:r>
      <w:r>
        <w:rPr>
          <w:i/>
        </w:rPr>
        <w:t xml:space="preserve"> </w:t>
      </w:r>
      <w:r>
        <w:t xml:space="preserve">That Augustine grappled </w:t>
      </w:r>
      <w:r w:rsidR="00A0003C">
        <w:t>fiercely and repeatedly</w:t>
      </w:r>
      <w:r>
        <w:t xml:space="preserve"> with astrology against theology implies not only that it was a pressing contemporary issue, but that he viewed a clear and uncrossable distinction between the two: ‘how is any room left for God to pass judgement on the deeds of men, if they are subject to astrological forces’ he asks.</w:t>
      </w:r>
      <w:r>
        <w:rPr>
          <w:rStyle w:val="FootnoteReference"/>
        </w:rPr>
        <w:footnoteReference w:id="27"/>
      </w:r>
      <w:r>
        <w:t xml:space="preserve"> This is a free-will quandary: if humans do not themselves choose whether to follow God’s teachings or not, rather ‘astrological forces’ set their actions in motion, then how can God judge their lives? </w:t>
      </w:r>
      <w:r w:rsidR="00D76B34">
        <w:t>Augustine</w:t>
      </w:r>
      <w:r w:rsidR="000635E0">
        <w:t xml:space="preserve"> continues</w:t>
      </w:r>
      <w:r w:rsidR="003856BA">
        <w:t xml:space="preserve"> that ‘sometimes</w:t>
      </w:r>
      <w:r w:rsidR="00B353D8">
        <w:t xml:space="preserve">…the stars portend, but do not cause those deeds’ so that a ‘kind of communication’ between God and people is entered into, rather than the stars exhibiting ‘active force’ themselves, and it </w:t>
      </w:r>
      <w:r w:rsidR="00E0296B">
        <w:t>will be argued that both</w:t>
      </w:r>
      <w:r w:rsidR="00B353D8">
        <w:t xml:space="preserve"> Hildegard and Gower </w:t>
      </w:r>
      <w:r w:rsidR="00E0296B">
        <w:t>describe this ‘God-sent’ sort of astrology</w:t>
      </w:r>
      <w:r w:rsidR="00B353D8">
        <w:t>.</w:t>
      </w:r>
      <w:r w:rsidR="00B353D8">
        <w:rPr>
          <w:rStyle w:val="FootnoteReference"/>
        </w:rPr>
        <w:footnoteReference w:id="28"/>
      </w:r>
      <w:r w:rsidR="00B353D8">
        <w:t xml:space="preserve"> </w:t>
      </w:r>
      <w:r>
        <w:t xml:space="preserve">That Gower, approximately one millennium after Augustine’s death, echoed the </w:t>
      </w:r>
      <w:r>
        <w:rPr>
          <w:i/>
        </w:rPr>
        <w:t xml:space="preserve">Confessions </w:t>
      </w:r>
      <w:r>
        <w:t xml:space="preserve">by </w:t>
      </w:r>
      <w:r w:rsidR="00DD1A5B">
        <w:t>employing the</w:t>
      </w:r>
      <w:r>
        <w:t xml:space="preserve"> ‘confessional’ as a genre</w:t>
      </w:r>
      <w:r w:rsidR="00DD1A5B">
        <w:t xml:space="preserve"> to engage with astrology through </w:t>
      </w:r>
      <w:r>
        <w:t xml:space="preserve">suggests that he may have experienced aspects of astrology </w:t>
      </w:r>
      <w:r w:rsidR="00BC0314">
        <w:t>with a similar regularity to</w:t>
      </w:r>
      <w:r>
        <w:t xml:space="preserve"> Christianity and was echoing their intertwined relationship.</w:t>
      </w:r>
      <w:r w:rsidR="00DD1A5B">
        <w:t xml:space="preserve"> </w:t>
      </w:r>
    </w:p>
    <w:p w14:paraId="73CD6F2F" w14:textId="2B2F531D" w:rsidR="00F74CFF" w:rsidRDefault="00F74CFF" w:rsidP="005354FF">
      <w:pPr>
        <w:jc w:val="both"/>
      </w:pPr>
    </w:p>
    <w:p w14:paraId="399027CF" w14:textId="77777777" w:rsidR="00234468" w:rsidRDefault="00234468" w:rsidP="00F74CFF">
      <w:pPr>
        <w:jc w:val="both"/>
        <w:rPr>
          <w:b/>
        </w:rPr>
      </w:pPr>
      <w:r>
        <w:rPr>
          <w:b/>
        </w:rPr>
        <w:t>Astrological Tradition, Astrological Practice</w:t>
      </w:r>
    </w:p>
    <w:p w14:paraId="73410965" w14:textId="77777777" w:rsidR="005C1902" w:rsidRDefault="005C1902" w:rsidP="005354FF">
      <w:pPr>
        <w:jc w:val="both"/>
        <w:rPr>
          <w:i/>
        </w:rPr>
      </w:pPr>
    </w:p>
    <w:p w14:paraId="0FA22E8A" w14:textId="2691E0CA" w:rsidR="00CC0429" w:rsidRDefault="00E56619" w:rsidP="00CC0429">
      <w:pPr>
        <w:jc w:val="both"/>
      </w:pPr>
      <w:r>
        <w:rPr>
          <w:bCs/>
        </w:rPr>
        <w:t>The way in which Gower presents source material, describes the signs of the zodiac, and layers Christian theology</w:t>
      </w:r>
      <w:r w:rsidR="00D664BB">
        <w:rPr>
          <w:bCs/>
        </w:rPr>
        <w:t xml:space="preserve"> in</w:t>
      </w:r>
      <w:r>
        <w:rPr>
          <w:bCs/>
        </w:rPr>
        <w:t xml:space="preserve"> book seven of </w:t>
      </w:r>
      <w:proofErr w:type="spellStart"/>
      <w:r>
        <w:rPr>
          <w:bCs/>
          <w:i/>
        </w:rPr>
        <w:t>Confessio</w:t>
      </w:r>
      <w:proofErr w:type="spellEnd"/>
      <w:r>
        <w:rPr>
          <w:bCs/>
          <w:i/>
        </w:rPr>
        <w:t xml:space="preserve"> </w:t>
      </w:r>
      <w:proofErr w:type="spellStart"/>
      <w:r>
        <w:rPr>
          <w:bCs/>
          <w:i/>
        </w:rPr>
        <w:t>Amantis</w:t>
      </w:r>
      <w:proofErr w:type="spellEnd"/>
      <w:r>
        <w:rPr>
          <w:bCs/>
          <w:i/>
        </w:rPr>
        <w:t xml:space="preserve"> </w:t>
      </w:r>
      <w:r>
        <w:rPr>
          <w:bCs/>
        </w:rPr>
        <w:t>stands</w:t>
      </w:r>
      <w:r w:rsidR="00D664BB">
        <w:rPr>
          <w:bCs/>
        </w:rPr>
        <w:t>, it will be argued,</w:t>
      </w:r>
      <w:r>
        <w:rPr>
          <w:bCs/>
        </w:rPr>
        <w:t xml:space="preserve"> in stark contrast with Hildegard’s treatment of the same subjects. Gower has Genius diligently list his astrological sources: ranging from Ancient Greek and Arabic authors to Biblical individuals.</w:t>
      </w:r>
      <w:r>
        <w:rPr>
          <w:rStyle w:val="FootnoteReference"/>
          <w:bCs/>
        </w:rPr>
        <w:footnoteReference w:id="29"/>
      </w:r>
      <w:r w:rsidR="00CC0429">
        <w:rPr>
          <w:bCs/>
        </w:rPr>
        <w:t xml:space="preserve"> </w:t>
      </w:r>
      <w:r w:rsidR="00CC0429">
        <w:t xml:space="preserve">George L. Hamilton has posited that the pseudo-Aristotelian </w:t>
      </w:r>
      <w:r w:rsidR="00CC0429">
        <w:rPr>
          <w:i/>
        </w:rPr>
        <w:t xml:space="preserve">Secreta </w:t>
      </w:r>
      <w:proofErr w:type="spellStart"/>
      <w:r w:rsidR="00CC0429">
        <w:rPr>
          <w:i/>
        </w:rPr>
        <w:t>Secretorum</w:t>
      </w:r>
      <w:proofErr w:type="spellEnd"/>
      <w:r w:rsidR="00CC0429">
        <w:rPr>
          <w:i/>
        </w:rPr>
        <w:t xml:space="preserve"> </w:t>
      </w:r>
      <w:r w:rsidR="00CC0429">
        <w:t>(‘The Secret of Secrets’) was a heavily-consulted source for Gower</w:t>
      </w:r>
      <w:r w:rsidR="00EA1E3C">
        <w:t>;</w:t>
      </w:r>
      <w:r w:rsidR="00CC0429">
        <w:t xml:space="preserve"> itself – as Campion has commented – a partial translation of the Arabic </w:t>
      </w:r>
      <w:r w:rsidR="00CC0429">
        <w:rPr>
          <w:i/>
        </w:rPr>
        <w:t xml:space="preserve">Kitab </w:t>
      </w:r>
      <w:proofErr w:type="spellStart"/>
      <w:r w:rsidR="00CC0429">
        <w:rPr>
          <w:i/>
        </w:rPr>
        <w:t>Sirr</w:t>
      </w:r>
      <w:proofErr w:type="spellEnd"/>
      <w:r w:rsidR="00CC0429">
        <w:rPr>
          <w:i/>
        </w:rPr>
        <w:t xml:space="preserve"> al-</w:t>
      </w:r>
      <w:proofErr w:type="spellStart"/>
      <w:r w:rsidR="00CC0429">
        <w:rPr>
          <w:i/>
        </w:rPr>
        <w:t>asar</w:t>
      </w:r>
      <w:proofErr w:type="spellEnd"/>
      <w:r w:rsidR="00CC0429">
        <w:rPr>
          <w:i/>
        </w:rPr>
        <w:t xml:space="preserve"> </w:t>
      </w:r>
      <w:r w:rsidR="00CC0429">
        <w:t>(‘The Book of the Secret of Secrets’).</w:t>
      </w:r>
      <w:r w:rsidR="00CC0429">
        <w:rPr>
          <w:rStyle w:val="FootnoteReference"/>
        </w:rPr>
        <w:footnoteReference w:id="30"/>
      </w:r>
      <w:r w:rsidR="00CC0429">
        <w:t xml:space="preserve"> The </w:t>
      </w:r>
      <w:r w:rsidR="00CC0429">
        <w:rPr>
          <w:i/>
        </w:rPr>
        <w:t xml:space="preserve">Secreta </w:t>
      </w:r>
      <w:r w:rsidR="00CC0429">
        <w:t>is presented as instructions from Aristotle to Alexander the Great on how to be a good king, including advice relating to astrology.</w:t>
      </w:r>
      <w:r w:rsidR="00CC0429">
        <w:rPr>
          <w:rStyle w:val="FootnoteReference"/>
        </w:rPr>
        <w:footnoteReference w:id="31"/>
      </w:r>
      <w:r w:rsidR="00CC0429">
        <w:t xml:space="preserve"> The correlation between subject-matter in book seven is underlined when Genius promises to share Aristotelian philosophy via his Alexandrian curriculum.</w:t>
      </w:r>
      <w:r w:rsidR="00CC0429">
        <w:rPr>
          <w:rStyle w:val="FootnoteReference"/>
        </w:rPr>
        <w:footnoteReference w:id="32"/>
      </w:r>
      <w:r w:rsidR="00CC0429">
        <w:t xml:space="preserve"> ‘Aristotle’ in the </w:t>
      </w:r>
      <w:r w:rsidR="00CC0429" w:rsidRPr="00F04438">
        <w:rPr>
          <w:i/>
        </w:rPr>
        <w:t>Secreta</w:t>
      </w:r>
      <w:r w:rsidR="00CC0429">
        <w:rPr>
          <w:i/>
        </w:rPr>
        <w:t xml:space="preserve"> </w:t>
      </w:r>
      <w:r w:rsidR="00CC0429">
        <w:t>cautions Alexander to consult ‘some wise man who knows the constellations and the course of the planets’ (trans. Flynn) before doing everyday activities.</w:t>
      </w:r>
      <w:r w:rsidR="00CC0429">
        <w:rPr>
          <w:rStyle w:val="FootnoteReference"/>
        </w:rPr>
        <w:footnoteReference w:id="33"/>
      </w:r>
      <w:r w:rsidR="00CC0429">
        <w:t xml:space="preserve"> Whilst the word </w:t>
      </w:r>
      <w:r w:rsidR="00CC0429">
        <w:lastRenderedPageBreak/>
        <w:t xml:space="preserve">‘astrologer’ is not used, an explicit parallel is drawn between Alexander’s actions and the sky, setting up a tradition for the wisdom of astrological instruction at the highest level of secular society – the monarchy. The political landscape of England within the compositional period of </w:t>
      </w:r>
      <w:proofErr w:type="spellStart"/>
      <w:r w:rsidR="00CC0429">
        <w:rPr>
          <w:i/>
        </w:rPr>
        <w:t>Confessio</w:t>
      </w:r>
      <w:proofErr w:type="spellEnd"/>
      <w:r w:rsidR="00CC0429">
        <w:rPr>
          <w:i/>
        </w:rPr>
        <w:t xml:space="preserve"> </w:t>
      </w:r>
      <w:proofErr w:type="spellStart"/>
      <w:r w:rsidR="00CC0429">
        <w:rPr>
          <w:i/>
        </w:rPr>
        <w:t>Amantis</w:t>
      </w:r>
      <w:proofErr w:type="spellEnd"/>
      <w:r w:rsidR="00CC0429">
        <w:rPr>
          <w:i/>
        </w:rPr>
        <w:t xml:space="preserve"> </w:t>
      </w:r>
      <w:r w:rsidR="00CC0429">
        <w:t>was unstable: Richard II was deposed by his uncle, Henry IV, in 1399, marking the transition from Plantagenet to Lancastrian monarchy.</w:t>
      </w:r>
      <w:r w:rsidR="00CC0429">
        <w:rPr>
          <w:rStyle w:val="FootnoteReference"/>
        </w:rPr>
        <w:footnoteReference w:id="34"/>
      </w:r>
      <w:r w:rsidR="00CC0429">
        <w:t xml:space="preserve"> Fisher has theorised that Gower had a ‘keen awareness’ in political matters, citing his treatment of this deposition in the </w:t>
      </w:r>
      <w:proofErr w:type="spellStart"/>
      <w:r w:rsidR="00CC0429">
        <w:rPr>
          <w:i/>
        </w:rPr>
        <w:t>Cronica</w:t>
      </w:r>
      <w:proofErr w:type="spellEnd"/>
      <w:r w:rsidR="00CC0429">
        <w:rPr>
          <w:i/>
        </w:rPr>
        <w:t xml:space="preserve"> </w:t>
      </w:r>
      <w:proofErr w:type="spellStart"/>
      <w:r w:rsidR="00CC0429">
        <w:rPr>
          <w:i/>
        </w:rPr>
        <w:t>tripertita</w:t>
      </w:r>
      <w:proofErr w:type="spellEnd"/>
      <w:r w:rsidR="00CC0429">
        <w:t xml:space="preserve"> (c.1400 C.E.) as evidence.</w:t>
      </w:r>
      <w:r w:rsidR="00CC0429">
        <w:rPr>
          <w:rStyle w:val="FootnoteReference"/>
        </w:rPr>
        <w:footnoteReference w:id="35"/>
      </w:r>
      <w:r w:rsidR="00CC0429">
        <w:t xml:space="preserve"> Taking Fisher’s argument alongside Campion’s conclusion that Richard II was an advocate for astrology, it is possible that the inclusion of the education of the ‘Great’ conqueror, Alexander, was a political statement on Gower’s part that being a good king relies upon more than an appropriately kingly – and astrologically-inclusive – education.</w:t>
      </w:r>
      <w:r w:rsidR="00CC0429">
        <w:rPr>
          <w:rStyle w:val="FootnoteReference"/>
        </w:rPr>
        <w:footnoteReference w:id="36"/>
      </w:r>
      <w:r w:rsidR="00CC0429">
        <w:t xml:space="preserve"> The </w:t>
      </w:r>
      <w:r w:rsidR="00CC0429">
        <w:rPr>
          <w:i/>
        </w:rPr>
        <w:t xml:space="preserve">Secreta </w:t>
      </w:r>
      <w:r w:rsidR="00CC0429">
        <w:t>was translated so widely and survives in such a large number of manuscripts that Williams has dubbed it ‘one of the most popular books of the entire [medieval] period’, suggesting a prolonged interest in its contents.</w:t>
      </w:r>
      <w:r w:rsidR="00CC0429">
        <w:rPr>
          <w:rStyle w:val="FootnoteReference"/>
        </w:rPr>
        <w:footnoteReference w:id="37"/>
      </w:r>
      <w:r w:rsidR="00CC0429">
        <w:rPr>
          <w:b/>
        </w:rPr>
        <w:t xml:space="preserve"> </w:t>
      </w:r>
      <w:r w:rsidR="00CC0429">
        <w:t xml:space="preserve"> That Gower chose to continue this transmission suggests that he may have viewed astrology as an occupation to be studied – if not necessarily pursued – as part of a legitimate tradition of learning leading back to Aristotle.</w:t>
      </w:r>
      <w:r w:rsidR="00CC0429">
        <w:rPr>
          <w:rStyle w:val="FootnoteReference"/>
        </w:rPr>
        <w:footnoteReference w:id="38"/>
      </w:r>
    </w:p>
    <w:p w14:paraId="71AD8A71" w14:textId="7772F15B" w:rsidR="00F72E77" w:rsidRDefault="00F72E77" w:rsidP="00E56619">
      <w:pPr>
        <w:pStyle w:val="NormalWeb"/>
        <w:spacing w:before="0" w:beforeAutospacing="0" w:after="0" w:afterAutospacing="0"/>
        <w:ind w:right="-334"/>
        <w:jc w:val="both"/>
        <w:rPr>
          <w:rFonts w:ascii="Times New Roman" w:hAnsi="Times New Roman"/>
          <w:bCs/>
          <w:color w:val="auto"/>
          <w:sz w:val="24"/>
          <w:szCs w:val="24"/>
        </w:rPr>
      </w:pPr>
    </w:p>
    <w:p w14:paraId="5B7988FC" w14:textId="0DA9AA42" w:rsidR="00E56619" w:rsidRDefault="00E56619" w:rsidP="00E56619">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color w:val="auto"/>
          <w:sz w:val="24"/>
          <w:szCs w:val="24"/>
        </w:rPr>
        <w:t xml:space="preserve">When </w:t>
      </w:r>
      <w:r>
        <w:rPr>
          <w:rFonts w:ascii="Times New Roman" w:hAnsi="Times New Roman"/>
          <w:bCs/>
          <w:sz w:val="24"/>
          <w:szCs w:val="24"/>
        </w:rPr>
        <w:t>Genius, chaplain of the Roman goddess Venus</w:t>
      </w:r>
      <w:r w:rsidR="004C5DBB">
        <w:rPr>
          <w:rFonts w:ascii="Times New Roman" w:hAnsi="Times New Roman"/>
          <w:bCs/>
          <w:sz w:val="24"/>
          <w:szCs w:val="24"/>
        </w:rPr>
        <w:t xml:space="preserve"> rather than God</w:t>
      </w:r>
      <w:r>
        <w:rPr>
          <w:rFonts w:ascii="Times New Roman" w:hAnsi="Times New Roman"/>
          <w:bCs/>
          <w:sz w:val="24"/>
          <w:szCs w:val="24"/>
        </w:rPr>
        <w:t xml:space="preserve">, carefully structures his exposition of the zodiac within Christian imagery: the reader – rather than </w:t>
      </w:r>
      <w:proofErr w:type="spellStart"/>
      <w:r>
        <w:rPr>
          <w:rFonts w:ascii="Times New Roman" w:hAnsi="Times New Roman"/>
          <w:bCs/>
          <w:sz w:val="24"/>
          <w:szCs w:val="24"/>
        </w:rPr>
        <w:t>Amans</w:t>
      </w:r>
      <w:proofErr w:type="spellEnd"/>
      <w:r>
        <w:rPr>
          <w:rFonts w:ascii="Times New Roman" w:hAnsi="Times New Roman"/>
          <w:bCs/>
          <w:sz w:val="24"/>
          <w:szCs w:val="24"/>
        </w:rPr>
        <w:t xml:space="preserve"> – is reminded that Gower is a Christian who </w:t>
      </w:r>
      <w:r w:rsidR="005D2169">
        <w:rPr>
          <w:rFonts w:ascii="Times New Roman" w:hAnsi="Times New Roman"/>
          <w:bCs/>
          <w:sz w:val="24"/>
          <w:szCs w:val="24"/>
        </w:rPr>
        <w:t>recognises that</w:t>
      </w:r>
      <w:r>
        <w:rPr>
          <w:rFonts w:ascii="Times New Roman" w:hAnsi="Times New Roman"/>
          <w:bCs/>
          <w:sz w:val="24"/>
          <w:szCs w:val="24"/>
        </w:rPr>
        <w:t xml:space="preserve"> God ‘made, through his power, seven planets to match the seven days’ and ‘assigned one month especially to each of the twelve signs in the sky, according His own rule-book’ (trans. Flynn).</w:t>
      </w:r>
      <w:r>
        <w:rPr>
          <w:rStyle w:val="FootnoteReference"/>
          <w:rFonts w:ascii="Times New Roman" w:hAnsi="Times New Roman"/>
          <w:bCs/>
          <w:sz w:val="24"/>
          <w:szCs w:val="24"/>
        </w:rPr>
        <w:footnoteReference w:id="39"/>
      </w:r>
      <w:r>
        <w:rPr>
          <w:rFonts w:ascii="Times New Roman" w:hAnsi="Times New Roman"/>
          <w:bCs/>
          <w:sz w:val="24"/>
          <w:szCs w:val="24"/>
        </w:rPr>
        <w:t xml:space="preserve"> That the English days of the week are named after  the planets, and thus pagan deities also, is – as much as astrology – thus explained as being part of God’s creative output. Regarding zodiacal influence: Aquarians, for example, are described as being ‘in Saturn’s grace’, with Saturn ‘causing malice and cruelty to all whose natal-charts are under his governance’ (trans. Flynn), but no instructions are offered for the practical act of linking birth with the sky and forming such a horoscope.</w:t>
      </w:r>
      <w:r>
        <w:rPr>
          <w:rStyle w:val="FootnoteReference"/>
          <w:rFonts w:ascii="Times New Roman" w:hAnsi="Times New Roman"/>
          <w:bCs/>
          <w:sz w:val="24"/>
          <w:szCs w:val="24"/>
        </w:rPr>
        <w:footnoteReference w:id="40"/>
      </w:r>
      <w:r>
        <w:rPr>
          <w:rFonts w:ascii="Times New Roman" w:hAnsi="Times New Roman"/>
          <w:bCs/>
          <w:sz w:val="24"/>
          <w:szCs w:val="24"/>
        </w:rPr>
        <w:t xml:space="preserve"> Such horoscopes as these are appear cautiously placed by Gower within the caveat that God created these signs and matched them neatly with divisions of time which, again, were created by God. That such constellations would therefore play a role in the lives of humans – also created by God, of course – is therefore, by Genius, neatly explained. This echoes the </w:t>
      </w:r>
      <w:r>
        <w:rPr>
          <w:rFonts w:ascii="Times New Roman" w:hAnsi="Times New Roman"/>
          <w:bCs/>
          <w:i/>
          <w:sz w:val="24"/>
          <w:szCs w:val="24"/>
        </w:rPr>
        <w:t>Secreta</w:t>
      </w:r>
      <w:r>
        <w:rPr>
          <w:rFonts w:ascii="Times New Roman" w:hAnsi="Times New Roman"/>
          <w:bCs/>
          <w:sz w:val="24"/>
          <w:szCs w:val="24"/>
        </w:rPr>
        <w:t>, where Alexander is instructed to ‘understand that God in His glory created nothing without cause, but all with marvellous reason of his own excellent and unknown science’ (trans. Flynn) immediately after he is told to always refer to an astrologer’s advice.</w:t>
      </w:r>
      <w:r>
        <w:rPr>
          <w:rStyle w:val="FootnoteReference"/>
          <w:rFonts w:ascii="Times New Roman" w:hAnsi="Times New Roman"/>
          <w:bCs/>
          <w:sz w:val="24"/>
          <w:szCs w:val="24"/>
        </w:rPr>
        <w:footnoteReference w:id="41"/>
      </w:r>
      <w:r>
        <w:rPr>
          <w:rFonts w:ascii="Times New Roman" w:hAnsi="Times New Roman"/>
          <w:bCs/>
          <w:sz w:val="24"/>
          <w:szCs w:val="24"/>
        </w:rPr>
        <w:t xml:space="preserve"> </w:t>
      </w:r>
      <w:proofErr w:type="spellStart"/>
      <w:r>
        <w:rPr>
          <w:rFonts w:ascii="Times New Roman" w:hAnsi="Times New Roman"/>
          <w:bCs/>
          <w:i/>
          <w:sz w:val="24"/>
          <w:szCs w:val="24"/>
        </w:rPr>
        <w:t>Confessio</w:t>
      </w:r>
      <w:proofErr w:type="spellEnd"/>
      <w:r>
        <w:rPr>
          <w:rFonts w:ascii="Times New Roman" w:hAnsi="Times New Roman"/>
          <w:bCs/>
          <w:i/>
          <w:sz w:val="24"/>
          <w:szCs w:val="24"/>
        </w:rPr>
        <w:t xml:space="preserve"> </w:t>
      </w:r>
      <w:proofErr w:type="spellStart"/>
      <w:r>
        <w:rPr>
          <w:rFonts w:ascii="Times New Roman" w:hAnsi="Times New Roman"/>
          <w:bCs/>
          <w:i/>
          <w:sz w:val="24"/>
          <w:szCs w:val="24"/>
        </w:rPr>
        <w:t>Amantis</w:t>
      </w:r>
      <w:proofErr w:type="spellEnd"/>
      <w:r>
        <w:rPr>
          <w:rFonts w:ascii="Times New Roman" w:hAnsi="Times New Roman"/>
          <w:bCs/>
          <w:i/>
          <w:sz w:val="24"/>
          <w:szCs w:val="24"/>
        </w:rPr>
        <w:t xml:space="preserve">, </w:t>
      </w:r>
      <w:r>
        <w:rPr>
          <w:rFonts w:ascii="Times New Roman" w:hAnsi="Times New Roman"/>
          <w:bCs/>
          <w:sz w:val="24"/>
          <w:szCs w:val="24"/>
        </w:rPr>
        <w:lastRenderedPageBreak/>
        <w:t xml:space="preserve">then, mirrors the structure of the </w:t>
      </w:r>
      <w:r>
        <w:rPr>
          <w:rFonts w:ascii="Times New Roman" w:hAnsi="Times New Roman"/>
          <w:bCs/>
          <w:i/>
          <w:sz w:val="24"/>
          <w:szCs w:val="24"/>
        </w:rPr>
        <w:t>Secreta</w:t>
      </w:r>
      <w:r>
        <w:rPr>
          <w:rFonts w:ascii="Times New Roman" w:hAnsi="Times New Roman"/>
          <w:bCs/>
          <w:sz w:val="24"/>
          <w:szCs w:val="24"/>
        </w:rPr>
        <w:t xml:space="preserve"> in overtly placing astrology within God’s creation, whilst steering clear of a practical explicitness which might</w:t>
      </w:r>
      <w:r w:rsidR="005B02C4">
        <w:rPr>
          <w:rFonts w:ascii="Times New Roman" w:hAnsi="Times New Roman"/>
          <w:bCs/>
          <w:sz w:val="24"/>
          <w:szCs w:val="24"/>
        </w:rPr>
        <w:t xml:space="preserve"> not sit well within</w:t>
      </w:r>
      <w:r>
        <w:rPr>
          <w:rFonts w:ascii="Times New Roman" w:hAnsi="Times New Roman"/>
          <w:bCs/>
          <w:sz w:val="24"/>
          <w:szCs w:val="24"/>
        </w:rPr>
        <w:t xml:space="preserve"> Augustine</w:t>
      </w:r>
      <w:r w:rsidR="005B02C4">
        <w:rPr>
          <w:rFonts w:ascii="Times New Roman" w:hAnsi="Times New Roman"/>
          <w:bCs/>
          <w:sz w:val="24"/>
          <w:szCs w:val="24"/>
        </w:rPr>
        <w:t>’s ‘free-will’ arguments and, thus,</w:t>
      </w:r>
      <w:r>
        <w:rPr>
          <w:rFonts w:ascii="Times New Roman" w:hAnsi="Times New Roman"/>
          <w:bCs/>
          <w:sz w:val="24"/>
          <w:szCs w:val="24"/>
        </w:rPr>
        <w:t xml:space="preserve"> the wider milieu of the Church. Despite the overarching structure of a pagan chaplain’s confessional,</w:t>
      </w:r>
      <w:r w:rsidR="005B02C4">
        <w:rPr>
          <w:rFonts w:ascii="Times New Roman" w:hAnsi="Times New Roman"/>
          <w:bCs/>
          <w:sz w:val="24"/>
          <w:szCs w:val="24"/>
        </w:rPr>
        <w:t xml:space="preserve"> then,</w:t>
      </w:r>
      <w:r>
        <w:rPr>
          <w:rFonts w:ascii="Times New Roman" w:hAnsi="Times New Roman"/>
          <w:bCs/>
          <w:sz w:val="24"/>
          <w:szCs w:val="24"/>
        </w:rPr>
        <w:t xml:space="preserve"> Gower appears on </w:t>
      </w:r>
      <w:proofErr w:type="gramStart"/>
      <w:r w:rsidR="005B02C4">
        <w:rPr>
          <w:rFonts w:ascii="Times New Roman" w:hAnsi="Times New Roman"/>
          <w:bCs/>
          <w:sz w:val="24"/>
          <w:szCs w:val="24"/>
        </w:rPr>
        <w:t>fairly safe</w:t>
      </w:r>
      <w:proofErr w:type="gramEnd"/>
      <w:r w:rsidR="005B02C4">
        <w:rPr>
          <w:rFonts w:ascii="Times New Roman" w:hAnsi="Times New Roman"/>
          <w:bCs/>
          <w:sz w:val="24"/>
          <w:szCs w:val="24"/>
        </w:rPr>
        <w:t xml:space="preserve"> theological ground by consistently referring </w:t>
      </w:r>
      <w:r w:rsidR="005B02C4" w:rsidRPr="005B02C4">
        <w:rPr>
          <w:rFonts w:ascii="Times New Roman" w:hAnsi="Times New Roman"/>
          <w:bCs/>
          <w:sz w:val="24"/>
          <w:szCs w:val="24"/>
        </w:rPr>
        <w:t xml:space="preserve">to astrology as part of a literary tradition rooted far in the past as opposed to a contemporary practice. However, that his relationship with Alexander’s education appears to have been through the hugely popular </w:t>
      </w:r>
      <w:r w:rsidR="005B02C4" w:rsidRPr="005B02C4">
        <w:rPr>
          <w:rFonts w:ascii="Times New Roman" w:hAnsi="Times New Roman"/>
          <w:i/>
          <w:sz w:val="24"/>
          <w:szCs w:val="24"/>
        </w:rPr>
        <w:t xml:space="preserve">Secreta </w:t>
      </w:r>
      <w:r w:rsidR="005B02C4" w:rsidRPr="005B02C4">
        <w:rPr>
          <w:rFonts w:ascii="Times New Roman" w:hAnsi="Times New Roman"/>
          <w:sz w:val="24"/>
          <w:szCs w:val="24"/>
        </w:rPr>
        <w:t>belies the fact that astrology may indeed have been a stronger contemporary issue than this ‘traditional’ stance makes immediately apparent.</w:t>
      </w:r>
      <w:r w:rsidR="005B02C4">
        <w:t xml:space="preserve"> </w:t>
      </w:r>
    </w:p>
    <w:p w14:paraId="0A72838D" w14:textId="77777777" w:rsidR="00E56619" w:rsidRDefault="00E56619" w:rsidP="00217025">
      <w:pPr>
        <w:jc w:val="both"/>
      </w:pPr>
    </w:p>
    <w:p w14:paraId="12904C80" w14:textId="4B584262" w:rsidR="00217025" w:rsidRPr="00B01517" w:rsidRDefault="005D2169" w:rsidP="00217025">
      <w:pPr>
        <w:jc w:val="both"/>
      </w:pPr>
      <w:r>
        <w:t>L</w:t>
      </w:r>
      <w:r w:rsidR="00217025">
        <w:t>ike Gower, Hildegard writes on the indications of the stars, planets, and moon</w:t>
      </w:r>
      <w:r>
        <w:t>, but where his treatment is steeped in ancient tradition, she takes a thoroughly practical approach</w:t>
      </w:r>
      <w:r w:rsidR="00217025">
        <w:t>.</w:t>
      </w:r>
      <w:r w:rsidR="00217025">
        <w:rPr>
          <w:rStyle w:val="FootnoteReference"/>
        </w:rPr>
        <w:footnoteReference w:id="42"/>
      </w:r>
      <w:r w:rsidR="00217025">
        <w:t xml:space="preserve">  She  sets such store by these indications that she ascribes them to God: they ‘do not stem from a special power of the planets’ or ‘stars’, instead they are indicated ‘through God’s permission, will and decision’</w:t>
      </w:r>
      <w:r w:rsidR="0052079F">
        <w:t xml:space="preserve">, </w:t>
      </w:r>
      <w:r>
        <w:t>echoing Augustine’s recognition of celestial messages through God’s action rather than</w:t>
      </w:r>
      <w:r w:rsidR="00E34AB2">
        <w:t xml:space="preserve"> that of the celestial objects themselves.</w:t>
      </w:r>
      <w:r w:rsidR="00217025">
        <w:rPr>
          <w:rStyle w:val="FootnoteReference"/>
        </w:rPr>
        <w:footnoteReference w:id="43"/>
      </w:r>
      <w:r w:rsidR="00217025">
        <w:t xml:space="preserve"> </w:t>
      </w:r>
      <w:r w:rsidR="00B01517">
        <w:t>S</w:t>
      </w:r>
      <w:r w:rsidR="00217025">
        <w:t>he also describes the moon’s influence as being something which ‘does not dominate the human’s nature as if it were God’, but rather ‘interacts with humans’ as they actively live and ‘breathe air’.</w:t>
      </w:r>
      <w:r w:rsidR="00217025">
        <w:rPr>
          <w:rStyle w:val="FootnoteReference"/>
        </w:rPr>
        <w:footnoteReference w:id="44"/>
      </w:r>
      <w:r w:rsidR="00217025">
        <w:t xml:space="preserve"> This close human-lunar relationship is underlined through Hildegard’s advice on conception using the lunar cycle, as well as subsequent ‘lunar prognostications’ based upon these lunar conception dates.</w:t>
      </w:r>
      <w:r w:rsidR="00217025">
        <w:rPr>
          <w:rStyle w:val="FootnoteReference"/>
        </w:rPr>
        <w:footnoteReference w:id="45"/>
      </w:r>
      <w:r w:rsidR="00217025">
        <w:t xml:space="preserve"> </w:t>
      </w:r>
      <w:r w:rsidR="00217025">
        <w:rPr>
          <w:bCs/>
        </w:rPr>
        <w:t>Hildegard’s descriptions of the zodiacal constellations</w:t>
      </w:r>
      <w:r w:rsidR="00B01517">
        <w:rPr>
          <w:bCs/>
        </w:rPr>
        <w:t>, however,</w:t>
      </w:r>
      <w:r w:rsidR="00217025">
        <w:rPr>
          <w:bCs/>
        </w:rPr>
        <w:t xml:space="preserve"> </w:t>
      </w:r>
      <w:r w:rsidR="00B01517">
        <w:rPr>
          <w:bCs/>
        </w:rPr>
        <w:t xml:space="preserve">diverges significantly from the Augustine-accepted role of celestial bodies: </w:t>
      </w:r>
      <w:r w:rsidR="00217025">
        <w:rPr>
          <w:bCs/>
        </w:rPr>
        <w:t xml:space="preserve">she explains that </w:t>
      </w:r>
    </w:p>
    <w:p w14:paraId="44D39774" w14:textId="77777777" w:rsidR="00217025" w:rsidRDefault="00217025" w:rsidP="00217025">
      <w:pPr>
        <w:ind w:left="720"/>
        <w:jc w:val="both"/>
        <w:rPr>
          <w:bCs/>
        </w:rPr>
      </w:pPr>
    </w:p>
    <w:p w14:paraId="04660586" w14:textId="77777777" w:rsidR="00217025" w:rsidRDefault="00217025" w:rsidP="00217025">
      <w:pPr>
        <w:ind w:left="720"/>
        <w:jc w:val="both"/>
        <w:rPr>
          <w:bCs/>
        </w:rPr>
      </w:pPr>
      <w:r>
        <w:rPr>
          <w:bCs/>
        </w:rPr>
        <w:t xml:space="preserve">When the sun ascends higher, almost to the sign of Taurus, these two planets remain </w:t>
      </w:r>
      <w:proofErr w:type="gramStart"/>
      <w:r>
        <w:rPr>
          <w:bCs/>
        </w:rPr>
        <w:t>there</w:t>
      </w:r>
      <w:proofErr w:type="gramEnd"/>
      <w:r>
        <w:rPr>
          <w:bCs/>
        </w:rPr>
        <w:t xml:space="preserve"> and two other planets come toward the sun…. they show themselves only seldom…They drive the sun forward, like a bull pushing strongly with its horns.</w:t>
      </w:r>
      <w:r>
        <w:rPr>
          <w:rStyle w:val="FootnoteReference"/>
          <w:bCs/>
        </w:rPr>
        <w:footnoteReference w:id="46"/>
      </w:r>
    </w:p>
    <w:p w14:paraId="58EEAAFD" w14:textId="77777777" w:rsidR="00217025" w:rsidRDefault="00217025" w:rsidP="00217025">
      <w:pPr>
        <w:jc w:val="both"/>
        <w:rPr>
          <w:bCs/>
        </w:rPr>
      </w:pPr>
    </w:p>
    <w:p w14:paraId="17AC7FC4" w14:textId="0601F7A6" w:rsidR="00413B80" w:rsidRDefault="00217025" w:rsidP="00217025">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 xml:space="preserve">This lively description is broadly indicative of her wider treatment of the movement of the sun </w:t>
      </w:r>
      <w:r w:rsidR="00392004">
        <w:rPr>
          <w:rFonts w:ascii="Times New Roman" w:hAnsi="Times New Roman"/>
          <w:bCs/>
          <w:sz w:val="24"/>
          <w:szCs w:val="24"/>
        </w:rPr>
        <w:t>by</w:t>
      </w:r>
      <w:r>
        <w:rPr>
          <w:rFonts w:ascii="Times New Roman" w:hAnsi="Times New Roman"/>
          <w:bCs/>
          <w:sz w:val="24"/>
          <w:szCs w:val="24"/>
        </w:rPr>
        <w:t xml:space="preserve"> the planets through the zodiacal constellations. The use of verbs like ‘drive’ and ‘pushing’, together with the description that ‘</w:t>
      </w:r>
      <w:r>
        <w:rPr>
          <w:rFonts w:ascii="Times New Roman" w:hAnsi="Times New Roman"/>
          <w:bCs/>
          <w:i/>
          <w:sz w:val="24"/>
          <w:szCs w:val="24"/>
        </w:rPr>
        <w:t xml:space="preserve">they </w:t>
      </w:r>
      <w:r>
        <w:rPr>
          <w:rFonts w:ascii="Times New Roman" w:hAnsi="Times New Roman"/>
          <w:bCs/>
          <w:sz w:val="24"/>
          <w:szCs w:val="24"/>
        </w:rPr>
        <w:t xml:space="preserve">show themselves only seldom’ appears to imply that these planets can choose what they do. This echoes Aristotle’s argument in </w:t>
      </w:r>
      <w:r>
        <w:rPr>
          <w:rFonts w:ascii="Times New Roman" w:hAnsi="Times New Roman"/>
          <w:bCs/>
          <w:i/>
          <w:sz w:val="24"/>
          <w:szCs w:val="24"/>
        </w:rPr>
        <w:t xml:space="preserve">De </w:t>
      </w:r>
      <w:proofErr w:type="spellStart"/>
      <w:r>
        <w:rPr>
          <w:rFonts w:ascii="Times New Roman" w:hAnsi="Times New Roman"/>
          <w:bCs/>
          <w:i/>
          <w:sz w:val="24"/>
          <w:szCs w:val="24"/>
        </w:rPr>
        <w:t>Caelo</w:t>
      </w:r>
      <w:proofErr w:type="spellEnd"/>
      <w:r>
        <w:rPr>
          <w:rFonts w:ascii="Times New Roman" w:hAnsi="Times New Roman"/>
          <w:bCs/>
          <w:i/>
          <w:sz w:val="24"/>
          <w:szCs w:val="24"/>
        </w:rPr>
        <w:t xml:space="preserve"> </w:t>
      </w:r>
      <w:r>
        <w:rPr>
          <w:rFonts w:ascii="Times New Roman" w:hAnsi="Times New Roman"/>
          <w:bCs/>
          <w:sz w:val="24"/>
          <w:szCs w:val="24"/>
        </w:rPr>
        <w:t>(‘On the Heavens’, 350 C.E.), that the stars should be understood ‘as partaking of life and initiative’ rather than as being ‘completely lifeless’.</w:t>
      </w:r>
      <w:r>
        <w:rPr>
          <w:rStyle w:val="FootnoteReference"/>
          <w:rFonts w:ascii="Times New Roman" w:hAnsi="Times New Roman"/>
          <w:bCs/>
          <w:sz w:val="24"/>
          <w:szCs w:val="24"/>
        </w:rPr>
        <w:footnoteReference w:id="47"/>
      </w:r>
      <w:r>
        <w:rPr>
          <w:rFonts w:ascii="Times New Roman" w:hAnsi="Times New Roman"/>
          <w:bCs/>
          <w:sz w:val="24"/>
          <w:szCs w:val="24"/>
        </w:rPr>
        <w:t xml:space="preserve"> Hildegard’s treatment of ‘The twelve signs and the planets’ strengthens this suggestion of perceptive celestial bodies: ‘As the firmament is led on its course by the seven planets, they assist and serve it, as it were, in the twelve signs [of the zodiac]’.</w:t>
      </w:r>
      <w:r>
        <w:rPr>
          <w:rStyle w:val="FootnoteReference"/>
          <w:rFonts w:ascii="Times New Roman" w:hAnsi="Times New Roman"/>
          <w:bCs/>
          <w:sz w:val="24"/>
          <w:szCs w:val="24"/>
        </w:rPr>
        <w:footnoteReference w:id="48"/>
      </w:r>
      <w:r>
        <w:rPr>
          <w:rFonts w:ascii="Times New Roman" w:hAnsi="Times New Roman"/>
          <w:bCs/>
          <w:sz w:val="24"/>
          <w:szCs w:val="24"/>
        </w:rPr>
        <w:t xml:space="preserve"> Yet Gerard of Cremona’s Latin translation of </w:t>
      </w:r>
      <w:r>
        <w:rPr>
          <w:rFonts w:ascii="Times New Roman" w:hAnsi="Times New Roman"/>
          <w:bCs/>
          <w:i/>
          <w:sz w:val="24"/>
          <w:szCs w:val="24"/>
        </w:rPr>
        <w:t xml:space="preserve">De </w:t>
      </w:r>
      <w:proofErr w:type="spellStart"/>
      <w:r>
        <w:rPr>
          <w:rFonts w:ascii="Times New Roman" w:hAnsi="Times New Roman"/>
          <w:bCs/>
          <w:i/>
          <w:sz w:val="24"/>
          <w:szCs w:val="24"/>
        </w:rPr>
        <w:t>Caelo</w:t>
      </w:r>
      <w:proofErr w:type="spellEnd"/>
      <w:r>
        <w:rPr>
          <w:rFonts w:ascii="Times New Roman" w:hAnsi="Times New Roman"/>
          <w:bCs/>
          <w:sz w:val="24"/>
          <w:szCs w:val="24"/>
        </w:rPr>
        <w:t xml:space="preserve"> may not have even been complete by </w:t>
      </w:r>
      <w:r>
        <w:rPr>
          <w:rFonts w:ascii="Times New Roman" w:hAnsi="Times New Roman"/>
          <w:bCs/>
          <w:i/>
          <w:sz w:val="24"/>
          <w:szCs w:val="24"/>
        </w:rPr>
        <w:t>Cause et cure</w:t>
      </w:r>
      <w:r>
        <w:rPr>
          <w:rFonts w:ascii="Times New Roman" w:hAnsi="Times New Roman"/>
          <w:bCs/>
          <w:sz w:val="24"/>
          <w:szCs w:val="24"/>
        </w:rPr>
        <w:t xml:space="preserve">’s compositional period, let alone available – as Singer has </w:t>
      </w:r>
      <w:r>
        <w:rPr>
          <w:rFonts w:ascii="Times New Roman" w:hAnsi="Times New Roman"/>
          <w:bCs/>
          <w:sz w:val="24"/>
          <w:szCs w:val="24"/>
        </w:rPr>
        <w:lastRenderedPageBreak/>
        <w:t>suggested – in ‘the Rhineland in time to be used by Hildegard’.</w:t>
      </w:r>
      <w:r>
        <w:rPr>
          <w:rStyle w:val="FootnoteReference"/>
          <w:rFonts w:ascii="Times New Roman" w:hAnsi="Times New Roman"/>
          <w:bCs/>
          <w:sz w:val="24"/>
          <w:szCs w:val="24"/>
        </w:rPr>
        <w:footnoteReference w:id="49"/>
      </w:r>
      <w:r>
        <w:rPr>
          <w:rStyle w:val="FootnoteReference"/>
          <w:rFonts w:ascii="Times New Roman" w:hAnsi="Times New Roman"/>
          <w:bCs/>
          <w:sz w:val="24"/>
          <w:szCs w:val="24"/>
        </w:rPr>
        <w:t xml:space="preserve"> </w:t>
      </w:r>
      <w:r>
        <w:rPr>
          <w:rFonts w:ascii="Times New Roman" w:hAnsi="Times New Roman"/>
          <w:bCs/>
          <w:sz w:val="24"/>
          <w:szCs w:val="24"/>
        </w:rPr>
        <w:t xml:space="preserve">However directly, indirectly, or independently of Aristotle Hildegard came to her conclusions on the initiative of planets and their relationship to humans, that she did so at all is significant. It suggests that the Greek tradition which brought the two ‘sciences’ of astrology and medicine together was so strong that it somehow existed even within the confines of a twelfth-century Benedictine monastery within the Holy Roman Empire. </w:t>
      </w:r>
    </w:p>
    <w:p w14:paraId="14864352" w14:textId="77777777" w:rsidR="00413B80" w:rsidRDefault="00413B80" w:rsidP="00217025">
      <w:pPr>
        <w:pStyle w:val="NormalWeb"/>
        <w:spacing w:before="0" w:beforeAutospacing="0" w:after="0" w:afterAutospacing="0"/>
        <w:ind w:right="-334"/>
        <w:jc w:val="both"/>
        <w:rPr>
          <w:rFonts w:ascii="Times New Roman" w:hAnsi="Times New Roman"/>
          <w:bCs/>
          <w:sz w:val="24"/>
          <w:szCs w:val="24"/>
        </w:rPr>
      </w:pPr>
    </w:p>
    <w:p w14:paraId="4EB464FC" w14:textId="28049FD1" w:rsidR="00217025" w:rsidRDefault="00530253" w:rsidP="00530253">
      <w:pPr>
        <w:pStyle w:val="NormalWeb"/>
        <w:spacing w:before="0" w:beforeAutospacing="0" w:after="0" w:afterAutospacing="0"/>
        <w:ind w:right="-334"/>
        <w:jc w:val="both"/>
        <w:rPr>
          <w:rFonts w:ascii="Times New Roman" w:hAnsi="Times New Roman"/>
          <w:bCs/>
          <w:color w:val="auto"/>
          <w:sz w:val="24"/>
          <w:szCs w:val="24"/>
        </w:rPr>
      </w:pPr>
      <w:r>
        <w:rPr>
          <w:rFonts w:ascii="Times New Roman" w:hAnsi="Times New Roman"/>
          <w:bCs/>
          <w:sz w:val="24"/>
          <w:szCs w:val="24"/>
        </w:rPr>
        <w:t>For Campion, ‘It’s not the mechanics that define astrology; but the practice’, a viewpoint centred upon the actions undertaken by the astrologer to perform what they consider astrology to be.</w:t>
      </w:r>
      <w:r>
        <w:rPr>
          <w:rStyle w:val="FootnoteReference"/>
          <w:rFonts w:ascii="Times New Roman" w:hAnsi="Times New Roman"/>
          <w:bCs/>
          <w:sz w:val="24"/>
          <w:szCs w:val="24"/>
        </w:rPr>
        <w:footnoteReference w:id="50"/>
      </w:r>
      <w:r>
        <w:rPr>
          <w:rFonts w:ascii="Times New Roman" w:hAnsi="Times New Roman"/>
          <w:bCs/>
          <w:sz w:val="24"/>
          <w:szCs w:val="24"/>
        </w:rPr>
        <w:t xml:space="preserve"> </w:t>
      </w:r>
      <w:r>
        <w:rPr>
          <w:rFonts w:ascii="Times New Roman" w:hAnsi="Times New Roman"/>
          <w:bCs/>
          <w:color w:val="auto"/>
          <w:sz w:val="24"/>
          <w:szCs w:val="24"/>
        </w:rPr>
        <w:t xml:space="preserve">It is Sweet’s contention that in </w:t>
      </w:r>
      <w:r>
        <w:rPr>
          <w:rFonts w:ascii="Times New Roman" w:hAnsi="Times New Roman"/>
          <w:bCs/>
          <w:i/>
          <w:color w:val="auto"/>
          <w:sz w:val="24"/>
          <w:szCs w:val="24"/>
        </w:rPr>
        <w:t xml:space="preserve">Cause et cure </w:t>
      </w:r>
      <w:r>
        <w:rPr>
          <w:rFonts w:ascii="Times New Roman" w:hAnsi="Times New Roman"/>
          <w:bCs/>
          <w:color w:val="auto"/>
          <w:sz w:val="24"/>
          <w:szCs w:val="24"/>
        </w:rPr>
        <w:t>Hildegard presents a ‘connection between practice and text’ which may be visible from her descriptions of planets moving like animals as much as through her repeated links between the moon and conception.</w:t>
      </w:r>
      <w:r>
        <w:rPr>
          <w:rStyle w:val="FootnoteReference"/>
          <w:rFonts w:ascii="Times New Roman" w:hAnsi="Times New Roman"/>
          <w:bCs/>
          <w:color w:val="auto"/>
          <w:sz w:val="24"/>
          <w:szCs w:val="24"/>
        </w:rPr>
        <w:footnoteReference w:id="51"/>
      </w:r>
      <w:r>
        <w:rPr>
          <w:rFonts w:ascii="Times New Roman" w:hAnsi="Times New Roman"/>
          <w:bCs/>
          <w:color w:val="auto"/>
          <w:sz w:val="24"/>
          <w:szCs w:val="24"/>
        </w:rPr>
        <w:t xml:space="preserve"> Hildegard’s moon appears particularly closely related to humans, with the ‘blood’ and ‘semen’ of ‘humans’ increasing in strength with the waxing moon and decreasing as it wanes.</w:t>
      </w:r>
      <w:r>
        <w:rPr>
          <w:rStyle w:val="FootnoteReference"/>
          <w:rFonts w:ascii="Times New Roman" w:hAnsi="Times New Roman"/>
          <w:bCs/>
          <w:color w:val="auto"/>
          <w:sz w:val="24"/>
          <w:szCs w:val="24"/>
        </w:rPr>
        <w:footnoteReference w:id="52"/>
      </w:r>
      <w:r>
        <w:rPr>
          <w:rFonts w:ascii="Times New Roman" w:hAnsi="Times New Roman"/>
          <w:bCs/>
          <w:color w:val="auto"/>
          <w:sz w:val="24"/>
          <w:szCs w:val="24"/>
        </w:rPr>
        <w:t xml:space="preserve"> Those who ignore this advice and do manage to conceive children ‘on the twentieth day after the new moon’ – around halfway through its waning process – would birth a ‘virile and evil’ boy who ‘enjoy[s]’ being a ‘robber and a murderer’ or a girl who ‘will be a poisoner and will gladly destroy people’</w:t>
      </w:r>
      <w:r w:rsidR="004B2D3B">
        <w:rPr>
          <w:rFonts w:ascii="Times New Roman" w:hAnsi="Times New Roman"/>
          <w:bCs/>
          <w:color w:val="auto"/>
          <w:sz w:val="24"/>
          <w:szCs w:val="24"/>
        </w:rPr>
        <w:t xml:space="preserve">, so her advice was perhaps best followed </w:t>
      </w:r>
      <w:r w:rsidR="004B2D3B">
        <w:rPr>
          <w:rFonts w:ascii="Times New Roman" w:hAnsi="Times New Roman"/>
          <w:bCs/>
          <w:i/>
          <w:color w:val="auto"/>
          <w:sz w:val="24"/>
          <w:szCs w:val="24"/>
        </w:rPr>
        <w:t>just in case</w:t>
      </w:r>
      <w:r>
        <w:rPr>
          <w:rFonts w:ascii="Times New Roman" w:hAnsi="Times New Roman"/>
          <w:bCs/>
          <w:color w:val="auto"/>
          <w:sz w:val="24"/>
          <w:szCs w:val="24"/>
        </w:rPr>
        <w:t>.</w:t>
      </w:r>
      <w:r>
        <w:rPr>
          <w:rStyle w:val="FootnoteReference"/>
          <w:rFonts w:ascii="Times New Roman" w:hAnsi="Times New Roman"/>
          <w:bCs/>
          <w:color w:val="auto"/>
          <w:sz w:val="24"/>
          <w:szCs w:val="24"/>
        </w:rPr>
        <w:footnoteReference w:id="53"/>
      </w:r>
      <w:r>
        <w:rPr>
          <w:rFonts w:ascii="Times New Roman" w:hAnsi="Times New Roman"/>
          <w:bCs/>
          <w:color w:val="auto"/>
          <w:sz w:val="24"/>
          <w:szCs w:val="24"/>
        </w:rPr>
        <w:t xml:space="preserve"> Whether Hildegard based these predictions on experience, local folklore, or prior written sources is unclear, yet their link to conception rather than birth dates does appear consistent with her earlier conception advice. It is also a distinctly practical method for marking time’s passage – clouds permitting, the phase of the moon is simple enough to keep track of and, as such, a potentially valuable tool for offering advice in conceiving, and descriptions of, children.</w:t>
      </w:r>
      <w:r w:rsidR="000C5688">
        <w:rPr>
          <w:rFonts w:ascii="Times New Roman" w:hAnsi="Times New Roman"/>
          <w:bCs/>
          <w:color w:val="auto"/>
          <w:sz w:val="24"/>
          <w:szCs w:val="24"/>
        </w:rPr>
        <w:t xml:space="preserve"> </w:t>
      </w:r>
    </w:p>
    <w:p w14:paraId="7E5BABD7" w14:textId="754C1E4C" w:rsidR="00965561" w:rsidRDefault="00965561" w:rsidP="00965561">
      <w:pPr>
        <w:rPr>
          <w:rFonts w:eastAsiaTheme="minorHAnsi"/>
          <w:lang w:eastAsia="en-GB"/>
        </w:rPr>
      </w:pPr>
    </w:p>
    <w:p w14:paraId="49590944" w14:textId="77777777" w:rsidR="00CA4779" w:rsidRDefault="007E67AF" w:rsidP="00CA4779">
      <w:pPr>
        <w:rPr>
          <w:b/>
        </w:rPr>
      </w:pPr>
      <w:r>
        <w:rPr>
          <w:bCs/>
        </w:rPr>
        <w:t xml:space="preserve"> </w:t>
      </w:r>
      <w:r w:rsidR="00CA4779">
        <w:rPr>
          <w:b/>
        </w:rPr>
        <w:t>Conclusion</w:t>
      </w:r>
    </w:p>
    <w:p w14:paraId="77C54AF8" w14:textId="77777777" w:rsidR="00CA4779" w:rsidRDefault="00CA4779" w:rsidP="00CA4779">
      <w:pPr>
        <w:pStyle w:val="NormalWeb"/>
        <w:spacing w:before="0" w:beforeAutospacing="0" w:after="0" w:afterAutospacing="0"/>
        <w:ind w:right="-334"/>
        <w:jc w:val="both"/>
        <w:rPr>
          <w:rFonts w:ascii="Times New Roman" w:hAnsi="Times New Roman"/>
          <w:bCs/>
          <w:sz w:val="24"/>
          <w:szCs w:val="24"/>
        </w:rPr>
      </w:pPr>
      <w:r>
        <w:t xml:space="preserve"> </w:t>
      </w:r>
    </w:p>
    <w:p w14:paraId="1E61D5A2" w14:textId="23DCAF40" w:rsidR="00D11790" w:rsidRDefault="00CA4779" w:rsidP="00CA4779">
      <w:pPr>
        <w:jc w:val="both"/>
      </w:pPr>
      <w:r w:rsidRPr="006F7983">
        <w:rPr>
          <w:bCs/>
        </w:rPr>
        <w:t xml:space="preserve">This essay discussed the role of astrology within medieval Europe by considering its presentation by John Gower in </w:t>
      </w:r>
      <w:proofErr w:type="spellStart"/>
      <w:r w:rsidRPr="006F7983">
        <w:rPr>
          <w:bCs/>
          <w:i/>
        </w:rPr>
        <w:t>Confessio</w:t>
      </w:r>
      <w:proofErr w:type="spellEnd"/>
      <w:r w:rsidRPr="006F7983">
        <w:rPr>
          <w:bCs/>
          <w:i/>
        </w:rPr>
        <w:t xml:space="preserve"> </w:t>
      </w:r>
      <w:proofErr w:type="spellStart"/>
      <w:r w:rsidRPr="006F7983">
        <w:rPr>
          <w:bCs/>
          <w:i/>
        </w:rPr>
        <w:t>Amantis</w:t>
      </w:r>
      <w:proofErr w:type="spellEnd"/>
      <w:r w:rsidRPr="006F7983">
        <w:rPr>
          <w:bCs/>
          <w:i/>
        </w:rPr>
        <w:t xml:space="preserve"> </w:t>
      </w:r>
      <w:r w:rsidRPr="006F7983">
        <w:rPr>
          <w:bCs/>
        </w:rPr>
        <w:t xml:space="preserve">and by Hildegard of Bingen in </w:t>
      </w:r>
      <w:r w:rsidRPr="006F7983">
        <w:rPr>
          <w:bCs/>
          <w:i/>
        </w:rPr>
        <w:t>Cause et cure.</w:t>
      </w:r>
      <w:r w:rsidRPr="006F7983">
        <w:rPr>
          <w:bCs/>
        </w:rPr>
        <w:t xml:space="preserve"> By investigating the relationship between descriptions of astrology in </w:t>
      </w:r>
      <w:proofErr w:type="spellStart"/>
      <w:r w:rsidRPr="006F7983">
        <w:rPr>
          <w:bCs/>
          <w:i/>
        </w:rPr>
        <w:t>Confessio</w:t>
      </w:r>
      <w:proofErr w:type="spellEnd"/>
      <w:r w:rsidRPr="006F7983">
        <w:rPr>
          <w:bCs/>
          <w:i/>
        </w:rPr>
        <w:t xml:space="preserve"> </w:t>
      </w:r>
      <w:proofErr w:type="spellStart"/>
      <w:r w:rsidRPr="006F7983">
        <w:rPr>
          <w:bCs/>
          <w:i/>
        </w:rPr>
        <w:t>Amantis</w:t>
      </w:r>
      <w:proofErr w:type="spellEnd"/>
      <w:r w:rsidRPr="006F7983">
        <w:rPr>
          <w:bCs/>
        </w:rPr>
        <w:t xml:space="preserve"> alongside those in </w:t>
      </w:r>
      <w:r w:rsidRPr="006F7983">
        <w:rPr>
          <w:bCs/>
          <w:i/>
        </w:rPr>
        <w:t>Cause et cure</w:t>
      </w:r>
      <w:r w:rsidRPr="006F7983">
        <w:rPr>
          <w:bCs/>
        </w:rPr>
        <w:t xml:space="preserve">, an attempt has been made to present a view of the prevalent, enmeshed role astrology may have played in the daily lives of those living within </w:t>
      </w:r>
      <w:r w:rsidR="00160354" w:rsidRPr="006F7983">
        <w:rPr>
          <w:bCs/>
        </w:rPr>
        <w:t xml:space="preserve">Europe throughout the </w:t>
      </w:r>
      <w:r w:rsidRPr="006F7983">
        <w:rPr>
          <w:bCs/>
        </w:rPr>
        <w:t xml:space="preserve">medieval </w:t>
      </w:r>
      <w:r w:rsidR="00160354" w:rsidRPr="006F7983">
        <w:rPr>
          <w:bCs/>
        </w:rPr>
        <w:t>period</w:t>
      </w:r>
      <w:r w:rsidRPr="006F7983">
        <w:rPr>
          <w:bCs/>
        </w:rPr>
        <w:t xml:space="preserve">. </w:t>
      </w:r>
      <w:r w:rsidRPr="006F7983">
        <w:t xml:space="preserve">This essay has argued that both </w:t>
      </w:r>
      <w:r w:rsidR="00EB7EA6">
        <w:t>sources</w:t>
      </w:r>
      <w:r w:rsidRPr="006F7983">
        <w:rPr>
          <w:i/>
        </w:rPr>
        <w:t xml:space="preserve"> </w:t>
      </w:r>
      <w:r w:rsidRPr="006F7983">
        <w:t>may be read as compilations of knowledge which share</w:t>
      </w:r>
      <w:r w:rsidR="00FD2ECD">
        <w:t xml:space="preserve"> both Ancient Greek and patristic Christian roots. </w:t>
      </w:r>
      <w:r w:rsidR="0059510E" w:rsidRPr="006F7983">
        <w:t xml:space="preserve">Gower makes repeated reference to his sources, situating his treatment of astrology within a tradition reaching back thousands of years. His specific use of Aristotle teaching </w:t>
      </w:r>
      <w:r w:rsidR="00CE12FD" w:rsidRPr="006F7983">
        <w:t xml:space="preserve">Alexander the Great places astrology within the curriculum for a celebrated conquering king, </w:t>
      </w:r>
      <w:r w:rsidR="001717F6">
        <w:t>a</w:t>
      </w:r>
      <w:r w:rsidR="00D43871" w:rsidRPr="006F7983">
        <w:t xml:space="preserve"> particularly politically relevant </w:t>
      </w:r>
      <w:r w:rsidR="001717F6">
        <w:t xml:space="preserve">subject </w:t>
      </w:r>
      <w:r w:rsidR="00D43871" w:rsidRPr="006F7983">
        <w:t xml:space="preserve">during the </w:t>
      </w:r>
      <w:r w:rsidR="00FE37CB" w:rsidRPr="006F7983">
        <w:t xml:space="preserve">Plantagenet-Lancastrian dispute over England’s throne which was contemporary with the composition of </w:t>
      </w:r>
      <w:proofErr w:type="spellStart"/>
      <w:r w:rsidR="00FE37CB" w:rsidRPr="006F7983">
        <w:rPr>
          <w:i/>
        </w:rPr>
        <w:t>Confessio</w:t>
      </w:r>
      <w:proofErr w:type="spellEnd"/>
      <w:r w:rsidR="00FE37CB" w:rsidRPr="006F7983">
        <w:rPr>
          <w:i/>
        </w:rPr>
        <w:t xml:space="preserve"> </w:t>
      </w:r>
      <w:proofErr w:type="spellStart"/>
      <w:r w:rsidR="00FE37CB" w:rsidRPr="006F7983">
        <w:rPr>
          <w:i/>
        </w:rPr>
        <w:t>Amantis</w:t>
      </w:r>
      <w:proofErr w:type="spellEnd"/>
      <w:r w:rsidR="00FE37CB" w:rsidRPr="006F7983">
        <w:t xml:space="preserve">. </w:t>
      </w:r>
      <w:r w:rsidR="00561AA0" w:rsidRPr="006F7983">
        <w:t>D</w:t>
      </w:r>
      <w:r w:rsidRPr="006F7983">
        <w:t>iscussion</w:t>
      </w:r>
      <w:r w:rsidR="005F2141" w:rsidRPr="006F7983">
        <w:t>s</w:t>
      </w:r>
      <w:r w:rsidRPr="006F7983">
        <w:t xml:space="preserve"> of the relationship between the signs of the zodiac and the temperaments of those born ‘under’ them</w:t>
      </w:r>
      <w:r w:rsidR="005F2141" w:rsidRPr="006F7983">
        <w:t xml:space="preserve"> </w:t>
      </w:r>
      <w:r w:rsidRPr="006F7983">
        <w:t>are carefully enmeshed</w:t>
      </w:r>
      <w:r w:rsidR="005F2141" w:rsidRPr="006F7983">
        <w:t xml:space="preserve"> by Gower</w:t>
      </w:r>
      <w:r w:rsidRPr="006F7983">
        <w:t xml:space="preserve"> within a Christian framework</w:t>
      </w:r>
      <w:r w:rsidR="00286BF3">
        <w:t xml:space="preserve"> which appears familiar from Augustine’s writings</w:t>
      </w:r>
      <w:r w:rsidR="00561AA0" w:rsidRPr="006F7983">
        <w:t xml:space="preserve">, </w:t>
      </w:r>
      <w:r w:rsidR="005F2141" w:rsidRPr="006F7983">
        <w:t xml:space="preserve">explicitly </w:t>
      </w:r>
      <w:r w:rsidR="005F2141" w:rsidRPr="006F7983">
        <w:lastRenderedPageBreak/>
        <w:t>highlight</w:t>
      </w:r>
      <w:r w:rsidR="00561AA0" w:rsidRPr="006F7983">
        <w:t>ing</w:t>
      </w:r>
      <w:r w:rsidRPr="006F7983">
        <w:t xml:space="preserve"> God’s role as creator</w:t>
      </w:r>
      <w:r w:rsidR="006845AF">
        <w:t xml:space="preserve"> </w:t>
      </w:r>
      <w:r w:rsidRPr="006F7983">
        <w:t>of everything</w:t>
      </w:r>
      <w:r w:rsidR="005F2141" w:rsidRPr="006F7983">
        <w:t xml:space="preserve"> </w:t>
      </w:r>
      <w:r w:rsidR="00575CD4">
        <w:t xml:space="preserve">– </w:t>
      </w:r>
      <w:r w:rsidR="005F2141" w:rsidRPr="006F7983">
        <w:t>including celestial influence</w:t>
      </w:r>
      <w:r w:rsidR="00575CD4">
        <w:t xml:space="preserve"> –</w:t>
      </w:r>
      <w:r w:rsidR="006845AF">
        <w:t xml:space="preserve"> and </w:t>
      </w:r>
      <w:r w:rsidR="00575CD4">
        <w:t xml:space="preserve">through whose will </w:t>
      </w:r>
      <w:r w:rsidR="00286BF3">
        <w:t xml:space="preserve">alone </w:t>
      </w:r>
      <w:r w:rsidR="00575CD4">
        <w:t>the stars and planets could communicate</w:t>
      </w:r>
      <w:r w:rsidR="00286BF3">
        <w:t xml:space="preserve"> with people</w:t>
      </w:r>
      <w:r w:rsidR="00575CD4">
        <w:t>.</w:t>
      </w:r>
    </w:p>
    <w:p w14:paraId="79B77D81" w14:textId="77777777" w:rsidR="00D11790" w:rsidRDefault="00D11790" w:rsidP="00CA4779">
      <w:pPr>
        <w:jc w:val="both"/>
      </w:pPr>
    </w:p>
    <w:p w14:paraId="7BF54564" w14:textId="797B90A1" w:rsidR="00286BF3" w:rsidRDefault="006A7F21" w:rsidP="00756536">
      <w:pPr>
        <w:jc w:val="both"/>
      </w:pPr>
      <w:r w:rsidRPr="006F7983">
        <w:t>Gowe</w:t>
      </w:r>
      <w:r w:rsidR="00AF4609" w:rsidRPr="006F7983">
        <w:t xml:space="preserve">r’s </w:t>
      </w:r>
      <w:r w:rsidR="003767D8">
        <w:t xml:space="preserve">secular </w:t>
      </w:r>
      <w:r w:rsidR="00AF4609" w:rsidRPr="006F7983">
        <w:t>audienc</w:t>
      </w:r>
      <w:r w:rsidR="003767D8">
        <w:t>e</w:t>
      </w:r>
      <w:r w:rsidR="00AF4609" w:rsidRPr="006F7983">
        <w:t xml:space="preserve"> was broader than Hildegard’s</w:t>
      </w:r>
      <w:r w:rsidR="00F32ACF" w:rsidRPr="006F7983">
        <w:t>, negating any implicit understanding of God’s role in and feelings towards astrology which may have existed within Hildegard’s work.</w:t>
      </w:r>
      <w:r w:rsidR="00AF4609" w:rsidRPr="006F7983">
        <w:t xml:space="preserve"> </w:t>
      </w:r>
      <w:r w:rsidR="00E32E29" w:rsidRPr="006F7983">
        <w:t>She lived in a</w:t>
      </w:r>
      <w:r w:rsidR="003767D8">
        <w:t xml:space="preserve"> religious environment</w:t>
      </w:r>
      <w:r w:rsidR="00E32E29" w:rsidRPr="006F7983">
        <w:t xml:space="preserve"> and, </w:t>
      </w:r>
      <w:r w:rsidR="003767D8">
        <w:t xml:space="preserve">following </w:t>
      </w:r>
      <w:r w:rsidR="00E32E29" w:rsidRPr="006F7983">
        <w:t xml:space="preserve">Sweet’s conclusion, wrote </w:t>
      </w:r>
      <w:r w:rsidR="00E32E29" w:rsidRPr="006F7983">
        <w:rPr>
          <w:i/>
        </w:rPr>
        <w:t>Cause et cure</w:t>
      </w:r>
      <w:r w:rsidR="00E32E29" w:rsidRPr="006F7983">
        <w:t xml:space="preserve"> specifically for an audience who shared this experience. </w:t>
      </w:r>
      <w:r w:rsidR="00E32E29" w:rsidRPr="006F7983">
        <w:rPr>
          <w:i/>
        </w:rPr>
        <w:t xml:space="preserve">Cause et cure </w:t>
      </w:r>
      <w:r w:rsidR="00E32E29" w:rsidRPr="006F7983">
        <w:t>is a manual</w:t>
      </w:r>
      <w:r w:rsidR="007E3F3C">
        <w:t xml:space="preserve"> for health whose theology is intricately woven with practical</w:t>
      </w:r>
      <w:r w:rsidR="00E32E29" w:rsidRPr="006F7983">
        <w:t xml:space="preserve"> descriptions of celestial bodies as having a relationship with humans</w:t>
      </w:r>
      <w:r w:rsidR="00286BF3">
        <w:t>, yet she is at times inconsistent in describing celestial objects as able to move through their own will or through God’s</w:t>
      </w:r>
      <w:r w:rsidR="00E32E29" w:rsidRPr="006F7983">
        <w:t>. She presents this relationship as being especially apparent through the moon’s role in aiding the conception of children.</w:t>
      </w:r>
      <w:r w:rsidR="00D25652" w:rsidRPr="006F7983">
        <w:t xml:space="preserve"> </w:t>
      </w:r>
      <w:r w:rsidR="002D24A3">
        <w:t>By exploring</w:t>
      </w:r>
      <w:r w:rsidR="00D25652" w:rsidRPr="006F7983">
        <w:t xml:space="preserve"> these two sources, the relationship between astrology and medieval Christianity has been </w:t>
      </w:r>
      <w:r w:rsidR="006E2216">
        <w:t>theorised</w:t>
      </w:r>
      <w:r w:rsidR="00D25652" w:rsidRPr="006F7983">
        <w:t xml:space="preserve"> to</w:t>
      </w:r>
      <w:r w:rsidR="006E2216">
        <w:t xml:space="preserve"> have</w:t>
      </w:r>
      <w:r w:rsidR="00D25652" w:rsidRPr="006F7983">
        <w:t xml:space="preserve"> be</w:t>
      </w:r>
      <w:r w:rsidR="006E2216">
        <w:t>en</w:t>
      </w:r>
      <w:r w:rsidR="00D25652" w:rsidRPr="006F7983">
        <w:t xml:space="preserve"> so enmeshed that </w:t>
      </w:r>
      <w:r w:rsidR="006E2216">
        <w:t xml:space="preserve">they are </w:t>
      </w:r>
      <w:r w:rsidR="00D25652" w:rsidRPr="006F7983">
        <w:t xml:space="preserve">difficult to separate. </w:t>
      </w:r>
      <w:r w:rsidR="00550F7A">
        <w:t>Further,</w:t>
      </w:r>
      <w:r w:rsidR="00CA4779" w:rsidRPr="006F7983">
        <w:t xml:space="preserve"> astrology has been shown to have been prevalent across the boundaries of language, culture, land, and time, highlighting its enduring </w:t>
      </w:r>
      <w:r w:rsidR="009541F9">
        <w:t xml:space="preserve">popular </w:t>
      </w:r>
      <w:r w:rsidR="00CA4779" w:rsidRPr="006F7983">
        <w:t>significance</w:t>
      </w:r>
      <w:r w:rsidR="00EF323E">
        <w:t>.</w:t>
      </w:r>
      <w:r w:rsidR="00F75B92" w:rsidRPr="006F7983">
        <w:t xml:space="preserve"> For Gower, astrology may perhaps be summed up as traditional – a rung in a ladder of literature en</w:t>
      </w:r>
      <w:bookmarkStart w:id="14" w:name="_GoBack"/>
      <w:bookmarkEnd w:id="14"/>
      <w:r w:rsidR="00F75B92" w:rsidRPr="006F7983">
        <w:t xml:space="preserve">compassing those whose work shaped contemporary worldviews – whilst Hildegard appears to have been entirely practical, sharing her knowledge as a tool for other women to live helpful, enlightened lives. </w:t>
      </w:r>
      <w:r w:rsidR="00577903" w:rsidRPr="006F7983">
        <w:t xml:space="preserve">That astrology could act as a vehicle for both Hildegard and Gower in these </w:t>
      </w:r>
      <w:proofErr w:type="gramStart"/>
      <w:r w:rsidR="00577903" w:rsidRPr="006F7983">
        <w:t>endeavours</w:t>
      </w:r>
      <w:proofErr w:type="gramEnd"/>
      <w:r w:rsidR="00577903" w:rsidRPr="006F7983">
        <w:t xml:space="preserve"> </w:t>
      </w:r>
      <w:r w:rsidR="00E84E81">
        <w:t>stresses</w:t>
      </w:r>
      <w:r w:rsidR="00E84E81" w:rsidRPr="006F7983">
        <w:t xml:space="preserve"> </w:t>
      </w:r>
      <w:r w:rsidR="006F7983" w:rsidRPr="006F7983">
        <w:t xml:space="preserve">both </w:t>
      </w:r>
      <w:r w:rsidR="00577903" w:rsidRPr="006F7983">
        <w:t>its adaptability and permeance in medieval European society.</w:t>
      </w:r>
    </w:p>
    <w:p w14:paraId="38EC2E54" w14:textId="6DADF6C2" w:rsidR="00877258" w:rsidRDefault="00877258" w:rsidP="00756536">
      <w:pPr>
        <w:jc w:val="both"/>
      </w:pPr>
    </w:p>
    <w:p w14:paraId="45E06B0F" w14:textId="4D77FE95" w:rsidR="00E6088A" w:rsidRDefault="00E6088A" w:rsidP="00756536">
      <w:pPr>
        <w:jc w:val="both"/>
      </w:pPr>
    </w:p>
    <w:p w14:paraId="0F6E75B2" w14:textId="1BA5DFCB" w:rsidR="00E6088A" w:rsidRDefault="00E6088A" w:rsidP="00756536">
      <w:pPr>
        <w:jc w:val="both"/>
      </w:pPr>
    </w:p>
    <w:p w14:paraId="45873614" w14:textId="6F32741B" w:rsidR="00E6088A" w:rsidRDefault="00E6088A" w:rsidP="00756536">
      <w:pPr>
        <w:jc w:val="both"/>
      </w:pPr>
    </w:p>
    <w:p w14:paraId="7D9D1DA6" w14:textId="0F87749A" w:rsidR="00E6088A" w:rsidRDefault="00E6088A" w:rsidP="00756536">
      <w:pPr>
        <w:jc w:val="both"/>
      </w:pPr>
    </w:p>
    <w:p w14:paraId="5A90DED5" w14:textId="02C175A3" w:rsidR="00E6088A" w:rsidRDefault="00E6088A" w:rsidP="00756536">
      <w:pPr>
        <w:jc w:val="both"/>
      </w:pPr>
    </w:p>
    <w:p w14:paraId="52CAA30A" w14:textId="42DD92A6" w:rsidR="00E6088A" w:rsidRDefault="00E6088A" w:rsidP="00756536">
      <w:pPr>
        <w:jc w:val="both"/>
      </w:pPr>
    </w:p>
    <w:p w14:paraId="494FB6E2" w14:textId="1227C802" w:rsidR="00E6088A" w:rsidRDefault="00E6088A" w:rsidP="00756536">
      <w:pPr>
        <w:jc w:val="both"/>
      </w:pPr>
    </w:p>
    <w:p w14:paraId="1B30A848" w14:textId="34B4846F" w:rsidR="00E6088A" w:rsidRDefault="00E6088A" w:rsidP="00756536">
      <w:pPr>
        <w:jc w:val="both"/>
      </w:pPr>
    </w:p>
    <w:p w14:paraId="0C496B99" w14:textId="77B174D1" w:rsidR="00E6088A" w:rsidRDefault="00E6088A" w:rsidP="00756536">
      <w:pPr>
        <w:jc w:val="both"/>
      </w:pPr>
    </w:p>
    <w:p w14:paraId="6DDB6484" w14:textId="14AC200E" w:rsidR="00E6088A" w:rsidRDefault="00E6088A" w:rsidP="00756536">
      <w:pPr>
        <w:jc w:val="both"/>
      </w:pPr>
    </w:p>
    <w:p w14:paraId="2A56758E" w14:textId="51E89277" w:rsidR="00E6088A" w:rsidRDefault="00E6088A" w:rsidP="00756536">
      <w:pPr>
        <w:jc w:val="both"/>
      </w:pPr>
    </w:p>
    <w:p w14:paraId="6247BCD0" w14:textId="752372BE" w:rsidR="00E6088A" w:rsidRDefault="00E6088A" w:rsidP="00756536">
      <w:pPr>
        <w:jc w:val="both"/>
      </w:pPr>
    </w:p>
    <w:p w14:paraId="6BF5D48A" w14:textId="50E7932A" w:rsidR="00E6088A" w:rsidRDefault="00E6088A" w:rsidP="00756536">
      <w:pPr>
        <w:jc w:val="both"/>
      </w:pPr>
    </w:p>
    <w:p w14:paraId="5F0594C9" w14:textId="7429DDC0" w:rsidR="00E6088A" w:rsidRDefault="00E6088A" w:rsidP="00756536">
      <w:pPr>
        <w:jc w:val="both"/>
      </w:pPr>
    </w:p>
    <w:p w14:paraId="052CFCD3" w14:textId="29EBD7B0" w:rsidR="00E6088A" w:rsidRDefault="00E6088A" w:rsidP="00756536">
      <w:pPr>
        <w:jc w:val="both"/>
      </w:pPr>
    </w:p>
    <w:p w14:paraId="57BE34C8" w14:textId="36FBBF30" w:rsidR="00E6088A" w:rsidRDefault="00E6088A" w:rsidP="00756536">
      <w:pPr>
        <w:jc w:val="both"/>
      </w:pPr>
    </w:p>
    <w:p w14:paraId="72E268CE" w14:textId="72DB94E7" w:rsidR="00E6088A" w:rsidRDefault="00E6088A" w:rsidP="00756536">
      <w:pPr>
        <w:jc w:val="both"/>
      </w:pPr>
    </w:p>
    <w:p w14:paraId="6CEC5BAD" w14:textId="4285DC21" w:rsidR="00E6088A" w:rsidRDefault="00E6088A" w:rsidP="00756536">
      <w:pPr>
        <w:jc w:val="both"/>
      </w:pPr>
    </w:p>
    <w:p w14:paraId="245AC790" w14:textId="49A6B687" w:rsidR="00E6088A" w:rsidRDefault="00E6088A" w:rsidP="00756536">
      <w:pPr>
        <w:jc w:val="both"/>
      </w:pPr>
    </w:p>
    <w:p w14:paraId="1BB5435E" w14:textId="13E63D53" w:rsidR="00E6088A" w:rsidRDefault="00E6088A" w:rsidP="00756536">
      <w:pPr>
        <w:jc w:val="both"/>
      </w:pPr>
    </w:p>
    <w:p w14:paraId="02CB5A45" w14:textId="4E52B69F" w:rsidR="00E6088A" w:rsidRDefault="00E6088A" w:rsidP="00756536">
      <w:pPr>
        <w:jc w:val="both"/>
      </w:pPr>
    </w:p>
    <w:p w14:paraId="5634DC63" w14:textId="44F79EA7" w:rsidR="00E6088A" w:rsidRDefault="00E6088A" w:rsidP="00756536">
      <w:pPr>
        <w:jc w:val="both"/>
      </w:pPr>
    </w:p>
    <w:p w14:paraId="6A8E3A97" w14:textId="6D6AAF75" w:rsidR="00E6088A" w:rsidRDefault="00E6088A" w:rsidP="00756536">
      <w:pPr>
        <w:jc w:val="both"/>
      </w:pPr>
    </w:p>
    <w:p w14:paraId="30DA1E54" w14:textId="3ACA5C0D" w:rsidR="00E6088A" w:rsidRDefault="00E6088A" w:rsidP="00756536">
      <w:pPr>
        <w:jc w:val="both"/>
      </w:pPr>
    </w:p>
    <w:p w14:paraId="003A28E8" w14:textId="523FF903" w:rsidR="00E6088A" w:rsidRDefault="00E6088A" w:rsidP="00756536">
      <w:pPr>
        <w:jc w:val="both"/>
      </w:pPr>
    </w:p>
    <w:p w14:paraId="7B40D2C9" w14:textId="00E36A6D" w:rsidR="00E6088A" w:rsidRDefault="00E6088A" w:rsidP="00756536">
      <w:pPr>
        <w:jc w:val="both"/>
      </w:pPr>
    </w:p>
    <w:p w14:paraId="2F767F63" w14:textId="77777777" w:rsidR="00E6088A" w:rsidRPr="005F6C74" w:rsidRDefault="00E6088A" w:rsidP="00756536">
      <w:pPr>
        <w:jc w:val="both"/>
      </w:pPr>
    </w:p>
    <w:p w14:paraId="148DB530" w14:textId="45266999" w:rsidR="00A21154" w:rsidRPr="00E6088A" w:rsidRDefault="00A21154" w:rsidP="00E6088A">
      <w:pPr>
        <w:jc w:val="both"/>
      </w:pPr>
      <w:r w:rsidRPr="00A21154">
        <w:rPr>
          <w:b/>
        </w:rPr>
        <w:lastRenderedPageBreak/>
        <w:t xml:space="preserve">Bibliography </w:t>
      </w:r>
    </w:p>
    <w:p w14:paraId="0090E458" w14:textId="77777777" w:rsidR="00DD75DB" w:rsidRDefault="00DD75DB" w:rsidP="00A21154">
      <w:pPr>
        <w:rPr>
          <w:b/>
        </w:rPr>
      </w:pPr>
    </w:p>
    <w:p w14:paraId="5EA5ABF2" w14:textId="64894109" w:rsidR="00A21154" w:rsidRDefault="00A21154" w:rsidP="00A21154">
      <w:pPr>
        <w:rPr>
          <w:b/>
        </w:rPr>
      </w:pPr>
      <w:r w:rsidRPr="00A21154">
        <w:rPr>
          <w:b/>
        </w:rPr>
        <w:t>Primary Sources</w:t>
      </w:r>
    </w:p>
    <w:p w14:paraId="11E1E63D" w14:textId="77777777" w:rsidR="00A25537" w:rsidRDefault="00A25537" w:rsidP="00575CD4">
      <w:pPr>
        <w:rPr>
          <w:i/>
        </w:rPr>
      </w:pPr>
    </w:p>
    <w:p w14:paraId="14C25AF4" w14:textId="61519584" w:rsidR="00A21154" w:rsidRDefault="00A21154" w:rsidP="00A21154">
      <w:pPr>
        <w:ind w:left="720" w:hanging="720"/>
      </w:pPr>
      <w:r w:rsidRPr="00A21154">
        <w:rPr>
          <w:i/>
        </w:rPr>
        <w:t xml:space="preserve">Three Prose Versions of the Secreta </w:t>
      </w:r>
      <w:proofErr w:type="spellStart"/>
      <w:r w:rsidRPr="00A21154">
        <w:rPr>
          <w:i/>
        </w:rPr>
        <w:t>Secretorum</w:t>
      </w:r>
      <w:proofErr w:type="spellEnd"/>
      <w:r w:rsidRPr="00A21154">
        <w:rPr>
          <w:i/>
        </w:rPr>
        <w:t xml:space="preserve">, Volume 1: Text and Glossary, </w:t>
      </w:r>
      <w:r w:rsidRPr="00A21154">
        <w:t>ed. with intro. and notes by Robert Steele</w:t>
      </w:r>
      <w:r w:rsidRPr="00A21154">
        <w:rPr>
          <w:i/>
        </w:rPr>
        <w:t xml:space="preserve"> </w:t>
      </w:r>
      <w:r w:rsidRPr="00A21154">
        <w:t>and gloss. by T. Henderson (London: Early English Text Society, 1898)</w:t>
      </w:r>
    </w:p>
    <w:p w14:paraId="775DA0B0" w14:textId="77777777" w:rsidR="00A21154" w:rsidRPr="00A21154" w:rsidRDefault="00A21154" w:rsidP="00A21154">
      <w:pPr>
        <w:ind w:left="720" w:hanging="720"/>
      </w:pPr>
    </w:p>
    <w:p w14:paraId="7F27F5AA" w14:textId="5DEA7F8A" w:rsidR="00A21154" w:rsidRDefault="00A21154" w:rsidP="00A21154">
      <w:pPr>
        <w:ind w:left="720" w:hanging="720"/>
      </w:pPr>
      <w:r w:rsidRPr="00A21154">
        <w:t xml:space="preserve">Aristotle, </w:t>
      </w:r>
      <w:r w:rsidRPr="00A21154">
        <w:rPr>
          <w:i/>
        </w:rPr>
        <w:t xml:space="preserve">De </w:t>
      </w:r>
      <w:proofErr w:type="spellStart"/>
      <w:r w:rsidRPr="00A21154">
        <w:rPr>
          <w:i/>
        </w:rPr>
        <w:t>Caelo</w:t>
      </w:r>
      <w:proofErr w:type="spellEnd"/>
      <w:r w:rsidRPr="00A21154">
        <w:t>, trans. by W.K.C. Guthrie (LVL 338. Cambridge, MA: Harvard University Press, 1939)</w:t>
      </w:r>
    </w:p>
    <w:p w14:paraId="082BB7DD" w14:textId="77777777" w:rsidR="00A21154" w:rsidRPr="00A21154" w:rsidRDefault="00A21154" w:rsidP="00A21154">
      <w:pPr>
        <w:ind w:left="720" w:hanging="720"/>
      </w:pPr>
    </w:p>
    <w:p w14:paraId="3B086F59" w14:textId="77777777" w:rsidR="00A21154" w:rsidRPr="00A21154" w:rsidRDefault="00A21154" w:rsidP="00A21154">
      <w:pPr>
        <w:ind w:left="720" w:hanging="720"/>
      </w:pPr>
      <w:r w:rsidRPr="00A21154">
        <w:t xml:space="preserve">Augustine, </w:t>
      </w:r>
      <w:r w:rsidRPr="00A21154">
        <w:rPr>
          <w:i/>
        </w:rPr>
        <w:t xml:space="preserve">City of God, Volume 2: Books 4-7, </w:t>
      </w:r>
      <w:r w:rsidRPr="00A21154">
        <w:t>trans. by William M. Green (LCL 412. Cambridge, MA: Harvard University Press, 1963</w:t>
      </w:r>
    </w:p>
    <w:p w14:paraId="4DA47516" w14:textId="6FB0ABE5" w:rsidR="00A21154" w:rsidRDefault="00A21154" w:rsidP="00A21154">
      <w:pPr>
        <w:pStyle w:val="ListParagraph"/>
        <w:numPr>
          <w:ilvl w:val="0"/>
          <w:numId w:val="7"/>
        </w:numPr>
        <w:spacing w:line="252" w:lineRule="auto"/>
        <w:rPr>
          <w:rFonts w:ascii="Times New Roman" w:hAnsi="Times New Roman" w:cs="Times New Roman"/>
          <w:sz w:val="24"/>
          <w:szCs w:val="24"/>
        </w:rPr>
      </w:pPr>
      <w:r w:rsidRPr="00A21154">
        <w:rPr>
          <w:rFonts w:ascii="Times New Roman" w:hAnsi="Times New Roman" w:cs="Times New Roman"/>
          <w:i/>
          <w:sz w:val="24"/>
          <w:szCs w:val="24"/>
        </w:rPr>
        <w:t xml:space="preserve">Confessions, Volume 1: Books 1-8, </w:t>
      </w:r>
      <w:r w:rsidRPr="00A21154">
        <w:rPr>
          <w:rFonts w:ascii="Times New Roman" w:hAnsi="Times New Roman" w:cs="Times New Roman"/>
          <w:sz w:val="24"/>
          <w:szCs w:val="24"/>
        </w:rPr>
        <w:t>trans. by Carolyn J.B. Hammond (LCL 26. Cambridge, MA: Harvard University Press, 2014)</w:t>
      </w:r>
    </w:p>
    <w:p w14:paraId="67BF75B6" w14:textId="1758E66A" w:rsidR="00454B71" w:rsidRDefault="00454B71" w:rsidP="005A4D96">
      <w:pPr>
        <w:spacing w:line="252" w:lineRule="auto"/>
        <w:ind w:left="720" w:hanging="720"/>
      </w:pPr>
      <w:r>
        <w:t xml:space="preserve">Cicero, </w:t>
      </w:r>
      <w:r>
        <w:rPr>
          <w:i/>
        </w:rPr>
        <w:t xml:space="preserve">De </w:t>
      </w:r>
      <w:proofErr w:type="spellStart"/>
      <w:r>
        <w:rPr>
          <w:i/>
        </w:rPr>
        <w:t>Divinatione</w:t>
      </w:r>
      <w:proofErr w:type="spellEnd"/>
      <w:r>
        <w:rPr>
          <w:i/>
        </w:rPr>
        <w:t>,</w:t>
      </w:r>
      <w:r>
        <w:t xml:space="preserve"> trans. by W. A. Falconer (LCL 154. Cambridge, MA: Harvard University Press, 1923)</w:t>
      </w:r>
    </w:p>
    <w:p w14:paraId="488C2B7A" w14:textId="77777777" w:rsidR="00454B71" w:rsidRPr="00454B71" w:rsidRDefault="00454B71" w:rsidP="00454B71">
      <w:pPr>
        <w:spacing w:line="252" w:lineRule="auto"/>
      </w:pPr>
    </w:p>
    <w:p w14:paraId="1767C190" w14:textId="6B5D4E86" w:rsidR="00454B71" w:rsidRDefault="00454B71" w:rsidP="00454B71">
      <w:pPr>
        <w:ind w:left="720" w:hanging="720"/>
      </w:pPr>
      <w:r w:rsidRPr="00A21154">
        <w:t>Gower,</w:t>
      </w:r>
      <w:r>
        <w:t xml:space="preserve"> John, </w:t>
      </w:r>
      <w:proofErr w:type="spellStart"/>
      <w:r w:rsidRPr="00A21154">
        <w:rPr>
          <w:i/>
        </w:rPr>
        <w:t>Confessio</w:t>
      </w:r>
      <w:proofErr w:type="spellEnd"/>
      <w:r w:rsidRPr="00A21154">
        <w:rPr>
          <w:i/>
        </w:rPr>
        <w:t xml:space="preserve"> </w:t>
      </w:r>
      <w:proofErr w:type="spellStart"/>
      <w:r w:rsidRPr="00A21154">
        <w:rPr>
          <w:i/>
        </w:rPr>
        <w:t>Amantis</w:t>
      </w:r>
      <w:proofErr w:type="spellEnd"/>
      <w:r w:rsidRPr="00A21154">
        <w:rPr>
          <w:i/>
        </w:rPr>
        <w:t>, Volume 3</w:t>
      </w:r>
      <w:r w:rsidRPr="00A21154">
        <w:t>, ed. by Russell A. Peck with Latin trans. by Andrew Galloway (Kalamazoo, MI: Medieval Institute Publications, 2004), VII &lt;https://d.lib.rochester.edu/teams/text/peck-gower-confessio-amantis-book-7&gt; [accessed 12 June 2019]</w:t>
      </w:r>
    </w:p>
    <w:p w14:paraId="0A525A90" w14:textId="77777777" w:rsidR="00454B71" w:rsidRDefault="00454B71" w:rsidP="00454B71">
      <w:pPr>
        <w:ind w:left="720" w:hanging="720"/>
      </w:pPr>
    </w:p>
    <w:p w14:paraId="392C98F8" w14:textId="10394DE3" w:rsidR="00A21154" w:rsidRDefault="00A21154" w:rsidP="00A21154">
      <w:pPr>
        <w:ind w:left="720" w:hanging="720"/>
      </w:pPr>
      <w:r w:rsidRPr="00A21154">
        <w:t xml:space="preserve">Hildegard of Bingen, </w:t>
      </w:r>
      <w:r w:rsidRPr="00A21154">
        <w:rPr>
          <w:i/>
        </w:rPr>
        <w:t xml:space="preserve">On Natural Philosophy and Medicine: Selections from Cause et cure, </w:t>
      </w:r>
      <w:r w:rsidRPr="00A21154">
        <w:t xml:space="preserve">trans. with intro. and notes by Margret Berger (Cambridge: D. S. Brewer, 1999; </w:t>
      </w:r>
      <w:proofErr w:type="spellStart"/>
      <w:r w:rsidRPr="00A21154">
        <w:t>repr</w:t>
      </w:r>
      <w:proofErr w:type="spellEnd"/>
      <w:r w:rsidRPr="00A21154">
        <w:t>. with corrections 2009)</w:t>
      </w:r>
    </w:p>
    <w:p w14:paraId="0575C675" w14:textId="2C4B9296" w:rsidR="00A21154" w:rsidRDefault="00A21154" w:rsidP="009E6165"/>
    <w:p w14:paraId="050F2AEF" w14:textId="77777777" w:rsidR="00DD75DB" w:rsidRPr="00A21154" w:rsidRDefault="00DD75DB" w:rsidP="009E6165"/>
    <w:p w14:paraId="22174557" w14:textId="124B190D" w:rsidR="00A21154" w:rsidRDefault="00A21154" w:rsidP="00A21154">
      <w:pPr>
        <w:rPr>
          <w:b/>
        </w:rPr>
      </w:pPr>
      <w:r w:rsidRPr="00A21154">
        <w:rPr>
          <w:b/>
        </w:rPr>
        <w:t>Secondary Sources</w:t>
      </w:r>
    </w:p>
    <w:p w14:paraId="59191585" w14:textId="77777777" w:rsidR="00A21154" w:rsidRPr="00A21154" w:rsidRDefault="00A21154" w:rsidP="008A0C14"/>
    <w:p w14:paraId="3E167AA8" w14:textId="17494DC3" w:rsidR="00A21154" w:rsidRDefault="00A21154" w:rsidP="00A21154">
      <w:pPr>
        <w:ind w:left="720" w:hanging="720"/>
      </w:pPr>
      <w:r w:rsidRPr="00A21154">
        <w:t xml:space="preserve">Berger, Margret, ‘Preface’ to Hildegard of Bingen, </w:t>
      </w:r>
      <w:r w:rsidRPr="00A21154">
        <w:rPr>
          <w:i/>
        </w:rPr>
        <w:t xml:space="preserve">On Natural Philosophy and Medicine: Selections from Cause et cure, </w:t>
      </w:r>
      <w:r w:rsidRPr="00A21154">
        <w:t xml:space="preserve">trans. with intro. and notes by Margret Berger (Cambridge: D. S. Brewer, 1999; </w:t>
      </w:r>
      <w:proofErr w:type="spellStart"/>
      <w:r w:rsidRPr="00A21154">
        <w:t>repr</w:t>
      </w:r>
      <w:proofErr w:type="spellEnd"/>
      <w:r w:rsidRPr="00A21154">
        <w:t>. with corrections 2009), ix-xv</w:t>
      </w:r>
    </w:p>
    <w:p w14:paraId="7238E876" w14:textId="0C3AE0AB" w:rsidR="00B8417A" w:rsidRDefault="00B8417A" w:rsidP="00A21154">
      <w:pPr>
        <w:ind w:left="720" w:hanging="720"/>
      </w:pPr>
    </w:p>
    <w:p w14:paraId="78B86B5F" w14:textId="364191DA" w:rsidR="00A21154" w:rsidRDefault="00B8417A" w:rsidP="00E76C57">
      <w:pPr>
        <w:ind w:left="720" w:hanging="720"/>
      </w:pPr>
      <w:r>
        <w:t xml:space="preserve">Bowen, Alan C., and Christian </w:t>
      </w:r>
      <w:proofErr w:type="spellStart"/>
      <w:r>
        <w:t>Wildberg</w:t>
      </w:r>
      <w:proofErr w:type="spellEnd"/>
      <w:r>
        <w:t xml:space="preserve"> (eds.), </w:t>
      </w:r>
      <w:r>
        <w:rPr>
          <w:i/>
        </w:rPr>
        <w:t xml:space="preserve">New Perspectives on Aristotle’s ‘De </w:t>
      </w:r>
      <w:proofErr w:type="spellStart"/>
      <w:r>
        <w:rPr>
          <w:i/>
        </w:rPr>
        <w:t>Caelo</w:t>
      </w:r>
      <w:proofErr w:type="spellEnd"/>
      <w:r>
        <w:rPr>
          <w:i/>
        </w:rPr>
        <w:t xml:space="preserve">’, </w:t>
      </w:r>
      <w:r>
        <w:t>(Leiden: Brill, 2009)</w:t>
      </w:r>
    </w:p>
    <w:p w14:paraId="0C852107" w14:textId="77777777" w:rsidR="00E76C57" w:rsidRPr="00A21154" w:rsidRDefault="00E76C57" w:rsidP="00E76C57">
      <w:pPr>
        <w:ind w:left="720" w:hanging="720"/>
      </w:pPr>
    </w:p>
    <w:p w14:paraId="77CE74E2" w14:textId="767B7648" w:rsidR="00A21154" w:rsidRPr="00A21154" w:rsidRDefault="00A21154" w:rsidP="005C38C9">
      <w:pPr>
        <w:ind w:left="720" w:hanging="720"/>
      </w:pPr>
      <w:r w:rsidRPr="005C38C9">
        <w:t xml:space="preserve">Campion, Nicholas, </w:t>
      </w:r>
      <w:r w:rsidRPr="00A21154">
        <w:rPr>
          <w:i/>
        </w:rPr>
        <w:t xml:space="preserve">Astrology and Cosmology in the World’s Religions </w:t>
      </w:r>
      <w:r w:rsidRPr="00A21154">
        <w:t>(New York: New York University Press, 2012)</w:t>
      </w:r>
    </w:p>
    <w:p w14:paraId="42BD58DE" w14:textId="778327DA" w:rsidR="00A21154" w:rsidRPr="00B00C24" w:rsidRDefault="00A21154" w:rsidP="00A21154">
      <w:pPr>
        <w:pStyle w:val="ListParagraph"/>
        <w:numPr>
          <w:ilvl w:val="0"/>
          <w:numId w:val="8"/>
        </w:numPr>
        <w:spacing w:line="252" w:lineRule="auto"/>
        <w:ind w:hanging="720"/>
        <w:rPr>
          <w:rFonts w:ascii="Times New Roman" w:hAnsi="Times New Roman" w:cs="Times New Roman"/>
          <w:sz w:val="24"/>
          <w:szCs w:val="24"/>
        </w:rPr>
      </w:pPr>
      <w:r w:rsidRPr="00A21154">
        <w:rPr>
          <w:rFonts w:ascii="Times New Roman" w:hAnsi="Times New Roman" w:cs="Times New Roman"/>
          <w:i/>
          <w:sz w:val="24"/>
          <w:szCs w:val="24"/>
        </w:rPr>
        <w:t>A History of Western Astrology, Volume 2: The Medieval and Modern Worlds</w:t>
      </w:r>
      <w:r w:rsidRPr="00A21154">
        <w:rPr>
          <w:rFonts w:ascii="Times New Roman" w:hAnsi="Times New Roman" w:cs="Times New Roman"/>
          <w:sz w:val="24"/>
          <w:szCs w:val="24"/>
        </w:rPr>
        <w:t xml:space="preserve"> (London: Continuum International, 2009; </w:t>
      </w:r>
      <w:proofErr w:type="spellStart"/>
      <w:r w:rsidRPr="00A21154">
        <w:rPr>
          <w:rFonts w:ascii="Times New Roman" w:hAnsi="Times New Roman" w:cs="Times New Roman"/>
          <w:sz w:val="24"/>
          <w:szCs w:val="24"/>
        </w:rPr>
        <w:t>repr</w:t>
      </w:r>
      <w:proofErr w:type="spellEnd"/>
      <w:r w:rsidRPr="00A21154">
        <w:rPr>
          <w:rFonts w:ascii="Times New Roman" w:hAnsi="Times New Roman" w:cs="Times New Roman"/>
          <w:sz w:val="24"/>
          <w:szCs w:val="24"/>
        </w:rPr>
        <w:t>. London: Bloomsbury Academic, 2013)</w:t>
      </w:r>
    </w:p>
    <w:p w14:paraId="774F0D69" w14:textId="798FF182" w:rsidR="00A21154" w:rsidRDefault="00A21154" w:rsidP="00A21154">
      <w:pPr>
        <w:ind w:left="720" w:hanging="720"/>
      </w:pPr>
      <w:r w:rsidRPr="00A21154">
        <w:t xml:space="preserve">Carlson, David R., </w:t>
      </w:r>
      <w:r w:rsidRPr="00A21154">
        <w:rPr>
          <w:i/>
        </w:rPr>
        <w:t xml:space="preserve">John Gower, Poetry and Propaganda in Fourteenth-Century England </w:t>
      </w:r>
      <w:r w:rsidRPr="00A21154">
        <w:t>(Cambridge: D. S. Brewer, 2012)</w:t>
      </w:r>
    </w:p>
    <w:p w14:paraId="223108A8" w14:textId="77777777" w:rsidR="00A21154" w:rsidRPr="00A21154" w:rsidRDefault="00A21154" w:rsidP="00A21154">
      <w:pPr>
        <w:ind w:left="720" w:hanging="720"/>
      </w:pPr>
    </w:p>
    <w:p w14:paraId="2EC264A4" w14:textId="4E25D565" w:rsidR="00A21154" w:rsidRDefault="00A21154" w:rsidP="00A21154">
      <w:pPr>
        <w:ind w:left="720" w:hanging="720"/>
      </w:pPr>
      <w:r w:rsidRPr="00A21154">
        <w:t xml:space="preserve">Curry, Patrick, </w:t>
      </w:r>
      <w:r w:rsidRPr="00A21154">
        <w:rPr>
          <w:i/>
        </w:rPr>
        <w:t xml:space="preserve">Prophecy and Power: Astrology in Early-Modern England </w:t>
      </w:r>
      <w:r w:rsidRPr="00A21154">
        <w:t>(Princeton: Princeton University Press, 1989)</w:t>
      </w:r>
    </w:p>
    <w:p w14:paraId="1C785EA8" w14:textId="77777777" w:rsidR="00A21154" w:rsidRPr="00A21154" w:rsidRDefault="00A21154" w:rsidP="00A21154">
      <w:pPr>
        <w:ind w:left="720" w:hanging="720"/>
      </w:pPr>
    </w:p>
    <w:p w14:paraId="729BA5D7" w14:textId="50D41A23" w:rsidR="00A21154" w:rsidRDefault="00A21154" w:rsidP="00A21154">
      <w:pPr>
        <w:ind w:left="720" w:hanging="720"/>
      </w:pPr>
      <w:proofErr w:type="spellStart"/>
      <w:r w:rsidRPr="00A21154">
        <w:t>Dronke</w:t>
      </w:r>
      <w:proofErr w:type="spellEnd"/>
      <w:r w:rsidRPr="00A21154">
        <w:t xml:space="preserve">, Peter, </w:t>
      </w:r>
      <w:r w:rsidRPr="00A21154">
        <w:rPr>
          <w:i/>
        </w:rPr>
        <w:t xml:space="preserve">Women Writers of the Middle Ages </w:t>
      </w:r>
      <w:r w:rsidRPr="00A21154">
        <w:t xml:space="preserve">(Cambridge: Cambridge University Press, 1984; </w:t>
      </w:r>
      <w:proofErr w:type="spellStart"/>
      <w:r w:rsidRPr="00A21154">
        <w:t>repr</w:t>
      </w:r>
      <w:proofErr w:type="spellEnd"/>
      <w:r w:rsidRPr="00A21154">
        <w:t>. 1996)</w:t>
      </w:r>
    </w:p>
    <w:p w14:paraId="73FB9903" w14:textId="77777777" w:rsidR="00A21154" w:rsidRPr="00A21154" w:rsidRDefault="00A21154" w:rsidP="00A21154">
      <w:pPr>
        <w:ind w:left="720" w:hanging="720"/>
      </w:pPr>
    </w:p>
    <w:p w14:paraId="58362722" w14:textId="162A024D" w:rsidR="00A21154" w:rsidRDefault="00A21154" w:rsidP="00A21154">
      <w:pPr>
        <w:ind w:left="720" w:hanging="720"/>
      </w:pPr>
      <w:proofErr w:type="spellStart"/>
      <w:r w:rsidRPr="00A21154">
        <w:t>Duffell</w:t>
      </w:r>
      <w:proofErr w:type="spellEnd"/>
      <w:r w:rsidRPr="00A21154">
        <w:t xml:space="preserve">, Martin J., </w:t>
      </w:r>
      <w:r w:rsidRPr="00A21154">
        <w:rPr>
          <w:i/>
        </w:rPr>
        <w:t xml:space="preserve">A New History of English Metre </w:t>
      </w:r>
      <w:r w:rsidRPr="00A21154">
        <w:t xml:space="preserve">(London: </w:t>
      </w:r>
      <w:proofErr w:type="spellStart"/>
      <w:r w:rsidRPr="00A21154">
        <w:t>Legenda</w:t>
      </w:r>
      <w:proofErr w:type="spellEnd"/>
      <w:r w:rsidRPr="00A21154">
        <w:t>, 2008)</w:t>
      </w:r>
    </w:p>
    <w:p w14:paraId="64A70156" w14:textId="77777777" w:rsidR="00A21154" w:rsidRPr="00A21154" w:rsidRDefault="00A21154" w:rsidP="00A21154">
      <w:pPr>
        <w:ind w:left="720" w:hanging="720"/>
      </w:pPr>
    </w:p>
    <w:p w14:paraId="30883146" w14:textId="75EB3760" w:rsidR="00A21154" w:rsidRDefault="00A21154" w:rsidP="00A21154">
      <w:pPr>
        <w:ind w:left="720" w:hanging="720"/>
      </w:pPr>
      <w:r w:rsidRPr="00A21154">
        <w:t xml:space="preserve">Fisher, John, </w:t>
      </w:r>
      <w:r w:rsidRPr="00A21154">
        <w:rPr>
          <w:i/>
        </w:rPr>
        <w:t xml:space="preserve">John Gower: Moral Philosopher and Friend of Chaucer </w:t>
      </w:r>
      <w:r w:rsidRPr="00A21154">
        <w:t>(New York: New York University Press, 1964)</w:t>
      </w:r>
    </w:p>
    <w:p w14:paraId="5BB856BC" w14:textId="77777777" w:rsidR="00A21154" w:rsidRPr="00A21154" w:rsidRDefault="00A21154" w:rsidP="00A21154">
      <w:pPr>
        <w:ind w:left="720" w:hanging="720"/>
      </w:pPr>
    </w:p>
    <w:p w14:paraId="73D70FCF" w14:textId="49E443B0" w:rsidR="00A21154" w:rsidRDefault="00A21154" w:rsidP="00A21154">
      <w:pPr>
        <w:ind w:left="720" w:hanging="720"/>
      </w:pPr>
      <w:r w:rsidRPr="00A21154">
        <w:t>Hamilton, George L., ‘Some Sources of the Seventh Book of Gower’s “</w:t>
      </w:r>
      <w:proofErr w:type="spellStart"/>
      <w:r w:rsidRPr="00A21154">
        <w:t>Confessio</w:t>
      </w:r>
      <w:proofErr w:type="spellEnd"/>
      <w:r w:rsidRPr="00A21154">
        <w:t xml:space="preserve"> </w:t>
      </w:r>
      <w:proofErr w:type="spellStart"/>
      <w:r w:rsidRPr="00A21154">
        <w:t>Amantis</w:t>
      </w:r>
      <w:proofErr w:type="spellEnd"/>
      <w:r w:rsidRPr="00A21154">
        <w:t xml:space="preserve">”’, </w:t>
      </w:r>
      <w:r w:rsidRPr="00A21154">
        <w:rPr>
          <w:i/>
        </w:rPr>
        <w:t xml:space="preserve">Modern Philology, </w:t>
      </w:r>
      <w:r w:rsidRPr="00A21154">
        <w:t>vol. 9, no. 3 (1912), 323-46</w:t>
      </w:r>
    </w:p>
    <w:p w14:paraId="55058529" w14:textId="77777777" w:rsidR="00A21154" w:rsidRPr="00A21154" w:rsidRDefault="00A21154" w:rsidP="00A21154">
      <w:pPr>
        <w:ind w:left="720" w:hanging="720"/>
      </w:pPr>
    </w:p>
    <w:p w14:paraId="1C86800C" w14:textId="77777777" w:rsidR="00A21154" w:rsidRPr="00A21154" w:rsidRDefault="00A21154" w:rsidP="00A21154">
      <w:pPr>
        <w:ind w:left="720" w:hanging="720"/>
      </w:pPr>
      <w:r w:rsidRPr="00A21154">
        <w:t xml:space="preserve">Peck, Russell A., ‘Volume 1: Introduction’ in John Gower, </w:t>
      </w:r>
      <w:proofErr w:type="spellStart"/>
      <w:r w:rsidRPr="00A21154">
        <w:rPr>
          <w:i/>
        </w:rPr>
        <w:t>Confessio</w:t>
      </w:r>
      <w:proofErr w:type="spellEnd"/>
      <w:r w:rsidRPr="00A21154">
        <w:rPr>
          <w:i/>
        </w:rPr>
        <w:t xml:space="preserve"> </w:t>
      </w:r>
      <w:proofErr w:type="spellStart"/>
      <w:r w:rsidRPr="00A21154">
        <w:rPr>
          <w:i/>
        </w:rPr>
        <w:t>Amantis</w:t>
      </w:r>
      <w:proofErr w:type="spellEnd"/>
      <w:r w:rsidRPr="00A21154">
        <w:rPr>
          <w:i/>
        </w:rPr>
        <w:t xml:space="preserve">, Volume 1, </w:t>
      </w:r>
      <w:r w:rsidRPr="00A21154">
        <w:t>ed. by Russell A. Peck with Latin trans. by Andrew Galloway (Kalamazoo, MI: Medieval Institute Publications, 2006) &lt;</w:t>
      </w:r>
      <w:hyperlink r:id="rId9" w:history="1">
        <w:r w:rsidRPr="00A21154">
          <w:rPr>
            <w:rStyle w:val="Hyperlink"/>
            <w:color w:val="000000" w:themeColor="text1"/>
            <w:u w:val="none"/>
          </w:rPr>
          <w:t>https://d.lib.rochester.edu/teams/text/peck-gower-confessio-amantis-volume-1-introduction</w:t>
        </w:r>
      </w:hyperlink>
      <w:r w:rsidRPr="00A21154">
        <w:t>&gt; [accessed 2 July 2019]</w:t>
      </w:r>
    </w:p>
    <w:p w14:paraId="55ED0711" w14:textId="22F4629A" w:rsidR="00A21154" w:rsidRPr="00B40FF4" w:rsidRDefault="00A21154" w:rsidP="00B40FF4">
      <w:pPr>
        <w:pStyle w:val="ListParagraph"/>
        <w:numPr>
          <w:ilvl w:val="0"/>
          <w:numId w:val="8"/>
        </w:numPr>
        <w:spacing w:line="252" w:lineRule="auto"/>
        <w:ind w:hanging="720"/>
        <w:rPr>
          <w:rFonts w:ascii="Times New Roman" w:hAnsi="Times New Roman" w:cs="Times New Roman"/>
          <w:sz w:val="24"/>
          <w:szCs w:val="24"/>
        </w:rPr>
      </w:pPr>
      <w:r w:rsidRPr="00A21154">
        <w:rPr>
          <w:rFonts w:ascii="Times New Roman" w:hAnsi="Times New Roman" w:cs="Times New Roman"/>
          <w:sz w:val="24"/>
          <w:szCs w:val="24"/>
        </w:rPr>
        <w:t xml:space="preserve">‘Volume 3: Introduction’ in John Gower, </w:t>
      </w:r>
      <w:proofErr w:type="spellStart"/>
      <w:r w:rsidRPr="00A21154">
        <w:rPr>
          <w:rFonts w:ascii="Times New Roman" w:hAnsi="Times New Roman" w:cs="Times New Roman"/>
          <w:i/>
          <w:sz w:val="24"/>
          <w:szCs w:val="24"/>
        </w:rPr>
        <w:t>Confessio</w:t>
      </w:r>
      <w:proofErr w:type="spellEnd"/>
      <w:r w:rsidRPr="00A21154">
        <w:rPr>
          <w:rFonts w:ascii="Times New Roman" w:hAnsi="Times New Roman" w:cs="Times New Roman"/>
          <w:i/>
          <w:sz w:val="24"/>
          <w:szCs w:val="24"/>
        </w:rPr>
        <w:t xml:space="preserve"> </w:t>
      </w:r>
      <w:proofErr w:type="spellStart"/>
      <w:r w:rsidRPr="00A21154">
        <w:rPr>
          <w:rFonts w:ascii="Times New Roman" w:hAnsi="Times New Roman" w:cs="Times New Roman"/>
          <w:i/>
          <w:sz w:val="24"/>
          <w:szCs w:val="24"/>
        </w:rPr>
        <w:t>Amantis</w:t>
      </w:r>
      <w:proofErr w:type="spellEnd"/>
      <w:r w:rsidRPr="00A21154">
        <w:rPr>
          <w:rFonts w:ascii="Times New Roman" w:hAnsi="Times New Roman" w:cs="Times New Roman"/>
          <w:i/>
          <w:sz w:val="24"/>
          <w:szCs w:val="24"/>
        </w:rPr>
        <w:t>, Volume 3,</w:t>
      </w:r>
      <w:r w:rsidRPr="00A21154">
        <w:rPr>
          <w:rFonts w:ascii="Times New Roman" w:hAnsi="Times New Roman" w:cs="Times New Roman"/>
          <w:sz w:val="24"/>
          <w:szCs w:val="24"/>
        </w:rPr>
        <w:t xml:space="preserve"> ed. by Russell A. Peck with Latin trans. by Andrew Galloway (Kalamazoo, MI: Medieval Institute Publications, 2004)</w:t>
      </w:r>
      <w:r w:rsidRPr="00A21154">
        <w:rPr>
          <w:rFonts w:ascii="Times New Roman" w:hAnsi="Times New Roman" w:cs="Times New Roman"/>
          <w:i/>
          <w:sz w:val="24"/>
          <w:szCs w:val="24"/>
        </w:rPr>
        <w:t xml:space="preserve"> </w:t>
      </w:r>
      <w:r w:rsidRPr="00A21154">
        <w:rPr>
          <w:rFonts w:ascii="Times New Roman" w:hAnsi="Times New Roman" w:cs="Times New Roman"/>
          <w:sz w:val="24"/>
          <w:szCs w:val="24"/>
        </w:rPr>
        <w:t>&lt;</w:t>
      </w:r>
      <w:hyperlink r:id="rId10" w:history="1">
        <w:r w:rsidRPr="00A21154">
          <w:rPr>
            <w:rStyle w:val="Hyperlink"/>
            <w:rFonts w:ascii="Times New Roman" w:hAnsi="Times New Roman" w:cs="Times New Roman"/>
            <w:color w:val="000000" w:themeColor="text1"/>
            <w:sz w:val="24"/>
            <w:szCs w:val="24"/>
            <w:u w:val="none"/>
          </w:rPr>
          <w:t>https://d.lib.rochester.edu/teams/text/peck-gower-confessio-amantis-volume-3-introduction</w:t>
        </w:r>
      </w:hyperlink>
      <w:r w:rsidRPr="00A21154">
        <w:rPr>
          <w:rFonts w:ascii="Times New Roman" w:hAnsi="Times New Roman" w:cs="Times New Roman"/>
          <w:color w:val="000000" w:themeColor="text1"/>
          <w:sz w:val="24"/>
          <w:szCs w:val="24"/>
        </w:rPr>
        <w:t xml:space="preserve">&gt; </w:t>
      </w:r>
      <w:r w:rsidRPr="00A21154">
        <w:rPr>
          <w:rFonts w:ascii="Times New Roman" w:hAnsi="Times New Roman" w:cs="Times New Roman"/>
          <w:sz w:val="24"/>
          <w:szCs w:val="24"/>
        </w:rPr>
        <w:t>[accessed 01 July 2019]</w:t>
      </w:r>
    </w:p>
    <w:p w14:paraId="42716C2F" w14:textId="2855832E" w:rsidR="00A21154" w:rsidRPr="00A21154" w:rsidRDefault="00A21154" w:rsidP="00A21154">
      <w:pPr>
        <w:ind w:left="720" w:hanging="720"/>
      </w:pPr>
      <w:r w:rsidRPr="00A21154">
        <w:t xml:space="preserve">Rubin, Miri, </w:t>
      </w:r>
      <w:r w:rsidRPr="00A21154">
        <w:rPr>
          <w:i/>
        </w:rPr>
        <w:t xml:space="preserve">The Middle Ages: A Very Short Introduction </w:t>
      </w:r>
      <w:r w:rsidRPr="00A21154">
        <w:t>(Oxford: Oxford University Press, 2014)</w:t>
      </w:r>
    </w:p>
    <w:p w14:paraId="681D2BF7" w14:textId="5807D5AF" w:rsidR="00A21154" w:rsidRPr="00A21154" w:rsidRDefault="00A21154" w:rsidP="00A21154">
      <w:pPr>
        <w:pStyle w:val="ListParagraph"/>
        <w:numPr>
          <w:ilvl w:val="0"/>
          <w:numId w:val="8"/>
        </w:numPr>
        <w:rPr>
          <w:rFonts w:ascii="Times New Roman" w:hAnsi="Times New Roman" w:cs="Times New Roman"/>
          <w:sz w:val="24"/>
          <w:szCs w:val="24"/>
        </w:rPr>
      </w:pPr>
      <w:r w:rsidRPr="00A21154">
        <w:rPr>
          <w:rFonts w:ascii="Times New Roman" w:hAnsi="Times New Roman" w:cs="Times New Roman"/>
          <w:sz w:val="24"/>
          <w:szCs w:val="24"/>
        </w:rPr>
        <w:t xml:space="preserve">and Walter Simons, ‘Introduction’, in </w:t>
      </w:r>
      <w:r w:rsidRPr="00A21154">
        <w:rPr>
          <w:rFonts w:ascii="Times New Roman" w:hAnsi="Times New Roman" w:cs="Times New Roman"/>
          <w:i/>
          <w:sz w:val="24"/>
          <w:szCs w:val="24"/>
        </w:rPr>
        <w:t xml:space="preserve">The Cambridge History of Christianity, Volume 4: Christianity in Western Europe c. 1100-c. 1500 </w:t>
      </w:r>
      <w:r w:rsidRPr="00A21154">
        <w:rPr>
          <w:rFonts w:ascii="Times New Roman" w:hAnsi="Times New Roman" w:cs="Times New Roman"/>
          <w:sz w:val="24"/>
          <w:szCs w:val="24"/>
        </w:rPr>
        <w:t>(Cambridge: Cambridge University Press, 2009), 1-7</w:t>
      </w:r>
    </w:p>
    <w:p w14:paraId="14502BA2" w14:textId="422C9EBD" w:rsidR="00A21154" w:rsidRDefault="00A21154" w:rsidP="00A21154">
      <w:pPr>
        <w:ind w:left="720" w:hanging="720"/>
      </w:pPr>
      <w:r w:rsidRPr="00A21154">
        <w:t xml:space="preserve">Singer, Charles, ‘The Scientific Views and Visions of Saint Hildegard’, in </w:t>
      </w:r>
      <w:r w:rsidRPr="00A21154">
        <w:rPr>
          <w:i/>
        </w:rPr>
        <w:t xml:space="preserve">Studies in the History and Method of Science, </w:t>
      </w:r>
      <w:r w:rsidRPr="00A21154">
        <w:t>vol. 1 (Oxford: Clarendon Press, 1917)</w:t>
      </w:r>
    </w:p>
    <w:p w14:paraId="44D28F34" w14:textId="77777777" w:rsidR="00A21154" w:rsidRPr="00A21154" w:rsidRDefault="00A21154" w:rsidP="00A21154">
      <w:pPr>
        <w:ind w:left="720" w:hanging="720"/>
      </w:pPr>
    </w:p>
    <w:p w14:paraId="62A6902F" w14:textId="5CCC8FDC" w:rsidR="00A21154" w:rsidRDefault="00A21154" w:rsidP="00A21154">
      <w:pPr>
        <w:ind w:left="720" w:hanging="720"/>
      </w:pPr>
      <w:r w:rsidRPr="00A21154">
        <w:t xml:space="preserve">Sweet, Victoria, ‘Hildegard of Bingen and the Greening of Medieval Medicine’, </w:t>
      </w:r>
      <w:r w:rsidRPr="00A21154">
        <w:rPr>
          <w:i/>
        </w:rPr>
        <w:t xml:space="preserve">Bulletin of the History of Medicine, </w:t>
      </w:r>
      <w:r w:rsidRPr="00A21154">
        <w:t>vol. 73, no. 3 (1999), 381-403</w:t>
      </w:r>
    </w:p>
    <w:p w14:paraId="2EB7E030" w14:textId="77777777" w:rsidR="00A21154" w:rsidRPr="00A21154" w:rsidRDefault="00A21154" w:rsidP="00A21154">
      <w:pPr>
        <w:ind w:left="720" w:hanging="720"/>
      </w:pPr>
    </w:p>
    <w:p w14:paraId="65644FD5" w14:textId="271DC4F7" w:rsidR="008F7456" w:rsidRPr="00C448C8" w:rsidRDefault="00A21154" w:rsidP="008A2629">
      <w:pPr>
        <w:ind w:left="720" w:hanging="720"/>
      </w:pPr>
      <w:r w:rsidRPr="00A21154">
        <w:t xml:space="preserve">Williams, Steven J., </w:t>
      </w:r>
      <w:r w:rsidRPr="00A21154">
        <w:rPr>
          <w:i/>
        </w:rPr>
        <w:t xml:space="preserve">The Secret of Secrets: The Scholarly Career of a Pseudo-Aristotelian Text in the Latin Middle Ages </w:t>
      </w:r>
      <w:r w:rsidRPr="00A21154">
        <w:t>(Ann Arbor: The University of Michigan Press, 2003)</w:t>
      </w:r>
    </w:p>
    <w:sectPr w:rsidR="008F7456" w:rsidRPr="00C448C8" w:rsidSect="00C51BA1">
      <w:headerReference w:type="default" r:id="rId11"/>
      <w:footerReference w:type="default" r:id="rId1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1D712" w14:textId="77777777" w:rsidR="00D12800" w:rsidRDefault="00D12800" w:rsidP="00D722CE">
      <w:r>
        <w:separator/>
      </w:r>
    </w:p>
  </w:endnote>
  <w:endnote w:type="continuationSeparator" w:id="0">
    <w:p w14:paraId="1E38F483" w14:textId="77777777" w:rsidR="00D12800" w:rsidRDefault="00D12800" w:rsidP="00D72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8B76E" w14:textId="77777777" w:rsidR="00C51BA1" w:rsidRDefault="00C51BA1">
    <w:pPr>
      <w:pStyle w:val="Footer"/>
      <w:jc w:val="right"/>
    </w:pPr>
  </w:p>
  <w:p w14:paraId="4D51ECBF" w14:textId="77777777" w:rsidR="00C51BA1" w:rsidRPr="00337A70" w:rsidRDefault="00C51BA1">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6F0EC" w14:textId="77777777" w:rsidR="00D12800" w:rsidRDefault="00D12800" w:rsidP="00D722CE">
      <w:r>
        <w:separator/>
      </w:r>
    </w:p>
  </w:footnote>
  <w:footnote w:type="continuationSeparator" w:id="0">
    <w:p w14:paraId="5796F131" w14:textId="77777777" w:rsidR="00D12800" w:rsidRDefault="00D12800" w:rsidP="00D722CE">
      <w:r>
        <w:continuationSeparator/>
      </w:r>
    </w:p>
  </w:footnote>
  <w:footnote w:id="1">
    <w:p w14:paraId="5C8A9EE8" w14:textId="0B477DC0" w:rsidR="007649A7" w:rsidRDefault="007649A7" w:rsidP="007649A7">
      <w:pPr>
        <w:pStyle w:val="FootnoteText"/>
      </w:pPr>
      <w:r>
        <w:rPr>
          <w:rStyle w:val="FootnoteReference"/>
        </w:rPr>
        <w:footnoteRef/>
      </w:r>
      <w:r>
        <w:t xml:space="preserve"> Hildegard of Bingen, </w:t>
      </w:r>
      <w:r>
        <w:rPr>
          <w:i/>
        </w:rPr>
        <w:t xml:space="preserve">On Natural Philosophy and Medicine: Selections from Cause et cure, </w:t>
      </w:r>
      <w:r>
        <w:t xml:space="preserve">trans. with intro. and notes by Margret Berger (Cambridge: D. S. Brewer, 1999; </w:t>
      </w:r>
      <w:proofErr w:type="spellStart"/>
      <w:r>
        <w:t>repr</w:t>
      </w:r>
      <w:proofErr w:type="spellEnd"/>
      <w:r>
        <w:t xml:space="preserve">. with corrections 2009): From the first section, </w:t>
      </w:r>
      <w:r w:rsidRPr="006B5772">
        <w:t>concerning creation, the following subsections – ‘What the stars indicate’, p.33; ‘What the planets indicate’, p. 33; ‘What the moon indicates’, pp. 33-4; ‘The influence of the moon’, p. 34; ;‘That it is not in the nature of the stars to indicate something’, pp. 34-5; and from the sixteenth section, on lunar prognostication, pp.123-4;</w:t>
      </w:r>
      <w:r>
        <w:t xml:space="preserve"> John Gower, </w:t>
      </w:r>
      <w:proofErr w:type="spellStart"/>
      <w:r>
        <w:rPr>
          <w:i/>
        </w:rPr>
        <w:t>Confessio</w:t>
      </w:r>
      <w:proofErr w:type="spellEnd"/>
      <w:r>
        <w:rPr>
          <w:i/>
        </w:rPr>
        <w:t xml:space="preserve"> </w:t>
      </w:r>
      <w:proofErr w:type="spellStart"/>
      <w:r>
        <w:rPr>
          <w:i/>
        </w:rPr>
        <w:t>Amantis</w:t>
      </w:r>
      <w:proofErr w:type="spellEnd"/>
      <w:r w:rsidR="008B2BC4">
        <w:rPr>
          <w:i/>
        </w:rPr>
        <w:t>, Volume 3</w:t>
      </w:r>
      <w:r>
        <w:t>, ed. by Russell A. Peck with Latin trans. by Andrew Galloway (Kalamazoo, MI: Medieval Institute Publications, 2004)</w:t>
      </w:r>
      <w:r w:rsidR="00026875">
        <w:t>,</w:t>
      </w:r>
      <w:r>
        <w:t xml:space="preserve"> </w:t>
      </w:r>
      <w:r w:rsidR="00026875">
        <w:t xml:space="preserve">VII </w:t>
      </w:r>
      <w:r>
        <w:t>&lt;https://d.lib.rochester.edu/teams/text/peck-gower-confessio-amantis-book-7&gt; [accessed 12 June 2019],</w:t>
      </w:r>
      <w:r w:rsidR="00026875">
        <w:t xml:space="preserve"> particularly the lines concerning </w:t>
      </w:r>
      <w:r w:rsidR="00E443CB">
        <w:t>astronomy and astrology in section iv, ‘Astronomy’, ll. 633-1506.</w:t>
      </w:r>
    </w:p>
  </w:footnote>
  <w:footnote w:id="2">
    <w:p w14:paraId="75032D10" w14:textId="258CB715" w:rsidR="007649A7" w:rsidRDefault="007649A7" w:rsidP="007649A7">
      <w:pPr>
        <w:pStyle w:val="FootnoteText"/>
      </w:pPr>
      <w:r>
        <w:rPr>
          <w:rStyle w:val="FootnoteReference"/>
        </w:rPr>
        <w:footnoteRef/>
      </w:r>
      <w:r>
        <w:t xml:space="preserve"> Miri Rubin, </w:t>
      </w:r>
      <w:r>
        <w:rPr>
          <w:i/>
        </w:rPr>
        <w:t xml:space="preserve">The Middle Ages: A Very Short Introduction </w:t>
      </w:r>
      <w:r>
        <w:t>(</w:t>
      </w:r>
      <w:r w:rsidR="00444520">
        <w:t>Oxford: Oxford University Press, 2014</w:t>
      </w:r>
      <w:r>
        <w:t>), pp. 1, 2.</w:t>
      </w:r>
    </w:p>
  </w:footnote>
  <w:footnote w:id="3">
    <w:p w14:paraId="7F3FD99C" w14:textId="77777777" w:rsidR="007649A7" w:rsidRDefault="007649A7" w:rsidP="007649A7">
      <w:pPr>
        <w:pStyle w:val="FootnoteText"/>
      </w:pPr>
      <w:r>
        <w:rPr>
          <w:rStyle w:val="FootnoteReference"/>
        </w:rPr>
        <w:footnoteRef/>
      </w:r>
      <w:r>
        <w:t xml:space="preserve"> Nicholas Campion, </w:t>
      </w:r>
      <w:r>
        <w:rPr>
          <w:i/>
        </w:rPr>
        <w:t xml:space="preserve">Astrology and Cosmology in the World’s Religions </w:t>
      </w:r>
      <w:r>
        <w:t>(New York: New York University Press, 2012), p. 11.</w:t>
      </w:r>
    </w:p>
  </w:footnote>
  <w:footnote w:id="4">
    <w:p w14:paraId="4F9FD3D8" w14:textId="76ACFFBA" w:rsidR="007649A7" w:rsidRPr="00D03645" w:rsidRDefault="007649A7" w:rsidP="007649A7">
      <w:pPr>
        <w:pStyle w:val="FootnoteText"/>
      </w:pPr>
      <w:r>
        <w:rPr>
          <w:rStyle w:val="FootnoteReference"/>
        </w:rPr>
        <w:footnoteRef/>
      </w:r>
      <w:r>
        <w:t xml:space="preserve"> </w:t>
      </w:r>
      <w:r w:rsidR="00D03645">
        <w:t xml:space="preserve">Campion, </w:t>
      </w:r>
      <w:r w:rsidR="00D03645">
        <w:rPr>
          <w:i/>
        </w:rPr>
        <w:t>Astrology and Cosmology</w:t>
      </w:r>
      <w:r w:rsidR="00D03645">
        <w:t>, p. 11.</w:t>
      </w:r>
    </w:p>
  </w:footnote>
  <w:footnote w:id="5">
    <w:p w14:paraId="071DD49D" w14:textId="5D503391" w:rsidR="007E67AF" w:rsidRDefault="007E67AF" w:rsidP="007E67AF">
      <w:pPr>
        <w:pStyle w:val="FootnoteText"/>
      </w:pPr>
      <w:r>
        <w:rPr>
          <w:rStyle w:val="FootnoteReference"/>
        </w:rPr>
        <w:footnoteRef/>
      </w:r>
      <w:r>
        <w:t xml:space="preserve"> Margret Berger,</w:t>
      </w:r>
      <w:r w:rsidR="00097A89">
        <w:t xml:space="preserve"> </w:t>
      </w:r>
      <w:r>
        <w:t xml:space="preserve">‘Preface’ to Hildegard of Bingen, </w:t>
      </w:r>
      <w:r>
        <w:rPr>
          <w:i/>
        </w:rPr>
        <w:t xml:space="preserve">On Natural Philosophy and Medicine: Selections from Cause et cure, </w:t>
      </w:r>
      <w:r>
        <w:t xml:space="preserve">trans. with intro. and notes by Margret Berger (Cambridge: D. S. Brewer, 1999; </w:t>
      </w:r>
      <w:proofErr w:type="spellStart"/>
      <w:r>
        <w:t>repr</w:t>
      </w:r>
      <w:proofErr w:type="spellEnd"/>
      <w:r>
        <w:t>. with corrections 2009),</w:t>
      </w:r>
      <w:r w:rsidR="00097A89">
        <w:t xml:space="preserve"> ix</w:t>
      </w:r>
      <w:r>
        <w:t>.</w:t>
      </w:r>
    </w:p>
  </w:footnote>
  <w:footnote w:id="6">
    <w:p w14:paraId="1E724B8D" w14:textId="77777777" w:rsidR="007E67AF" w:rsidRDefault="007E67AF" w:rsidP="007E67AF">
      <w:pPr>
        <w:pStyle w:val="FootnoteText"/>
      </w:pPr>
      <w:r>
        <w:rPr>
          <w:rStyle w:val="FootnoteReference"/>
        </w:rPr>
        <w:footnoteRef/>
      </w:r>
      <w:r>
        <w:t xml:space="preserve"> Berger, ‘Preface’, ix.</w:t>
      </w:r>
    </w:p>
  </w:footnote>
  <w:footnote w:id="7">
    <w:p w14:paraId="2B236952" w14:textId="77777777" w:rsidR="007E67AF" w:rsidRDefault="007E67AF" w:rsidP="007E67AF">
      <w:pPr>
        <w:pStyle w:val="FootnoteText"/>
      </w:pPr>
      <w:r>
        <w:rPr>
          <w:rStyle w:val="FootnoteReference"/>
        </w:rPr>
        <w:footnoteRef/>
      </w:r>
      <w:r>
        <w:t xml:space="preserve"> Hildegard, </w:t>
      </w:r>
      <w:r>
        <w:rPr>
          <w:i/>
        </w:rPr>
        <w:t xml:space="preserve">Cause et cure, </w:t>
      </w:r>
      <w:r>
        <w:t>pp. 23, 123-4.</w:t>
      </w:r>
    </w:p>
  </w:footnote>
  <w:footnote w:id="8">
    <w:p w14:paraId="088C2B7C" w14:textId="39A7C696" w:rsidR="007E67AF" w:rsidRDefault="007E67AF" w:rsidP="007E67AF">
      <w:pPr>
        <w:pStyle w:val="FootnoteText"/>
      </w:pPr>
      <w:r>
        <w:rPr>
          <w:rStyle w:val="FootnoteReference"/>
        </w:rPr>
        <w:footnoteRef/>
      </w:r>
      <w:r>
        <w:t xml:space="preserve"> Charles Singer, ‘The Scientific Views and Visions of Saint Hildegard’, in </w:t>
      </w:r>
      <w:r>
        <w:rPr>
          <w:i/>
        </w:rPr>
        <w:t xml:space="preserve">Studies in the History and Method of Science, </w:t>
      </w:r>
      <w:r>
        <w:t>vol. 1 (Oxford: Clarendon Press, 1917), pp. 12-13</w:t>
      </w:r>
      <w:r w:rsidR="0053069F">
        <w:t xml:space="preserve">; Peter </w:t>
      </w:r>
      <w:proofErr w:type="spellStart"/>
      <w:r w:rsidR="0053069F">
        <w:t>Dronke</w:t>
      </w:r>
      <w:proofErr w:type="spellEnd"/>
      <w:r w:rsidR="0053069F">
        <w:t xml:space="preserve">, </w:t>
      </w:r>
      <w:r w:rsidR="0053069F">
        <w:rPr>
          <w:i/>
        </w:rPr>
        <w:t xml:space="preserve">Women Writers of the Middle Ages </w:t>
      </w:r>
      <w:r w:rsidR="0053069F">
        <w:t xml:space="preserve">(Cambridge: Cambridge University Press, 1984; </w:t>
      </w:r>
      <w:proofErr w:type="spellStart"/>
      <w:r w:rsidR="0053069F">
        <w:t>repr</w:t>
      </w:r>
      <w:proofErr w:type="spellEnd"/>
      <w:r w:rsidR="0053069F">
        <w:t>. 1996), p. 144.</w:t>
      </w:r>
    </w:p>
  </w:footnote>
  <w:footnote w:id="9">
    <w:p w14:paraId="046CEC79" w14:textId="6F2B40A7" w:rsidR="007E67AF" w:rsidRDefault="007E67AF" w:rsidP="007E67AF">
      <w:pPr>
        <w:pStyle w:val="FootnoteText"/>
      </w:pPr>
      <w:r>
        <w:rPr>
          <w:rStyle w:val="FootnoteReference"/>
        </w:rPr>
        <w:footnoteRef/>
      </w:r>
      <w:r w:rsidR="00C35F50">
        <w:t xml:space="preserve"> Peter </w:t>
      </w:r>
      <w:proofErr w:type="spellStart"/>
      <w:r w:rsidR="00C35F50">
        <w:t>Dronke</w:t>
      </w:r>
      <w:proofErr w:type="spellEnd"/>
      <w:r w:rsidR="00C35F50">
        <w:t xml:space="preserve">, </w:t>
      </w:r>
      <w:r w:rsidR="00C35F50">
        <w:rPr>
          <w:i/>
        </w:rPr>
        <w:t xml:space="preserve">Women Writers of the Middle Ages </w:t>
      </w:r>
      <w:r w:rsidR="00C35F50">
        <w:t xml:space="preserve">(Cambridge: Cambridge University Press, 1984; </w:t>
      </w:r>
      <w:proofErr w:type="spellStart"/>
      <w:r w:rsidR="00C35F50">
        <w:t>repr</w:t>
      </w:r>
      <w:proofErr w:type="spellEnd"/>
      <w:r w:rsidR="00C35F50">
        <w:t>. 1996), p. 144</w:t>
      </w:r>
      <w:r>
        <w:t xml:space="preserve">Berger, ‘Preface’, ix. </w:t>
      </w:r>
    </w:p>
  </w:footnote>
  <w:footnote w:id="10">
    <w:p w14:paraId="61B888D0" w14:textId="77777777" w:rsidR="007E67AF" w:rsidRDefault="007E67AF" w:rsidP="007E67AF">
      <w:pPr>
        <w:pStyle w:val="FootnoteText"/>
      </w:pPr>
      <w:r>
        <w:rPr>
          <w:rStyle w:val="FootnoteReference"/>
        </w:rPr>
        <w:footnoteRef/>
      </w:r>
      <w:r>
        <w:t xml:space="preserve"> Victoria Sweet, ‘Hildegard of Bingen and the Greening of Medieval Medicine’, </w:t>
      </w:r>
      <w:r>
        <w:rPr>
          <w:i/>
        </w:rPr>
        <w:t xml:space="preserve">Bulletin of the History of Medicine, </w:t>
      </w:r>
      <w:r>
        <w:t>vol. 73, no. 3 (1999), p. 397.</w:t>
      </w:r>
    </w:p>
  </w:footnote>
  <w:footnote w:id="11">
    <w:p w14:paraId="7F658FDD" w14:textId="77777777" w:rsidR="007E67AF" w:rsidRDefault="007E67AF" w:rsidP="007E67AF">
      <w:pPr>
        <w:pStyle w:val="FootnoteText"/>
      </w:pPr>
      <w:r>
        <w:rPr>
          <w:rStyle w:val="FootnoteReference"/>
        </w:rPr>
        <w:footnoteRef/>
      </w:r>
      <w:r>
        <w:t xml:space="preserve"> Sweet, ‘Medieval Medicine’, p. 383.</w:t>
      </w:r>
    </w:p>
  </w:footnote>
  <w:footnote w:id="12">
    <w:p w14:paraId="764D1E99" w14:textId="77777777" w:rsidR="007E67AF" w:rsidRDefault="007E67AF" w:rsidP="007E67AF">
      <w:pPr>
        <w:pStyle w:val="FootnoteText"/>
      </w:pPr>
      <w:r>
        <w:rPr>
          <w:rStyle w:val="FootnoteReference"/>
        </w:rPr>
        <w:footnoteRef/>
      </w:r>
      <w:r>
        <w:t xml:space="preserve"> Sweet, ‘Medieval Medicine’, p. 397.</w:t>
      </w:r>
    </w:p>
  </w:footnote>
  <w:footnote w:id="13">
    <w:p w14:paraId="1DDC40D5" w14:textId="77777777" w:rsidR="00965561" w:rsidRDefault="00965561" w:rsidP="00965561">
      <w:pPr>
        <w:pStyle w:val="FootnoteText"/>
      </w:pPr>
      <w:r>
        <w:rPr>
          <w:rStyle w:val="FootnoteReference"/>
        </w:rPr>
        <w:footnoteRef/>
      </w:r>
      <w:r>
        <w:t xml:space="preserve"> David R. Carlson, </w:t>
      </w:r>
      <w:r>
        <w:rPr>
          <w:i/>
        </w:rPr>
        <w:t xml:space="preserve">John Gower, Poetry and Propaganda in Fourteenth-Century England </w:t>
      </w:r>
      <w:r>
        <w:t>(Cambridge: D. S. Brewer, 2012), p. 198.</w:t>
      </w:r>
    </w:p>
  </w:footnote>
  <w:footnote w:id="14">
    <w:p w14:paraId="0AE44588" w14:textId="52BCF368" w:rsidR="0097211A" w:rsidRDefault="0097211A">
      <w:pPr>
        <w:pStyle w:val="FootnoteText"/>
      </w:pPr>
      <w:r>
        <w:rPr>
          <w:rStyle w:val="FootnoteReference"/>
        </w:rPr>
        <w:footnoteRef/>
      </w:r>
      <w:r>
        <w:t xml:space="preserve"> Martin J. </w:t>
      </w:r>
      <w:proofErr w:type="spellStart"/>
      <w:r>
        <w:t>Duffell</w:t>
      </w:r>
      <w:proofErr w:type="spellEnd"/>
      <w:r>
        <w:t xml:space="preserve">, </w:t>
      </w:r>
      <w:r w:rsidR="00F05E33">
        <w:rPr>
          <w:i/>
        </w:rPr>
        <w:t xml:space="preserve">A New History of English Metre </w:t>
      </w:r>
      <w:r w:rsidR="00F05E33">
        <w:t xml:space="preserve">(London: </w:t>
      </w:r>
      <w:proofErr w:type="spellStart"/>
      <w:r w:rsidR="00F05E33">
        <w:t>Legenda</w:t>
      </w:r>
      <w:proofErr w:type="spellEnd"/>
      <w:r w:rsidR="00F05E33">
        <w:t>, 2008)</w:t>
      </w:r>
      <w:r w:rsidR="00050665">
        <w:t xml:space="preserve">, </w:t>
      </w:r>
      <w:r>
        <w:t>p. 82.</w:t>
      </w:r>
    </w:p>
  </w:footnote>
  <w:footnote w:id="15">
    <w:p w14:paraId="780260B2" w14:textId="343F0F82" w:rsidR="0081531B" w:rsidRDefault="0081531B">
      <w:pPr>
        <w:pStyle w:val="FootnoteText"/>
      </w:pPr>
      <w:r>
        <w:rPr>
          <w:rStyle w:val="FootnoteReference"/>
        </w:rPr>
        <w:footnoteRef/>
      </w:r>
      <w:r>
        <w:t xml:space="preserve"> </w:t>
      </w:r>
      <w:proofErr w:type="spellStart"/>
      <w:r>
        <w:t>Duffell</w:t>
      </w:r>
      <w:proofErr w:type="spellEnd"/>
      <w:r>
        <w:t xml:space="preserve">, </w:t>
      </w:r>
      <w:r w:rsidR="00050665">
        <w:rPr>
          <w:i/>
        </w:rPr>
        <w:t xml:space="preserve">English Metre, </w:t>
      </w:r>
      <w:r w:rsidRPr="00050665">
        <w:t>p</w:t>
      </w:r>
      <w:r>
        <w:t>. 82.</w:t>
      </w:r>
    </w:p>
  </w:footnote>
  <w:footnote w:id="16">
    <w:p w14:paraId="5E820752" w14:textId="39EE2A87" w:rsidR="00965561" w:rsidRDefault="00965561" w:rsidP="00965561">
      <w:pPr>
        <w:pStyle w:val="FootnoteText"/>
      </w:pPr>
      <w:r>
        <w:rPr>
          <w:rStyle w:val="FootnoteReference"/>
        </w:rPr>
        <w:footnoteRef/>
      </w:r>
      <w:r>
        <w:t xml:space="preserve"> </w:t>
      </w:r>
      <w:bookmarkStart w:id="9" w:name="_Hlk13321578"/>
      <w:r w:rsidR="008B2BC4">
        <w:t xml:space="preserve">Russell A. Peck, ‘Volume 3: Introduction’ in John Gower, </w:t>
      </w:r>
      <w:proofErr w:type="spellStart"/>
      <w:r w:rsidR="008B2BC4">
        <w:rPr>
          <w:i/>
        </w:rPr>
        <w:t>Confessio</w:t>
      </w:r>
      <w:proofErr w:type="spellEnd"/>
      <w:r w:rsidR="008B2BC4">
        <w:rPr>
          <w:i/>
        </w:rPr>
        <w:t xml:space="preserve"> </w:t>
      </w:r>
      <w:proofErr w:type="spellStart"/>
      <w:r w:rsidR="008B2BC4">
        <w:rPr>
          <w:i/>
        </w:rPr>
        <w:t>Amantis</w:t>
      </w:r>
      <w:proofErr w:type="spellEnd"/>
      <w:r w:rsidR="008B2BC4">
        <w:rPr>
          <w:i/>
        </w:rPr>
        <w:t>, Volume 3,</w:t>
      </w:r>
      <w:r w:rsidR="008B2BC4">
        <w:t xml:space="preserve"> ed. by Russell A. Peck with Latin trans. by Andrew Galloway (Kalamazoo, MI: Medieval Institute Publications, 2004)</w:t>
      </w:r>
      <w:r w:rsidR="008B2BC4">
        <w:rPr>
          <w:i/>
        </w:rPr>
        <w:t xml:space="preserve"> </w:t>
      </w:r>
      <w:r w:rsidR="008B2BC4">
        <w:t>&lt;</w:t>
      </w:r>
      <w:hyperlink r:id="rId1" w:history="1">
        <w:r w:rsidR="008B2BC4" w:rsidRPr="00995F1F">
          <w:rPr>
            <w:rStyle w:val="Hyperlink"/>
            <w:color w:val="000000" w:themeColor="text1"/>
            <w:u w:val="none"/>
          </w:rPr>
          <w:t>https://d.lib.rochester.edu/teams/text/peck-gower-confessio-amantis-volume-3-introduction</w:t>
        </w:r>
      </w:hyperlink>
      <w:r w:rsidR="008B2BC4">
        <w:t>&gt;</w:t>
      </w:r>
      <w:r w:rsidR="00A569A7">
        <w:t xml:space="preserve"> [accessed 01 July 2019]</w:t>
      </w:r>
      <w:r w:rsidR="00A0399F">
        <w:t>.</w:t>
      </w:r>
      <w:bookmarkEnd w:id="9"/>
    </w:p>
  </w:footnote>
  <w:footnote w:id="17">
    <w:p w14:paraId="3D5FB1C7" w14:textId="3E587FAF" w:rsidR="00965561" w:rsidRPr="00F62BA2" w:rsidRDefault="00965561" w:rsidP="00965561">
      <w:pPr>
        <w:pStyle w:val="FootnoteText"/>
        <w:rPr>
          <w:i/>
        </w:rPr>
      </w:pPr>
      <w:r>
        <w:rPr>
          <w:rStyle w:val="FootnoteReference"/>
        </w:rPr>
        <w:footnoteRef/>
      </w:r>
      <w:r>
        <w:t xml:space="preserve"> </w:t>
      </w:r>
      <w:r w:rsidR="00A0399F">
        <w:t>Peck, ‘Introduction 3’</w:t>
      </w:r>
      <w:r w:rsidR="00806EE7">
        <w:t>, pride in Book I, envy in II, wrath in III, sloth in IV, avarice in V, gluttony in VI, with lechery formulated specifically as incest left for VIII</w:t>
      </w:r>
      <w:r w:rsidR="00A0399F">
        <w:t>.</w:t>
      </w:r>
    </w:p>
  </w:footnote>
  <w:footnote w:id="18">
    <w:p w14:paraId="1B33E2BB" w14:textId="3EC38573" w:rsidR="00965561" w:rsidRDefault="00965561" w:rsidP="00965561">
      <w:pPr>
        <w:pStyle w:val="FootnoteText"/>
      </w:pPr>
      <w:r>
        <w:rPr>
          <w:rStyle w:val="FootnoteReference"/>
        </w:rPr>
        <w:footnoteRef/>
      </w:r>
      <w:r>
        <w:t xml:space="preserve"> </w:t>
      </w:r>
      <w:r w:rsidR="00814ABD">
        <w:t>Peck, ‘Introduction 3’.</w:t>
      </w:r>
    </w:p>
  </w:footnote>
  <w:footnote w:id="19">
    <w:p w14:paraId="4EB19543" w14:textId="1592EFF9" w:rsidR="00965561" w:rsidRPr="00952014" w:rsidRDefault="00965561" w:rsidP="00965561">
      <w:pPr>
        <w:pStyle w:val="FootnoteText"/>
      </w:pPr>
      <w:r>
        <w:rPr>
          <w:rStyle w:val="FootnoteReference"/>
        </w:rPr>
        <w:footnoteRef/>
      </w:r>
      <w:r>
        <w:t xml:space="preserve"> </w:t>
      </w:r>
      <w:r w:rsidR="00952014">
        <w:t xml:space="preserve">John </w:t>
      </w:r>
      <w:bookmarkStart w:id="10" w:name="_Hlk13320566"/>
      <w:r w:rsidR="00952014">
        <w:t>Fisher,</w:t>
      </w:r>
      <w:r w:rsidR="00CD0E13">
        <w:t xml:space="preserve"> </w:t>
      </w:r>
      <w:r w:rsidR="00CD0E13">
        <w:rPr>
          <w:i/>
        </w:rPr>
        <w:t xml:space="preserve">John Gower: Moral Philosopher and Friend of Chaucer </w:t>
      </w:r>
      <w:r w:rsidR="00CD0E13">
        <w:t>(New York: New York University Press, 1964),</w:t>
      </w:r>
      <w:r w:rsidR="00952014">
        <w:t xml:space="preserve"> </w:t>
      </w:r>
      <w:bookmarkEnd w:id="10"/>
      <w:r w:rsidR="00952014">
        <w:t>pp. 30</w:t>
      </w:r>
      <w:r w:rsidR="00B96815">
        <w:t>4</w:t>
      </w:r>
      <w:r w:rsidR="00952014">
        <w:t>-</w:t>
      </w:r>
      <w:r w:rsidR="00B96815">
        <w:t>5</w:t>
      </w:r>
      <w:r w:rsidR="003B70D9">
        <w:t>.</w:t>
      </w:r>
    </w:p>
  </w:footnote>
  <w:footnote w:id="20">
    <w:p w14:paraId="6663D620" w14:textId="4E34CD82" w:rsidR="00965561" w:rsidRDefault="00965561" w:rsidP="00965561">
      <w:pPr>
        <w:pStyle w:val="FootnoteText"/>
      </w:pPr>
      <w:r>
        <w:rPr>
          <w:rStyle w:val="FootnoteReference"/>
        </w:rPr>
        <w:footnoteRef/>
      </w:r>
      <w:r>
        <w:t xml:space="preserve"> </w:t>
      </w:r>
      <w:r w:rsidR="00A75D63">
        <w:t xml:space="preserve">Gower, </w:t>
      </w:r>
      <w:proofErr w:type="spellStart"/>
      <w:r w:rsidR="00A75D63">
        <w:rPr>
          <w:i/>
        </w:rPr>
        <w:t>Confessio</w:t>
      </w:r>
      <w:proofErr w:type="spellEnd"/>
      <w:r w:rsidR="00A75D63">
        <w:rPr>
          <w:i/>
        </w:rPr>
        <w:t xml:space="preserve"> </w:t>
      </w:r>
      <w:proofErr w:type="spellStart"/>
      <w:r w:rsidR="00A75D63">
        <w:rPr>
          <w:i/>
        </w:rPr>
        <w:t>Amantis</w:t>
      </w:r>
      <w:proofErr w:type="spellEnd"/>
      <w:r w:rsidR="00925E28">
        <w:rPr>
          <w:i/>
        </w:rPr>
        <w:t xml:space="preserve"> 3</w:t>
      </w:r>
      <w:r w:rsidR="00A75D63">
        <w:rPr>
          <w:i/>
        </w:rPr>
        <w:t xml:space="preserve">, </w:t>
      </w:r>
      <w:r w:rsidR="00A75D63">
        <w:t xml:space="preserve">VII. </w:t>
      </w:r>
      <w:r>
        <w:t xml:space="preserve">All translations from Middle English to Modern English are my own as I cannot find a Modern English translation of Book VII which includes the appropriate sections. Whilst the </w:t>
      </w:r>
      <w:proofErr w:type="spellStart"/>
      <w:r>
        <w:rPr>
          <w:i/>
        </w:rPr>
        <w:t>Confessio</w:t>
      </w:r>
      <w:proofErr w:type="spellEnd"/>
      <w:r>
        <w:rPr>
          <w:i/>
        </w:rPr>
        <w:t xml:space="preserve"> </w:t>
      </w:r>
      <w:proofErr w:type="spellStart"/>
      <w:r>
        <w:rPr>
          <w:i/>
        </w:rPr>
        <w:t>Amantis</w:t>
      </w:r>
      <w:proofErr w:type="spellEnd"/>
      <w:r>
        <w:rPr>
          <w:i/>
        </w:rPr>
        <w:t xml:space="preserve"> </w:t>
      </w:r>
      <w:r>
        <w:t xml:space="preserve">appears as poetry, I have translated into prose rather than </w:t>
      </w:r>
      <w:r w:rsidR="00AD4F05">
        <w:t xml:space="preserve">struggle </w:t>
      </w:r>
      <w:r>
        <w:t>to match poetic form. This sometimes means that the order in which words fall in my translation do</w:t>
      </w:r>
      <w:r w:rsidR="00AD4F05">
        <w:t>es</w:t>
      </w:r>
      <w:r>
        <w:t xml:space="preserve"> not match the verse, but I have endeavoured to match the range of line numbers.</w:t>
      </w:r>
    </w:p>
  </w:footnote>
  <w:footnote w:id="21">
    <w:p w14:paraId="6FD96C9F" w14:textId="3F42D73C" w:rsidR="005354FF" w:rsidRDefault="005354FF" w:rsidP="005354FF">
      <w:pPr>
        <w:pStyle w:val="FootnoteText"/>
      </w:pPr>
      <w:r>
        <w:rPr>
          <w:rStyle w:val="FootnoteReference"/>
        </w:rPr>
        <w:footnoteRef/>
      </w:r>
      <w:r>
        <w:t xml:space="preserve"> Fisher, </w:t>
      </w:r>
      <w:r>
        <w:rPr>
          <w:i/>
        </w:rPr>
        <w:t>John Gower</w:t>
      </w:r>
      <w:r>
        <w:t>, pp. 58</w:t>
      </w:r>
      <w:r w:rsidR="00C05BEB">
        <w:t>-</w:t>
      </w:r>
      <w:r>
        <w:t>60.</w:t>
      </w:r>
    </w:p>
  </w:footnote>
  <w:footnote w:id="22">
    <w:p w14:paraId="03290ADF" w14:textId="6891DE3F" w:rsidR="005354FF" w:rsidRDefault="005354FF" w:rsidP="005354FF">
      <w:pPr>
        <w:pStyle w:val="FootnoteText"/>
      </w:pPr>
      <w:r>
        <w:rPr>
          <w:rStyle w:val="FootnoteReference"/>
        </w:rPr>
        <w:footnoteRef/>
      </w:r>
      <w:r>
        <w:t xml:space="preserve"> Miri </w:t>
      </w:r>
      <w:bookmarkStart w:id="11" w:name="_Hlk13322233"/>
      <w:r>
        <w:t xml:space="preserve">Rubin and Walter Simons, ‘Introduction’, in </w:t>
      </w:r>
      <w:r>
        <w:rPr>
          <w:i/>
        </w:rPr>
        <w:t xml:space="preserve">The Cambridge History of Christianity, Volume 4: Christianity in Western Europe c. 1100-c. 1500 </w:t>
      </w:r>
      <w:r>
        <w:t>(Cambridge: Cambridge University Press, 2009),</w:t>
      </w:r>
      <w:bookmarkEnd w:id="11"/>
      <w:r>
        <w:t xml:space="preserve"> p. 7.</w:t>
      </w:r>
    </w:p>
  </w:footnote>
  <w:footnote w:id="23">
    <w:p w14:paraId="6244DB5D" w14:textId="77777777" w:rsidR="00D94837" w:rsidRDefault="00D94837" w:rsidP="00D94837">
      <w:pPr>
        <w:pStyle w:val="FootnoteText"/>
      </w:pPr>
      <w:r>
        <w:rPr>
          <w:rStyle w:val="FootnoteReference"/>
        </w:rPr>
        <w:footnoteRef/>
      </w:r>
      <w:r>
        <w:t xml:space="preserve"> Singer, ‘Views and Visions’, p. 17; Russell A. Peck, ‘Volume 1: Introduction’ in John Gower, </w:t>
      </w:r>
      <w:proofErr w:type="spellStart"/>
      <w:r>
        <w:rPr>
          <w:i/>
        </w:rPr>
        <w:t>Confessio</w:t>
      </w:r>
      <w:proofErr w:type="spellEnd"/>
      <w:r>
        <w:rPr>
          <w:i/>
        </w:rPr>
        <w:t xml:space="preserve"> </w:t>
      </w:r>
      <w:proofErr w:type="spellStart"/>
      <w:r>
        <w:rPr>
          <w:i/>
        </w:rPr>
        <w:t>Amantis</w:t>
      </w:r>
      <w:proofErr w:type="spellEnd"/>
      <w:r>
        <w:rPr>
          <w:i/>
        </w:rPr>
        <w:t xml:space="preserve">, Volume 1, </w:t>
      </w:r>
      <w:r>
        <w:t>ed. by Russell A. Peck with Latin trans. by Andrew Galloway (Kalamazoo, MI: Medieval Institute Publications, 2006) &lt;</w:t>
      </w:r>
      <w:hyperlink r:id="rId2" w:history="1">
        <w:r w:rsidRPr="00735487">
          <w:rPr>
            <w:rStyle w:val="Hyperlink"/>
            <w:color w:val="000000" w:themeColor="text1"/>
            <w:u w:val="none"/>
          </w:rPr>
          <w:t>https://d.lib.rochester.edu/teams/text/peck-gower-confessio-amantis-volume-1-introduction</w:t>
        </w:r>
      </w:hyperlink>
      <w:r>
        <w:t>&gt; [accessed 2 July 2019].</w:t>
      </w:r>
    </w:p>
  </w:footnote>
  <w:footnote w:id="24">
    <w:p w14:paraId="5360222C" w14:textId="77777777" w:rsidR="00D94837" w:rsidRDefault="00D94837" w:rsidP="00D94837">
      <w:pPr>
        <w:pStyle w:val="FootnoteText"/>
      </w:pPr>
      <w:r>
        <w:rPr>
          <w:rStyle w:val="FootnoteReference"/>
        </w:rPr>
        <w:footnoteRef/>
      </w:r>
      <w:r>
        <w:t xml:space="preserve"> Augustine, </w:t>
      </w:r>
      <w:r>
        <w:rPr>
          <w:i/>
        </w:rPr>
        <w:t xml:space="preserve">Confessions, Volume 1: Books 1-8, </w:t>
      </w:r>
      <w:r>
        <w:t>trans. by Carolyn J.B. Hammond (LCL 26. Cambridge, MA: Harvard University Press, 2014), IV, 3 (4), p. 137; VII, 6 (8), p. 309.</w:t>
      </w:r>
    </w:p>
  </w:footnote>
  <w:footnote w:id="25">
    <w:p w14:paraId="2A0BCE13" w14:textId="77777777" w:rsidR="00D94837" w:rsidRDefault="00D94837" w:rsidP="00D94837">
      <w:pPr>
        <w:pStyle w:val="FootnoteText"/>
      </w:pPr>
      <w:r>
        <w:rPr>
          <w:rStyle w:val="FootnoteReference"/>
        </w:rPr>
        <w:footnoteRef/>
      </w:r>
      <w:r>
        <w:t xml:space="preserve"> Augustine, </w:t>
      </w:r>
      <w:r>
        <w:rPr>
          <w:i/>
        </w:rPr>
        <w:t xml:space="preserve">City of God, Volume 2: Books 4-7, </w:t>
      </w:r>
      <w:r>
        <w:t xml:space="preserve">trans. by William M. Green (LCL 412. Cambridge, MA: Harvard University Press, 1963), V, </w:t>
      </w:r>
      <w:proofErr w:type="spellStart"/>
      <w:r>
        <w:t>i</w:t>
      </w:r>
      <w:proofErr w:type="spellEnd"/>
      <w:r>
        <w:t>-vii, pp. 133-63.</w:t>
      </w:r>
    </w:p>
  </w:footnote>
  <w:footnote w:id="26">
    <w:p w14:paraId="21ED6B72" w14:textId="77777777" w:rsidR="00D94837" w:rsidRDefault="00D94837" w:rsidP="00D94837">
      <w:pPr>
        <w:pStyle w:val="FootnoteText"/>
        <w:rPr>
          <w:i/>
        </w:rPr>
      </w:pPr>
      <w:r>
        <w:rPr>
          <w:rStyle w:val="FootnoteReference"/>
        </w:rPr>
        <w:footnoteRef/>
      </w:r>
      <w:r>
        <w:t xml:space="preserve"> Augustine, </w:t>
      </w:r>
      <w:r>
        <w:rPr>
          <w:i/>
        </w:rPr>
        <w:t>City of God, vol. 2</w:t>
      </w:r>
      <w:r>
        <w:t xml:space="preserve">, V, ii-vi, pp. 139-59; Cicero, </w:t>
      </w:r>
      <w:r>
        <w:rPr>
          <w:i/>
        </w:rPr>
        <w:t xml:space="preserve">De </w:t>
      </w:r>
      <w:proofErr w:type="spellStart"/>
      <w:r>
        <w:rPr>
          <w:i/>
        </w:rPr>
        <w:t>Divinatione</w:t>
      </w:r>
      <w:proofErr w:type="spellEnd"/>
      <w:r>
        <w:rPr>
          <w:i/>
        </w:rPr>
        <w:t>,</w:t>
      </w:r>
      <w:r>
        <w:t xml:space="preserve"> trans. by W. A. Falconer (LCL 154. Cambridge, MA: Harvard University Press, 1923) II, xlii-xlvii, pp. 462-83 on astrological divination generally; II, xliii, p. 473 specifically on the lives of twin kings – </w:t>
      </w:r>
      <w:proofErr w:type="spellStart"/>
      <w:r>
        <w:t>Proeles</w:t>
      </w:r>
      <w:proofErr w:type="spellEnd"/>
      <w:r>
        <w:t xml:space="preserve"> and </w:t>
      </w:r>
      <w:proofErr w:type="spellStart"/>
      <w:r>
        <w:t>Eurysthenes</w:t>
      </w:r>
      <w:proofErr w:type="spellEnd"/>
      <w:r>
        <w:t>.</w:t>
      </w:r>
    </w:p>
  </w:footnote>
  <w:footnote w:id="27">
    <w:p w14:paraId="2C3FC543" w14:textId="77777777" w:rsidR="00D94837" w:rsidRDefault="00D94837" w:rsidP="00D94837">
      <w:pPr>
        <w:pStyle w:val="FootnoteText"/>
      </w:pPr>
      <w:r>
        <w:rPr>
          <w:rStyle w:val="FootnoteReference"/>
        </w:rPr>
        <w:footnoteRef/>
      </w:r>
      <w:r>
        <w:t xml:space="preserve"> Augustine, </w:t>
      </w:r>
      <w:r>
        <w:rPr>
          <w:i/>
        </w:rPr>
        <w:t xml:space="preserve">City of God, </w:t>
      </w:r>
      <w:r>
        <w:t xml:space="preserve">V, </w:t>
      </w:r>
      <w:proofErr w:type="spellStart"/>
      <w:r>
        <w:t>i</w:t>
      </w:r>
      <w:proofErr w:type="spellEnd"/>
      <w:r>
        <w:t>, p. 137.</w:t>
      </w:r>
    </w:p>
  </w:footnote>
  <w:footnote w:id="28">
    <w:p w14:paraId="3244AB58" w14:textId="41AA8A50" w:rsidR="00B353D8" w:rsidRDefault="00B353D8">
      <w:pPr>
        <w:pStyle w:val="FootnoteText"/>
      </w:pPr>
      <w:r>
        <w:rPr>
          <w:rStyle w:val="FootnoteReference"/>
        </w:rPr>
        <w:footnoteRef/>
      </w:r>
      <w:r>
        <w:t xml:space="preserve"> </w:t>
      </w:r>
      <w:r w:rsidR="000635E0">
        <w:t xml:space="preserve">Augustine, </w:t>
      </w:r>
      <w:r w:rsidR="000635E0">
        <w:rPr>
          <w:i/>
        </w:rPr>
        <w:t xml:space="preserve">City of God, </w:t>
      </w:r>
      <w:r w:rsidR="000635E0">
        <w:t xml:space="preserve">V, </w:t>
      </w:r>
      <w:proofErr w:type="spellStart"/>
      <w:r w:rsidR="000635E0">
        <w:t>i</w:t>
      </w:r>
      <w:proofErr w:type="spellEnd"/>
      <w:r w:rsidR="000635E0">
        <w:t>, p. 137.</w:t>
      </w:r>
    </w:p>
  </w:footnote>
  <w:footnote w:id="29">
    <w:p w14:paraId="608907A2" w14:textId="77777777" w:rsidR="00E56619" w:rsidRDefault="00E56619" w:rsidP="00E56619">
      <w:pPr>
        <w:pStyle w:val="FootnoteText"/>
      </w:pPr>
      <w:r>
        <w:rPr>
          <w:rStyle w:val="FootnoteReference"/>
        </w:rPr>
        <w:footnoteRef/>
      </w:r>
      <w:r>
        <w:t xml:space="preserve"> Gower, </w:t>
      </w:r>
      <w:proofErr w:type="spellStart"/>
      <w:r>
        <w:rPr>
          <w:i/>
        </w:rPr>
        <w:t>Confessio</w:t>
      </w:r>
      <w:proofErr w:type="spellEnd"/>
      <w:r>
        <w:rPr>
          <w:i/>
        </w:rPr>
        <w:t xml:space="preserve"> </w:t>
      </w:r>
      <w:proofErr w:type="spellStart"/>
      <w:r>
        <w:rPr>
          <w:i/>
        </w:rPr>
        <w:t>Amantis</w:t>
      </w:r>
      <w:proofErr w:type="spellEnd"/>
      <w:r>
        <w:rPr>
          <w:i/>
        </w:rPr>
        <w:t xml:space="preserve"> 3, </w:t>
      </w:r>
      <w:r>
        <w:t>VII, iv, ll. 1459 ‘</w:t>
      </w:r>
      <w:proofErr w:type="spellStart"/>
      <w:r>
        <w:t>Tholomé</w:t>
      </w:r>
      <w:proofErr w:type="spellEnd"/>
      <w:r>
        <w:t>’ (Ptolemy), 1461 ‘</w:t>
      </w:r>
      <w:proofErr w:type="spellStart"/>
      <w:r>
        <w:t>Alfraganus</w:t>
      </w:r>
      <w:proofErr w:type="spellEnd"/>
      <w:r>
        <w:t>’ (Al-</w:t>
      </w:r>
      <w:proofErr w:type="spellStart"/>
      <w:r>
        <w:t>Farghānī</w:t>
      </w:r>
      <w:proofErr w:type="spellEnd"/>
      <w:r>
        <w:t>), 1452 ‘Noe’ and ‘</w:t>
      </w:r>
      <w:proofErr w:type="spellStart"/>
      <w:r>
        <w:t>Nembrot</w:t>
      </w:r>
      <w:proofErr w:type="spellEnd"/>
      <w:r>
        <w:t xml:space="preserve">’ (Noah and </w:t>
      </w:r>
      <w:proofErr w:type="spellStart"/>
      <w:r>
        <w:t>Nimrod</w:t>
      </w:r>
      <w:proofErr w:type="spellEnd"/>
      <w:r>
        <w:t>) (trans. Flynn).</w:t>
      </w:r>
    </w:p>
  </w:footnote>
  <w:footnote w:id="30">
    <w:p w14:paraId="5BE02EFC" w14:textId="77777777" w:rsidR="00CC0429" w:rsidRDefault="00CC0429" w:rsidP="00CC0429">
      <w:pPr>
        <w:pStyle w:val="FootnoteText"/>
      </w:pPr>
      <w:r>
        <w:rPr>
          <w:rStyle w:val="FootnoteReference"/>
        </w:rPr>
        <w:footnoteRef/>
      </w:r>
      <w:r>
        <w:t xml:space="preserve"> George L. Hamilton, ‘Some Sources of the Seventh Book of Gower’s “</w:t>
      </w:r>
      <w:proofErr w:type="spellStart"/>
      <w:r>
        <w:t>Confessio</w:t>
      </w:r>
      <w:proofErr w:type="spellEnd"/>
      <w:r>
        <w:t xml:space="preserve"> </w:t>
      </w:r>
      <w:proofErr w:type="spellStart"/>
      <w:r>
        <w:t>Amantis</w:t>
      </w:r>
      <w:proofErr w:type="spellEnd"/>
      <w:r>
        <w:t xml:space="preserve">”’, </w:t>
      </w:r>
      <w:r>
        <w:rPr>
          <w:i/>
        </w:rPr>
        <w:t xml:space="preserve">Modern Philology, </w:t>
      </w:r>
      <w:r>
        <w:t xml:space="preserve">vol. 9, no. 3 (1912), p. 333; Nicholas Campion, </w:t>
      </w:r>
      <w:r>
        <w:rPr>
          <w:i/>
        </w:rPr>
        <w:t>A History of Western Astrology, Volume 2: The Medieval and Modern Worlds</w:t>
      </w:r>
      <w:r>
        <w:t xml:space="preserve"> (London: Continuum International, 2009; </w:t>
      </w:r>
      <w:proofErr w:type="spellStart"/>
      <w:r>
        <w:t>repr</w:t>
      </w:r>
      <w:proofErr w:type="spellEnd"/>
      <w:r>
        <w:t>. London: Bloomsbury Academic, 2013), pp. 35, 64.</w:t>
      </w:r>
    </w:p>
  </w:footnote>
  <w:footnote w:id="31">
    <w:p w14:paraId="427764FF" w14:textId="77777777" w:rsidR="00CC0429" w:rsidRDefault="00CC0429" w:rsidP="00CC0429">
      <w:pPr>
        <w:pStyle w:val="FootnoteText"/>
      </w:pPr>
      <w:r>
        <w:rPr>
          <w:rStyle w:val="FootnoteReference"/>
        </w:rPr>
        <w:footnoteRef/>
      </w:r>
      <w:r>
        <w:t xml:space="preserve"> Campion, </w:t>
      </w:r>
      <w:r>
        <w:rPr>
          <w:i/>
        </w:rPr>
        <w:t>Western Astrology 2</w:t>
      </w:r>
      <w:r>
        <w:t>, p. 35.</w:t>
      </w:r>
    </w:p>
  </w:footnote>
  <w:footnote w:id="32">
    <w:p w14:paraId="796A503E" w14:textId="77777777" w:rsidR="00CC0429" w:rsidRDefault="00CC0429" w:rsidP="00CC0429">
      <w:pPr>
        <w:pStyle w:val="FootnoteText"/>
      </w:pPr>
      <w:r>
        <w:rPr>
          <w:rStyle w:val="FootnoteReference"/>
        </w:rPr>
        <w:footnoteRef/>
      </w:r>
      <w:r>
        <w:t xml:space="preserve"> Gower, </w:t>
      </w:r>
      <w:proofErr w:type="spellStart"/>
      <w:r>
        <w:rPr>
          <w:i/>
        </w:rPr>
        <w:t>Confessio</w:t>
      </w:r>
      <w:proofErr w:type="spellEnd"/>
      <w:r>
        <w:rPr>
          <w:i/>
        </w:rPr>
        <w:t xml:space="preserve"> </w:t>
      </w:r>
      <w:proofErr w:type="spellStart"/>
      <w:r>
        <w:rPr>
          <w:i/>
        </w:rPr>
        <w:t>Amantis</w:t>
      </w:r>
      <w:proofErr w:type="spellEnd"/>
      <w:r>
        <w:rPr>
          <w:i/>
        </w:rPr>
        <w:t xml:space="preserve"> 3, </w:t>
      </w:r>
      <w:r>
        <w:t xml:space="preserve">VII, iv, ll. 3-5, ‘…I the </w:t>
      </w:r>
      <w:proofErr w:type="spellStart"/>
      <w:r>
        <w:t>scole</w:t>
      </w:r>
      <w:proofErr w:type="spellEnd"/>
      <w:r>
        <w:t xml:space="preserve"> </w:t>
      </w:r>
      <w:proofErr w:type="spellStart"/>
      <w:r>
        <w:t>shal</w:t>
      </w:r>
      <w:proofErr w:type="spellEnd"/>
      <w:r>
        <w:t xml:space="preserve"> declare / Of Aristotle and </w:t>
      </w:r>
      <w:proofErr w:type="spellStart"/>
      <w:r>
        <w:t>ek</w:t>
      </w:r>
      <w:proofErr w:type="spellEnd"/>
      <w:r>
        <w:t xml:space="preserve"> the fare / Of </w:t>
      </w:r>
      <w:proofErr w:type="spellStart"/>
      <w:r>
        <w:t>Alisandre</w:t>
      </w:r>
      <w:proofErr w:type="spellEnd"/>
      <w:r>
        <w:t xml:space="preserve">, </w:t>
      </w:r>
      <w:proofErr w:type="spellStart"/>
      <w:r>
        <w:t>hou</w:t>
      </w:r>
      <w:proofErr w:type="spellEnd"/>
      <w:r>
        <w:t xml:space="preserve"> he was </w:t>
      </w:r>
      <w:proofErr w:type="spellStart"/>
      <w:r>
        <w:t>tauht</w:t>
      </w:r>
      <w:proofErr w:type="spellEnd"/>
      <w:r>
        <w:t>’ – ‘I shall explain the philosophy of Aristotle through the fare he gave Alexander, how he taught him’ (trans. Flynn).</w:t>
      </w:r>
    </w:p>
  </w:footnote>
  <w:footnote w:id="33">
    <w:p w14:paraId="7E9550E8" w14:textId="77777777" w:rsidR="00CC0429" w:rsidRDefault="00CC0429" w:rsidP="00CC0429">
      <w:pPr>
        <w:pStyle w:val="FootnoteText"/>
      </w:pPr>
      <w:r>
        <w:rPr>
          <w:rStyle w:val="FootnoteReference"/>
        </w:rPr>
        <w:footnoteRef/>
      </w:r>
      <w:r>
        <w:t xml:space="preserve"> </w:t>
      </w:r>
      <w:bookmarkStart w:id="12" w:name="_Hlk13322607"/>
      <w:r>
        <w:rPr>
          <w:i/>
        </w:rPr>
        <w:t xml:space="preserve">Three Prose Versions of the Secreta </w:t>
      </w:r>
      <w:proofErr w:type="spellStart"/>
      <w:r>
        <w:rPr>
          <w:i/>
        </w:rPr>
        <w:t>Secretorum</w:t>
      </w:r>
      <w:proofErr w:type="spellEnd"/>
      <w:r>
        <w:rPr>
          <w:i/>
        </w:rPr>
        <w:t xml:space="preserve">, Volume 1: Text and Glossary, </w:t>
      </w:r>
      <w:r>
        <w:t>ed. with intro. and notes by Robert Steele</w:t>
      </w:r>
      <w:r>
        <w:rPr>
          <w:i/>
        </w:rPr>
        <w:t xml:space="preserve"> </w:t>
      </w:r>
      <w:r>
        <w:t>and gloss. by T. Henderson (London: Early English Text Society, 1898</w:t>
      </w:r>
      <w:bookmarkEnd w:id="12"/>
      <w:r>
        <w:t>), pp. 1 (for provenance); 21, ‘Of the difference of Astronomy’, ll. 2-5, ‘</w:t>
      </w:r>
      <w:proofErr w:type="spellStart"/>
      <w:r>
        <w:t>þou</w:t>
      </w:r>
      <w:proofErr w:type="spellEnd"/>
      <w:r>
        <w:t xml:space="preserve"> rise ne </w:t>
      </w:r>
      <w:proofErr w:type="spellStart"/>
      <w:r>
        <w:t>sitte</w:t>
      </w:r>
      <w:proofErr w:type="spellEnd"/>
      <w:r>
        <w:t xml:space="preserve">, </w:t>
      </w:r>
      <w:proofErr w:type="spellStart"/>
      <w:r>
        <w:t>ete</w:t>
      </w:r>
      <w:proofErr w:type="spellEnd"/>
      <w:r>
        <w:t xml:space="preserve"> ne </w:t>
      </w:r>
      <w:proofErr w:type="spellStart"/>
      <w:r>
        <w:t>drynke</w:t>
      </w:r>
      <w:proofErr w:type="spellEnd"/>
      <w:r>
        <w:t xml:space="preserve">, but if it be bi </w:t>
      </w:r>
      <w:proofErr w:type="spellStart"/>
      <w:r>
        <w:t>counselle</w:t>
      </w:r>
      <w:proofErr w:type="spellEnd"/>
      <w:r>
        <w:t xml:space="preserve"> of sum </w:t>
      </w:r>
      <w:proofErr w:type="spellStart"/>
      <w:r>
        <w:t>wijs</w:t>
      </w:r>
      <w:proofErr w:type="spellEnd"/>
      <w:r>
        <w:t xml:space="preserve"> mane that </w:t>
      </w:r>
      <w:proofErr w:type="spellStart"/>
      <w:r>
        <w:t>knowith</w:t>
      </w:r>
      <w:proofErr w:type="spellEnd"/>
      <w:r>
        <w:t xml:space="preserve"> the </w:t>
      </w:r>
      <w:proofErr w:type="spellStart"/>
      <w:r>
        <w:t>constellacions</w:t>
      </w:r>
      <w:proofErr w:type="spellEnd"/>
      <w:r>
        <w:t xml:space="preserve"> and </w:t>
      </w:r>
      <w:proofErr w:type="spellStart"/>
      <w:r>
        <w:t>þe</w:t>
      </w:r>
      <w:proofErr w:type="spellEnd"/>
      <w:r>
        <w:t xml:space="preserve"> course of the </w:t>
      </w:r>
      <w:proofErr w:type="spellStart"/>
      <w:r>
        <w:t>planetis</w:t>
      </w:r>
      <w:proofErr w:type="spellEnd"/>
      <w:r>
        <w:t>’ – ‘neither rise nor sit, eat nor drink, unless it is by the advice of some wise man who knows the constellations and the course of the planets’ (trans. Flynn).</w:t>
      </w:r>
    </w:p>
  </w:footnote>
  <w:footnote w:id="34">
    <w:p w14:paraId="414DD42F" w14:textId="77777777" w:rsidR="00CC0429" w:rsidRDefault="00CC0429" w:rsidP="00CC0429">
      <w:pPr>
        <w:pStyle w:val="FootnoteText"/>
      </w:pPr>
      <w:r>
        <w:rPr>
          <w:rStyle w:val="FootnoteReference"/>
        </w:rPr>
        <w:footnoteRef/>
      </w:r>
      <w:r>
        <w:t xml:space="preserve">Fisher, </w:t>
      </w:r>
      <w:r>
        <w:rPr>
          <w:i/>
        </w:rPr>
        <w:t xml:space="preserve">John Gower, </w:t>
      </w:r>
      <w:r>
        <w:t>p. 101.</w:t>
      </w:r>
    </w:p>
  </w:footnote>
  <w:footnote w:id="35">
    <w:p w14:paraId="61D1EB4F" w14:textId="77777777" w:rsidR="00CC0429" w:rsidRPr="00163E4B" w:rsidRDefault="00CC0429" w:rsidP="00CC0429">
      <w:pPr>
        <w:pStyle w:val="FootnoteText"/>
      </w:pPr>
      <w:r>
        <w:rPr>
          <w:rStyle w:val="FootnoteReference"/>
        </w:rPr>
        <w:footnoteRef/>
      </w:r>
      <w:r>
        <w:t xml:space="preserve"> Fisher, </w:t>
      </w:r>
      <w:r>
        <w:rPr>
          <w:i/>
        </w:rPr>
        <w:t xml:space="preserve">John Gower, </w:t>
      </w:r>
      <w:r>
        <w:t>p. 111.</w:t>
      </w:r>
    </w:p>
  </w:footnote>
  <w:footnote w:id="36">
    <w:p w14:paraId="4D3D268A" w14:textId="77777777" w:rsidR="00CC0429" w:rsidRPr="00276C33" w:rsidRDefault="00CC0429" w:rsidP="00CC0429">
      <w:pPr>
        <w:pStyle w:val="FootnoteText"/>
      </w:pPr>
      <w:r>
        <w:rPr>
          <w:rStyle w:val="FootnoteReference"/>
        </w:rPr>
        <w:footnoteRef/>
      </w:r>
      <w:r>
        <w:t xml:space="preserve"> Campion, </w:t>
      </w:r>
      <w:r>
        <w:rPr>
          <w:i/>
        </w:rPr>
        <w:t xml:space="preserve">Western Astrology 2, </w:t>
      </w:r>
      <w:r>
        <w:t>p. 74.</w:t>
      </w:r>
    </w:p>
  </w:footnote>
  <w:footnote w:id="37">
    <w:p w14:paraId="3DFC6B1A" w14:textId="77777777" w:rsidR="00CC0429" w:rsidRDefault="00CC0429" w:rsidP="00CC0429">
      <w:pPr>
        <w:pStyle w:val="FootnoteText"/>
      </w:pPr>
      <w:r>
        <w:rPr>
          <w:rStyle w:val="FootnoteReference"/>
        </w:rPr>
        <w:footnoteRef/>
      </w:r>
      <w:r>
        <w:t xml:space="preserve"> Steven J. Williams, </w:t>
      </w:r>
      <w:r>
        <w:rPr>
          <w:i/>
        </w:rPr>
        <w:t xml:space="preserve">The Secret of Secrets: The Scholarly Career of a Pseudo-Aristotelian Text in the Latin Middle Ages </w:t>
      </w:r>
      <w:r>
        <w:t>(Ann Arbor: The University of Michigan Press, 2003), p. 1.</w:t>
      </w:r>
    </w:p>
  </w:footnote>
  <w:footnote w:id="38">
    <w:p w14:paraId="17A59EA9" w14:textId="77777777" w:rsidR="00CC0429" w:rsidRDefault="00CC0429" w:rsidP="00CC0429">
      <w:pPr>
        <w:pStyle w:val="FootnoteText"/>
      </w:pPr>
      <w:r>
        <w:rPr>
          <w:rStyle w:val="FootnoteReference"/>
        </w:rPr>
        <w:footnoteRef/>
      </w:r>
      <w:r>
        <w:t xml:space="preserve"> ‘Aristotle’ rather than ‘pseudo-Aristotle’ as Gower may not have found fault with the </w:t>
      </w:r>
      <w:r>
        <w:rPr>
          <w:i/>
        </w:rPr>
        <w:t xml:space="preserve">Secreta’s </w:t>
      </w:r>
      <w:r>
        <w:t xml:space="preserve">declared authorship, thus making the ‘pseudo-Aristotle’ </w:t>
      </w:r>
      <w:proofErr w:type="gramStart"/>
      <w:r>
        <w:t>actually ‘Aristotle’</w:t>
      </w:r>
      <w:proofErr w:type="gramEnd"/>
      <w:r>
        <w:t xml:space="preserve"> in his eyes.</w:t>
      </w:r>
    </w:p>
  </w:footnote>
  <w:footnote w:id="39">
    <w:p w14:paraId="2A814753" w14:textId="77777777" w:rsidR="00E56619" w:rsidRDefault="00E56619" w:rsidP="00E56619">
      <w:pPr>
        <w:pStyle w:val="FootnoteText"/>
      </w:pPr>
      <w:r>
        <w:rPr>
          <w:rStyle w:val="FootnoteReference"/>
        </w:rPr>
        <w:footnoteRef/>
      </w:r>
      <w:r>
        <w:t xml:space="preserve"> Gower, </w:t>
      </w:r>
      <w:proofErr w:type="spellStart"/>
      <w:r>
        <w:rPr>
          <w:i/>
        </w:rPr>
        <w:t>Confessio</w:t>
      </w:r>
      <w:proofErr w:type="spellEnd"/>
      <w:r>
        <w:rPr>
          <w:i/>
        </w:rPr>
        <w:t xml:space="preserve"> </w:t>
      </w:r>
      <w:proofErr w:type="spellStart"/>
      <w:r>
        <w:rPr>
          <w:i/>
        </w:rPr>
        <w:t>Amantis</w:t>
      </w:r>
      <w:proofErr w:type="spellEnd"/>
      <w:r>
        <w:rPr>
          <w:i/>
        </w:rPr>
        <w:t xml:space="preserve"> 3</w:t>
      </w:r>
      <w:r>
        <w:t>, VII, iv, ll. 962-4 ‘…</w:t>
      </w:r>
      <w:proofErr w:type="spellStart"/>
      <w:r>
        <w:t>sette</w:t>
      </w:r>
      <w:proofErr w:type="spellEnd"/>
      <w:r>
        <w:t xml:space="preserve"> of his </w:t>
      </w:r>
      <w:proofErr w:type="spellStart"/>
      <w:r>
        <w:t>pouer</w:t>
      </w:r>
      <w:proofErr w:type="spellEnd"/>
      <w:r>
        <w:t xml:space="preserve"> / </w:t>
      </w:r>
      <w:proofErr w:type="spellStart"/>
      <w:r>
        <w:t>Acordant</w:t>
      </w:r>
      <w:proofErr w:type="spellEnd"/>
      <w:r>
        <w:t xml:space="preserve"> to the </w:t>
      </w:r>
      <w:proofErr w:type="spellStart"/>
      <w:r>
        <w:t>daies</w:t>
      </w:r>
      <w:proofErr w:type="spellEnd"/>
      <w:r>
        <w:t xml:space="preserve"> </w:t>
      </w:r>
      <w:proofErr w:type="spellStart"/>
      <w:r>
        <w:t>sevene</w:t>
      </w:r>
      <w:proofErr w:type="spellEnd"/>
      <w:r>
        <w:t xml:space="preserve"> / </w:t>
      </w:r>
      <w:proofErr w:type="spellStart"/>
      <w:r>
        <w:t>Planetes</w:t>
      </w:r>
      <w:proofErr w:type="spellEnd"/>
      <w:r>
        <w:t xml:space="preserve"> </w:t>
      </w:r>
      <w:proofErr w:type="spellStart"/>
      <w:r>
        <w:t>sevene</w:t>
      </w:r>
      <w:proofErr w:type="spellEnd"/>
      <w:r>
        <w:t xml:space="preserve">…’; 967-70 ‘To every </w:t>
      </w:r>
      <w:proofErr w:type="spellStart"/>
      <w:r>
        <w:t>monthe</w:t>
      </w:r>
      <w:proofErr w:type="spellEnd"/>
      <w:r>
        <w:t xml:space="preserve"> be </w:t>
      </w:r>
      <w:proofErr w:type="spellStart"/>
      <w:r>
        <w:t>Himselve</w:t>
      </w:r>
      <w:proofErr w:type="spellEnd"/>
      <w:r>
        <w:t xml:space="preserve"> / Upon the </w:t>
      </w:r>
      <w:proofErr w:type="spellStart"/>
      <w:r>
        <w:t>heven</w:t>
      </w:r>
      <w:proofErr w:type="spellEnd"/>
      <w:r>
        <w:t xml:space="preserve"> of </w:t>
      </w:r>
      <w:proofErr w:type="spellStart"/>
      <w:r>
        <w:t>signes</w:t>
      </w:r>
      <w:proofErr w:type="spellEnd"/>
      <w:r>
        <w:t xml:space="preserve"> </w:t>
      </w:r>
      <w:proofErr w:type="spellStart"/>
      <w:r>
        <w:t>tuelve</w:t>
      </w:r>
      <w:proofErr w:type="spellEnd"/>
      <w:r>
        <w:t xml:space="preserve"> / He hath after His ordinal / Assigned on in special’. </w:t>
      </w:r>
    </w:p>
  </w:footnote>
  <w:footnote w:id="40">
    <w:p w14:paraId="3C9A149E" w14:textId="77777777" w:rsidR="00E56619" w:rsidRDefault="00E56619" w:rsidP="00E56619">
      <w:pPr>
        <w:pStyle w:val="FootnoteText"/>
      </w:pPr>
      <w:r>
        <w:rPr>
          <w:rStyle w:val="FootnoteReference"/>
        </w:rPr>
        <w:footnoteRef/>
      </w:r>
      <w:r>
        <w:t xml:space="preserve"> Gower, </w:t>
      </w:r>
      <w:proofErr w:type="spellStart"/>
      <w:r>
        <w:rPr>
          <w:i/>
        </w:rPr>
        <w:t>Confessio</w:t>
      </w:r>
      <w:proofErr w:type="spellEnd"/>
      <w:r>
        <w:rPr>
          <w:i/>
        </w:rPr>
        <w:t xml:space="preserve"> </w:t>
      </w:r>
      <w:proofErr w:type="spellStart"/>
      <w:r>
        <w:rPr>
          <w:i/>
        </w:rPr>
        <w:t>Amantis</w:t>
      </w:r>
      <w:proofErr w:type="spellEnd"/>
      <w:r>
        <w:rPr>
          <w:i/>
        </w:rPr>
        <w:t xml:space="preserve"> 3, </w:t>
      </w:r>
      <w:r>
        <w:t>VII, iv, ll. 1187-8 ‘Aquarius…/…</w:t>
      </w:r>
      <w:proofErr w:type="spellStart"/>
      <w:r>
        <w:t>stant</w:t>
      </w:r>
      <w:proofErr w:type="spellEnd"/>
      <w:r>
        <w:t xml:space="preserve"> well in </w:t>
      </w:r>
      <w:proofErr w:type="spellStart"/>
      <w:r>
        <w:t>Satornes</w:t>
      </w:r>
      <w:proofErr w:type="spellEnd"/>
      <w:r>
        <w:t xml:space="preserve"> grace’; ll. 937-41 ‘Saturnus… / ... / </w:t>
      </w:r>
      <w:proofErr w:type="spellStart"/>
      <w:r>
        <w:t>Causeth</w:t>
      </w:r>
      <w:proofErr w:type="spellEnd"/>
      <w:r>
        <w:t xml:space="preserve"> malice and </w:t>
      </w:r>
      <w:proofErr w:type="spellStart"/>
      <w:r>
        <w:t>crualté</w:t>
      </w:r>
      <w:proofErr w:type="spellEnd"/>
      <w:r>
        <w:t xml:space="preserve"> / To him the </w:t>
      </w:r>
      <w:proofErr w:type="spellStart"/>
      <w:r>
        <w:t>whos</w:t>
      </w:r>
      <w:proofErr w:type="spellEnd"/>
      <w:r>
        <w:t xml:space="preserve"> </w:t>
      </w:r>
      <w:proofErr w:type="spellStart"/>
      <w:r>
        <w:t>nativité</w:t>
      </w:r>
      <w:proofErr w:type="spellEnd"/>
      <w:r>
        <w:t xml:space="preserve"> / Is set under his governance’.</w:t>
      </w:r>
    </w:p>
  </w:footnote>
  <w:footnote w:id="41">
    <w:p w14:paraId="7E15C697" w14:textId="77777777" w:rsidR="00E56619" w:rsidRPr="00037D49" w:rsidRDefault="00E56619" w:rsidP="00E56619">
      <w:pPr>
        <w:pStyle w:val="FootnoteText"/>
      </w:pPr>
      <w:r>
        <w:rPr>
          <w:rStyle w:val="FootnoteReference"/>
        </w:rPr>
        <w:footnoteRef/>
      </w:r>
      <w:r>
        <w:t xml:space="preserve"> </w:t>
      </w:r>
      <w:r>
        <w:rPr>
          <w:i/>
        </w:rPr>
        <w:t xml:space="preserve">Secreta </w:t>
      </w:r>
      <w:proofErr w:type="spellStart"/>
      <w:r>
        <w:rPr>
          <w:i/>
        </w:rPr>
        <w:t>Secretorum</w:t>
      </w:r>
      <w:proofErr w:type="spellEnd"/>
      <w:r>
        <w:rPr>
          <w:i/>
        </w:rPr>
        <w:t xml:space="preserve">, </w:t>
      </w:r>
      <w:r>
        <w:t>p. 21, ‘Of the difference of Astronomy’, ll. 2-5, ‘</w:t>
      </w:r>
      <w:proofErr w:type="spellStart"/>
      <w:r>
        <w:t>þou</w:t>
      </w:r>
      <w:proofErr w:type="spellEnd"/>
      <w:r>
        <w:t xml:space="preserve"> rise ne </w:t>
      </w:r>
      <w:proofErr w:type="spellStart"/>
      <w:r>
        <w:t>sitte</w:t>
      </w:r>
      <w:proofErr w:type="spellEnd"/>
      <w:r>
        <w:t xml:space="preserve">, </w:t>
      </w:r>
      <w:proofErr w:type="spellStart"/>
      <w:r>
        <w:t>ete</w:t>
      </w:r>
      <w:proofErr w:type="spellEnd"/>
      <w:r>
        <w:t xml:space="preserve"> ne </w:t>
      </w:r>
      <w:proofErr w:type="spellStart"/>
      <w:r>
        <w:t>drynke</w:t>
      </w:r>
      <w:proofErr w:type="spellEnd"/>
      <w:r>
        <w:t xml:space="preserve">, but if it be bi </w:t>
      </w:r>
      <w:proofErr w:type="spellStart"/>
      <w:r>
        <w:t>counselle</w:t>
      </w:r>
      <w:proofErr w:type="spellEnd"/>
      <w:r>
        <w:t xml:space="preserve"> of sum </w:t>
      </w:r>
      <w:proofErr w:type="spellStart"/>
      <w:r>
        <w:t>wijs</w:t>
      </w:r>
      <w:proofErr w:type="spellEnd"/>
      <w:r>
        <w:t xml:space="preserve"> mane that </w:t>
      </w:r>
      <w:proofErr w:type="spellStart"/>
      <w:r>
        <w:t>knowith</w:t>
      </w:r>
      <w:proofErr w:type="spellEnd"/>
      <w:r>
        <w:t xml:space="preserve"> the </w:t>
      </w:r>
      <w:proofErr w:type="spellStart"/>
      <w:r>
        <w:t>constellacions</w:t>
      </w:r>
      <w:proofErr w:type="spellEnd"/>
      <w:r>
        <w:t xml:space="preserve"> and </w:t>
      </w:r>
      <w:proofErr w:type="spellStart"/>
      <w:r>
        <w:t>þe</w:t>
      </w:r>
      <w:proofErr w:type="spellEnd"/>
      <w:r>
        <w:t xml:space="preserve"> course of the </w:t>
      </w:r>
      <w:proofErr w:type="spellStart"/>
      <w:r>
        <w:t>planetis</w:t>
      </w:r>
      <w:proofErr w:type="spellEnd"/>
      <w:r>
        <w:t>’.</w:t>
      </w:r>
    </w:p>
  </w:footnote>
  <w:footnote w:id="42">
    <w:p w14:paraId="628BC742" w14:textId="77777777" w:rsidR="00217025" w:rsidRDefault="00217025" w:rsidP="00217025">
      <w:pPr>
        <w:pStyle w:val="FootnoteText"/>
      </w:pPr>
      <w:r>
        <w:rPr>
          <w:rStyle w:val="FootnoteReference"/>
        </w:rPr>
        <w:footnoteRef/>
      </w:r>
      <w:r>
        <w:t xml:space="preserve"> Hildegard, </w:t>
      </w:r>
      <w:r>
        <w:rPr>
          <w:i/>
        </w:rPr>
        <w:t>Cause et cure,</w:t>
      </w:r>
      <w:r>
        <w:t xml:space="preserve"> 1, ‘What the stars indicate’, p. 33; ‘What the planets indicate’, p. 33; ‘What the moon indicates’, pp. 33-4.</w:t>
      </w:r>
    </w:p>
  </w:footnote>
  <w:footnote w:id="43">
    <w:p w14:paraId="276809A4" w14:textId="59B01076" w:rsidR="00217025" w:rsidRPr="00BF1233" w:rsidRDefault="00217025" w:rsidP="00217025">
      <w:pPr>
        <w:pStyle w:val="FootnoteText"/>
      </w:pPr>
      <w:r>
        <w:rPr>
          <w:rStyle w:val="FootnoteReference"/>
        </w:rPr>
        <w:footnoteRef/>
      </w:r>
      <w:r>
        <w:t xml:space="preserve"> Hildegard, </w:t>
      </w:r>
      <w:r>
        <w:rPr>
          <w:i/>
        </w:rPr>
        <w:t xml:space="preserve">Cause et cure, </w:t>
      </w:r>
      <w:r>
        <w:t>1, ‘</w:t>
      </w:r>
      <w:r w:rsidRPr="00BF1233">
        <w:t>That it is not in the nature of the stars to indicate something’, pp. 34-5</w:t>
      </w:r>
      <w:r w:rsidR="00E34AB2">
        <w:t xml:space="preserve">; Augustine, </w:t>
      </w:r>
      <w:r w:rsidR="00E34AB2">
        <w:rPr>
          <w:i/>
        </w:rPr>
        <w:t xml:space="preserve">City of God, </w:t>
      </w:r>
      <w:r w:rsidR="00E34AB2">
        <w:t xml:space="preserve">V, </w:t>
      </w:r>
      <w:proofErr w:type="spellStart"/>
      <w:r w:rsidR="00E34AB2">
        <w:t>i</w:t>
      </w:r>
      <w:proofErr w:type="spellEnd"/>
      <w:r w:rsidR="00E34AB2">
        <w:t>, p. 137</w:t>
      </w:r>
      <w:r>
        <w:t>.</w:t>
      </w:r>
    </w:p>
  </w:footnote>
  <w:footnote w:id="44">
    <w:p w14:paraId="5D46AA2C" w14:textId="77777777" w:rsidR="00217025" w:rsidRDefault="00217025" w:rsidP="00217025">
      <w:pPr>
        <w:pStyle w:val="FootnoteText"/>
      </w:pPr>
      <w:r>
        <w:rPr>
          <w:rStyle w:val="FootnoteReference"/>
        </w:rPr>
        <w:footnoteRef/>
      </w:r>
      <w:r>
        <w:t xml:space="preserve"> Hildegard, </w:t>
      </w:r>
      <w:r>
        <w:rPr>
          <w:i/>
        </w:rPr>
        <w:t xml:space="preserve">Cause et cure, </w:t>
      </w:r>
      <w:r>
        <w:t>1, ‘The influence of the moon’, p. 34.</w:t>
      </w:r>
    </w:p>
  </w:footnote>
  <w:footnote w:id="45">
    <w:p w14:paraId="7AFB52C4" w14:textId="77777777" w:rsidR="00217025" w:rsidRDefault="00217025" w:rsidP="00217025">
      <w:pPr>
        <w:pStyle w:val="FootnoteText"/>
      </w:pPr>
      <w:r>
        <w:rPr>
          <w:rStyle w:val="FootnoteReference"/>
        </w:rPr>
        <w:footnoteRef/>
      </w:r>
      <w:r>
        <w:t xml:space="preserve"> Hildegard, </w:t>
      </w:r>
      <w:r>
        <w:rPr>
          <w:i/>
        </w:rPr>
        <w:t>Cause et cure,</w:t>
      </w:r>
      <w:r>
        <w:t xml:space="preserve"> 6.1,</w:t>
      </w:r>
      <w:r>
        <w:rPr>
          <w:i/>
        </w:rPr>
        <w:t xml:space="preserve"> </w:t>
      </w:r>
      <w:r>
        <w:t>‘The time for procreation’, p. 63,’Lunar Prognostication’, pp. 123-4.</w:t>
      </w:r>
    </w:p>
  </w:footnote>
  <w:footnote w:id="46">
    <w:p w14:paraId="16A321EA" w14:textId="77777777" w:rsidR="00217025" w:rsidRDefault="00217025" w:rsidP="00217025">
      <w:pPr>
        <w:pStyle w:val="FootnoteText"/>
      </w:pPr>
      <w:r>
        <w:rPr>
          <w:rStyle w:val="FootnoteReference"/>
        </w:rPr>
        <w:footnoteRef/>
      </w:r>
      <w:r>
        <w:t xml:space="preserve"> Hildegard, </w:t>
      </w:r>
      <w:r>
        <w:rPr>
          <w:i/>
        </w:rPr>
        <w:t>Cause et cure,</w:t>
      </w:r>
      <w:r>
        <w:t>1, ‘The twelve signs and the planets’, p. 31.</w:t>
      </w:r>
    </w:p>
  </w:footnote>
  <w:footnote w:id="47">
    <w:p w14:paraId="0B58D977" w14:textId="77777777" w:rsidR="00217025" w:rsidRDefault="00217025" w:rsidP="00217025">
      <w:pPr>
        <w:pStyle w:val="FootnoteText"/>
      </w:pPr>
      <w:r>
        <w:rPr>
          <w:rStyle w:val="FootnoteReference"/>
        </w:rPr>
        <w:footnoteRef/>
      </w:r>
      <w:r>
        <w:t xml:space="preserve"> Aristotle, </w:t>
      </w:r>
      <w:r>
        <w:rPr>
          <w:i/>
        </w:rPr>
        <w:t xml:space="preserve">De </w:t>
      </w:r>
      <w:proofErr w:type="spellStart"/>
      <w:r>
        <w:rPr>
          <w:i/>
        </w:rPr>
        <w:t>Caelo</w:t>
      </w:r>
      <w:proofErr w:type="spellEnd"/>
      <w:r>
        <w:t>, trans. by W.K.C. Guthrie (LVL 338. Cambridge, MA: Harvard University Press, 1939), II, xii, 292a, 20-23, p. 207.</w:t>
      </w:r>
    </w:p>
  </w:footnote>
  <w:footnote w:id="48">
    <w:p w14:paraId="6A9B5A55" w14:textId="77777777" w:rsidR="00217025" w:rsidRDefault="00217025" w:rsidP="00217025">
      <w:pPr>
        <w:pStyle w:val="FootnoteText"/>
      </w:pPr>
      <w:r>
        <w:rPr>
          <w:rStyle w:val="FootnoteReference"/>
        </w:rPr>
        <w:footnoteRef/>
      </w:r>
      <w:r>
        <w:t xml:space="preserve"> Hildegard, </w:t>
      </w:r>
      <w:r>
        <w:rPr>
          <w:i/>
        </w:rPr>
        <w:t>Cause et cure,</w:t>
      </w:r>
      <w:r>
        <w:t>1, ‘The twelve signs and the planets’, p. 31.</w:t>
      </w:r>
    </w:p>
  </w:footnote>
  <w:footnote w:id="49">
    <w:p w14:paraId="64E5603E" w14:textId="77777777" w:rsidR="00217025" w:rsidRDefault="00217025" w:rsidP="00217025">
      <w:pPr>
        <w:pStyle w:val="FootnoteText"/>
      </w:pPr>
      <w:r>
        <w:rPr>
          <w:rStyle w:val="FootnoteReference"/>
        </w:rPr>
        <w:footnoteRef/>
      </w:r>
      <w:r>
        <w:t xml:space="preserve"> Singer, ‘Views and Visions’, p. 17; I can find no authoritative and precise date for Gerard’s translation of </w:t>
      </w:r>
      <w:r>
        <w:rPr>
          <w:i/>
        </w:rPr>
        <w:t xml:space="preserve">De </w:t>
      </w:r>
      <w:proofErr w:type="spellStart"/>
      <w:r>
        <w:rPr>
          <w:i/>
        </w:rPr>
        <w:t>Caelo</w:t>
      </w:r>
      <w:proofErr w:type="spellEnd"/>
      <w:r>
        <w:t xml:space="preserve"> – ‘12</w:t>
      </w:r>
      <w:r w:rsidRPr="0026515B">
        <w:rPr>
          <w:vertAlign w:val="superscript"/>
        </w:rPr>
        <w:t>th</w:t>
      </w:r>
      <w:r>
        <w:t xml:space="preserve"> century’ is offered in the bibliography of Alan C. Bowen and Christian </w:t>
      </w:r>
      <w:proofErr w:type="spellStart"/>
      <w:r>
        <w:t>Wildberg</w:t>
      </w:r>
      <w:proofErr w:type="spellEnd"/>
      <w:r>
        <w:t xml:space="preserve"> (eds.), </w:t>
      </w:r>
      <w:r>
        <w:rPr>
          <w:i/>
        </w:rPr>
        <w:t xml:space="preserve">New Perspectives on Aristotle’s ‘De </w:t>
      </w:r>
      <w:proofErr w:type="spellStart"/>
      <w:r>
        <w:rPr>
          <w:i/>
        </w:rPr>
        <w:t>Caelo</w:t>
      </w:r>
      <w:proofErr w:type="spellEnd"/>
      <w:r>
        <w:rPr>
          <w:i/>
        </w:rPr>
        <w:t xml:space="preserve">’, </w:t>
      </w:r>
      <w:r>
        <w:t>(Leiden: Brill, 2009), p. 286.</w:t>
      </w:r>
    </w:p>
  </w:footnote>
  <w:footnote w:id="50">
    <w:p w14:paraId="09A1AFC6" w14:textId="58D4787F" w:rsidR="00530253" w:rsidRDefault="00530253" w:rsidP="00530253">
      <w:pPr>
        <w:pStyle w:val="FootnoteText"/>
      </w:pPr>
      <w:r>
        <w:rPr>
          <w:rStyle w:val="FootnoteReference"/>
        </w:rPr>
        <w:footnoteRef/>
      </w:r>
      <w:r>
        <w:t xml:space="preserve"> Campion, </w:t>
      </w:r>
      <w:r>
        <w:rPr>
          <w:i/>
        </w:rPr>
        <w:t>Astrology and Cosmology</w:t>
      </w:r>
      <w:r>
        <w:t>, pp. 11-12.</w:t>
      </w:r>
    </w:p>
  </w:footnote>
  <w:footnote w:id="51">
    <w:p w14:paraId="1AE0E55F" w14:textId="77777777" w:rsidR="00530253" w:rsidRDefault="00530253" w:rsidP="00530253">
      <w:pPr>
        <w:pStyle w:val="FootnoteText"/>
      </w:pPr>
      <w:r>
        <w:rPr>
          <w:rStyle w:val="FootnoteReference"/>
        </w:rPr>
        <w:footnoteRef/>
      </w:r>
      <w:r>
        <w:t xml:space="preserve"> Sweet, ‘Greening of Medieval Medicine’, p. 403.</w:t>
      </w:r>
    </w:p>
  </w:footnote>
  <w:footnote w:id="52">
    <w:p w14:paraId="40CC27F5" w14:textId="77777777" w:rsidR="00530253" w:rsidRDefault="00530253" w:rsidP="00530253">
      <w:pPr>
        <w:pStyle w:val="FootnoteText"/>
      </w:pPr>
      <w:r>
        <w:rPr>
          <w:rStyle w:val="FootnoteReference"/>
        </w:rPr>
        <w:footnoteRef/>
      </w:r>
      <w:r>
        <w:t xml:space="preserve"> </w:t>
      </w:r>
      <w:bookmarkStart w:id="13" w:name="_Hlk13324144"/>
      <w:r>
        <w:t xml:space="preserve">Hildegard, </w:t>
      </w:r>
      <w:r>
        <w:rPr>
          <w:i/>
        </w:rPr>
        <w:t>Cause et cure,</w:t>
      </w:r>
      <w:r>
        <w:t xml:space="preserve"> 6.1,</w:t>
      </w:r>
      <w:r>
        <w:rPr>
          <w:i/>
        </w:rPr>
        <w:t xml:space="preserve"> </w:t>
      </w:r>
      <w:r>
        <w:t>‘The time for procreation’, p. 63</w:t>
      </w:r>
      <w:bookmarkEnd w:id="13"/>
      <w:r>
        <w:t>.</w:t>
      </w:r>
    </w:p>
  </w:footnote>
  <w:footnote w:id="53">
    <w:p w14:paraId="7325AF8D" w14:textId="77777777" w:rsidR="00530253" w:rsidRDefault="00530253" w:rsidP="00530253">
      <w:pPr>
        <w:pStyle w:val="FootnoteText"/>
      </w:pPr>
      <w:r>
        <w:rPr>
          <w:rStyle w:val="FootnoteReference"/>
        </w:rPr>
        <w:footnoteRef/>
      </w:r>
      <w:r>
        <w:t xml:space="preserve"> Hildegard, </w:t>
      </w:r>
      <w:r>
        <w:rPr>
          <w:i/>
        </w:rPr>
        <w:t xml:space="preserve">Cause et cure, </w:t>
      </w:r>
      <w:r>
        <w:t>16,</w:t>
      </w:r>
      <w:r>
        <w:rPr>
          <w:i/>
        </w:rPr>
        <w:t xml:space="preserve"> </w:t>
      </w:r>
      <w:r>
        <w:t>‘The twentieth day after the new moon’, p. 124.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A88E7" w14:textId="75181455" w:rsidR="00C51BA1" w:rsidRPr="00DA3073" w:rsidRDefault="00C51BA1" w:rsidP="00C51BA1">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t xml:space="preserve">Page </w:t>
    </w:r>
    <w:r w:rsidRPr="003F638E">
      <w:rPr>
        <w:rFonts w:ascii="Times New Roman" w:hAnsi="Times New Roman"/>
        <w:sz w:val="24"/>
        <w:lang w:val="en-GB"/>
      </w:rPr>
      <w:fldChar w:fldCharType="begin"/>
    </w:r>
    <w:r w:rsidRPr="003F638E">
      <w:rPr>
        <w:rFonts w:ascii="Times New Roman" w:hAnsi="Times New Roman"/>
        <w:sz w:val="24"/>
        <w:lang w:val="en-GB"/>
      </w:rPr>
      <w:instrText xml:space="preserve"> PAGE   \* MERGEFORMAT </w:instrText>
    </w:r>
    <w:r w:rsidRPr="003F638E">
      <w:rPr>
        <w:rFonts w:ascii="Times New Roman" w:hAnsi="Times New Roman"/>
        <w:sz w:val="24"/>
        <w:lang w:val="en-GB"/>
      </w:rPr>
      <w:fldChar w:fldCharType="separate"/>
    </w:r>
    <w:r w:rsidRPr="003F638E">
      <w:rPr>
        <w:rFonts w:ascii="Times New Roman" w:hAnsi="Times New Roman"/>
        <w:noProof/>
        <w:sz w:val="24"/>
        <w:lang w:val="en-GB"/>
      </w:rPr>
      <w:t>1</w:t>
    </w:r>
    <w:r w:rsidRPr="003F638E">
      <w:rPr>
        <w:rFonts w:ascii="Times New Roman" w:hAnsi="Times New Roman"/>
        <w:noProof/>
        <w:sz w:val="24"/>
        <w:lang w:val="en-GB"/>
      </w:rPr>
      <w:fldChar w:fldCharType="end"/>
    </w:r>
    <w:r>
      <w:rPr>
        <w:rFonts w:ascii="Times New Roman" w:hAnsi="Times New Roman"/>
        <w:noProof/>
        <w:sz w:val="24"/>
        <w:lang w:val="en-GB"/>
      </w:rPr>
      <w:t xml:space="preserve"> </w:t>
    </w:r>
    <w:r w:rsidRPr="00DA3073">
      <w:rPr>
        <w:rFonts w:ascii="Times New Roman" w:hAnsi="Times New Roman"/>
        <w:sz w:val="24"/>
        <w:lang w:val="en-GB"/>
      </w:rPr>
      <w:t xml:space="preserve">of </w:t>
    </w:r>
    <w:r w:rsidR="000C499F">
      <w:rPr>
        <w:rFonts w:ascii="Times New Roman" w:hAnsi="Times New Roman"/>
        <w:b/>
        <w:bCs/>
        <w:sz w:val="24"/>
        <w:lang w:val="en-GB"/>
      </w:rPr>
      <w:t>1</w:t>
    </w:r>
    <w:r w:rsidR="00E6088A">
      <w:rPr>
        <w:rFonts w:ascii="Times New Roman" w:hAnsi="Times New Roman"/>
        <w:b/>
        <w:bCs/>
        <w:sz w:val="24"/>
        <w:lang w:val="en-GB"/>
      </w:rPr>
      <w:t>0</w:t>
    </w:r>
  </w:p>
  <w:p w14:paraId="0602C8FC" w14:textId="77777777" w:rsidR="00C51BA1" w:rsidRPr="007C14E9" w:rsidRDefault="00C51BA1">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9C4F68"/>
    <w:multiLevelType w:val="hybridMultilevel"/>
    <w:tmpl w:val="4A0037E4"/>
    <w:lvl w:ilvl="0" w:tplc="DDC21DA2">
      <w:numFmt w:val="bullet"/>
      <w:lvlText w:val="—"/>
      <w:lvlJc w:val="left"/>
      <w:pPr>
        <w:ind w:left="720" w:hanging="360"/>
      </w:pPr>
      <w:rPr>
        <w:rFonts w:ascii="Times New Roman" w:eastAsia="SimSu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11340"/>
    <w:multiLevelType w:val="hybridMultilevel"/>
    <w:tmpl w:val="68BC6782"/>
    <w:lvl w:ilvl="0" w:tplc="C48CABF6">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6C566905"/>
    <w:multiLevelType w:val="hybridMultilevel"/>
    <w:tmpl w:val="31747BA8"/>
    <w:lvl w:ilvl="0" w:tplc="201C519C">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47549"/>
    <w:multiLevelType w:val="hybridMultilevel"/>
    <w:tmpl w:val="FF980426"/>
    <w:lvl w:ilvl="0" w:tplc="9AD422DE">
      <w:start w:val="23"/>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7502F2"/>
    <w:multiLevelType w:val="hybridMultilevel"/>
    <w:tmpl w:val="DCBCCCC8"/>
    <w:lvl w:ilvl="0" w:tplc="0FB846FE">
      <w:numFmt w:val="bullet"/>
      <w:lvlText w:val="—"/>
      <w:lvlJc w:val="left"/>
      <w:pPr>
        <w:ind w:left="720" w:hanging="360"/>
      </w:pPr>
      <w:rPr>
        <w:rFonts w:ascii="Calibri" w:eastAsiaTheme="minorHAnsi" w:hAnsi="Calibri" w:cs="Calibri" w:hint="default"/>
        <w:i/>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0"/>
  </w:num>
  <w:num w:numId="4">
    <w:abstractNumId w:val="3"/>
  </w:num>
  <w:num w:numId="5">
    <w:abstractNumId w:val="2"/>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CE"/>
    <w:rsid w:val="00000EA5"/>
    <w:rsid w:val="0000233D"/>
    <w:rsid w:val="00002ADC"/>
    <w:rsid w:val="00002C8C"/>
    <w:rsid w:val="000032F4"/>
    <w:rsid w:val="00003F7D"/>
    <w:rsid w:val="00011231"/>
    <w:rsid w:val="00011639"/>
    <w:rsid w:val="0001209E"/>
    <w:rsid w:val="00013D5F"/>
    <w:rsid w:val="0002169A"/>
    <w:rsid w:val="000226A7"/>
    <w:rsid w:val="00026875"/>
    <w:rsid w:val="00027F1B"/>
    <w:rsid w:val="00035B39"/>
    <w:rsid w:val="000361FB"/>
    <w:rsid w:val="0003683D"/>
    <w:rsid w:val="00036BA5"/>
    <w:rsid w:val="00037792"/>
    <w:rsid w:val="00037D49"/>
    <w:rsid w:val="000420F2"/>
    <w:rsid w:val="000424E8"/>
    <w:rsid w:val="000429F3"/>
    <w:rsid w:val="00042A0E"/>
    <w:rsid w:val="0004335F"/>
    <w:rsid w:val="00043881"/>
    <w:rsid w:val="000454E9"/>
    <w:rsid w:val="00045701"/>
    <w:rsid w:val="000457F2"/>
    <w:rsid w:val="00047927"/>
    <w:rsid w:val="00050665"/>
    <w:rsid w:val="00051187"/>
    <w:rsid w:val="00052A0D"/>
    <w:rsid w:val="000561FA"/>
    <w:rsid w:val="0006135E"/>
    <w:rsid w:val="00061528"/>
    <w:rsid w:val="00062E8A"/>
    <w:rsid w:val="00063249"/>
    <w:rsid w:val="000635E0"/>
    <w:rsid w:val="00064143"/>
    <w:rsid w:val="00064BDB"/>
    <w:rsid w:val="00064C27"/>
    <w:rsid w:val="00065CD6"/>
    <w:rsid w:val="00067344"/>
    <w:rsid w:val="00072892"/>
    <w:rsid w:val="00073D63"/>
    <w:rsid w:val="000771D3"/>
    <w:rsid w:val="000774D9"/>
    <w:rsid w:val="00077AAA"/>
    <w:rsid w:val="000821DB"/>
    <w:rsid w:val="00083DB8"/>
    <w:rsid w:val="00084879"/>
    <w:rsid w:val="00084983"/>
    <w:rsid w:val="00092816"/>
    <w:rsid w:val="00094676"/>
    <w:rsid w:val="00094BA5"/>
    <w:rsid w:val="00094DA4"/>
    <w:rsid w:val="00096013"/>
    <w:rsid w:val="00097A89"/>
    <w:rsid w:val="000A29E1"/>
    <w:rsid w:val="000A3F1F"/>
    <w:rsid w:val="000A66E5"/>
    <w:rsid w:val="000B0BE7"/>
    <w:rsid w:val="000B2524"/>
    <w:rsid w:val="000B29DB"/>
    <w:rsid w:val="000B2BAA"/>
    <w:rsid w:val="000B42D1"/>
    <w:rsid w:val="000B530A"/>
    <w:rsid w:val="000B588B"/>
    <w:rsid w:val="000B6083"/>
    <w:rsid w:val="000B6B6B"/>
    <w:rsid w:val="000B7392"/>
    <w:rsid w:val="000B7D5F"/>
    <w:rsid w:val="000C1833"/>
    <w:rsid w:val="000C3408"/>
    <w:rsid w:val="000C499F"/>
    <w:rsid w:val="000C5688"/>
    <w:rsid w:val="000C5F5C"/>
    <w:rsid w:val="000C75BA"/>
    <w:rsid w:val="000D0BC3"/>
    <w:rsid w:val="000D19E8"/>
    <w:rsid w:val="000D31B2"/>
    <w:rsid w:val="000D53A2"/>
    <w:rsid w:val="000D7A4D"/>
    <w:rsid w:val="000D7EFB"/>
    <w:rsid w:val="000E20A9"/>
    <w:rsid w:val="000E260F"/>
    <w:rsid w:val="000E3311"/>
    <w:rsid w:val="000E42F0"/>
    <w:rsid w:val="000E5CA6"/>
    <w:rsid w:val="000F0B18"/>
    <w:rsid w:val="000F1358"/>
    <w:rsid w:val="000F283E"/>
    <w:rsid w:val="000F29C3"/>
    <w:rsid w:val="000F4AC9"/>
    <w:rsid w:val="000F4F7B"/>
    <w:rsid w:val="000F5371"/>
    <w:rsid w:val="000F596A"/>
    <w:rsid w:val="000F7174"/>
    <w:rsid w:val="001031B6"/>
    <w:rsid w:val="0010335F"/>
    <w:rsid w:val="001035CC"/>
    <w:rsid w:val="00111175"/>
    <w:rsid w:val="00111384"/>
    <w:rsid w:val="00111BED"/>
    <w:rsid w:val="00120136"/>
    <w:rsid w:val="00121CEE"/>
    <w:rsid w:val="00126AD0"/>
    <w:rsid w:val="00127C15"/>
    <w:rsid w:val="00131A7F"/>
    <w:rsid w:val="00134BBB"/>
    <w:rsid w:val="00136AD5"/>
    <w:rsid w:val="0014044C"/>
    <w:rsid w:val="0014389B"/>
    <w:rsid w:val="00144BF6"/>
    <w:rsid w:val="00145628"/>
    <w:rsid w:val="00146A06"/>
    <w:rsid w:val="00151CE7"/>
    <w:rsid w:val="00153C0F"/>
    <w:rsid w:val="00153FFE"/>
    <w:rsid w:val="00154C50"/>
    <w:rsid w:val="00156220"/>
    <w:rsid w:val="00156473"/>
    <w:rsid w:val="00157EB1"/>
    <w:rsid w:val="0016010D"/>
    <w:rsid w:val="00160354"/>
    <w:rsid w:val="00163E4B"/>
    <w:rsid w:val="001652C1"/>
    <w:rsid w:val="001654B9"/>
    <w:rsid w:val="00165B08"/>
    <w:rsid w:val="001706BF"/>
    <w:rsid w:val="001708C4"/>
    <w:rsid w:val="00171096"/>
    <w:rsid w:val="001717F6"/>
    <w:rsid w:val="001735BB"/>
    <w:rsid w:val="001753EC"/>
    <w:rsid w:val="00175B67"/>
    <w:rsid w:val="0017670C"/>
    <w:rsid w:val="0018358E"/>
    <w:rsid w:val="00183E33"/>
    <w:rsid w:val="00184C60"/>
    <w:rsid w:val="00185737"/>
    <w:rsid w:val="001859F7"/>
    <w:rsid w:val="001878CD"/>
    <w:rsid w:val="0019106E"/>
    <w:rsid w:val="00191743"/>
    <w:rsid w:val="001917F3"/>
    <w:rsid w:val="00191B61"/>
    <w:rsid w:val="001928F6"/>
    <w:rsid w:val="00193717"/>
    <w:rsid w:val="001952EA"/>
    <w:rsid w:val="001977FF"/>
    <w:rsid w:val="001A31F3"/>
    <w:rsid w:val="001A3E26"/>
    <w:rsid w:val="001A45E8"/>
    <w:rsid w:val="001A6BDA"/>
    <w:rsid w:val="001B2D8A"/>
    <w:rsid w:val="001B3BD7"/>
    <w:rsid w:val="001B7602"/>
    <w:rsid w:val="001B78F1"/>
    <w:rsid w:val="001C0766"/>
    <w:rsid w:val="001D02EA"/>
    <w:rsid w:val="001D0F02"/>
    <w:rsid w:val="001D19C6"/>
    <w:rsid w:val="001D51FE"/>
    <w:rsid w:val="001D63EE"/>
    <w:rsid w:val="001E0320"/>
    <w:rsid w:val="001E0F7F"/>
    <w:rsid w:val="001E26AA"/>
    <w:rsid w:val="001E51D6"/>
    <w:rsid w:val="001E5208"/>
    <w:rsid w:val="001E52DD"/>
    <w:rsid w:val="001E6324"/>
    <w:rsid w:val="001E79B0"/>
    <w:rsid w:val="001F0337"/>
    <w:rsid w:val="001F0529"/>
    <w:rsid w:val="001F1E28"/>
    <w:rsid w:val="001F38A2"/>
    <w:rsid w:val="001F45A3"/>
    <w:rsid w:val="001F56E0"/>
    <w:rsid w:val="001F6F8C"/>
    <w:rsid w:val="0020279E"/>
    <w:rsid w:val="0020343E"/>
    <w:rsid w:val="002036A2"/>
    <w:rsid w:val="002067B6"/>
    <w:rsid w:val="00210EC1"/>
    <w:rsid w:val="00211A82"/>
    <w:rsid w:val="00212EF6"/>
    <w:rsid w:val="00213E39"/>
    <w:rsid w:val="00217025"/>
    <w:rsid w:val="00217548"/>
    <w:rsid w:val="0021767A"/>
    <w:rsid w:val="00217DF9"/>
    <w:rsid w:val="00221572"/>
    <w:rsid w:val="00221937"/>
    <w:rsid w:val="00221BEB"/>
    <w:rsid w:val="002249C3"/>
    <w:rsid w:val="00226D63"/>
    <w:rsid w:val="00226DEE"/>
    <w:rsid w:val="00227C7A"/>
    <w:rsid w:val="00227F6F"/>
    <w:rsid w:val="00230B27"/>
    <w:rsid w:val="00230B6F"/>
    <w:rsid w:val="00230C9A"/>
    <w:rsid w:val="00234468"/>
    <w:rsid w:val="0023462E"/>
    <w:rsid w:val="00234656"/>
    <w:rsid w:val="0023621C"/>
    <w:rsid w:val="00236337"/>
    <w:rsid w:val="0023667E"/>
    <w:rsid w:val="00240BB7"/>
    <w:rsid w:val="0024125A"/>
    <w:rsid w:val="002412B5"/>
    <w:rsid w:val="002439D7"/>
    <w:rsid w:val="00244924"/>
    <w:rsid w:val="0024611C"/>
    <w:rsid w:val="00251608"/>
    <w:rsid w:val="00251750"/>
    <w:rsid w:val="00251AFB"/>
    <w:rsid w:val="002536C8"/>
    <w:rsid w:val="00255942"/>
    <w:rsid w:val="002559D1"/>
    <w:rsid w:val="0025732B"/>
    <w:rsid w:val="00261E1B"/>
    <w:rsid w:val="00262449"/>
    <w:rsid w:val="00262833"/>
    <w:rsid w:val="00262D33"/>
    <w:rsid w:val="0026357D"/>
    <w:rsid w:val="00264B5B"/>
    <w:rsid w:val="0026515B"/>
    <w:rsid w:val="002661FC"/>
    <w:rsid w:val="0026663D"/>
    <w:rsid w:val="002716E5"/>
    <w:rsid w:val="0027193A"/>
    <w:rsid w:val="0027197F"/>
    <w:rsid w:val="00271ADB"/>
    <w:rsid w:val="002737C7"/>
    <w:rsid w:val="0027539F"/>
    <w:rsid w:val="00276C33"/>
    <w:rsid w:val="00281241"/>
    <w:rsid w:val="00282252"/>
    <w:rsid w:val="00282F0E"/>
    <w:rsid w:val="0028359A"/>
    <w:rsid w:val="002854FB"/>
    <w:rsid w:val="00286BF3"/>
    <w:rsid w:val="00287D52"/>
    <w:rsid w:val="002903C0"/>
    <w:rsid w:val="00290636"/>
    <w:rsid w:val="00290BA8"/>
    <w:rsid w:val="00293A11"/>
    <w:rsid w:val="00294E6E"/>
    <w:rsid w:val="002966AF"/>
    <w:rsid w:val="002967D4"/>
    <w:rsid w:val="00296B22"/>
    <w:rsid w:val="00297AD5"/>
    <w:rsid w:val="00297D2E"/>
    <w:rsid w:val="002A071B"/>
    <w:rsid w:val="002A586A"/>
    <w:rsid w:val="002A6F98"/>
    <w:rsid w:val="002B0623"/>
    <w:rsid w:val="002B183E"/>
    <w:rsid w:val="002B34AE"/>
    <w:rsid w:val="002C1873"/>
    <w:rsid w:val="002C4CAF"/>
    <w:rsid w:val="002D16FB"/>
    <w:rsid w:val="002D188B"/>
    <w:rsid w:val="002D24A3"/>
    <w:rsid w:val="002D29BE"/>
    <w:rsid w:val="002D4503"/>
    <w:rsid w:val="002D6ECC"/>
    <w:rsid w:val="002D6F8F"/>
    <w:rsid w:val="002D7C20"/>
    <w:rsid w:val="002D7D08"/>
    <w:rsid w:val="002E1C88"/>
    <w:rsid w:val="002E2AA2"/>
    <w:rsid w:val="002E2B7F"/>
    <w:rsid w:val="002E336D"/>
    <w:rsid w:val="002E3D16"/>
    <w:rsid w:val="002E545D"/>
    <w:rsid w:val="002E5820"/>
    <w:rsid w:val="002E5CF2"/>
    <w:rsid w:val="002E61AC"/>
    <w:rsid w:val="002E7380"/>
    <w:rsid w:val="002E767F"/>
    <w:rsid w:val="002F13FB"/>
    <w:rsid w:val="002F268D"/>
    <w:rsid w:val="002F3E47"/>
    <w:rsid w:val="002F5E7C"/>
    <w:rsid w:val="002F634A"/>
    <w:rsid w:val="002F724C"/>
    <w:rsid w:val="002F7C07"/>
    <w:rsid w:val="00300B29"/>
    <w:rsid w:val="003018C9"/>
    <w:rsid w:val="0030416C"/>
    <w:rsid w:val="00305176"/>
    <w:rsid w:val="003109AC"/>
    <w:rsid w:val="003113D2"/>
    <w:rsid w:val="0031254C"/>
    <w:rsid w:val="0031448E"/>
    <w:rsid w:val="00315B6B"/>
    <w:rsid w:val="00316F24"/>
    <w:rsid w:val="0031799A"/>
    <w:rsid w:val="00317A42"/>
    <w:rsid w:val="003214B0"/>
    <w:rsid w:val="00321816"/>
    <w:rsid w:val="00323CFF"/>
    <w:rsid w:val="0032464A"/>
    <w:rsid w:val="00324F57"/>
    <w:rsid w:val="0033122E"/>
    <w:rsid w:val="003319BB"/>
    <w:rsid w:val="00331E0E"/>
    <w:rsid w:val="003333D0"/>
    <w:rsid w:val="00333475"/>
    <w:rsid w:val="00333F52"/>
    <w:rsid w:val="0033783E"/>
    <w:rsid w:val="003421BC"/>
    <w:rsid w:val="00342C5B"/>
    <w:rsid w:val="00343A42"/>
    <w:rsid w:val="00344C50"/>
    <w:rsid w:val="00347994"/>
    <w:rsid w:val="00347CFF"/>
    <w:rsid w:val="00347D8C"/>
    <w:rsid w:val="0035088D"/>
    <w:rsid w:val="003515F0"/>
    <w:rsid w:val="00351671"/>
    <w:rsid w:val="003523A9"/>
    <w:rsid w:val="00352BD9"/>
    <w:rsid w:val="00352F65"/>
    <w:rsid w:val="00355C4D"/>
    <w:rsid w:val="00360977"/>
    <w:rsid w:val="00363695"/>
    <w:rsid w:val="003642C0"/>
    <w:rsid w:val="00364EC8"/>
    <w:rsid w:val="00366218"/>
    <w:rsid w:val="00366891"/>
    <w:rsid w:val="00370C1F"/>
    <w:rsid w:val="003722A2"/>
    <w:rsid w:val="00372613"/>
    <w:rsid w:val="00372F95"/>
    <w:rsid w:val="00374112"/>
    <w:rsid w:val="00375927"/>
    <w:rsid w:val="003767D8"/>
    <w:rsid w:val="00376C56"/>
    <w:rsid w:val="003777C2"/>
    <w:rsid w:val="00377B25"/>
    <w:rsid w:val="003800A4"/>
    <w:rsid w:val="00380585"/>
    <w:rsid w:val="00380613"/>
    <w:rsid w:val="00380F7B"/>
    <w:rsid w:val="003823E4"/>
    <w:rsid w:val="0038471C"/>
    <w:rsid w:val="00384D94"/>
    <w:rsid w:val="00385237"/>
    <w:rsid w:val="00385594"/>
    <w:rsid w:val="003856BA"/>
    <w:rsid w:val="00385B7F"/>
    <w:rsid w:val="00386D8F"/>
    <w:rsid w:val="00387CDD"/>
    <w:rsid w:val="0039115A"/>
    <w:rsid w:val="00391D0E"/>
    <w:rsid w:val="00392004"/>
    <w:rsid w:val="003932D9"/>
    <w:rsid w:val="00394BAE"/>
    <w:rsid w:val="00395A8A"/>
    <w:rsid w:val="00396D5A"/>
    <w:rsid w:val="00396DD2"/>
    <w:rsid w:val="00397846"/>
    <w:rsid w:val="003A0C6F"/>
    <w:rsid w:val="003A21C3"/>
    <w:rsid w:val="003A3EA4"/>
    <w:rsid w:val="003A4CB4"/>
    <w:rsid w:val="003A57E4"/>
    <w:rsid w:val="003A702B"/>
    <w:rsid w:val="003A7140"/>
    <w:rsid w:val="003B130C"/>
    <w:rsid w:val="003B1386"/>
    <w:rsid w:val="003B70D9"/>
    <w:rsid w:val="003C0564"/>
    <w:rsid w:val="003C0A74"/>
    <w:rsid w:val="003C14CA"/>
    <w:rsid w:val="003C1F20"/>
    <w:rsid w:val="003C2A53"/>
    <w:rsid w:val="003C48A5"/>
    <w:rsid w:val="003C513A"/>
    <w:rsid w:val="003C597F"/>
    <w:rsid w:val="003C5FAA"/>
    <w:rsid w:val="003C6499"/>
    <w:rsid w:val="003D0012"/>
    <w:rsid w:val="003D02C1"/>
    <w:rsid w:val="003D0467"/>
    <w:rsid w:val="003D0748"/>
    <w:rsid w:val="003D1678"/>
    <w:rsid w:val="003D170D"/>
    <w:rsid w:val="003D2473"/>
    <w:rsid w:val="003D2862"/>
    <w:rsid w:val="003D32A1"/>
    <w:rsid w:val="003D3C49"/>
    <w:rsid w:val="003D4C7A"/>
    <w:rsid w:val="003D5419"/>
    <w:rsid w:val="003D6167"/>
    <w:rsid w:val="003D6E99"/>
    <w:rsid w:val="003D757A"/>
    <w:rsid w:val="003E0336"/>
    <w:rsid w:val="003E09CD"/>
    <w:rsid w:val="003E221D"/>
    <w:rsid w:val="003E2B29"/>
    <w:rsid w:val="003E2FD5"/>
    <w:rsid w:val="003E3344"/>
    <w:rsid w:val="003E48E6"/>
    <w:rsid w:val="003E4A0E"/>
    <w:rsid w:val="003F1DB7"/>
    <w:rsid w:val="003F2494"/>
    <w:rsid w:val="003F279B"/>
    <w:rsid w:val="003F28B2"/>
    <w:rsid w:val="003F361C"/>
    <w:rsid w:val="003F3AEC"/>
    <w:rsid w:val="003F4BD8"/>
    <w:rsid w:val="003F53DE"/>
    <w:rsid w:val="003F638E"/>
    <w:rsid w:val="00400218"/>
    <w:rsid w:val="00400961"/>
    <w:rsid w:val="00400EE2"/>
    <w:rsid w:val="004017EA"/>
    <w:rsid w:val="004106C6"/>
    <w:rsid w:val="0041153F"/>
    <w:rsid w:val="00412380"/>
    <w:rsid w:val="0041259B"/>
    <w:rsid w:val="00413B80"/>
    <w:rsid w:val="004151E2"/>
    <w:rsid w:val="004165CD"/>
    <w:rsid w:val="00416667"/>
    <w:rsid w:val="00417468"/>
    <w:rsid w:val="00420B72"/>
    <w:rsid w:val="004256D1"/>
    <w:rsid w:val="00430304"/>
    <w:rsid w:val="004307B5"/>
    <w:rsid w:val="00432136"/>
    <w:rsid w:val="00433266"/>
    <w:rsid w:val="00433FF1"/>
    <w:rsid w:val="0043767D"/>
    <w:rsid w:val="00437728"/>
    <w:rsid w:val="00440375"/>
    <w:rsid w:val="00443497"/>
    <w:rsid w:val="00443F9E"/>
    <w:rsid w:val="00444094"/>
    <w:rsid w:val="00444520"/>
    <w:rsid w:val="00444D26"/>
    <w:rsid w:val="004461DB"/>
    <w:rsid w:val="00446CE7"/>
    <w:rsid w:val="0045054D"/>
    <w:rsid w:val="00450BC1"/>
    <w:rsid w:val="00450C76"/>
    <w:rsid w:val="00451827"/>
    <w:rsid w:val="00452C61"/>
    <w:rsid w:val="0045332E"/>
    <w:rsid w:val="00453A8F"/>
    <w:rsid w:val="00454B71"/>
    <w:rsid w:val="00456CCB"/>
    <w:rsid w:val="00456E4B"/>
    <w:rsid w:val="00461D8D"/>
    <w:rsid w:val="004624EC"/>
    <w:rsid w:val="00462D22"/>
    <w:rsid w:val="00463841"/>
    <w:rsid w:val="0047086F"/>
    <w:rsid w:val="00472617"/>
    <w:rsid w:val="00473EDE"/>
    <w:rsid w:val="00474D2B"/>
    <w:rsid w:val="0047691A"/>
    <w:rsid w:val="00480223"/>
    <w:rsid w:val="0048039F"/>
    <w:rsid w:val="00481EC8"/>
    <w:rsid w:val="00482F22"/>
    <w:rsid w:val="00484933"/>
    <w:rsid w:val="00491A9F"/>
    <w:rsid w:val="00493230"/>
    <w:rsid w:val="00493252"/>
    <w:rsid w:val="0049466A"/>
    <w:rsid w:val="00497097"/>
    <w:rsid w:val="00497431"/>
    <w:rsid w:val="004A22C3"/>
    <w:rsid w:val="004A5B5C"/>
    <w:rsid w:val="004B21D9"/>
    <w:rsid w:val="004B2D3B"/>
    <w:rsid w:val="004B3767"/>
    <w:rsid w:val="004B4B11"/>
    <w:rsid w:val="004B68AC"/>
    <w:rsid w:val="004B6ACF"/>
    <w:rsid w:val="004B6DAF"/>
    <w:rsid w:val="004B705A"/>
    <w:rsid w:val="004C0465"/>
    <w:rsid w:val="004C06D7"/>
    <w:rsid w:val="004C5DBB"/>
    <w:rsid w:val="004D0FB8"/>
    <w:rsid w:val="004D3445"/>
    <w:rsid w:val="004D38FD"/>
    <w:rsid w:val="004D61EE"/>
    <w:rsid w:val="004E0851"/>
    <w:rsid w:val="004E1FC0"/>
    <w:rsid w:val="004E2058"/>
    <w:rsid w:val="004E4F78"/>
    <w:rsid w:val="004F0EC2"/>
    <w:rsid w:val="004F1AD3"/>
    <w:rsid w:val="004F27A9"/>
    <w:rsid w:val="004F4442"/>
    <w:rsid w:val="004F5665"/>
    <w:rsid w:val="004F5897"/>
    <w:rsid w:val="004F5FF0"/>
    <w:rsid w:val="004F632E"/>
    <w:rsid w:val="004F7744"/>
    <w:rsid w:val="00501D27"/>
    <w:rsid w:val="005024C3"/>
    <w:rsid w:val="00503F6B"/>
    <w:rsid w:val="00504028"/>
    <w:rsid w:val="00507A8D"/>
    <w:rsid w:val="00510581"/>
    <w:rsid w:val="00510A2D"/>
    <w:rsid w:val="005113F3"/>
    <w:rsid w:val="00512026"/>
    <w:rsid w:val="005145FF"/>
    <w:rsid w:val="00515BA1"/>
    <w:rsid w:val="00515DA2"/>
    <w:rsid w:val="005179B1"/>
    <w:rsid w:val="00517C5A"/>
    <w:rsid w:val="0052072B"/>
    <w:rsid w:val="00520749"/>
    <w:rsid w:val="0052079F"/>
    <w:rsid w:val="0052095F"/>
    <w:rsid w:val="00521065"/>
    <w:rsid w:val="005212B3"/>
    <w:rsid w:val="00522571"/>
    <w:rsid w:val="00523E78"/>
    <w:rsid w:val="005249C1"/>
    <w:rsid w:val="00524F32"/>
    <w:rsid w:val="0052556B"/>
    <w:rsid w:val="00525F70"/>
    <w:rsid w:val="005264BB"/>
    <w:rsid w:val="00526BCA"/>
    <w:rsid w:val="0052719E"/>
    <w:rsid w:val="00527352"/>
    <w:rsid w:val="00527AA6"/>
    <w:rsid w:val="00527AF3"/>
    <w:rsid w:val="00530253"/>
    <w:rsid w:val="0053034E"/>
    <w:rsid w:val="0053069F"/>
    <w:rsid w:val="00530E86"/>
    <w:rsid w:val="0053198E"/>
    <w:rsid w:val="00532150"/>
    <w:rsid w:val="00532F98"/>
    <w:rsid w:val="005354FF"/>
    <w:rsid w:val="00535AB7"/>
    <w:rsid w:val="00535FA0"/>
    <w:rsid w:val="00536686"/>
    <w:rsid w:val="00536CA3"/>
    <w:rsid w:val="00537931"/>
    <w:rsid w:val="00542759"/>
    <w:rsid w:val="005447C1"/>
    <w:rsid w:val="005477A3"/>
    <w:rsid w:val="005501E1"/>
    <w:rsid w:val="00550F7A"/>
    <w:rsid w:val="00554542"/>
    <w:rsid w:val="00561180"/>
    <w:rsid w:val="00561AA0"/>
    <w:rsid w:val="005632D9"/>
    <w:rsid w:val="00563373"/>
    <w:rsid w:val="00573032"/>
    <w:rsid w:val="00573A9A"/>
    <w:rsid w:val="00574B17"/>
    <w:rsid w:val="00574C4C"/>
    <w:rsid w:val="005757A2"/>
    <w:rsid w:val="00575CD4"/>
    <w:rsid w:val="005772C0"/>
    <w:rsid w:val="00577903"/>
    <w:rsid w:val="00577A48"/>
    <w:rsid w:val="00577C23"/>
    <w:rsid w:val="005833A0"/>
    <w:rsid w:val="00583D4B"/>
    <w:rsid w:val="00584469"/>
    <w:rsid w:val="00585369"/>
    <w:rsid w:val="00586CCD"/>
    <w:rsid w:val="00591903"/>
    <w:rsid w:val="00592310"/>
    <w:rsid w:val="005936ED"/>
    <w:rsid w:val="0059393C"/>
    <w:rsid w:val="00593EAE"/>
    <w:rsid w:val="00594194"/>
    <w:rsid w:val="0059510E"/>
    <w:rsid w:val="005953E9"/>
    <w:rsid w:val="00596614"/>
    <w:rsid w:val="0059754A"/>
    <w:rsid w:val="005A1557"/>
    <w:rsid w:val="005A24EC"/>
    <w:rsid w:val="005A2818"/>
    <w:rsid w:val="005A2DDB"/>
    <w:rsid w:val="005A4D96"/>
    <w:rsid w:val="005A61E4"/>
    <w:rsid w:val="005B02C4"/>
    <w:rsid w:val="005B0391"/>
    <w:rsid w:val="005B0E10"/>
    <w:rsid w:val="005B12B6"/>
    <w:rsid w:val="005B2CF5"/>
    <w:rsid w:val="005B37A3"/>
    <w:rsid w:val="005B4982"/>
    <w:rsid w:val="005B66C5"/>
    <w:rsid w:val="005C1902"/>
    <w:rsid w:val="005C38C9"/>
    <w:rsid w:val="005C3EB6"/>
    <w:rsid w:val="005C4DFD"/>
    <w:rsid w:val="005D2169"/>
    <w:rsid w:val="005D2F6A"/>
    <w:rsid w:val="005E027B"/>
    <w:rsid w:val="005E235F"/>
    <w:rsid w:val="005E3EC6"/>
    <w:rsid w:val="005E5265"/>
    <w:rsid w:val="005E56D1"/>
    <w:rsid w:val="005E5B3B"/>
    <w:rsid w:val="005E5C42"/>
    <w:rsid w:val="005E7116"/>
    <w:rsid w:val="005F0026"/>
    <w:rsid w:val="005F0BB1"/>
    <w:rsid w:val="005F2141"/>
    <w:rsid w:val="005F6C74"/>
    <w:rsid w:val="005F6EDF"/>
    <w:rsid w:val="005F78B9"/>
    <w:rsid w:val="00600D68"/>
    <w:rsid w:val="00601B3D"/>
    <w:rsid w:val="00603036"/>
    <w:rsid w:val="00603612"/>
    <w:rsid w:val="00604433"/>
    <w:rsid w:val="006049AB"/>
    <w:rsid w:val="00605903"/>
    <w:rsid w:val="00605C5E"/>
    <w:rsid w:val="006060A3"/>
    <w:rsid w:val="00606820"/>
    <w:rsid w:val="00606C22"/>
    <w:rsid w:val="00607875"/>
    <w:rsid w:val="00611C89"/>
    <w:rsid w:val="00612C24"/>
    <w:rsid w:val="00612FB6"/>
    <w:rsid w:val="006131AB"/>
    <w:rsid w:val="00613E92"/>
    <w:rsid w:val="0062512A"/>
    <w:rsid w:val="006321CC"/>
    <w:rsid w:val="00635E3D"/>
    <w:rsid w:val="006368B9"/>
    <w:rsid w:val="00637E05"/>
    <w:rsid w:val="006400ED"/>
    <w:rsid w:val="00645641"/>
    <w:rsid w:val="00646E81"/>
    <w:rsid w:val="00650BA8"/>
    <w:rsid w:val="00651C51"/>
    <w:rsid w:val="00652825"/>
    <w:rsid w:val="00652D5F"/>
    <w:rsid w:val="00654378"/>
    <w:rsid w:val="0065518E"/>
    <w:rsid w:val="0065551E"/>
    <w:rsid w:val="006555A4"/>
    <w:rsid w:val="00655917"/>
    <w:rsid w:val="006568F2"/>
    <w:rsid w:val="0066168B"/>
    <w:rsid w:val="006620EB"/>
    <w:rsid w:val="00665061"/>
    <w:rsid w:val="0066593E"/>
    <w:rsid w:val="00665F5E"/>
    <w:rsid w:val="00672FFB"/>
    <w:rsid w:val="006748AF"/>
    <w:rsid w:val="00674A03"/>
    <w:rsid w:val="00674E93"/>
    <w:rsid w:val="00674F13"/>
    <w:rsid w:val="006755AD"/>
    <w:rsid w:val="00676889"/>
    <w:rsid w:val="00677CF4"/>
    <w:rsid w:val="006806D5"/>
    <w:rsid w:val="006808FB"/>
    <w:rsid w:val="006824B4"/>
    <w:rsid w:val="00682905"/>
    <w:rsid w:val="006831CE"/>
    <w:rsid w:val="00683D97"/>
    <w:rsid w:val="00684135"/>
    <w:rsid w:val="006845AF"/>
    <w:rsid w:val="00684827"/>
    <w:rsid w:val="006861AC"/>
    <w:rsid w:val="00690D66"/>
    <w:rsid w:val="006947CB"/>
    <w:rsid w:val="006978F7"/>
    <w:rsid w:val="006A2617"/>
    <w:rsid w:val="006A2C26"/>
    <w:rsid w:val="006A590C"/>
    <w:rsid w:val="006A7F21"/>
    <w:rsid w:val="006B345C"/>
    <w:rsid w:val="006B418C"/>
    <w:rsid w:val="006B4CAB"/>
    <w:rsid w:val="006B5772"/>
    <w:rsid w:val="006B5872"/>
    <w:rsid w:val="006B6761"/>
    <w:rsid w:val="006B6FFF"/>
    <w:rsid w:val="006B73BA"/>
    <w:rsid w:val="006B770D"/>
    <w:rsid w:val="006C0EFE"/>
    <w:rsid w:val="006C155C"/>
    <w:rsid w:val="006C2589"/>
    <w:rsid w:val="006C369B"/>
    <w:rsid w:val="006C6E20"/>
    <w:rsid w:val="006C7139"/>
    <w:rsid w:val="006C732C"/>
    <w:rsid w:val="006D14ED"/>
    <w:rsid w:val="006D15D8"/>
    <w:rsid w:val="006D26F5"/>
    <w:rsid w:val="006D2947"/>
    <w:rsid w:val="006D2BBE"/>
    <w:rsid w:val="006D3109"/>
    <w:rsid w:val="006D3AD7"/>
    <w:rsid w:val="006D3D75"/>
    <w:rsid w:val="006D4EAE"/>
    <w:rsid w:val="006D53C2"/>
    <w:rsid w:val="006D5611"/>
    <w:rsid w:val="006D57AE"/>
    <w:rsid w:val="006D590E"/>
    <w:rsid w:val="006D5E73"/>
    <w:rsid w:val="006D6166"/>
    <w:rsid w:val="006E1ECE"/>
    <w:rsid w:val="006E21CB"/>
    <w:rsid w:val="006E2216"/>
    <w:rsid w:val="006E280C"/>
    <w:rsid w:val="006F0991"/>
    <w:rsid w:val="006F12E1"/>
    <w:rsid w:val="006F2AD7"/>
    <w:rsid w:val="006F623D"/>
    <w:rsid w:val="006F6D15"/>
    <w:rsid w:val="006F6F6D"/>
    <w:rsid w:val="006F7983"/>
    <w:rsid w:val="006F7E56"/>
    <w:rsid w:val="00701EB8"/>
    <w:rsid w:val="00702108"/>
    <w:rsid w:val="00702560"/>
    <w:rsid w:val="007028E4"/>
    <w:rsid w:val="00703371"/>
    <w:rsid w:val="0070520B"/>
    <w:rsid w:val="00705CA9"/>
    <w:rsid w:val="00710ADF"/>
    <w:rsid w:val="00712E68"/>
    <w:rsid w:val="007139FE"/>
    <w:rsid w:val="00716AC5"/>
    <w:rsid w:val="00716C8A"/>
    <w:rsid w:val="00717BAB"/>
    <w:rsid w:val="0072332C"/>
    <w:rsid w:val="00723DC2"/>
    <w:rsid w:val="00726188"/>
    <w:rsid w:val="00727292"/>
    <w:rsid w:val="00731522"/>
    <w:rsid w:val="00731EFC"/>
    <w:rsid w:val="00731FEA"/>
    <w:rsid w:val="00735487"/>
    <w:rsid w:val="007356D6"/>
    <w:rsid w:val="00741912"/>
    <w:rsid w:val="007435EA"/>
    <w:rsid w:val="007445FC"/>
    <w:rsid w:val="00745818"/>
    <w:rsid w:val="00747C6C"/>
    <w:rsid w:val="007506BE"/>
    <w:rsid w:val="00750A1A"/>
    <w:rsid w:val="00751176"/>
    <w:rsid w:val="0075117C"/>
    <w:rsid w:val="00753511"/>
    <w:rsid w:val="00756536"/>
    <w:rsid w:val="00757282"/>
    <w:rsid w:val="00760237"/>
    <w:rsid w:val="0076071D"/>
    <w:rsid w:val="007607DE"/>
    <w:rsid w:val="0076250C"/>
    <w:rsid w:val="007649A7"/>
    <w:rsid w:val="00764C5C"/>
    <w:rsid w:val="0076717A"/>
    <w:rsid w:val="00774051"/>
    <w:rsid w:val="0077501B"/>
    <w:rsid w:val="00775A9C"/>
    <w:rsid w:val="00776DC5"/>
    <w:rsid w:val="00777139"/>
    <w:rsid w:val="00780EB0"/>
    <w:rsid w:val="00783EA6"/>
    <w:rsid w:val="00785DBA"/>
    <w:rsid w:val="00787F50"/>
    <w:rsid w:val="00791548"/>
    <w:rsid w:val="007916CE"/>
    <w:rsid w:val="00791ED0"/>
    <w:rsid w:val="00792BB5"/>
    <w:rsid w:val="007979DD"/>
    <w:rsid w:val="007A3E14"/>
    <w:rsid w:val="007A4CBB"/>
    <w:rsid w:val="007A5BB7"/>
    <w:rsid w:val="007A6A8A"/>
    <w:rsid w:val="007A7709"/>
    <w:rsid w:val="007B0536"/>
    <w:rsid w:val="007B35FB"/>
    <w:rsid w:val="007B3AF7"/>
    <w:rsid w:val="007B43BA"/>
    <w:rsid w:val="007B530E"/>
    <w:rsid w:val="007B6358"/>
    <w:rsid w:val="007B6E58"/>
    <w:rsid w:val="007C0ED1"/>
    <w:rsid w:val="007C21C4"/>
    <w:rsid w:val="007C2E17"/>
    <w:rsid w:val="007C359A"/>
    <w:rsid w:val="007C4216"/>
    <w:rsid w:val="007C4A2B"/>
    <w:rsid w:val="007C57E7"/>
    <w:rsid w:val="007C59FD"/>
    <w:rsid w:val="007C617D"/>
    <w:rsid w:val="007C62ED"/>
    <w:rsid w:val="007C6831"/>
    <w:rsid w:val="007C6EA5"/>
    <w:rsid w:val="007D6E25"/>
    <w:rsid w:val="007D7640"/>
    <w:rsid w:val="007D7817"/>
    <w:rsid w:val="007E050B"/>
    <w:rsid w:val="007E0656"/>
    <w:rsid w:val="007E07A7"/>
    <w:rsid w:val="007E0AD4"/>
    <w:rsid w:val="007E2F7E"/>
    <w:rsid w:val="007E3F3C"/>
    <w:rsid w:val="007E565C"/>
    <w:rsid w:val="007E5E23"/>
    <w:rsid w:val="007E67AF"/>
    <w:rsid w:val="007E71E2"/>
    <w:rsid w:val="007F21A3"/>
    <w:rsid w:val="007F29E3"/>
    <w:rsid w:val="007F2E65"/>
    <w:rsid w:val="007F30BE"/>
    <w:rsid w:val="007F5B09"/>
    <w:rsid w:val="007F5D86"/>
    <w:rsid w:val="008015A3"/>
    <w:rsid w:val="0080575C"/>
    <w:rsid w:val="00805A11"/>
    <w:rsid w:val="00806D46"/>
    <w:rsid w:val="00806EE7"/>
    <w:rsid w:val="008104CB"/>
    <w:rsid w:val="0081187F"/>
    <w:rsid w:val="008126A3"/>
    <w:rsid w:val="00814ABD"/>
    <w:rsid w:val="008152FF"/>
    <w:rsid w:val="0081531B"/>
    <w:rsid w:val="0081582A"/>
    <w:rsid w:val="00816042"/>
    <w:rsid w:val="00817EA3"/>
    <w:rsid w:val="0082020A"/>
    <w:rsid w:val="00820A8E"/>
    <w:rsid w:val="0082125D"/>
    <w:rsid w:val="0082163F"/>
    <w:rsid w:val="0082244B"/>
    <w:rsid w:val="00826786"/>
    <w:rsid w:val="00826940"/>
    <w:rsid w:val="008335CE"/>
    <w:rsid w:val="00833F65"/>
    <w:rsid w:val="00835B57"/>
    <w:rsid w:val="00835F02"/>
    <w:rsid w:val="00836455"/>
    <w:rsid w:val="00840816"/>
    <w:rsid w:val="008411A5"/>
    <w:rsid w:val="00845FDC"/>
    <w:rsid w:val="00846E4E"/>
    <w:rsid w:val="00850FF2"/>
    <w:rsid w:val="00854888"/>
    <w:rsid w:val="00855474"/>
    <w:rsid w:val="00855F35"/>
    <w:rsid w:val="00860183"/>
    <w:rsid w:val="00860305"/>
    <w:rsid w:val="00862A3F"/>
    <w:rsid w:val="0086372D"/>
    <w:rsid w:val="0086477E"/>
    <w:rsid w:val="00867019"/>
    <w:rsid w:val="00867ADE"/>
    <w:rsid w:val="00871192"/>
    <w:rsid w:val="008724DE"/>
    <w:rsid w:val="00874CC2"/>
    <w:rsid w:val="00877258"/>
    <w:rsid w:val="00883A72"/>
    <w:rsid w:val="00883E86"/>
    <w:rsid w:val="00885236"/>
    <w:rsid w:val="00885B6A"/>
    <w:rsid w:val="008860CF"/>
    <w:rsid w:val="008915B2"/>
    <w:rsid w:val="00891812"/>
    <w:rsid w:val="0089239A"/>
    <w:rsid w:val="00894049"/>
    <w:rsid w:val="00895795"/>
    <w:rsid w:val="008967E2"/>
    <w:rsid w:val="0089758A"/>
    <w:rsid w:val="00897F04"/>
    <w:rsid w:val="00897F14"/>
    <w:rsid w:val="008A08AE"/>
    <w:rsid w:val="008A09F9"/>
    <w:rsid w:val="008A0C14"/>
    <w:rsid w:val="008A12F9"/>
    <w:rsid w:val="008A16E9"/>
    <w:rsid w:val="008A2629"/>
    <w:rsid w:val="008A4626"/>
    <w:rsid w:val="008A7063"/>
    <w:rsid w:val="008B0B01"/>
    <w:rsid w:val="008B2BC4"/>
    <w:rsid w:val="008B6EC1"/>
    <w:rsid w:val="008B7CB7"/>
    <w:rsid w:val="008C0259"/>
    <w:rsid w:val="008C128B"/>
    <w:rsid w:val="008C1A58"/>
    <w:rsid w:val="008C3995"/>
    <w:rsid w:val="008C3C05"/>
    <w:rsid w:val="008C443C"/>
    <w:rsid w:val="008C70E6"/>
    <w:rsid w:val="008D20A3"/>
    <w:rsid w:val="008D4DFB"/>
    <w:rsid w:val="008D5551"/>
    <w:rsid w:val="008D7724"/>
    <w:rsid w:val="008D79B6"/>
    <w:rsid w:val="008E0310"/>
    <w:rsid w:val="008E2ADB"/>
    <w:rsid w:val="008E3044"/>
    <w:rsid w:val="008E32CC"/>
    <w:rsid w:val="008E688A"/>
    <w:rsid w:val="008E690E"/>
    <w:rsid w:val="008E73EF"/>
    <w:rsid w:val="008F1363"/>
    <w:rsid w:val="008F1EB4"/>
    <w:rsid w:val="008F21DE"/>
    <w:rsid w:val="008F378A"/>
    <w:rsid w:val="008F48A7"/>
    <w:rsid w:val="008F58B3"/>
    <w:rsid w:val="008F6B58"/>
    <w:rsid w:val="008F6F6A"/>
    <w:rsid w:val="008F709C"/>
    <w:rsid w:val="008F7456"/>
    <w:rsid w:val="008F781A"/>
    <w:rsid w:val="008F78E9"/>
    <w:rsid w:val="00900304"/>
    <w:rsid w:val="0090142E"/>
    <w:rsid w:val="009017ED"/>
    <w:rsid w:val="00902DDE"/>
    <w:rsid w:val="009050E6"/>
    <w:rsid w:val="00907824"/>
    <w:rsid w:val="0090793B"/>
    <w:rsid w:val="00910180"/>
    <w:rsid w:val="0091079D"/>
    <w:rsid w:val="00915761"/>
    <w:rsid w:val="00915DEE"/>
    <w:rsid w:val="009168A6"/>
    <w:rsid w:val="009175B2"/>
    <w:rsid w:val="00917A02"/>
    <w:rsid w:val="00917D2B"/>
    <w:rsid w:val="009216F1"/>
    <w:rsid w:val="00921E02"/>
    <w:rsid w:val="00922414"/>
    <w:rsid w:val="00924191"/>
    <w:rsid w:val="00925E28"/>
    <w:rsid w:val="00931413"/>
    <w:rsid w:val="00932D69"/>
    <w:rsid w:val="00937B14"/>
    <w:rsid w:val="009400BA"/>
    <w:rsid w:val="00940402"/>
    <w:rsid w:val="00940403"/>
    <w:rsid w:val="009419DE"/>
    <w:rsid w:val="00943535"/>
    <w:rsid w:val="00945560"/>
    <w:rsid w:val="00946026"/>
    <w:rsid w:val="009460A6"/>
    <w:rsid w:val="0094687D"/>
    <w:rsid w:val="00950256"/>
    <w:rsid w:val="009508C0"/>
    <w:rsid w:val="009514BB"/>
    <w:rsid w:val="00952014"/>
    <w:rsid w:val="009540A6"/>
    <w:rsid w:val="009541F9"/>
    <w:rsid w:val="0095484B"/>
    <w:rsid w:val="009561D3"/>
    <w:rsid w:val="00956B4D"/>
    <w:rsid w:val="00956C48"/>
    <w:rsid w:val="009572AA"/>
    <w:rsid w:val="009576BE"/>
    <w:rsid w:val="009618E8"/>
    <w:rsid w:val="00961EC2"/>
    <w:rsid w:val="00965561"/>
    <w:rsid w:val="0096561E"/>
    <w:rsid w:val="00965906"/>
    <w:rsid w:val="00965E3C"/>
    <w:rsid w:val="00965E4A"/>
    <w:rsid w:val="0096717B"/>
    <w:rsid w:val="00971732"/>
    <w:rsid w:val="0097211A"/>
    <w:rsid w:val="0097286E"/>
    <w:rsid w:val="00983AF5"/>
    <w:rsid w:val="00983FA8"/>
    <w:rsid w:val="00984F29"/>
    <w:rsid w:val="00985EDE"/>
    <w:rsid w:val="00986631"/>
    <w:rsid w:val="00990163"/>
    <w:rsid w:val="009918C1"/>
    <w:rsid w:val="009920CE"/>
    <w:rsid w:val="0099331F"/>
    <w:rsid w:val="00994138"/>
    <w:rsid w:val="00995F1F"/>
    <w:rsid w:val="00996B00"/>
    <w:rsid w:val="00997D6A"/>
    <w:rsid w:val="009A6B32"/>
    <w:rsid w:val="009A7043"/>
    <w:rsid w:val="009A7DB0"/>
    <w:rsid w:val="009B2709"/>
    <w:rsid w:val="009B5A3B"/>
    <w:rsid w:val="009B78AA"/>
    <w:rsid w:val="009C1CA0"/>
    <w:rsid w:val="009D008E"/>
    <w:rsid w:val="009D1634"/>
    <w:rsid w:val="009D28E0"/>
    <w:rsid w:val="009D5D77"/>
    <w:rsid w:val="009D66B9"/>
    <w:rsid w:val="009E129D"/>
    <w:rsid w:val="009E15B5"/>
    <w:rsid w:val="009E3CF3"/>
    <w:rsid w:val="009E6165"/>
    <w:rsid w:val="009F0173"/>
    <w:rsid w:val="009F1B0B"/>
    <w:rsid w:val="009F2B30"/>
    <w:rsid w:val="009F424F"/>
    <w:rsid w:val="009F4C5A"/>
    <w:rsid w:val="009F651F"/>
    <w:rsid w:val="009F68B0"/>
    <w:rsid w:val="00A0003C"/>
    <w:rsid w:val="00A005F6"/>
    <w:rsid w:val="00A00763"/>
    <w:rsid w:val="00A0192B"/>
    <w:rsid w:val="00A01E5E"/>
    <w:rsid w:val="00A02CCF"/>
    <w:rsid w:val="00A0399F"/>
    <w:rsid w:val="00A03DA9"/>
    <w:rsid w:val="00A04029"/>
    <w:rsid w:val="00A07DC2"/>
    <w:rsid w:val="00A12FCA"/>
    <w:rsid w:val="00A15171"/>
    <w:rsid w:val="00A16E0D"/>
    <w:rsid w:val="00A2072D"/>
    <w:rsid w:val="00A21154"/>
    <w:rsid w:val="00A22560"/>
    <w:rsid w:val="00A22CC1"/>
    <w:rsid w:val="00A22F1B"/>
    <w:rsid w:val="00A22FB4"/>
    <w:rsid w:val="00A24F0E"/>
    <w:rsid w:val="00A254DB"/>
    <w:rsid w:val="00A25537"/>
    <w:rsid w:val="00A27759"/>
    <w:rsid w:val="00A27BE9"/>
    <w:rsid w:val="00A30653"/>
    <w:rsid w:val="00A322BB"/>
    <w:rsid w:val="00A323F1"/>
    <w:rsid w:val="00A3249D"/>
    <w:rsid w:val="00A32AFA"/>
    <w:rsid w:val="00A32BBE"/>
    <w:rsid w:val="00A32F4C"/>
    <w:rsid w:val="00A338FC"/>
    <w:rsid w:val="00A3502A"/>
    <w:rsid w:val="00A40195"/>
    <w:rsid w:val="00A40D8B"/>
    <w:rsid w:val="00A40F8A"/>
    <w:rsid w:val="00A42242"/>
    <w:rsid w:val="00A42BAC"/>
    <w:rsid w:val="00A439FA"/>
    <w:rsid w:val="00A44FBF"/>
    <w:rsid w:val="00A4664B"/>
    <w:rsid w:val="00A466CF"/>
    <w:rsid w:val="00A50DBA"/>
    <w:rsid w:val="00A53EBA"/>
    <w:rsid w:val="00A569A7"/>
    <w:rsid w:val="00A57711"/>
    <w:rsid w:val="00A60435"/>
    <w:rsid w:val="00A61212"/>
    <w:rsid w:val="00A629E6"/>
    <w:rsid w:val="00A62CDA"/>
    <w:rsid w:val="00A62E7E"/>
    <w:rsid w:val="00A70032"/>
    <w:rsid w:val="00A71450"/>
    <w:rsid w:val="00A71E34"/>
    <w:rsid w:val="00A737F1"/>
    <w:rsid w:val="00A75D63"/>
    <w:rsid w:val="00A75F06"/>
    <w:rsid w:val="00A81651"/>
    <w:rsid w:val="00A825D5"/>
    <w:rsid w:val="00A8307E"/>
    <w:rsid w:val="00A83343"/>
    <w:rsid w:val="00A8405E"/>
    <w:rsid w:val="00A8649B"/>
    <w:rsid w:val="00A864D9"/>
    <w:rsid w:val="00A874E4"/>
    <w:rsid w:val="00A93297"/>
    <w:rsid w:val="00A938ED"/>
    <w:rsid w:val="00A93E7A"/>
    <w:rsid w:val="00AA2C95"/>
    <w:rsid w:val="00AA38D2"/>
    <w:rsid w:val="00AA5951"/>
    <w:rsid w:val="00AA73B4"/>
    <w:rsid w:val="00AB239C"/>
    <w:rsid w:val="00AB3D44"/>
    <w:rsid w:val="00AB3EA3"/>
    <w:rsid w:val="00AB4D89"/>
    <w:rsid w:val="00AB79FC"/>
    <w:rsid w:val="00AC0116"/>
    <w:rsid w:val="00AC1C78"/>
    <w:rsid w:val="00AC206A"/>
    <w:rsid w:val="00AC4BAA"/>
    <w:rsid w:val="00AC5D07"/>
    <w:rsid w:val="00AC5DBE"/>
    <w:rsid w:val="00AC7291"/>
    <w:rsid w:val="00AC792D"/>
    <w:rsid w:val="00AD15BC"/>
    <w:rsid w:val="00AD1AF9"/>
    <w:rsid w:val="00AD1F21"/>
    <w:rsid w:val="00AD377C"/>
    <w:rsid w:val="00AD37B1"/>
    <w:rsid w:val="00AD3A3C"/>
    <w:rsid w:val="00AD40BF"/>
    <w:rsid w:val="00AD4B6C"/>
    <w:rsid w:val="00AD4F05"/>
    <w:rsid w:val="00AD64ED"/>
    <w:rsid w:val="00AD71AF"/>
    <w:rsid w:val="00AD72D9"/>
    <w:rsid w:val="00AE2CED"/>
    <w:rsid w:val="00AE6AE7"/>
    <w:rsid w:val="00AF28B5"/>
    <w:rsid w:val="00AF31EB"/>
    <w:rsid w:val="00AF422C"/>
    <w:rsid w:val="00AF4609"/>
    <w:rsid w:val="00AF5236"/>
    <w:rsid w:val="00AF59A1"/>
    <w:rsid w:val="00AF777A"/>
    <w:rsid w:val="00AF7B0A"/>
    <w:rsid w:val="00AF7E17"/>
    <w:rsid w:val="00B0032A"/>
    <w:rsid w:val="00B0067D"/>
    <w:rsid w:val="00B0081A"/>
    <w:rsid w:val="00B00C24"/>
    <w:rsid w:val="00B010EA"/>
    <w:rsid w:val="00B01517"/>
    <w:rsid w:val="00B02A3D"/>
    <w:rsid w:val="00B04811"/>
    <w:rsid w:val="00B05BD8"/>
    <w:rsid w:val="00B10878"/>
    <w:rsid w:val="00B1179C"/>
    <w:rsid w:val="00B1321C"/>
    <w:rsid w:val="00B145BE"/>
    <w:rsid w:val="00B147DA"/>
    <w:rsid w:val="00B167EC"/>
    <w:rsid w:val="00B176A3"/>
    <w:rsid w:val="00B23050"/>
    <w:rsid w:val="00B2720F"/>
    <w:rsid w:val="00B3160C"/>
    <w:rsid w:val="00B31F95"/>
    <w:rsid w:val="00B320D8"/>
    <w:rsid w:val="00B33ADD"/>
    <w:rsid w:val="00B33D90"/>
    <w:rsid w:val="00B343E2"/>
    <w:rsid w:val="00B353D8"/>
    <w:rsid w:val="00B359A7"/>
    <w:rsid w:val="00B36EFC"/>
    <w:rsid w:val="00B37819"/>
    <w:rsid w:val="00B37CEA"/>
    <w:rsid w:val="00B40ACE"/>
    <w:rsid w:val="00B40CD0"/>
    <w:rsid w:val="00B40FF4"/>
    <w:rsid w:val="00B430F0"/>
    <w:rsid w:val="00B43934"/>
    <w:rsid w:val="00B453E4"/>
    <w:rsid w:val="00B45FA0"/>
    <w:rsid w:val="00B4687A"/>
    <w:rsid w:val="00B51B77"/>
    <w:rsid w:val="00B54CCE"/>
    <w:rsid w:val="00B55348"/>
    <w:rsid w:val="00B5576F"/>
    <w:rsid w:val="00B57AA2"/>
    <w:rsid w:val="00B6050B"/>
    <w:rsid w:val="00B616B2"/>
    <w:rsid w:val="00B63367"/>
    <w:rsid w:val="00B63A4A"/>
    <w:rsid w:val="00B63BA2"/>
    <w:rsid w:val="00B64EA8"/>
    <w:rsid w:val="00B652F5"/>
    <w:rsid w:val="00B65641"/>
    <w:rsid w:val="00B65B21"/>
    <w:rsid w:val="00B65E97"/>
    <w:rsid w:val="00B665FB"/>
    <w:rsid w:val="00B666B9"/>
    <w:rsid w:val="00B7022F"/>
    <w:rsid w:val="00B70424"/>
    <w:rsid w:val="00B70F5C"/>
    <w:rsid w:val="00B729E7"/>
    <w:rsid w:val="00B73D5E"/>
    <w:rsid w:val="00B75EE4"/>
    <w:rsid w:val="00B76369"/>
    <w:rsid w:val="00B7690F"/>
    <w:rsid w:val="00B76F46"/>
    <w:rsid w:val="00B80504"/>
    <w:rsid w:val="00B80737"/>
    <w:rsid w:val="00B81F98"/>
    <w:rsid w:val="00B8329E"/>
    <w:rsid w:val="00B83A77"/>
    <w:rsid w:val="00B8417A"/>
    <w:rsid w:val="00B84C70"/>
    <w:rsid w:val="00B84FAC"/>
    <w:rsid w:val="00B866D2"/>
    <w:rsid w:val="00B91523"/>
    <w:rsid w:val="00B92626"/>
    <w:rsid w:val="00B93986"/>
    <w:rsid w:val="00B94AB0"/>
    <w:rsid w:val="00B96815"/>
    <w:rsid w:val="00B97DCA"/>
    <w:rsid w:val="00BA186B"/>
    <w:rsid w:val="00BA1DCA"/>
    <w:rsid w:val="00BA4539"/>
    <w:rsid w:val="00BA48E3"/>
    <w:rsid w:val="00BA7560"/>
    <w:rsid w:val="00BA7E72"/>
    <w:rsid w:val="00BB02B4"/>
    <w:rsid w:val="00BB2611"/>
    <w:rsid w:val="00BB2792"/>
    <w:rsid w:val="00BB3287"/>
    <w:rsid w:val="00BB540A"/>
    <w:rsid w:val="00BB55C7"/>
    <w:rsid w:val="00BB56CB"/>
    <w:rsid w:val="00BB609F"/>
    <w:rsid w:val="00BB73E4"/>
    <w:rsid w:val="00BB7D76"/>
    <w:rsid w:val="00BC0314"/>
    <w:rsid w:val="00BC0CF1"/>
    <w:rsid w:val="00BC0F5F"/>
    <w:rsid w:val="00BC10E9"/>
    <w:rsid w:val="00BC307E"/>
    <w:rsid w:val="00BC38A9"/>
    <w:rsid w:val="00BC5130"/>
    <w:rsid w:val="00BC54DC"/>
    <w:rsid w:val="00BC5672"/>
    <w:rsid w:val="00BC5A40"/>
    <w:rsid w:val="00BC6857"/>
    <w:rsid w:val="00BC6EC0"/>
    <w:rsid w:val="00BC7B42"/>
    <w:rsid w:val="00BD0791"/>
    <w:rsid w:val="00BD11A8"/>
    <w:rsid w:val="00BD4C1F"/>
    <w:rsid w:val="00BD7740"/>
    <w:rsid w:val="00BE09B2"/>
    <w:rsid w:val="00BE1F15"/>
    <w:rsid w:val="00BE6444"/>
    <w:rsid w:val="00BE6CC2"/>
    <w:rsid w:val="00BF0306"/>
    <w:rsid w:val="00BF1233"/>
    <w:rsid w:val="00BF3913"/>
    <w:rsid w:val="00BF6DB9"/>
    <w:rsid w:val="00C03676"/>
    <w:rsid w:val="00C03B4E"/>
    <w:rsid w:val="00C047EB"/>
    <w:rsid w:val="00C04F15"/>
    <w:rsid w:val="00C054D4"/>
    <w:rsid w:val="00C05BEB"/>
    <w:rsid w:val="00C10536"/>
    <w:rsid w:val="00C10705"/>
    <w:rsid w:val="00C10778"/>
    <w:rsid w:val="00C108D1"/>
    <w:rsid w:val="00C11C0D"/>
    <w:rsid w:val="00C126A4"/>
    <w:rsid w:val="00C13288"/>
    <w:rsid w:val="00C15119"/>
    <w:rsid w:val="00C15DE6"/>
    <w:rsid w:val="00C16E6F"/>
    <w:rsid w:val="00C16FBE"/>
    <w:rsid w:val="00C17257"/>
    <w:rsid w:val="00C1797F"/>
    <w:rsid w:val="00C17CC5"/>
    <w:rsid w:val="00C232F0"/>
    <w:rsid w:val="00C2465B"/>
    <w:rsid w:val="00C2498F"/>
    <w:rsid w:val="00C24DD7"/>
    <w:rsid w:val="00C26185"/>
    <w:rsid w:val="00C26329"/>
    <w:rsid w:val="00C26588"/>
    <w:rsid w:val="00C26975"/>
    <w:rsid w:val="00C26B6E"/>
    <w:rsid w:val="00C26DEA"/>
    <w:rsid w:val="00C27826"/>
    <w:rsid w:val="00C27B02"/>
    <w:rsid w:val="00C302DB"/>
    <w:rsid w:val="00C32037"/>
    <w:rsid w:val="00C33079"/>
    <w:rsid w:val="00C35128"/>
    <w:rsid w:val="00C35F50"/>
    <w:rsid w:val="00C36CA4"/>
    <w:rsid w:val="00C37834"/>
    <w:rsid w:val="00C37A2A"/>
    <w:rsid w:val="00C40D3D"/>
    <w:rsid w:val="00C4322E"/>
    <w:rsid w:val="00C43491"/>
    <w:rsid w:val="00C43A11"/>
    <w:rsid w:val="00C448C8"/>
    <w:rsid w:val="00C463A9"/>
    <w:rsid w:val="00C4675A"/>
    <w:rsid w:val="00C46C61"/>
    <w:rsid w:val="00C4726C"/>
    <w:rsid w:val="00C477DB"/>
    <w:rsid w:val="00C5003B"/>
    <w:rsid w:val="00C51311"/>
    <w:rsid w:val="00C51BA1"/>
    <w:rsid w:val="00C51E89"/>
    <w:rsid w:val="00C53B03"/>
    <w:rsid w:val="00C55ACF"/>
    <w:rsid w:val="00C5761B"/>
    <w:rsid w:val="00C57E40"/>
    <w:rsid w:val="00C57EB0"/>
    <w:rsid w:val="00C6033B"/>
    <w:rsid w:val="00C64073"/>
    <w:rsid w:val="00C65D10"/>
    <w:rsid w:val="00C65D57"/>
    <w:rsid w:val="00C67C4A"/>
    <w:rsid w:val="00C7048A"/>
    <w:rsid w:val="00C711AF"/>
    <w:rsid w:val="00C73EB1"/>
    <w:rsid w:val="00C75ACA"/>
    <w:rsid w:val="00C760FA"/>
    <w:rsid w:val="00C770F5"/>
    <w:rsid w:val="00C81203"/>
    <w:rsid w:val="00C85647"/>
    <w:rsid w:val="00C87BCE"/>
    <w:rsid w:val="00C90F9A"/>
    <w:rsid w:val="00C91128"/>
    <w:rsid w:val="00C91CFA"/>
    <w:rsid w:val="00C92055"/>
    <w:rsid w:val="00C9281B"/>
    <w:rsid w:val="00C93A0F"/>
    <w:rsid w:val="00C93EDD"/>
    <w:rsid w:val="00CA054D"/>
    <w:rsid w:val="00CA0F6F"/>
    <w:rsid w:val="00CA1F93"/>
    <w:rsid w:val="00CA1FDB"/>
    <w:rsid w:val="00CA25B2"/>
    <w:rsid w:val="00CA4779"/>
    <w:rsid w:val="00CB24D2"/>
    <w:rsid w:val="00CB4CC5"/>
    <w:rsid w:val="00CB6010"/>
    <w:rsid w:val="00CC0429"/>
    <w:rsid w:val="00CC3599"/>
    <w:rsid w:val="00CC3C0E"/>
    <w:rsid w:val="00CC3F96"/>
    <w:rsid w:val="00CC433D"/>
    <w:rsid w:val="00CC4F20"/>
    <w:rsid w:val="00CD0E13"/>
    <w:rsid w:val="00CD2365"/>
    <w:rsid w:val="00CD367E"/>
    <w:rsid w:val="00CD3E37"/>
    <w:rsid w:val="00CD7F9D"/>
    <w:rsid w:val="00CE0987"/>
    <w:rsid w:val="00CE0BE4"/>
    <w:rsid w:val="00CE106D"/>
    <w:rsid w:val="00CE12FD"/>
    <w:rsid w:val="00CE1FFE"/>
    <w:rsid w:val="00CE24A7"/>
    <w:rsid w:val="00CE2B34"/>
    <w:rsid w:val="00CE3CB3"/>
    <w:rsid w:val="00CE5634"/>
    <w:rsid w:val="00CE7004"/>
    <w:rsid w:val="00CF0009"/>
    <w:rsid w:val="00CF1D32"/>
    <w:rsid w:val="00CF1F4B"/>
    <w:rsid w:val="00CF22E9"/>
    <w:rsid w:val="00CF28E3"/>
    <w:rsid w:val="00CF2E9C"/>
    <w:rsid w:val="00CF3B00"/>
    <w:rsid w:val="00CF5007"/>
    <w:rsid w:val="00CF6E02"/>
    <w:rsid w:val="00CF75CE"/>
    <w:rsid w:val="00CF760D"/>
    <w:rsid w:val="00D008B8"/>
    <w:rsid w:val="00D00B37"/>
    <w:rsid w:val="00D02B69"/>
    <w:rsid w:val="00D035E6"/>
    <w:rsid w:val="00D03645"/>
    <w:rsid w:val="00D06554"/>
    <w:rsid w:val="00D071FF"/>
    <w:rsid w:val="00D10227"/>
    <w:rsid w:val="00D11790"/>
    <w:rsid w:val="00D11DED"/>
    <w:rsid w:val="00D12800"/>
    <w:rsid w:val="00D13028"/>
    <w:rsid w:val="00D135CA"/>
    <w:rsid w:val="00D137BF"/>
    <w:rsid w:val="00D13F40"/>
    <w:rsid w:val="00D17061"/>
    <w:rsid w:val="00D172A7"/>
    <w:rsid w:val="00D17C0D"/>
    <w:rsid w:val="00D21530"/>
    <w:rsid w:val="00D21B79"/>
    <w:rsid w:val="00D23ED0"/>
    <w:rsid w:val="00D24D2F"/>
    <w:rsid w:val="00D253C6"/>
    <w:rsid w:val="00D25652"/>
    <w:rsid w:val="00D27E75"/>
    <w:rsid w:val="00D3005E"/>
    <w:rsid w:val="00D3076A"/>
    <w:rsid w:val="00D3140C"/>
    <w:rsid w:val="00D32123"/>
    <w:rsid w:val="00D333DE"/>
    <w:rsid w:val="00D36339"/>
    <w:rsid w:val="00D365F5"/>
    <w:rsid w:val="00D36A1C"/>
    <w:rsid w:val="00D42622"/>
    <w:rsid w:val="00D43871"/>
    <w:rsid w:val="00D438EF"/>
    <w:rsid w:val="00D4447B"/>
    <w:rsid w:val="00D46D76"/>
    <w:rsid w:val="00D46D7A"/>
    <w:rsid w:val="00D5059E"/>
    <w:rsid w:val="00D505DD"/>
    <w:rsid w:val="00D51E95"/>
    <w:rsid w:val="00D52774"/>
    <w:rsid w:val="00D52F8F"/>
    <w:rsid w:val="00D61240"/>
    <w:rsid w:val="00D613E2"/>
    <w:rsid w:val="00D656AA"/>
    <w:rsid w:val="00D664BB"/>
    <w:rsid w:val="00D67F61"/>
    <w:rsid w:val="00D70839"/>
    <w:rsid w:val="00D70D5B"/>
    <w:rsid w:val="00D71446"/>
    <w:rsid w:val="00D722CE"/>
    <w:rsid w:val="00D72317"/>
    <w:rsid w:val="00D74993"/>
    <w:rsid w:val="00D75789"/>
    <w:rsid w:val="00D76B34"/>
    <w:rsid w:val="00D778AA"/>
    <w:rsid w:val="00D82614"/>
    <w:rsid w:val="00D8273D"/>
    <w:rsid w:val="00D834B7"/>
    <w:rsid w:val="00D842F7"/>
    <w:rsid w:val="00D8438B"/>
    <w:rsid w:val="00D84A43"/>
    <w:rsid w:val="00D8541C"/>
    <w:rsid w:val="00D867E8"/>
    <w:rsid w:val="00D87D91"/>
    <w:rsid w:val="00D91E01"/>
    <w:rsid w:val="00D92B12"/>
    <w:rsid w:val="00D92DF4"/>
    <w:rsid w:val="00D933B7"/>
    <w:rsid w:val="00D94837"/>
    <w:rsid w:val="00DA0702"/>
    <w:rsid w:val="00DA6238"/>
    <w:rsid w:val="00DB0524"/>
    <w:rsid w:val="00DB1572"/>
    <w:rsid w:val="00DB39B6"/>
    <w:rsid w:val="00DB3A08"/>
    <w:rsid w:val="00DB3CCC"/>
    <w:rsid w:val="00DB6690"/>
    <w:rsid w:val="00DB723F"/>
    <w:rsid w:val="00DB76AD"/>
    <w:rsid w:val="00DC1438"/>
    <w:rsid w:val="00DC3263"/>
    <w:rsid w:val="00DC3929"/>
    <w:rsid w:val="00DC4FA0"/>
    <w:rsid w:val="00DC51C0"/>
    <w:rsid w:val="00DC6068"/>
    <w:rsid w:val="00DC61B3"/>
    <w:rsid w:val="00DC6360"/>
    <w:rsid w:val="00DC6523"/>
    <w:rsid w:val="00DC716C"/>
    <w:rsid w:val="00DD0C70"/>
    <w:rsid w:val="00DD1A5B"/>
    <w:rsid w:val="00DD1B07"/>
    <w:rsid w:val="00DD1CEF"/>
    <w:rsid w:val="00DD291A"/>
    <w:rsid w:val="00DD29E7"/>
    <w:rsid w:val="00DD43D7"/>
    <w:rsid w:val="00DD61C0"/>
    <w:rsid w:val="00DD72E7"/>
    <w:rsid w:val="00DD75DB"/>
    <w:rsid w:val="00DE3831"/>
    <w:rsid w:val="00DE4445"/>
    <w:rsid w:val="00DE4E0C"/>
    <w:rsid w:val="00DE6465"/>
    <w:rsid w:val="00DE7126"/>
    <w:rsid w:val="00DE7C42"/>
    <w:rsid w:val="00DF09D5"/>
    <w:rsid w:val="00DF0F67"/>
    <w:rsid w:val="00DF38B6"/>
    <w:rsid w:val="00E015C5"/>
    <w:rsid w:val="00E0296B"/>
    <w:rsid w:val="00E0346C"/>
    <w:rsid w:val="00E12D0E"/>
    <w:rsid w:val="00E12E6F"/>
    <w:rsid w:val="00E13036"/>
    <w:rsid w:val="00E13E52"/>
    <w:rsid w:val="00E146B8"/>
    <w:rsid w:val="00E150B6"/>
    <w:rsid w:val="00E1530C"/>
    <w:rsid w:val="00E22CEC"/>
    <w:rsid w:val="00E322F3"/>
    <w:rsid w:val="00E3251B"/>
    <w:rsid w:val="00E32AE0"/>
    <w:rsid w:val="00E32E29"/>
    <w:rsid w:val="00E3461F"/>
    <w:rsid w:val="00E34AB2"/>
    <w:rsid w:val="00E35189"/>
    <w:rsid w:val="00E355E0"/>
    <w:rsid w:val="00E35867"/>
    <w:rsid w:val="00E36057"/>
    <w:rsid w:val="00E36426"/>
    <w:rsid w:val="00E364FB"/>
    <w:rsid w:val="00E3749A"/>
    <w:rsid w:val="00E41A47"/>
    <w:rsid w:val="00E443CB"/>
    <w:rsid w:val="00E44B2A"/>
    <w:rsid w:val="00E45EE3"/>
    <w:rsid w:val="00E4684C"/>
    <w:rsid w:val="00E47A10"/>
    <w:rsid w:val="00E518E9"/>
    <w:rsid w:val="00E52E3E"/>
    <w:rsid w:val="00E53BFC"/>
    <w:rsid w:val="00E53F58"/>
    <w:rsid w:val="00E543F7"/>
    <w:rsid w:val="00E5476B"/>
    <w:rsid w:val="00E56188"/>
    <w:rsid w:val="00E56583"/>
    <w:rsid w:val="00E56619"/>
    <w:rsid w:val="00E56FE3"/>
    <w:rsid w:val="00E6029E"/>
    <w:rsid w:val="00E6088A"/>
    <w:rsid w:val="00E6106E"/>
    <w:rsid w:val="00E61828"/>
    <w:rsid w:val="00E62D33"/>
    <w:rsid w:val="00E62E1D"/>
    <w:rsid w:val="00E65235"/>
    <w:rsid w:val="00E66F40"/>
    <w:rsid w:val="00E6768D"/>
    <w:rsid w:val="00E70175"/>
    <w:rsid w:val="00E7239F"/>
    <w:rsid w:val="00E72AE3"/>
    <w:rsid w:val="00E72DC2"/>
    <w:rsid w:val="00E73C01"/>
    <w:rsid w:val="00E746DD"/>
    <w:rsid w:val="00E75605"/>
    <w:rsid w:val="00E75806"/>
    <w:rsid w:val="00E76C57"/>
    <w:rsid w:val="00E827D3"/>
    <w:rsid w:val="00E8334F"/>
    <w:rsid w:val="00E83A02"/>
    <w:rsid w:val="00E83F5A"/>
    <w:rsid w:val="00E84E81"/>
    <w:rsid w:val="00E87972"/>
    <w:rsid w:val="00E91214"/>
    <w:rsid w:val="00E91E75"/>
    <w:rsid w:val="00E91EC5"/>
    <w:rsid w:val="00E9292A"/>
    <w:rsid w:val="00E92F09"/>
    <w:rsid w:val="00E95159"/>
    <w:rsid w:val="00E9569E"/>
    <w:rsid w:val="00E97511"/>
    <w:rsid w:val="00E979EA"/>
    <w:rsid w:val="00EA1493"/>
    <w:rsid w:val="00EA17B4"/>
    <w:rsid w:val="00EA1E3C"/>
    <w:rsid w:val="00EA438B"/>
    <w:rsid w:val="00EA466C"/>
    <w:rsid w:val="00EA5E22"/>
    <w:rsid w:val="00EB05E8"/>
    <w:rsid w:val="00EB193A"/>
    <w:rsid w:val="00EB1D64"/>
    <w:rsid w:val="00EB3CF2"/>
    <w:rsid w:val="00EB4F23"/>
    <w:rsid w:val="00EB7EA6"/>
    <w:rsid w:val="00EC276F"/>
    <w:rsid w:val="00EC3074"/>
    <w:rsid w:val="00EC3F9B"/>
    <w:rsid w:val="00EC47CF"/>
    <w:rsid w:val="00EC4B22"/>
    <w:rsid w:val="00EC5835"/>
    <w:rsid w:val="00EC60FA"/>
    <w:rsid w:val="00EC64CE"/>
    <w:rsid w:val="00EC70A4"/>
    <w:rsid w:val="00ED007D"/>
    <w:rsid w:val="00ED470B"/>
    <w:rsid w:val="00ED4B03"/>
    <w:rsid w:val="00ED507C"/>
    <w:rsid w:val="00ED5C6B"/>
    <w:rsid w:val="00ED5DA5"/>
    <w:rsid w:val="00ED64F9"/>
    <w:rsid w:val="00ED7A00"/>
    <w:rsid w:val="00EE0E71"/>
    <w:rsid w:val="00EE3429"/>
    <w:rsid w:val="00EE3430"/>
    <w:rsid w:val="00EE6153"/>
    <w:rsid w:val="00EE7B06"/>
    <w:rsid w:val="00EF0AE9"/>
    <w:rsid w:val="00EF1F8F"/>
    <w:rsid w:val="00EF323E"/>
    <w:rsid w:val="00EF328F"/>
    <w:rsid w:val="00EF376A"/>
    <w:rsid w:val="00EF462E"/>
    <w:rsid w:val="00EF569F"/>
    <w:rsid w:val="00EF683A"/>
    <w:rsid w:val="00F0323D"/>
    <w:rsid w:val="00F05E33"/>
    <w:rsid w:val="00F1239E"/>
    <w:rsid w:val="00F13937"/>
    <w:rsid w:val="00F162D3"/>
    <w:rsid w:val="00F1705E"/>
    <w:rsid w:val="00F2009C"/>
    <w:rsid w:val="00F205C5"/>
    <w:rsid w:val="00F206B0"/>
    <w:rsid w:val="00F20C61"/>
    <w:rsid w:val="00F22211"/>
    <w:rsid w:val="00F22A91"/>
    <w:rsid w:val="00F23015"/>
    <w:rsid w:val="00F243BF"/>
    <w:rsid w:val="00F25C2F"/>
    <w:rsid w:val="00F25E7D"/>
    <w:rsid w:val="00F300B4"/>
    <w:rsid w:val="00F3085B"/>
    <w:rsid w:val="00F31A6F"/>
    <w:rsid w:val="00F32ACF"/>
    <w:rsid w:val="00F33083"/>
    <w:rsid w:val="00F35B0D"/>
    <w:rsid w:val="00F37D4B"/>
    <w:rsid w:val="00F4197F"/>
    <w:rsid w:val="00F46BB9"/>
    <w:rsid w:val="00F50BB3"/>
    <w:rsid w:val="00F50EBA"/>
    <w:rsid w:val="00F522E4"/>
    <w:rsid w:val="00F538FD"/>
    <w:rsid w:val="00F53A90"/>
    <w:rsid w:val="00F543E3"/>
    <w:rsid w:val="00F5522D"/>
    <w:rsid w:val="00F564FE"/>
    <w:rsid w:val="00F5675F"/>
    <w:rsid w:val="00F57662"/>
    <w:rsid w:val="00F62A55"/>
    <w:rsid w:val="00F62BA2"/>
    <w:rsid w:val="00F645B0"/>
    <w:rsid w:val="00F65034"/>
    <w:rsid w:val="00F67ACD"/>
    <w:rsid w:val="00F718ED"/>
    <w:rsid w:val="00F727AE"/>
    <w:rsid w:val="00F72E77"/>
    <w:rsid w:val="00F731D3"/>
    <w:rsid w:val="00F74C47"/>
    <w:rsid w:val="00F74CFF"/>
    <w:rsid w:val="00F75B92"/>
    <w:rsid w:val="00F762FE"/>
    <w:rsid w:val="00F77903"/>
    <w:rsid w:val="00F80089"/>
    <w:rsid w:val="00F8167D"/>
    <w:rsid w:val="00F81D62"/>
    <w:rsid w:val="00F820EC"/>
    <w:rsid w:val="00F82AEA"/>
    <w:rsid w:val="00F8749F"/>
    <w:rsid w:val="00F875F6"/>
    <w:rsid w:val="00F9058F"/>
    <w:rsid w:val="00F91396"/>
    <w:rsid w:val="00F918B4"/>
    <w:rsid w:val="00F9261F"/>
    <w:rsid w:val="00F928B3"/>
    <w:rsid w:val="00F9567A"/>
    <w:rsid w:val="00FA0406"/>
    <w:rsid w:val="00FA04D5"/>
    <w:rsid w:val="00FA1563"/>
    <w:rsid w:val="00FA2A10"/>
    <w:rsid w:val="00FA2D3B"/>
    <w:rsid w:val="00FA3865"/>
    <w:rsid w:val="00FA6E23"/>
    <w:rsid w:val="00FA6EF4"/>
    <w:rsid w:val="00FA6F49"/>
    <w:rsid w:val="00FA70E9"/>
    <w:rsid w:val="00FA7724"/>
    <w:rsid w:val="00FA7BB4"/>
    <w:rsid w:val="00FB158C"/>
    <w:rsid w:val="00FB2B4E"/>
    <w:rsid w:val="00FB4224"/>
    <w:rsid w:val="00FB43B4"/>
    <w:rsid w:val="00FB4992"/>
    <w:rsid w:val="00FB6528"/>
    <w:rsid w:val="00FC1E0B"/>
    <w:rsid w:val="00FC2D4E"/>
    <w:rsid w:val="00FC2FD8"/>
    <w:rsid w:val="00FC4098"/>
    <w:rsid w:val="00FC5500"/>
    <w:rsid w:val="00FC5953"/>
    <w:rsid w:val="00FC7603"/>
    <w:rsid w:val="00FD1832"/>
    <w:rsid w:val="00FD234D"/>
    <w:rsid w:val="00FD2ECD"/>
    <w:rsid w:val="00FD38C7"/>
    <w:rsid w:val="00FD3B5A"/>
    <w:rsid w:val="00FD7839"/>
    <w:rsid w:val="00FD793D"/>
    <w:rsid w:val="00FE0421"/>
    <w:rsid w:val="00FE0639"/>
    <w:rsid w:val="00FE223A"/>
    <w:rsid w:val="00FE2D81"/>
    <w:rsid w:val="00FE37CB"/>
    <w:rsid w:val="00FF2314"/>
    <w:rsid w:val="00FF258B"/>
    <w:rsid w:val="00FF444E"/>
    <w:rsid w:val="00FF524F"/>
    <w:rsid w:val="00FF5A37"/>
    <w:rsid w:val="00FF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CE583"/>
  <w15:chartTrackingRefBased/>
  <w15:docId w15:val="{9E3CD55B-261D-4ABC-AFA7-4ED6AFCA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2C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D722C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722CE"/>
    <w:rPr>
      <w:rFonts w:ascii="Tahoma" w:eastAsia="SimSun" w:hAnsi="Tahoma" w:cs="Tahoma"/>
      <w:b/>
      <w:bCs/>
      <w:sz w:val="20"/>
      <w:szCs w:val="20"/>
      <w:lang w:eastAsia="zh-CN"/>
    </w:rPr>
  </w:style>
  <w:style w:type="paragraph" w:styleId="NormalWeb">
    <w:name w:val="Normal (Web)"/>
    <w:basedOn w:val="Normal"/>
    <w:rsid w:val="00D722CE"/>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D722CE"/>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D722CE"/>
    <w:rPr>
      <w:rFonts w:ascii="Trebuchet MS" w:eastAsia="Calibri" w:hAnsi="Trebuchet MS" w:cs="Times New Roman"/>
      <w:szCs w:val="20"/>
      <w:lang w:val="x-none"/>
    </w:rPr>
  </w:style>
  <w:style w:type="paragraph" w:styleId="Footer">
    <w:name w:val="footer"/>
    <w:basedOn w:val="Normal"/>
    <w:link w:val="FooterChar"/>
    <w:uiPriority w:val="99"/>
    <w:rsid w:val="00D722CE"/>
    <w:pPr>
      <w:tabs>
        <w:tab w:val="center" w:pos="4513"/>
        <w:tab w:val="right" w:pos="9026"/>
      </w:tabs>
    </w:pPr>
    <w:rPr>
      <w:lang w:val="x-none"/>
    </w:rPr>
  </w:style>
  <w:style w:type="character" w:customStyle="1" w:styleId="FooterChar">
    <w:name w:val="Footer Char"/>
    <w:basedOn w:val="DefaultParagraphFont"/>
    <w:link w:val="Footer"/>
    <w:uiPriority w:val="99"/>
    <w:rsid w:val="00D722CE"/>
    <w:rPr>
      <w:rFonts w:ascii="Times New Roman" w:eastAsia="SimSun" w:hAnsi="Times New Roman" w:cs="Times New Roman"/>
      <w:sz w:val="24"/>
      <w:szCs w:val="24"/>
      <w:lang w:val="x-none" w:eastAsia="zh-CN"/>
    </w:rPr>
  </w:style>
  <w:style w:type="paragraph" w:styleId="FootnoteText">
    <w:name w:val="footnote text"/>
    <w:basedOn w:val="Normal"/>
    <w:link w:val="FootnoteTextChar"/>
    <w:rsid w:val="00D722CE"/>
    <w:rPr>
      <w:sz w:val="20"/>
      <w:szCs w:val="20"/>
    </w:rPr>
  </w:style>
  <w:style w:type="character" w:customStyle="1" w:styleId="FootnoteTextChar">
    <w:name w:val="Footnote Text Char"/>
    <w:basedOn w:val="DefaultParagraphFont"/>
    <w:link w:val="FootnoteText"/>
    <w:rsid w:val="00D722CE"/>
    <w:rPr>
      <w:rFonts w:ascii="Times New Roman" w:eastAsia="SimSun" w:hAnsi="Times New Roman" w:cs="Times New Roman"/>
      <w:sz w:val="20"/>
      <w:szCs w:val="20"/>
      <w:lang w:eastAsia="zh-CN"/>
    </w:rPr>
  </w:style>
  <w:style w:type="character" w:styleId="FootnoteReference">
    <w:name w:val="footnote reference"/>
    <w:basedOn w:val="DefaultParagraphFont"/>
    <w:rsid w:val="00D722CE"/>
    <w:rPr>
      <w:vertAlign w:val="superscript"/>
    </w:rPr>
  </w:style>
  <w:style w:type="paragraph" w:styleId="BalloonText">
    <w:name w:val="Balloon Text"/>
    <w:basedOn w:val="Normal"/>
    <w:link w:val="BalloonTextChar"/>
    <w:uiPriority w:val="99"/>
    <w:semiHidden/>
    <w:unhideWhenUsed/>
    <w:rsid w:val="00E701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0175"/>
    <w:rPr>
      <w:rFonts w:ascii="Segoe UI" w:eastAsia="SimSun" w:hAnsi="Segoe UI" w:cs="Segoe UI"/>
      <w:sz w:val="18"/>
      <w:szCs w:val="18"/>
      <w:lang w:eastAsia="zh-CN"/>
    </w:rPr>
  </w:style>
  <w:style w:type="paragraph" w:styleId="ListParagraph">
    <w:name w:val="List Paragraph"/>
    <w:basedOn w:val="Normal"/>
    <w:uiPriority w:val="34"/>
    <w:qFormat/>
    <w:rsid w:val="00741912"/>
    <w:pPr>
      <w:spacing w:after="160" w:line="25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9561D3"/>
    <w:rPr>
      <w:color w:val="0000FF"/>
      <w:u w:val="single"/>
    </w:rPr>
  </w:style>
  <w:style w:type="character" w:styleId="UnresolvedMention">
    <w:name w:val="Unresolved Mention"/>
    <w:basedOn w:val="DefaultParagraphFont"/>
    <w:uiPriority w:val="99"/>
    <w:semiHidden/>
    <w:unhideWhenUsed/>
    <w:rsid w:val="008B2B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4298">
      <w:bodyDiv w:val="1"/>
      <w:marLeft w:val="0"/>
      <w:marRight w:val="0"/>
      <w:marTop w:val="0"/>
      <w:marBottom w:val="0"/>
      <w:divBdr>
        <w:top w:val="none" w:sz="0" w:space="0" w:color="auto"/>
        <w:left w:val="none" w:sz="0" w:space="0" w:color="auto"/>
        <w:bottom w:val="none" w:sz="0" w:space="0" w:color="auto"/>
        <w:right w:val="none" w:sz="0" w:space="0" w:color="auto"/>
      </w:divBdr>
    </w:div>
    <w:div w:id="574969907">
      <w:bodyDiv w:val="1"/>
      <w:marLeft w:val="0"/>
      <w:marRight w:val="0"/>
      <w:marTop w:val="0"/>
      <w:marBottom w:val="0"/>
      <w:divBdr>
        <w:top w:val="none" w:sz="0" w:space="0" w:color="auto"/>
        <w:left w:val="none" w:sz="0" w:space="0" w:color="auto"/>
        <w:bottom w:val="none" w:sz="0" w:space="0" w:color="auto"/>
        <w:right w:val="none" w:sz="0" w:space="0" w:color="auto"/>
      </w:divBdr>
    </w:div>
    <w:div w:id="776759263">
      <w:bodyDiv w:val="1"/>
      <w:marLeft w:val="0"/>
      <w:marRight w:val="0"/>
      <w:marTop w:val="0"/>
      <w:marBottom w:val="0"/>
      <w:divBdr>
        <w:top w:val="none" w:sz="0" w:space="0" w:color="auto"/>
        <w:left w:val="none" w:sz="0" w:space="0" w:color="auto"/>
        <w:bottom w:val="none" w:sz="0" w:space="0" w:color="auto"/>
        <w:right w:val="none" w:sz="0" w:space="0" w:color="auto"/>
      </w:divBdr>
    </w:div>
    <w:div w:id="838467994">
      <w:bodyDiv w:val="1"/>
      <w:marLeft w:val="0"/>
      <w:marRight w:val="0"/>
      <w:marTop w:val="0"/>
      <w:marBottom w:val="0"/>
      <w:divBdr>
        <w:top w:val="none" w:sz="0" w:space="0" w:color="auto"/>
        <w:left w:val="none" w:sz="0" w:space="0" w:color="auto"/>
        <w:bottom w:val="none" w:sz="0" w:space="0" w:color="auto"/>
        <w:right w:val="none" w:sz="0" w:space="0" w:color="auto"/>
      </w:divBdr>
    </w:div>
    <w:div w:id="975333438">
      <w:bodyDiv w:val="1"/>
      <w:marLeft w:val="0"/>
      <w:marRight w:val="0"/>
      <w:marTop w:val="0"/>
      <w:marBottom w:val="0"/>
      <w:divBdr>
        <w:top w:val="none" w:sz="0" w:space="0" w:color="auto"/>
        <w:left w:val="none" w:sz="0" w:space="0" w:color="auto"/>
        <w:bottom w:val="none" w:sz="0" w:space="0" w:color="auto"/>
        <w:right w:val="none" w:sz="0" w:space="0" w:color="auto"/>
      </w:divBdr>
    </w:div>
    <w:div w:id="1328482517">
      <w:bodyDiv w:val="1"/>
      <w:marLeft w:val="0"/>
      <w:marRight w:val="0"/>
      <w:marTop w:val="0"/>
      <w:marBottom w:val="0"/>
      <w:divBdr>
        <w:top w:val="none" w:sz="0" w:space="0" w:color="auto"/>
        <w:left w:val="none" w:sz="0" w:space="0" w:color="auto"/>
        <w:bottom w:val="none" w:sz="0" w:space="0" w:color="auto"/>
        <w:right w:val="none" w:sz="0" w:space="0" w:color="auto"/>
      </w:divBdr>
    </w:div>
    <w:div w:id="1400716281">
      <w:bodyDiv w:val="1"/>
      <w:marLeft w:val="0"/>
      <w:marRight w:val="0"/>
      <w:marTop w:val="0"/>
      <w:marBottom w:val="0"/>
      <w:divBdr>
        <w:top w:val="none" w:sz="0" w:space="0" w:color="auto"/>
        <w:left w:val="none" w:sz="0" w:space="0" w:color="auto"/>
        <w:bottom w:val="none" w:sz="0" w:space="0" w:color="auto"/>
        <w:right w:val="none" w:sz="0" w:space="0" w:color="auto"/>
      </w:divBdr>
    </w:div>
    <w:div w:id="1413814168">
      <w:bodyDiv w:val="1"/>
      <w:marLeft w:val="0"/>
      <w:marRight w:val="0"/>
      <w:marTop w:val="0"/>
      <w:marBottom w:val="0"/>
      <w:divBdr>
        <w:top w:val="none" w:sz="0" w:space="0" w:color="auto"/>
        <w:left w:val="none" w:sz="0" w:space="0" w:color="auto"/>
        <w:bottom w:val="none" w:sz="0" w:space="0" w:color="auto"/>
        <w:right w:val="none" w:sz="0" w:space="0" w:color="auto"/>
      </w:divBdr>
    </w:div>
    <w:div w:id="1445031634">
      <w:bodyDiv w:val="1"/>
      <w:marLeft w:val="0"/>
      <w:marRight w:val="0"/>
      <w:marTop w:val="0"/>
      <w:marBottom w:val="0"/>
      <w:divBdr>
        <w:top w:val="none" w:sz="0" w:space="0" w:color="auto"/>
        <w:left w:val="none" w:sz="0" w:space="0" w:color="auto"/>
        <w:bottom w:val="none" w:sz="0" w:space="0" w:color="auto"/>
        <w:right w:val="none" w:sz="0" w:space="0" w:color="auto"/>
      </w:divBdr>
    </w:div>
    <w:div w:id="1801415736">
      <w:bodyDiv w:val="1"/>
      <w:marLeft w:val="0"/>
      <w:marRight w:val="0"/>
      <w:marTop w:val="0"/>
      <w:marBottom w:val="0"/>
      <w:divBdr>
        <w:top w:val="none" w:sz="0" w:space="0" w:color="auto"/>
        <w:left w:val="none" w:sz="0" w:space="0" w:color="auto"/>
        <w:bottom w:val="none" w:sz="0" w:space="0" w:color="auto"/>
        <w:right w:val="none" w:sz="0" w:space="0" w:color="auto"/>
      </w:divBdr>
    </w:div>
    <w:div w:id="1907572310">
      <w:bodyDiv w:val="1"/>
      <w:marLeft w:val="0"/>
      <w:marRight w:val="0"/>
      <w:marTop w:val="0"/>
      <w:marBottom w:val="0"/>
      <w:divBdr>
        <w:top w:val="none" w:sz="0" w:space="0" w:color="auto"/>
        <w:left w:val="none" w:sz="0" w:space="0" w:color="auto"/>
        <w:bottom w:val="none" w:sz="0" w:space="0" w:color="auto"/>
        <w:right w:val="none" w:sz="0" w:space="0" w:color="auto"/>
      </w:divBdr>
    </w:div>
    <w:div w:id="2092576477">
      <w:bodyDiv w:val="1"/>
      <w:marLeft w:val="0"/>
      <w:marRight w:val="0"/>
      <w:marTop w:val="0"/>
      <w:marBottom w:val="0"/>
      <w:divBdr>
        <w:top w:val="none" w:sz="0" w:space="0" w:color="auto"/>
        <w:left w:val="none" w:sz="0" w:space="0" w:color="auto"/>
        <w:bottom w:val="none" w:sz="0" w:space="0" w:color="auto"/>
        <w:right w:val="none" w:sz="0" w:space="0" w:color="auto"/>
      </w:divBdr>
    </w:div>
    <w:div w:id="210233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lib.rochester.edu/teams/text/peck-gower-confessio-amantis-volume-3-introduction" TargetMode="External"/><Relationship Id="rId4" Type="http://schemas.openxmlformats.org/officeDocument/2006/relationships/settings" Target="settings.xml"/><Relationship Id="rId9" Type="http://schemas.openxmlformats.org/officeDocument/2006/relationships/hyperlink" Target="https://d.lib.rochester.edu/teams/text/peck-gower-confessio-amantis-volume-1-introduction"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lib.rochester.edu/teams/text/peck-gower-confessio-amantis-volume-1-introduction" TargetMode="External"/><Relationship Id="rId1" Type="http://schemas.openxmlformats.org/officeDocument/2006/relationships/hyperlink" Target="https://d.lib.rochester.edu/teams/text/peck-gower-confessio-amantis-volume-3-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91123-132F-493B-B64A-1713FB324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12</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404</cp:revision>
  <cp:lastPrinted>2019-07-07T13:17:00Z</cp:lastPrinted>
  <dcterms:created xsi:type="dcterms:W3CDTF">2019-07-06T13:29:00Z</dcterms:created>
  <dcterms:modified xsi:type="dcterms:W3CDTF">2019-07-07T16:07:00Z</dcterms:modified>
</cp:coreProperties>
</file>