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C65511" w:rsidP="3DC7A50A" w:rsidRDefault="50C65511" w14:paraId="7BDCC695" w14:textId="0F4F2D4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3E2443DC">
        <w:drawing>
          <wp:inline wp14:editId="10D090AE" wp14:anchorId="245FA43E">
            <wp:extent cx="5943600" cy="2647950"/>
            <wp:effectExtent l="0" t="0" r="0" b="0"/>
            <wp:docPr id="20448174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817467" name="Picture 2044817467"/>
                    <pic:cNvPicPr/>
                  </pic:nvPicPr>
                  <pic:blipFill>
                    <a:blip xmlns:r="http://schemas.openxmlformats.org/officeDocument/2006/relationships" r:embed="rId1762004302">
                      <a:extLst>
                        <a:ext uri="{28A0092B-C50C-407E-A947-70E740481C1C}">
                          <a14:useLocalDpi xmlns:a14="http://schemas.microsoft.com/office/drawing/2010/main"/>
                        </a:ext>
                      </a:extLst>
                    </a:blip>
                    <a:stretch>
                      <a:fillRect/>
                    </a:stretch>
                  </pic:blipFill>
                  <pic:spPr>
                    <a:xfrm>
                      <a:off x="0" y="0"/>
                      <a:ext cx="5943600" cy="2647950"/>
                    </a:xfrm>
                    <a:prstGeom prst="rect">
                      <a:avLst/>
                    </a:prstGeom>
                  </pic:spPr>
                </pic:pic>
              </a:graphicData>
            </a:graphic>
          </wp:inline>
        </w:drawing>
      </w:r>
      <w:r w:rsidRPr="3DC7A50A" w:rsidR="0687A2AE">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50C65511" w:rsidP="3DC7A50A" w:rsidRDefault="50C65511" w14:paraId="76725049" w14:textId="2B7DA0E7">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3DC7A50A" w:rsidRDefault="50C65511" w14:paraId="5B256AFF" w14:textId="727D3979">
      <w:pPr>
        <w:pStyle w:val="Normal"/>
        <w:spacing w:before="240" w:beforeAutospacing="off" w:after="240" w:afterAutospacing="off"/>
        <w:jc w:val="center"/>
        <w:rPr>
          <w:rFonts w:ascii="Arial" w:hAnsi="Arial" w:eastAsia="Arial" w:cs="Arial"/>
          <w:b w:val="1"/>
          <w:bCs w:val="1"/>
          <w:noProof w:val="0"/>
          <w:sz w:val="36"/>
          <w:szCs w:val="36"/>
          <w:lang w:val="en-US"/>
        </w:rPr>
      </w:pPr>
      <w:r w:rsidRPr="3DC7A50A" w:rsidR="70A07B21">
        <w:rPr>
          <w:rFonts w:ascii="Arial" w:hAnsi="Arial" w:eastAsia="Arial" w:cs="Arial"/>
          <w:b w:val="1"/>
          <w:bCs w:val="1"/>
          <w:noProof w:val="0"/>
          <w:sz w:val="36"/>
          <w:szCs w:val="36"/>
          <w:lang w:val="en-US"/>
        </w:rPr>
        <w:t xml:space="preserve">Addressing Pharmacist-Related Dispensing Errors in </w:t>
      </w:r>
      <w:r w:rsidRPr="3DC7A50A" w:rsidR="1328DEA4">
        <w:rPr>
          <w:rFonts w:ascii="Arial" w:hAnsi="Arial" w:eastAsia="Arial" w:cs="Arial"/>
          <w:b w:val="1"/>
          <w:bCs w:val="1"/>
          <w:noProof w:val="0"/>
          <w:sz w:val="36"/>
          <w:szCs w:val="36"/>
          <w:lang w:val="en-US"/>
        </w:rPr>
        <w:t>Low- and Middle-Income</w:t>
      </w:r>
      <w:r w:rsidRPr="3DC7A50A" w:rsidR="70A07B21">
        <w:rPr>
          <w:rFonts w:ascii="Arial" w:hAnsi="Arial" w:eastAsia="Arial" w:cs="Arial"/>
          <w:b w:val="1"/>
          <w:bCs w:val="1"/>
          <w:noProof w:val="0"/>
          <w:sz w:val="36"/>
          <w:szCs w:val="36"/>
          <w:lang w:val="en-US"/>
        </w:rPr>
        <w:t xml:space="preserve"> Countries (LMICs): A Systematic Review of Quality Improvement Strategies</w:t>
      </w:r>
      <w:r w:rsidRPr="3DC7A50A" w:rsidR="350C02D3">
        <w:rPr>
          <w:rFonts w:ascii="Arial" w:hAnsi="Arial" w:eastAsia="Arial" w:cs="Arial"/>
          <w:b w:val="1"/>
          <w:bCs w:val="1"/>
          <w:noProof w:val="0"/>
          <w:sz w:val="36"/>
          <w:szCs w:val="36"/>
          <w:lang w:val="en-US"/>
        </w:rPr>
        <w:t>.</w:t>
      </w:r>
    </w:p>
    <w:p w:rsidR="50C65511" w:rsidP="3DC7A50A" w:rsidRDefault="50C65511" w14:paraId="74AFFCFB" w14:textId="6F49BBDB">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3DC7A50A" w:rsidRDefault="50C65511" w14:paraId="39FA8B14" w14:textId="41086F3A">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3DC7A50A" w:rsidR="350C02D3">
        <w:rPr>
          <w:rFonts w:ascii="Arial" w:hAnsi="Arial" w:eastAsia="Arial" w:cs="Arial"/>
          <w:b w:val="1"/>
          <w:bCs w:val="1"/>
          <w:i w:val="0"/>
          <w:iCs w:val="0"/>
          <w:caps w:val="0"/>
          <w:smallCaps w:val="0"/>
          <w:noProof w:val="0"/>
          <w:color w:val="000000" w:themeColor="text1" w:themeTint="FF" w:themeShade="FF"/>
          <w:sz w:val="32"/>
          <w:szCs w:val="32"/>
          <w:lang w:val="en-US"/>
        </w:rPr>
        <w:t xml:space="preserve">Name: </w:t>
      </w:r>
      <w:r w:rsidRPr="3DC7A50A" w:rsidR="350C02D3">
        <w:rPr>
          <w:rFonts w:ascii="Arial" w:hAnsi="Arial" w:eastAsia="Arial" w:cs="Arial"/>
          <w:b w:val="0"/>
          <w:bCs w:val="0"/>
          <w:i w:val="0"/>
          <w:iCs w:val="0"/>
          <w:caps w:val="0"/>
          <w:smallCaps w:val="0"/>
          <w:noProof w:val="0"/>
          <w:color w:val="000000" w:themeColor="text1" w:themeTint="FF" w:themeShade="FF"/>
          <w:sz w:val="32"/>
          <w:szCs w:val="32"/>
          <w:lang w:val="en-US"/>
        </w:rPr>
        <w:t xml:space="preserve">Vaishnavi </w:t>
      </w:r>
      <w:r w:rsidRPr="3DC7A50A" w:rsidR="350C02D3">
        <w:rPr>
          <w:rFonts w:ascii="Arial" w:hAnsi="Arial" w:eastAsia="Arial" w:cs="Arial"/>
          <w:b w:val="0"/>
          <w:bCs w:val="0"/>
          <w:i w:val="0"/>
          <w:iCs w:val="0"/>
          <w:caps w:val="0"/>
          <w:smallCaps w:val="0"/>
          <w:noProof w:val="0"/>
          <w:color w:val="000000" w:themeColor="text1" w:themeTint="FF" w:themeShade="FF"/>
          <w:sz w:val="32"/>
          <w:szCs w:val="32"/>
          <w:lang w:val="en-US"/>
        </w:rPr>
        <w:t>Nawale</w:t>
      </w:r>
      <w:r w:rsidRPr="3DC7A50A" w:rsidR="350C02D3">
        <w:rPr>
          <w:rFonts w:ascii="Arial" w:hAnsi="Arial" w:eastAsia="Arial" w:cs="Arial"/>
          <w:b w:val="0"/>
          <w:bCs w:val="0"/>
          <w:i w:val="0"/>
          <w:iCs w:val="0"/>
          <w:caps w:val="0"/>
          <w:smallCaps w:val="0"/>
          <w:noProof w:val="0"/>
          <w:color w:val="000000" w:themeColor="text1" w:themeTint="FF" w:themeShade="FF"/>
          <w:sz w:val="32"/>
          <w:szCs w:val="32"/>
          <w:lang w:val="en-US"/>
        </w:rPr>
        <w:t xml:space="preserve"> Muralidhar</w:t>
      </w:r>
    </w:p>
    <w:p w:rsidR="50C65511" w:rsidP="3DC7A50A" w:rsidRDefault="50C65511" w14:paraId="5BA264F3" w14:textId="5866885B">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DC7A50A" w:rsidR="350C02D3">
        <w:rPr>
          <w:rFonts w:ascii="Arial" w:hAnsi="Arial" w:eastAsia="Arial" w:cs="Arial"/>
          <w:b w:val="1"/>
          <w:bCs w:val="1"/>
          <w:i w:val="0"/>
          <w:iCs w:val="0"/>
          <w:caps w:val="0"/>
          <w:smallCaps w:val="0"/>
          <w:noProof w:val="0"/>
          <w:color w:val="000000" w:themeColor="text1" w:themeTint="FF" w:themeShade="FF"/>
          <w:sz w:val="32"/>
          <w:szCs w:val="32"/>
          <w:lang w:val="en-US"/>
        </w:rPr>
        <w:t>Student number:</w:t>
      </w:r>
      <w:r w:rsidRPr="3DC7A50A" w:rsidR="350C02D3">
        <w:rPr>
          <w:rFonts w:ascii="Arial" w:hAnsi="Arial" w:eastAsia="Arial" w:cs="Arial"/>
          <w:b w:val="0"/>
          <w:bCs w:val="0"/>
          <w:i w:val="0"/>
          <w:iCs w:val="0"/>
          <w:caps w:val="0"/>
          <w:smallCaps w:val="0"/>
          <w:noProof w:val="0"/>
          <w:color w:val="000000" w:themeColor="text1" w:themeTint="FF" w:themeShade="FF"/>
          <w:sz w:val="32"/>
          <w:szCs w:val="32"/>
          <w:lang w:val="en-US"/>
        </w:rPr>
        <w:t xml:space="preserve"> 2422839</w:t>
      </w:r>
    </w:p>
    <w:p w:rsidR="50C65511" w:rsidP="3DC7A50A" w:rsidRDefault="50C65511" w14:paraId="453E2481" w14:textId="2094E40C">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DC7A50A" w:rsidR="350C02D3">
        <w:rPr>
          <w:rFonts w:ascii="Arial" w:hAnsi="Arial" w:eastAsia="Arial" w:cs="Arial"/>
          <w:b w:val="1"/>
          <w:bCs w:val="1"/>
          <w:i w:val="0"/>
          <w:iCs w:val="0"/>
          <w:caps w:val="0"/>
          <w:smallCaps w:val="0"/>
          <w:noProof w:val="0"/>
          <w:color w:val="000000" w:themeColor="text1" w:themeTint="FF" w:themeShade="FF"/>
          <w:sz w:val="32"/>
          <w:szCs w:val="32"/>
          <w:lang w:val="en-US"/>
        </w:rPr>
        <w:t>Lecturer:</w:t>
      </w:r>
      <w:r w:rsidRPr="3DC7A50A" w:rsidR="350C02D3">
        <w:rPr>
          <w:rFonts w:ascii="Arial" w:hAnsi="Arial" w:eastAsia="Arial" w:cs="Arial"/>
          <w:b w:val="0"/>
          <w:bCs w:val="0"/>
          <w:i w:val="0"/>
          <w:iCs w:val="0"/>
          <w:caps w:val="0"/>
          <w:smallCaps w:val="0"/>
          <w:noProof w:val="0"/>
          <w:color w:val="000000" w:themeColor="text1" w:themeTint="FF" w:themeShade="FF"/>
          <w:sz w:val="32"/>
          <w:szCs w:val="32"/>
          <w:lang w:val="en-US"/>
        </w:rPr>
        <w:t xml:space="preserve"> Dr. Fahad khan </w:t>
      </w:r>
    </w:p>
    <w:p w:rsidR="50C65511" w:rsidP="3DC7A50A" w:rsidRDefault="50C65511" w14:paraId="33170C6F" w14:textId="02E20491">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50C65511" w:rsidP="3DC7A50A" w:rsidRDefault="50C65511" w14:paraId="1CDA0ED9" w14:textId="23E39090">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DC7A50A" w:rsidR="13812A2B">
        <w:rPr>
          <w:rFonts w:ascii="Arial" w:hAnsi="Arial" w:eastAsia="Arial" w:cs="Arial"/>
          <w:b w:val="0"/>
          <w:bCs w:val="0"/>
          <w:i w:val="0"/>
          <w:iCs w:val="0"/>
          <w:caps w:val="0"/>
          <w:smallCaps w:val="0"/>
          <w:noProof w:val="0"/>
          <w:color w:val="000000" w:themeColor="text1" w:themeTint="FF" w:themeShade="FF"/>
          <w:sz w:val="32"/>
          <w:szCs w:val="32"/>
          <w:lang w:val="en-US"/>
        </w:rPr>
        <w:t xml:space="preserve">Dissertation </w:t>
      </w:r>
      <w:r w:rsidRPr="3DC7A50A" w:rsidR="13812A2B">
        <w:rPr>
          <w:rFonts w:ascii="Arial" w:hAnsi="Arial" w:eastAsia="Arial" w:cs="Arial"/>
          <w:b w:val="0"/>
          <w:bCs w:val="0"/>
          <w:i w:val="0"/>
          <w:iCs w:val="0"/>
          <w:caps w:val="0"/>
          <w:smallCaps w:val="0"/>
          <w:noProof w:val="0"/>
          <w:color w:val="000000" w:themeColor="text1" w:themeTint="FF" w:themeShade="FF"/>
          <w:sz w:val="32"/>
          <w:szCs w:val="32"/>
          <w:lang w:val="en-US"/>
        </w:rPr>
        <w:t>submitted</w:t>
      </w:r>
      <w:r w:rsidRPr="3DC7A50A" w:rsidR="13812A2B">
        <w:rPr>
          <w:rFonts w:ascii="Arial" w:hAnsi="Arial" w:eastAsia="Arial" w:cs="Arial"/>
          <w:b w:val="0"/>
          <w:bCs w:val="0"/>
          <w:i w:val="0"/>
          <w:iCs w:val="0"/>
          <w:caps w:val="0"/>
          <w:smallCaps w:val="0"/>
          <w:noProof w:val="0"/>
          <w:color w:val="000000" w:themeColor="text1" w:themeTint="FF" w:themeShade="FF"/>
          <w:sz w:val="32"/>
          <w:szCs w:val="32"/>
          <w:lang w:val="en-US"/>
        </w:rPr>
        <w:t xml:space="preserve"> as part of the requirements for the award of </w:t>
      </w:r>
      <w:r w:rsidRPr="3DC7A50A" w:rsidR="13812A2B">
        <w:rPr>
          <w:rFonts w:ascii="Arial" w:hAnsi="Arial" w:eastAsia="Arial" w:cs="Arial"/>
          <w:b w:val="0"/>
          <w:bCs w:val="0"/>
          <w:i w:val="0"/>
          <w:iCs w:val="0"/>
          <w:caps w:val="0"/>
          <w:smallCaps w:val="0"/>
          <w:noProof w:val="0"/>
          <w:color w:val="000000" w:themeColor="text1" w:themeTint="FF" w:themeShade="FF"/>
          <w:sz w:val="32"/>
          <w:szCs w:val="32"/>
          <w:lang w:val="en-US"/>
        </w:rPr>
        <w:t>Msc</w:t>
      </w:r>
      <w:r w:rsidRPr="3DC7A50A" w:rsidR="13812A2B">
        <w:rPr>
          <w:rFonts w:ascii="Arial" w:hAnsi="Arial" w:eastAsia="Arial" w:cs="Arial"/>
          <w:b w:val="0"/>
          <w:bCs w:val="0"/>
          <w:i w:val="0"/>
          <w:iCs w:val="0"/>
          <w:caps w:val="0"/>
          <w:smallCaps w:val="0"/>
          <w:noProof w:val="0"/>
          <w:color w:val="000000" w:themeColor="text1" w:themeTint="FF" w:themeShade="FF"/>
          <w:sz w:val="32"/>
          <w:szCs w:val="32"/>
          <w:lang w:val="en-US"/>
        </w:rPr>
        <w:t xml:space="preserve"> Public Health and Social Care in Practice </w:t>
      </w:r>
    </w:p>
    <w:p w:rsidR="50C65511" w:rsidP="3DC7A50A" w:rsidRDefault="50C65511" w14:paraId="226C10E8" w14:textId="64B744D4">
      <w:pPr>
        <w:spacing w:before="240" w:beforeAutospacing="off" w:after="240" w:afterAutospacing="off"/>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DC7A50A" w:rsidR="13812A2B">
        <w:rPr>
          <w:rFonts w:ascii="Arial" w:hAnsi="Arial" w:eastAsia="Arial" w:cs="Arial"/>
          <w:b w:val="1"/>
          <w:bCs w:val="1"/>
          <w:i w:val="0"/>
          <w:iCs w:val="0"/>
          <w:caps w:val="0"/>
          <w:smallCaps w:val="0"/>
          <w:noProof w:val="0"/>
          <w:color w:val="000000" w:themeColor="text1" w:themeTint="FF" w:themeShade="FF"/>
          <w:sz w:val="32"/>
          <w:szCs w:val="32"/>
          <w:lang w:val="en-US"/>
        </w:rPr>
        <w:t xml:space="preserve">January 2026 </w:t>
      </w:r>
    </w:p>
    <w:p w:rsidR="50C65511" w:rsidP="3DC7A50A" w:rsidRDefault="50C65511" w14:paraId="1A700A50" w14:textId="365C3715">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3DC7A50A" w:rsidR="356004BE">
        <w:rPr>
          <w:rFonts w:ascii="Arial" w:hAnsi="Arial" w:eastAsia="Arial" w:cs="Arial"/>
          <w:b w:val="1"/>
          <w:bCs w:val="1"/>
          <w:i w:val="0"/>
          <w:iCs w:val="0"/>
          <w:caps w:val="0"/>
          <w:smallCaps w:val="0"/>
          <w:noProof w:val="0"/>
          <w:color w:val="000000" w:themeColor="text1" w:themeTint="FF" w:themeShade="FF"/>
          <w:sz w:val="28"/>
          <w:szCs w:val="28"/>
          <w:lang w:val="en-US"/>
        </w:rPr>
        <w:t>DECLARATION</w:t>
      </w:r>
    </w:p>
    <w:p w:rsidR="50C65511" w:rsidP="3DC7A50A" w:rsidRDefault="50C65511" w14:paraId="1C56829F" w14:textId="65BA3246">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 xml:space="preserve">I declare that this dissertation has been composed by myself, that the work </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contained</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herein</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 xml:space="preserve"> is entirely my own, except where explicitly </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stated</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 xml:space="preserve"> otherwise in the text, and that this work has not been </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submitted</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 xml:space="preserve"> for any other degree or qualification, in whole or in part, except as specified.</w:t>
      </w:r>
    </w:p>
    <w:p w:rsidR="50C65511" w:rsidP="3DC7A50A" w:rsidRDefault="50C65511" w14:paraId="4D86E5A7" w14:textId="7B67158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356004BE">
        <w:rPr>
          <w:rFonts w:ascii="Arial" w:hAnsi="Arial" w:eastAsia="Arial" w:cs="Arial"/>
          <w:b w:val="1"/>
          <w:bCs w:val="1"/>
          <w:i w:val="0"/>
          <w:iCs w:val="0"/>
          <w:caps w:val="0"/>
          <w:smallCaps w:val="0"/>
          <w:noProof w:val="0"/>
          <w:color w:val="000000" w:themeColor="text1" w:themeTint="FF" w:themeShade="FF"/>
          <w:sz w:val="24"/>
          <w:szCs w:val="24"/>
          <w:lang w:val="en-US"/>
        </w:rPr>
        <w:t>Signature:</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 xml:space="preserve"> Vaishnavi </w:t>
      </w:r>
      <w:r w:rsidRPr="3DC7A50A" w:rsidR="356004BE">
        <w:rPr>
          <w:rFonts w:ascii="Arial" w:hAnsi="Arial" w:eastAsia="Arial" w:cs="Arial"/>
          <w:b w:val="0"/>
          <w:bCs w:val="0"/>
          <w:i w:val="0"/>
          <w:iCs w:val="0"/>
          <w:caps w:val="0"/>
          <w:smallCaps w:val="0"/>
          <w:noProof w:val="0"/>
          <w:color w:val="000000" w:themeColor="text1" w:themeTint="FF" w:themeShade="FF"/>
          <w:sz w:val="24"/>
          <w:szCs w:val="24"/>
          <w:lang w:val="en-US"/>
        </w:rPr>
        <w:t>Nawale</w:t>
      </w:r>
      <w:r w:rsidRPr="3DC7A50A" w:rsidR="3E7A5D00">
        <w:rPr>
          <w:rFonts w:ascii="Arial" w:hAnsi="Arial" w:eastAsia="Arial" w:cs="Arial"/>
          <w:b w:val="0"/>
          <w:bCs w:val="0"/>
          <w:i w:val="0"/>
          <w:iCs w:val="0"/>
          <w:caps w:val="0"/>
          <w:smallCaps w:val="0"/>
          <w:noProof w:val="0"/>
          <w:color w:val="000000" w:themeColor="text1" w:themeTint="FF" w:themeShade="FF"/>
          <w:sz w:val="24"/>
          <w:szCs w:val="24"/>
          <w:lang w:val="en-US"/>
        </w:rPr>
        <w:t xml:space="preserve"> Muralidhar</w:t>
      </w:r>
    </w:p>
    <w:p w:rsidR="50C65511" w:rsidP="3DC7A50A" w:rsidRDefault="50C65511" w14:paraId="438662EF" w14:textId="6262A7B8">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5B23EBA9">
        <w:rPr>
          <w:rFonts w:ascii="Arial" w:hAnsi="Arial" w:eastAsia="Arial" w:cs="Arial"/>
          <w:b w:val="1"/>
          <w:bCs w:val="1"/>
          <w:i w:val="0"/>
          <w:iCs w:val="0"/>
          <w:caps w:val="0"/>
          <w:smallCaps w:val="0"/>
          <w:noProof w:val="0"/>
          <w:color w:val="000000" w:themeColor="text1" w:themeTint="FF" w:themeShade="FF"/>
          <w:sz w:val="24"/>
          <w:szCs w:val="24"/>
          <w:lang w:val="en-US"/>
        </w:rPr>
        <w:t xml:space="preserve">Student ID: </w:t>
      </w:r>
      <w:r w:rsidRPr="3DC7A50A" w:rsidR="45A35F15">
        <w:rPr>
          <w:rFonts w:ascii="Arial" w:hAnsi="Arial" w:eastAsia="Arial" w:cs="Arial"/>
          <w:b w:val="0"/>
          <w:bCs w:val="0"/>
          <w:i w:val="0"/>
          <w:iCs w:val="0"/>
          <w:caps w:val="0"/>
          <w:smallCaps w:val="0"/>
          <w:noProof w:val="0"/>
          <w:color w:val="000000" w:themeColor="text1" w:themeTint="FF" w:themeShade="FF"/>
          <w:sz w:val="24"/>
          <w:szCs w:val="24"/>
          <w:lang w:val="en-US"/>
        </w:rPr>
        <w:t xml:space="preserve">2422839 </w:t>
      </w:r>
    </w:p>
    <w:p w:rsidR="50C65511" w:rsidP="3DC7A50A" w:rsidRDefault="50C65511" w14:paraId="5662E482" w14:textId="7DB7D43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5B23EBA9">
        <w:rPr>
          <w:rFonts w:ascii="Arial" w:hAnsi="Arial" w:eastAsia="Arial" w:cs="Arial"/>
          <w:b w:val="1"/>
          <w:bCs w:val="1"/>
          <w:i w:val="0"/>
          <w:iCs w:val="0"/>
          <w:caps w:val="0"/>
          <w:smallCaps w:val="0"/>
          <w:noProof w:val="0"/>
          <w:color w:val="000000" w:themeColor="text1" w:themeTint="FF" w:themeShade="FF"/>
          <w:sz w:val="24"/>
          <w:szCs w:val="24"/>
          <w:lang w:val="en-US"/>
        </w:rPr>
        <w:t xml:space="preserve">Date: </w:t>
      </w:r>
      <w:r w:rsidRPr="3DC7A50A" w:rsidR="75ED6692">
        <w:rPr>
          <w:rFonts w:ascii="Arial" w:hAnsi="Arial" w:eastAsia="Arial" w:cs="Arial"/>
          <w:b w:val="0"/>
          <w:bCs w:val="0"/>
          <w:i w:val="0"/>
          <w:iCs w:val="0"/>
          <w:caps w:val="0"/>
          <w:smallCaps w:val="0"/>
          <w:noProof w:val="0"/>
          <w:color w:val="000000" w:themeColor="text1" w:themeTint="FF" w:themeShade="FF"/>
          <w:sz w:val="24"/>
          <w:szCs w:val="24"/>
          <w:lang w:val="en-US"/>
        </w:rPr>
        <w:t>07/01/2026</w:t>
      </w:r>
    </w:p>
    <w:p w:rsidR="4369956E" w:rsidP="3DC7A50A" w:rsidRDefault="4369956E" w14:paraId="080B9298" w14:textId="5E2B1BFB">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3DC7A50A" w:rsidP="3DC7A50A" w:rsidRDefault="3DC7A50A" w14:paraId="5A731A9D" w14:textId="1D2E70BE">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3DC7A50A" w:rsidP="3DC7A50A" w:rsidRDefault="3DC7A50A" w14:paraId="2CBF794E" w14:textId="7D71EF70">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3DC7A50A" w:rsidRDefault="50C65511" w14:paraId="5365EDD6" w14:textId="309EA57C">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3DC7A50A" w:rsidRDefault="50C65511" w14:paraId="4DE0815C" w14:textId="5A25E788">
      <w:pPr>
        <w:spacing w:before="240" w:beforeAutospacing="off" w:after="240" w:afterAutospacing="off"/>
      </w:pPr>
      <w:r>
        <w:br w:type="page"/>
      </w:r>
    </w:p>
    <w:p w:rsidR="50C65511" w:rsidP="3DC7A50A" w:rsidRDefault="50C65511" w14:paraId="220ECB53" w14:textId="5E0EC017">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3DC7A50A" w:rsidR="376B43EE">
        <w:rPr>
          <w:rFonts w:ascii="Arial" w:hAnsi="Arial" w:eastAsia="Arial" w:cs="Arial"/>
          <w:b w:val="1"/>
          <w:bCs w:val="1"/>
          <w:i w:val="0"/>
          <w:iCs w:val="0"/>
          <w:caps w:val="0"/>
          <w:smallCaps w:val="0"/>
          <w:noProof w:val="0"/>
          <w:color w:val="000000" w:themeColor="text1" w:themeTint="FF" w:themeShade="FF"/>
          <w:sz w:val="28"/>
          <w:szCs w:val="28"/>
          <w:lang w:val="en-US"/>
        </w:rPr>
        <w:t xml:space="preserve">ACKNOWLEDGEMENTS </w:t>
      </w:r>
    </w:p>
    <w:p w:rsidR="50C65511" w:rsidP="3DC7A50A" w:rsidRDefault="50C65511" w14:paraId="07B28644" w14:textId="69E0D33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I would like to express my deepest gratitude to my supervisor, Dr. Fahad Khan, for his invaluable guidance, constructive feedback, and constant encouragement throughout the development of this dissertation.</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 xml:space="preserve">His </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expertise</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 xml:space="preserve"> in quality improvement and patient safety has shaped the direction of this work, and I am </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truly grateful</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opportunity to learn under his supervision.</w:t>
      </w:r>
      <w:r w:rsidRPr="3DC7A50A" w:rsidR="31ADA46F">
        <w:rPr>
          <w:rFonts w:ascii="Arial" w:hAnsi="Arial" w:eastAsia="Arial" w:cs="Arial"/>
          <w:b w:val="0"/>
          <w:bCs w:val="0"/>
          <w:i w:val="0"/>
          <w:iCs w:val="0"/>
          <w:caps w:val="0"/>
          <w:smallCaps w:val="0"/>
          <w:noProof w:val="0"/>
          <w:color w:val="000000" w:themeColor="text1" w:themeTint="FF" w:themeShade="FF"/>
          <w:sz w:val="24"/>
          <w:szCs w:val="24"/>
          <w:lang w:val="en-US"/>
        </w:rPr>
        <w:t xml:space="preserve"> This achievement would not have been possible without his continued support, patience, and motivation.</w:t>
      </w:r>
    </w:p>
    <w:p w:rsidR="50C65511" w:rsidP="3DC7A50A" w:rsidRDefault="50C65511" w14:paraId="6C7F0C91" w14:textId="1D873C4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 xml:space="preserve">My sincere thanks also go to my </w:t>
      </w: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 xml:space="preserve"> Manager, Raheela Sheikh, whose insightful discussions, approachable leadership, and encouragement </w:t>
      </w: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greatly supported</w:t>
      </w: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 xml:space="preserve"> me during the more challenging phases of this academic journey. Her guidance has been instrumental in helping me stay focused and motivated.</w:t>
      </w:r>
    </w:p>
    <w:p w:rsidR="50C65511" w:rsidP="3DC7A50A" w:rsidRDefault="50C65511" w14:paraId="1CB7EA51" w14:textId="6EF5294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I am profoundly thankful to my family, whose unwavering love and belief in me have carried me through this journey. To my parents, thank you for your constant prayers, support, and sacrifices. To my siblings, your encouragement has been a continuous source of inspiration. My heartfelt appreciation also goes to my friends, especially Shreyas and Yash, for their emotional support, academic discussions, and motivation throughout the writing of this dissertation.</w:t>
      </w:r>
      <w:r w:rsidRPr="3DC7A50A" w:rsidR="7ADABF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C7A50A" w:rsidR="376B43EE">
        <w:rPr>
          <w:rFonts w:ascii="Arial" w:hAnsi="Arial" w:eastAsia="Arial" w:cs="Arial"/>
          <w:b w:val="0"/>
          <w:bCs w:val="0"/>
          <w:i w:val="0"/>
          <w:iCs w:val="0"/>
          <w:caps w:val="0"/>
          <w:smallCaps w:val="0"/>
          <w:noProof w:val="0"/>
          <w:color w:val="000000" w:themeColor="text1" w:themeTint="FF" w:themeShade="FF"/>
          <w:sz w:val="24"/>
          <w:szCs w:val="24"/>
          <w:lang w:val="en-US"/>
        </w:rPr>
        <w:t>Finally, I dedicate this work to my personal growth and resilience. Despite challenges along the way, this journey has strengthened my determination and reinforced my passion for contributing to safer healthcare practices. Thank you to everyone who has played a role in helping me reach this important milestone.</w:t>
      </w:r>
    </w:p>
    <w:p w:rsidR="50C65511" w:rsidP="3DC7A50A" w:rsidRDefault="50C65511" w14:paraId="1E5C9C97" w14:textId="171834F2">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p>
    <w:p w:rsidR="50C65511" w:rsidP="3DC7A50A" w:rsidRDefault="50C65511" w14:paraId="1FA9CE2E" w14:textId="1E6E9296">
      <w:pPr>
        <w:spacing w:before="240" w:beforeAutospacing="off" w:after="240" w:afterAutospacing="off"/>
      </w:pPr>
      <w:r>
        <w:br w:type="page"/>
      </w:r>
    </w:p>
    <w:p w:rsidR="50C65511" w:rsidP="3DC7A50A" w:rsidRDefault="50C65511" w14:paraId="041E77CB" w14:textId="71FBBCD2">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3DC7A50A" w:rsidR="63502C2A">
        <w:rPr>
          <w:rFonts w:ascii="Arial" w:hAnsi="Arial" w:eastAsia="Arial" w:cs="Arial"/>
          <w:b w:val="1"/>
          <w:bCs w:val="1"/>
          <w:i w:val="0"/>
          <w:iCs w:val="0"/>
          <w:caps w:val="0"/>
          <w:smallCaps w:val="0"/>
          <w:noProof w:val="0"/>
          <w:color w:val="000000" w:themeColor="text1" w:themeTint="FF" w:themeShade="FF"/>
          <w:sz w:val="28"/>
          <w:szCs w:val="28"/>
          <w:lang w:val="en-US"/>
        </w:rPr>
        <w:t xml:space="preserve">ABSTRACT </w:t>
      </w:r>
    </w:p>
    <w:p w:rsidR="50C65511" w:rsidP="3DC7A50A" w:rsidRDefault="50C65511" w14:paraId="586BA083" w14:textId="6B835DA9">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DC7A50A" w:rsidR="63502C2A">
        <w:rPr>
          <w:rFonts w:ascii="Arial" w:hAnsi="Arial" w:eastAsia="Arial" w:cs="Arial"/>
          <w:b w:val="1"/>
          <w:bCs w:val="1"/>
          <w:i w:val="0"/>
          <w:iCs w:val="0"/>
          <w:caps w:val="0"/>
          <w:smallCaps w:val="0"/>
          <w:noProof w:val="0"/>
          <w:color w:val="000000" w:themeColor="text1" w:themeTint="FF" w:themeShade="FF"/>
          <w:sz w:val="24"/>
          <w:szCs w:val="24"/>
          <w:lang w:val="en-US"/>
        </w:rPr>
        <w:t>Background:</w:t>
      </w:r>
    </w:p>
    <w:p w:rsidR="50C65511" w:rsidP="3DC7A50A" w:rsidRDefault="50C65511" w14:paraId="7BD42E6D" w14:textId="2C36BCE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dispensing errors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remain</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a significant yet under-</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challenge in Low- and Middle-Income Countries (LMICs). These errors compromise patient safety and are influenced by clinical,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cultural, and socioeconomic factors. This dissertation examines the barriers contributing to pharmacist-related dispensing errors and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identifies</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quality improvement (QI) strategies that can enhance medication safety in LMIC pharmacy settings.</w:t>
      </w:r>
    </w:p>
    <w:p w:rsidR="50C65511" w:rsidP="3DC7A50A" w:rsidRDefault="50C65511" w14:paraId="7D411211" w14:textId="6462B9FD">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DC7A50A" w:rsidR="63502C2A">
        <w:rPr>
          <w:rFonts w:ascii="Arial" w:hAnsi="Arial" w:eastAsia="Arial" w:cs="Arial"/>
          <w:b w:val="1"/>
          <w:bCs w:val="1"/>
          <w:i w:val="0"/>
          <w:iCs w:val="0"/>
          <w:caps w:val="0"/>
          <w:smallCaps w:val="0"/>
          <w:noProof w:val="0"/>
          <w:color w:val="000000" w:themeColor="text1" w:themeTint="FF" w:themeShade="FF"/>
          <w:sz w:val="24"/>
          <w:szCs w:val="24"/>
          <w:lang w:val="en-US"/>
        </w:rPr>
        <w:t>Methods:</w:t>
      </w:r>
    </w:p>
    <w:p w:rsidR="50C65511" w:rsidP="3DC7A50A" w:rsidRDefault="50C65511" w14:paraId="05C952D0" w14:textId="559F6F4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A systematic literature review was conducted using ProQuest, PubMed, EBSCO, and Google Scholar. Search terms related to dispensing errors, pharmacists, LMICs, and quality improvement were applied. After screening titles, abstracts, and full texts using PRISMA guidelines, 12 qualitative studies were selected for inclusion. Thematic analysis was used to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recurring patterns, themes, and subthemes across the studies.</w:t>
      </w:r>
    </w:p>
    <w:p w:rsidR="50C65511" w:rsidP="3DC7A50A" w:rsidRDefault="50C65511" w14:paraId="263A7119" w14:textId="498C0EB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1"/>
          <w:bCs w:val="1"/>
          <w:i w:val="0"/>
          <w:iCs w:val="0"/>
          <w:caps w:val="0"/>
          <w:smallCaps w:val="0"/>
          <w:noProof w:val="0"/>
          <w:color w:val="000000" w:themeColor="text1" w:themeTint="FF" w:themeShade="FF"/>
          <w:sz w:val="24"/>
          <w:szCs w:val="24"/>
          <w:lang w:val="en-US"/>
        </w:rPr>
        <w:t>Results:</w:t>
      </w:r>
    </w:p>
    <w:p w:rsidR="50C65511" w:rsidP="3DC7A50A" w:rsidRDefault="50C65511" w14:paraId="3D98AF34" w14:textId="3D199AC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The review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four key themes influencing dispensing errors:</w:t>
      </w:r>
    </w:p>
    <w:p w:rsidR="50C65511" w:rsidP="3DC7A50A" w:rsidRDefault="50C65511" w14:paraId="00E073F2" w14:textId="3243AFE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1.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Knowledge</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gaps and training deficiencies, including insufficient pharmacological knowledge and lack of structured CPD.</w:t>
      </w:r>
    </w:p>
    <w:p w:rsidR="50C65511" w:rsidP="3DC7A50A" w:rsidRDefault="50C65511" w14:paraId="1160A72F" w14:textId="6CBC9E6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2. Systemic and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barriers, such as high workload, unclear prescriptions, weak SOPs, and limited supervision.</w:t>
      </w:r>
    </w:p>
    <w:p w:rsidR="50C65511" w:rsidP="3DC7A50A" w:rsidRDefault="50C65511" w14:paraId="52322510" w14:textId="4F6EE35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3. Ethical and sociocultural influences, including patient pressure, fear of blame, avoidance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and moral dilemmas.</w:t>
      </w:r>
    </w:p>
    <w:p w:rsidR="50C65511" w:rsidP="3DC7A50A" w:rsidRDefault="50C65511" w14:paraId="2A104308" w14:textId="7BAF1F2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4. Quality improvement and technology opportunities, highlighting the potential for digital tools,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standardised</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protocols, and mandatory training to improve safety.</w:t>
      </w:r>
    </w:p>
    <w:p w:rsidR="50C65511" w:rsidP="3DC7A50A" w:rsidRDefault="50C65511" w14:paraId="57E18EDB" w14:textId="63F14FD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These themes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that dispensing errors arise from interconnected factors embedded within healthcare systems, professional cultures, and community contexts.</w:t>
      </w:r>
    </w:p>
    <w:p w:rsidR="50C65511" w:rsidP="3DC7A50A" w:rsidRDefault="50C65511" w14:paraId="47282717" w14:textId="44985783">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3DC7A50A" w:rsidR="0275B7B2">
        <w:rPr>
          <w:rFonts w:ascii="Arial" w:hAnsi="Arial" w:eastAsia="Arial" w:cs="Arial"/>
          <w:b w:val="1"/>
          <w:bCs w:val="1"/>
          <w:i w:val="0"/>
          <w:iCs w:val="0"/>
          <w:caps w:val="0"/>
          <w:smallCaps w:val="0"/>
          <w:noProof w:val="0"/>
          <w:color w:val="000000" w:themeColor="text1" w:themeTint="FF" w:themeShade="FF"/>
          <w:sz w:val="28"/>
          <w:szCs w:val="28"/>
          <w:lang w:val="en-US"/>
        </w:rPr>
        <w:t>Conclusion</w:t>
      </w:r>
    </w:p>
    <w:p w:rsidR="50C65511" w:rsidP="3DC7A50A" w:rsidRDefault="50C65511" w14:paraId="5B37B034" w14:textId="0F2614DA">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The findings highlight the urgent need to strengthen pharmacist training, improve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 xml:space="preserve"> structures, and promote a non-punitive safety culture in LMICs. Implementing structured QI approaches</w:t>
      </w:r>
      <w:r w:rsidRPr="3DC7A50A" w:rsidR="139A033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such as PDSA cycles, technology integration, error-reporting systems, and interprofessional collaboration</w:t>
      </w:r>
      <w:r w:rsidRPr="3DC7A50A" w:rsidR="2F9AF7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C7A50A" w:rsidR="63502C2A">
        <w:rPr>
          <w:rFonts w:ascii="Arial" w:hAnsi="Arial" w:eastAsia="Arial" w:cs="Arial"/>
          <w:b w:val="0"/>
          <w:bCs w:val="0"/>
          <w:i w:val="0"/>
          <w:iCs w:val="0"/>
          <w:caps w:val="0"/>
          <w:smallCaps w:val="0"/>
          <w:noProof w:val="0"/>
          <w:color w:val="000000" w:themeColor="text1" w:themeTint="FF" w:themeShade="FF"/>
          <w:sz w:val="24"/>
          <w:szCs w:val="24"/>
          <w:lang w:val="en-US"/>
        </w:rPr>
        <w:t>can significantly reduce dispensing errors. This study calls for coordinated action from healthcare leaders, policymakers, and pharmacy educators to enhance medication safety and support pharmacists in delivering safe and effective care.</w:t>
      </w:r>
    </w:p>
    <w:p w:rsidR="50C65511" w:rsidP="3DC7A50A" w:rsidRDefault="50C65511" w14:paraId="5A55114D" w14:textId="68A3D75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1E82ED5D" w14:textId="7D73DD5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19CC71AA" w14:textId="38F6A3F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4C98D8D3" w14:textId="22D51E1B">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308FA954" w14:textId="50597B3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1C96601F" w14:textId="1E14E00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36CFF4D1" w14:textId="6FA4865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C65511" w:rsidP="3DC7A50A" w:rsidRDefault="50C65511" w14:paraId="31EDD3F6" w14:textId="62F45F0E">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3DC7A50A" w:rsidR="383B5B53">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3DC7A50A" w:rsidR="383B5B53">
        <w:rPr>
          <w:rFonts w:ascii="Arial" w:hAnsi="Arial" w:eastAsia="Arial" w:cs="Arial"/>
          <w:b w:val="1"/>
          <w:bCs w:val="1"/>
          <w:i w:val="0"/>
          <w:iCs w:val="0"/>
          <w:caps w:val="0"/>
          <w:smallCaps w:val="0"/>
          <w:noProof w:val="0"/>
          <w:color w:val="000000" w:themeColor="text1" w:themeTint="FF" w:themeShade="FF"/>
          <w:sz w:val="32"/>
          <w:szCs w:val="32"/>
          <w:lang w:val="en-US"/>
        </w:rPr>
        <w:t xml:space="preserve"> </w:t>
      </w:r>
    </w:p>
    <w:p w:rsidR="50C65511" w:rsidP="3DC7A50A" w:rsidRDefault="50C65511" w14:paraId="14F1BF18" w14:textId="6ED65E76">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32"/>
          <w:szCs w:val="32"/>
          <w:lang w:val="en-US"/>
        </w:rPr>
      </w:pPr>
    </w:p>
    <w:p w:rsidR="50C65511" w:rsidP="3DC7A50A" w:rsidRDefault="50C65511" w14:paraId="3E134552" w14:textId="544FB705">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3DC7A50A" w:rsidR="6D2BEC43">
        <w:rPr>
          <w:rFonts w:ascii="Arial" w:hAnsi="Arial" w:eastAsia="Arial" w:cs="Arial"/>
          <w:b w:val="1"/>
          <w:bCs w:val="1"/>
          <w:i w:val="0"/>
          <w:iCs w:val="0"/>
          <w:caps w:val="0"/>
          <w:smallCaps w:val="0"/>
          <w:noProof w:val="0"/>
          <w:color w:val="000000" w:themeColor="text1" w:themeTint="FF" w:themeShade="FF"/>
          <w:sz w:val="32"/>
          <w:szCs w:val="32"/>
          <w:lang w:val="en-US"/>
        </w:rPr>
        <w:t>C</w:t>
      </w:r>
      <w:r w:rsidRPr="3DC7A50A" w:rsidR="6763B51F">
        <w:rPr>
          <w:rFonts w:ascii="Arial" w:hAnsi="Arial" w:eastAsia="Arial" w:cs="Arial"/>
          <w:b w:val="1"/>
          <w:bCs w:val="1"/>
          <w:i w:val="0"/>
          <w:iCs w:val="0"/>
          <w:caps w:val="0"/>
          <w:smallCaps w:val="0"/>
          <w:noProof w:val="0"/>
          <w:color w:val="000000" w:themeColor="text1" w:themeTint="FF" w:themeShade="FF"/>
          <w:sz w:val="32"/>
          <w:szCs w:val="32"/>
          <w:lang w:val="en-US"/>
        </w:rPr>
        <w:t xml:space="preserve">ontent of </w:t>
      </w:r>
      <w:r w:rsidRPr="3DC7A50A" w:rsidR="7B160670">
        <w:rPr>
          <w:rFonts w:ascii="Arial" w:hAnsi="Arial" w:eastAsia="Arial" w:cs="Arial"/>
          <w:b w:val="1"/>
          <w:bCs w:val="1"/>
          <w:i w:val="0"/>
          <w:iCs w:val="0"/>
          <w:caps w:val="0"/>
          <w:smallCaps w:val="0"/>
          <w:noProof w:val="0"/>
          <w:color w:val="000000" w:themeColor="text1" w:themeTint="FF" w:themeShade="FF"/>
          <w:sz w:val="32"/>
          <w:szCs w:val="32"/>
          <w:lang w:val="en-US"/>
        </w:rPr>
        <w:t>T</w:t>
      </w:r>
      <w:r w:rsidRPr="3DC7A50A" w:rsidR="6763B51F">
        <w:rPr>
          <w:rFonts w:ascii="Arial" w:hAnsi="Arial" w:eastAsia="Arial" w:cs="Arial"/>
          <w:b w:val="1"/>
          <w:bCs w:val="1"/>
          <w:i w:val="0"/>
          <w:iCs w:val="0"/>
          <w:caps w:val="0"/>
          <w:smallCaps w:val="0"/>
          <w:noProof w:val="0"/>
          <w:color w:val="000000" w:themeColor="text1" w:themeTint="FF" w:themeShade="FF"/>
          <w:sz w:val="32"/>
          <w:szCs w:val="32"/>
          <w:lang w:val="en-US"/>
        </w:rPr>
        <w:t>able</w:t>
      </w:r>
    </w:p>
    <w:sdt>
      <w:sdtPr>
        <w:id w:val="1676012633"/>
        <w:docPartObj>
          <w:docPartGallery w:val="Table of Contents"/>
          <w:docPartUnique/>
        </w:docPartObj>
      </w:sdtPr>
      <w:sdtContent>
        <w:p w:rsidR="50C65511" w:rsidP="407E75B8" w:rsidRDefault="50C65511" w14:paraId="341395AA" w14:textId="012BA772">
          <w:pPr>
            <w:pStyle w:val="TOC1"/>
            <w:tabs>
              <w:tab w:val="right" w:leader="dot" w:pos="9360"/>
            </w:tabs>
            <w:bidi w:val="0"/>
            <w:spacing w:before="240" w:beforeAutospacing="off" w:after="240" w:afterAutospacing="off"/>
            <w:rPr>
              <w:rStyle w:val="Hyperlink"/>
            </w:rPr>
          </w:pPr>
          <w:r>
            <w:fldChar w:fldCharType="begin"/>
          </w:r>
          <w:r>
            <w:instrText xml:space="preserve">TOC \o "1-9" \z \u \h</w:instrText>
          </w:r>
          <w:r>
            <w:fldChar w:fldCharType="separate"/>
          </w:r>
          <w:hyperlink w:anchor="_Toc1832777974">
            <w:r w:rsidRPr="3DC7A50A" w:rsidR="3DC7A50A">
              <w:rPr>
                <w:rStyle w:val="Hyperlink"/>
              </w:rPr>
              <w:t>CHAPTER 1: INTRODUCTION</w:t>
            </w:r>
            <w:r>
              <w:tab/>
            </w:r>
            <w:r>
              <w:fldChar w:fldCharType="begin"/>
            </w:r>
            <w:r>
              <w:instrText xml:space="preserve">PAGEREF _Toc1832777974 \h</w:instrText>
            </w:r>
            <w:r>
              <w:fldChar w:fldCharType="separate"/>
            </w:r>
            <w:r w:rsidRPr="3DC7A50A" w:rsidR="3DC7A50A">
              <w:rPr>
                <w:rStyle w:val="Hyperlink"/>
              </w:rPr>
              <w:t>5</w:t>
            </w:r>
            <w:r>
              <w:fldChar w:fldCharType="end"/>
            </w:r>
          </w:hyperlink>
        </w:p>
        <w:p w:rsidR="50C65511" w:rsidP="407E75B8" w:rsidRDefault="50C65511" w14:paraId="53695F53" w14:textId="415C8755">
          <w:pPr>
            <w:pStyle w:val="TOC2"/>
            <w:tabs>
              <w:tab w:val="right" w:leader="dot" w:pos="9360"/>
            </w:tabs>
            <w:bidi w:val="0"/>
            <w:spacing w:before="240" w:beforeAutospacing="off" w:after="240" w:afterAutospacing="off"/>
            <w:rPr>
              <w:rStyle w:val="Hyperlink"/>
            </w:rPr>
          </w:pPr>
          <w:hyperlink w:anchor="_Toc390838031">
            <w:r w:rsidRPr="3DC7A50A" w:rsidR="3DC7A50A">
              <w:rPr>
                <w:rStyle w:val="Hyperlink"/>
              </w:rPr>
              <w:t>1.1 Introduction</w:t>
            </w:r>
            <w:r>
              <w:tab/>
            </w:r>
            <w:r>
              <w:fldChar w:fldCharType="begin"/>
            </w:r>
            <w:r>
              <w:instrText xml:space="preserve">PAGEREF _Toc390838031 \h</w:instrText>
            </w:r>
            <w:r>
              <w:fldChar w:fldCharType="separate"/>
            </w:r>
            <w:r w:rsidRPr="3DC7A50A" w:rsidR="3DC7A50A">
              <w:rPr>
                <w:rStyle w:val="Hyperlink"/>
              </w:rPr>
              <w:t>5</w:t>
            </w:r>
            <w:r>
              <w:fldChar w:fldCharType="end"/>
            </w:r>
          </w:hyperlink>
        </w:p>
        <w:p w:rsidR="50C65511" w:rsidP="3DC7A50A" w:rsidRDefault="50C65511" w14:paraId="165C5640" w14:textId="242C98B3">
          <w:pPr>
            <w:pStyle w:val="TOC2"/>
            <w:tabs>
              <w:tab w:val="right" w:leader="dot" w:pos="9360"/>
            </w:tabs>
            <w:bidi w:val="0"/>
            <w:spacing w:before="240" w:beforeAutospacing="off" w:after="240" w:afterAutospacing="off"/>
            <w:rPr>
              <w:rStyle w:val="Hyperlink"/>
            </w:rPr>
          </w:pPr>
          <w:hyperlink w:anchor="_Toc1365947040">
            <w:r w:rsidRPr="3DC7A50A" w:rsidR="3DC7A50A">
              <w:rPr>
                <w:rStyle w:val="Hyperlink"/>
              </w:rPr>
              <w:t>1.2 Background and Context</w:t>
            </w:r>
            <w:r>
              <w:tab/>
            </w:r>
            <w:r>
              <w:fldChar w:fldCharType="begin"/>
            </w:r>
            <w:r>
              <w:instrText xml:space="preserve">PAGEREF _Toc1365947040 \h</w:instrText>
            </w:r>
            <w:r>
              <w:fldChar w:fldCharType="separate"/>
            </w:r>
            <w:r w:rsidRPr="3DC7A50A" w:rsidR="3DC7A50A">
              <w:rPr>
                <w:rStyle w:val="Hyperlink"/>
              </w:rPr>
              <w:t>6</w:t>
            </w:r>
            <w:r>
              <w:fldChar w:fldCharType="end"/>
            </w:r>
          </w:hyperlink>
        </w:p>
        <w:p w:rsidR="50C65511" w:rsidP="3DC7A50A" w:rsidRDefault="50C65511" w14:paraId="6F713BAD" w14:textId="22714236">
          <w:pPr>
            <w:pStyle w:val="TOC2"/>
            <w:tabs>
              <w:tab w:val="right" w:leader="dot" w:pos="9360"/>
            </w:tabs>
            <w:bidi w:val="0"/>
            <w:spacing w:before="240" w:beforeAutospacing="off" w:after="240" w:afterAutospacing="off"/>
            <w:rPr>
              <w:rStyle w:val="Hyperlink"/>
            </w:rPr>
          </w:pPr>
          <w:hyperlink w:anchor="_Toc719002126">
            <w:r w:rsidRPr="3DC7A50A" w:rsidR="3DC7A50A">
              <w:rPr>
                <w:rStyle w:val="Hyperlink"/>
              </w:rPr>
              <w:t>1.3 Why Focus on LMICs</w:t>
            </w:r>
            <w:r>
              <w:tab/>
            </w:r>
            <w:r>
              <w:fldChar w:fldCharType="begin"/>
            </w:r>
            <w:r>
              <w:instrText xml:space="preserve">PAGEREF _Toc719002126 \h</w:instrText>
            </w:r>
            <w:r>
              <w:fldChar w:fldCharType="separate"/>
            </w:r>
            <w:r w:rsidRPr="3DC7A50A" w:rsidR="3DC7A50A">
              <w:rPr>
                <w:rStyle w:val="Hyperlink"/>
              </w:rPr>
              <w:t>7</w:t>
            </w:r>
            <w:r>
              <w:fldChar w:fldCharType="end"/>
            </w:r>
          </w:hyperlink>
        </w:p>
        <w:p w:rsidR="50C65511" w:rsidP="3DC7A50A" w:rsidRDefault="50C65511" w14:paraId="70502900" w14:textId="7AF2D44F">
          <w:pPr>
            <w:pStyle w:val="TOC2"/>
            <w:tabs>
              <w:tab w:val="right" w:leader="dot" w:pos="9360"/>
            </w:tabs>
            <w:bidi w:val="0"/>
            <w:spacing w:before="240" w:beforeAutospacing="off" w:after="240" w:afterAutospacing="off"/>
            <w:rPr>
              <w:rStyle w:val="Hyperlink"/>
            </w:rPr>
          </w:pPr>
          <w:hyperlink w:anchor="_Toc712998185">
            <w:r w:rsidRPr="3DC7A50A" w:rsidR="3DC7A50A">
              <w:rPr>
                <w:rStyle w:val="Hyperlink"/>
              </w:rPr>
              <w:t>1.4 Problem Statement</w:t>
            </w:r>
            <w:r>
              <w:tab/>
            </w:r>
            <w:r>
              <w:fldChar w:fldCharType="begin"/>
            </w:r>
            <w:r>
              <w:instrText xml:space="preserve">PAGEREF _Toc712998185 \h</w:instrText>
            </w:r>
            <w:r>
              <w:fldChar w:fldCharType="separate"/>
            </w:r>
            <w:r w:rsidRPr="3DC7A50A" w:rsidR="3DC7A50A">
              <w:rPr>
                <w:rStyle w:val="Hyperlink"/>
              </w:rPr>
              <w:t>8</w:t>
            </w:r>
            <w:r>
              <w:fldChar w:fldCharType="end"/>
            </w:r>
          </w:hyperlink>
        </w:p>
        <w:p w:rsidR="50C65511" w:rsidP="3DC7A50A" w:rsidRDefault="50C65511" w14:paraId="35637F82" w14:textId="1B123A78">
          <w:pPr>
            <w:pStyle w:val="TOC2"/>
            <w:tabs>
              <w:tab w:val="right" w:leader="dot" w:pos="9360"/>
            </w:tabs>
            <w:bidi w:val="0"/>
            <w:spacing w:before="240" w:beforeAutospacing="off" w:after="240" w:afterAutospacing="off"/>
            <w:rPr>
              <w:rStyle w:val="Hyperlink"/>
            </w:rPr>
          </w:pPr>
          <w:hyperlink w:anchor="_Toc1525370223">
            <w:r w:rsidRPr="3DC7A50A" w:rsidR="3DC7A50A">
              <w:rPr>
                <w:rStyle w:val="Hyperlink"/>
              </w:rPr>
              <w:t>1.5 Aim of the Study</w:t>
            </w:r>
            <w:r>
              <w:tab/>
            </w:r>
            <w:r>
              <w:fldChar w:fldCharType="begin"/>
            </w:r>
            <w:r>
              <w:instrText xml:space="preserve">PAGEREF _Toc1525370223 \h</w:instrText>
            </w:r>
            <w:r>
              <w:fldChar w:fldCharType="separate"/>
            </w:r>
            <w:r w:rsidRPr="3DC7A50A" w:rsidR="3DC7A50A">
              <w:rPr>
                <w:rStyle w:val="Hyperlink"/>
              </w:rPr>
              <w:t>8</w:t>
            </w:r>
            <w:r>
              <w:fldChar w:fldCharType="end"/>
            </w:r>
          </w:hyperlink>
        </w:p>
        <w:p w:rsidR="50C65511" w:rsidP="3DC7A50A" w:rsidRDefault="50C65511" w14:paraId="773632E1" w14:textId="797111E9">
          <w:pPr>
            <w:pStyle w:val="TOC2"/>
            <w:tabs>
              <w:tab w:val="right" w:leader="dot" w:pos="9360"/>
            </w:tabs>
            <w:bidi w:val="0"/>
            <w:spacing w:before="240" w:beforeAutospacing="off" w:after="240" w:afterAutospacing="off"/>
            <w:rPr>
              <w:rStyle w:val="Hyperlink"/>
            </w:rPr>
          </w:pPr>
          <w:hyperlink w:anchor="_Toc225938619">
            <w:r w:rsidRPr="3DC7A50A" w:rsidR="3DC7A50A">
              <w:rPr>
                <w:rStyle w:val="Hyperlink"/>
              </w:rPr>
              <w:t>1.6 Research Objectives</w:t>
            </w:r>
            <w:r>
              <w:tab/>
            </w:r>
            <w:r>
              <w:fldChar w:fldCharType="begin"/>
            </w:r>
            <w:r>
              <w:instrText xml:space="preserve">PAGEREF _Toc225938619 \h</w:instrText>
            </w:r>
            <w:r>
              <w:fldChar w:fldCharType="separate"/>
            </w:r>
            <w:r w:rsidRPr="3DC7A50A" w:rsidR="3DC7A50A">
              <w:rPr>
                <w:rStyle w:val="Hyperlink"/>
              </w:rPr>
              <w:t>8</w:t>
            </w:r>
            <w:r>
              <w:fldChar w:fldCharType="end"/>
            </w:r>
          </w:hyperlink>
        </w:p>
        <w:p w:rsidR="50C65511" w:rsidP="3DC7A50A" w:rsidRDefault="50C65511" w14:paraId="2F336E72" w14:textId="06D4EF71">
          <w:pPr>
            <w:pStyle w:val="TOC2"/>
            <w:tabs>
              <w:tab w:val="right" w:leader="dot" w:pos="9360"/>
            </w:tabs>
            <w:bidi w:val="0"/>
            <w:spacing w:before="240" w:beforeAutospacing="off" w:after="240" w:afterAutospacing="off"/>
            <w:rPr>
              <w:rStyle w:val="Hyperlink"/>
            </w:rPr>
          </w:pPr>
          <w:hyperlink w:anchor="_Toc944369474">
            <w:r w:rsidRPr="3DC7A50A" w:rsidR="3DC7A50A">
              <w:rPr>
                <w:rStyle w:val="Hyperlink"/>
              </w:rPr>
              <w:t>1.7 Research Questions</w:t>
            </w:r>
            <w:r>
              <w:tab/>
            </w:r>
            <w:r>
              <w:fldChar w:fldCharType="begin"/>
            </w:r>
            <w:r>
              <w:instrText xml:space="preserve">PAGEREF _Toc944369474 \h</w:instrText>
            </w:r>
            <w:r>
              <w:fldChar w:fldCharType="separate"/>
            </w:r>
            <w:r w:rsidRPr="3DC7A50A" w:rsidR="3DC7A50A">
              <w:rPr>
                <w:rStyle w:val="Hyperlink"/>
              </w:rPr>
              <w:t>8</w:t>
            </w:r>
            <w:r>
              <w:fldChar w:fldCharType="end"/>
            </w:r>
          </w:hyperlink>
        </w:p>
        <w:p w:rsidR="50C65511" w:rsidP="3DC7A50A" w:rsidRDefault="50C65511" w14:paraId="7FF5D177" w14:textId="16D2011E">
          <w:pPr>
            <w:pStyle w:val="TOC2"/>
            <w:tabs>
              <w:tab w:val="right" w:leader="dot" w:pos="9360"/>
            </w:tabs>
            <w:bidi w:val="0"/>
            <w:spacing w:before="240" w:beforeAutospacing="off" w:after="240" w:afterAutospacing="off"/>
            <w:rPr>
              <w:rStyle w:val="Hyperlink"/>
            </w:rPr>
          </w:pPr>
          <w:hyperlink w:anchor="_Toc92000489">
            <w:r w:rsidRPr="3DC7A50A" w:rsidR="3DC7A50A">
              <w:rPr>
                <w:rStyle w:val="Hyperlink"/>
              </w:rPr>
              <w:t>1.8 Significance of the Study</w:t>
            </w:r>
            <w:r>
              <w:tab/>
            </w:r>
            <w:r>
              <w:fldChar w:fldCharType="begin"/>
            </w:r>
            <w:r>
              <w:instrText xml:space="preserve">PAGEREF _Toc92000489 \h</w:instrText>
            </w:r>
            <w:r>
              <w:fldChar w:fldCharType="separate"/>
            </w:r>
            <w:r w:rsidRPr="3DC7A50A" w:rsidR="3DC7A50A">
              <w:rPr>
                <w:rStyle w:val="Hyperlink"/>
              </w:rPr>
              <w:t>9</w:t>
            </w:r>
            <w:r>
              <w:fldChar w:fldCharType="end"/>
            </w:r>
          </w:hyperlink>
        </w:p>
        <w:p w:rsidR="50C65511" w:rsidP="3DC7A50A" w:rsidRDefault="50C65511" w14:paraId="69D6FA3C" w14:textId="71C829DB">
          <w:pPr>
            <w:pStyle w:val="TOC2"/>
            <w:tabs>
              <w:tab w:val="right" w:leader="dot" w:pos="9360"/>
            </w:tabs>
            <w:bidi w:val="0"/>
            <w:spacing w:before="240" w:beforeAutospacing="off" w:after="240" w:afterAutospacing="off"/>
            <w:rPr>
              <w:rStyle w:val="Hyperlink"/>
            </w:rPr>
          </w:pPr>
          <w:hyperlink w:anchor="_Toc1559764084">
            <w:r w:rsidRPr="3DC7A50A" w:rsidR="3DC7A50A">
              <w:rPr>
                <w:rStyle w:val="Hyperlink"/>
              </w:rPr>
              <w:t>1.9 Chapter Summary</w:t>
            </w:r>
            <w:r>
              <w:tab/>
            </w:r>
            <w:r>
              <w:fldChar w:fldCharType="begin"/>
            </w:r>
            <w:r>
              <w:instrText xml:space="preserve">PAGEREF _Toc1559764084 \h</w:instrText>
            </w:r>
            <w:r>
              <w:fldChar w:fldCharType="separate"/>
            </w:r>
            <w:r w:rsidRPr="3DC7A50A" w:rsidR="3DC7A50A">
              <w:rPr>
                <w:rStyle w:val="Hyperlink"/>
              </w:rPr>
              <w:t>9</w:t>
            </w:r>
            <w:r>
              <w:fldChar w:fldCharType="end"/>
            </w:r>
          </w:hyperlink>
        </w:p>
        <w:p w:rsidR="50C65511" w:rsidP="3DC7A50A" w:rsidRDefault="50C65511" w14:paraId="6E3C18F5" w14:textId="23211854">
          <w:pPr>
            <w:pStyle w:val="TOC1"/>
            <w:tabs>
              <w:tab w:val="right" w:leader="dot" w:pos="9360"/>
            </w:tabs>
            <w:bidi w:val="0"/>
            <w:spacing w:before="240" w:beforeAutospacing="off" w:after="240" w:afterAutospacing="off"/>
            <w:rPr>
              <w:rStyle w:val="Hyperlink"/>
            </w:rPr>
          </w:pPr>
          <w:hyperlink w:anchor="_Toc1149110926">
            <w:r w:rsidRPr="3DC7A50A" w:rsidR="3DC7A50A">
              <w:rPr>
                <w:rStyle w:val="Hyperlink"/>
              </w:rPr>
              <w:t>Chapter 2: Literature Review</w:t>
            </w:r>
            <w:r>
              <w:tab/>
            </w:r>
            <w:r>
              <w:fldChar w:fldCharType="begin"/>
            </w:r>
            <w:r>
              <w:instrText xml:space="preserve">PAGEREF _Toc1149110926 \h</w:instrText>
            </w:r>
            <w:r>
              <w:fldChar w:fldCharType="separate"/>
            </w:r>
            <w:r w:rsidRPr="3DC7A50A" w:rsidR="3DC7A50A">
              <w:rPr>
                <w:rStyle w:val="Hyperlink"/>
              </w:rPr>
              <w:t>10</w:t>
            </w:r>
            <w:r>
              <w:fldChar w:fldCharType="end"/>
            </w:r>
          </w:hyperlink>
        </w:p>
        <w:p w:rsidR="50C65511" w:rsidP="3DC7A50A" w:rsidRDefault="50C65511" w14:paraId="193A620B" w14:textId="09CF2BA4">
          <w:pPr>
            <w:pStyle w:val="TOC2"/>
            <w:tabs>
              <w:tab w:val="right" w:leader="dot" w:pos="9360"/>
            </w:tabs>
            <w:bidi w:val="0"/>
            <w:spacing w:before="240" w:beforeAutospacing="off" w:after="240" w:afterAutospacing="off"/>
            <w:rPr>
              <w:rStyle w:val="Hyperlink"/>
            </w:rPr>
          </w:pPr>
          <w:hyperlink w:anchor="_Toc299765232">
            <w:r w:rsidRPr="3DC7A50A" w:rsidR="3DC7A50A">
              <w:rPr>
                <w:rStyle w:val="Hyperlink"/>
              </w:rPr>
              <w:t>2.1 Introduction</w:t>
            </w:r>
            <w:r>
              <w:tab/>
            </w:r>
            <w:r>
              <w:fldChar w:fldCharType="begin"/>
            </w:r>
            <w:r>
              <w:instrText xml:space="preserve">PAGEREF _Toc299765232 \h</w:instrText>
            </w:r>
            <w:r>
              <w:fldChar w:fldCharType="separate"/>
            </w:r>
            <w:r w:rsidRPr="3DC7A50A" w:rsidR="3DC7A50A">
              <w:rPr>
                <w:rStyle w:val="Hyperlink"/>
              </w:rPr>
              <w:t>10</w:t>
            </w:r>
            <w:r>
              <w:fldChar w:fldCharType="end"/>
            </w:r>
          </w:hyperlink>
        </w:p>
        <w:p w:rsidR="50C65511" w:rsidP="3DC7A50A" w:rsidRDefault="50C65511" w14:paraId="5A180CDD" w14:textId="507DAE6F">
          <w:pPr>
            <w:pStyle w:val="TOC2"/>
            <w:tabs>
              <w:tab w:val="right" w:leader="dot" w:pos="9360"/>
            </w:tabs>
            <w:bidi w:val="0"/>
            <w:spacing w:before="240" w:beforeAutospacing="off" w:after="240" w:afterAutospacing="off"/>
            <w:rPr>
              <w:rStyle w:val="Hyperlink"/>
            </w:rPr>
          </w:pPr>
          <w:hyperlink w:anchor="_Toc609363952">
            <w:r w:rsidRPr="3DC7A50A" w:rsidR="3DC7A50A">
              <w:rPr>
                <w:rStyle w:val="Hyperlink"/>
              </w:rPr>
              <w:t>2.2 Global burden of medication errors and patient safety priorities</w:t>
            </w:r>
            <w:r>
              <w:tab/>
            </w:r>
            <w:r>
              <w:fldChar w:fldCharType="begin"/>
            </w:r>
            <w:r>
              <w:instrText xml:space="preserve">PAGEREF _Toc609363952 \h</w:instrText>
            </w:r>
            <w:r>
              <w:fldChar w:fldCharType="separate"/>
            </w:r>
            <w:r w:rsidRPr="3DC7A50A" w:rsidR="3DC7A50A">
              <w:rPr>
                <w:rStyle w:val="Hyperlink"/>
              </w:rPr>
              <w:t>11</w:t>
            </w:r>
            <w:r>
              <w:fldChar w:fldCharType="end"/>
            </w:r>
          </w:hyperlink>
        </w:p>
        <w:p w:rsidR="50C65511" w:rsidP="3DC7A50A" w:rsidRDefault="50C65511" w14:paraId="46121DAE" w14:textId="097E0C86">
          <w:pPr>
            <w:pStyle w:val="TOC2"/>
            <w:tabs>
              <w:tab w:val="right" w:leader="dot" w:pos="9360"/>
            </w:tabs>
            <w:bidi w:val="0"/>
            <w:spacing w:before="240" w:beforeAutospacing="off" w:after="240" w:afterAutospacing="off"/>
            <w:rPr>
              <w:rStyle w:val="Hyperlink"/>
            </w:rPr>
          </w:pPr>
          <w:hyperlink w:anchor="_Toc1236040557">
            <w:r w:rsidRPr="3DC7A50A" w:rsidR="3DC7A50A">
              <w:rPr>
                <w:rStyle w:val="Hyperlink"/>
              </w:rPr>
              <w:t>2.3 Definition, types, and prevalence of dispensing errors</w:t>
            </w:r>
            <w:r>
              <w:tab/>
            </w:r>
            <w:r>
              <w:fldChar w:fldCharType="begin"/>
            </w:r>
            <w:r>
              <w:instrText xml:space="preserve">PAGEREF _Toc1236040557 \h</w:instrText>
            </w:r>
            <w:r>
              <w:fldChar w:fldCharType="separate"/>
            </w:r>
            <w:r w:rsidRPr="3DC7A50A" w:rsidR="3DC7A50A">
              <w:rPr>
                <w:rStyle w:val="Hyperlink"/>
              </w:rPr>
              <w:t>11</w:t>
            </w:r>
            <w:r>
              <w:fldChar w:fldCharType="end"/>
            </w:r>
          </w:hyperlink>
        </w:p>
        <w:p w:rsidR="50C65511" w:rsidP="3DC7A50A" w:rsidRDefault="50C65511" w14:paraId="20AD3B58" w14:textId="57FEE5CD">
          <w:pPr>
            <w:pStyle w:val="TOC2"/>
            <w:tabs>
              <w:tab w:val="right" w:leader="dot" w:pos="9360"/>
            </w:tabs>
            <w:bidi w:val="0"/>
            <w:spacing w:before="240" w:beforeAutospacing="off" w:after="240" w:afterAutospacing="off"/>
            <w:rPr>
              <w:rStyle w:val="Hyperlink"/>
            </w:rPr>
          </w:pPr>
          <w:hyperlink w:anchor="_Toc325720152">
            <w:r w:rsidRPr="3DC7A50A" w:rsidR="3DC7A50A">
              <w:rPr>
                <w:rStyle w:val="Hyperlink"/>
              </w:rPr>
              <w:t>2.4 LMIC pharmacy contexts and system-related vulnerabilities</w:t>
            </w:r>
            <w:r>
              <w:tab/>
            </w:r>
            <w:r>
              <w:fldChar w:fldCharType="begin"/>
            </w:r>
            <w:r>
              <w:instrText xml:space="preserve">PAGEREF _Toc325720152 \h</w:instrText>
            </w:r>
            <w:r>
              <w:fldChar w:fldCharType="separate"/>
            </w:r>
            <w:r w:rsidRPr="3DC7A50A" w:rsidR="3DC7A50A">
              <w:rPr>
                <w:rStyle w:val="Hyperlink"/>
              </w:rPr>
              <w:t>12</w:t>
            </w:r>
            <w:r>
              <w:fldChar w:fldCharType="end"/>
            </w:r>
          </w:hyperlink>
        </w:p>
        <w:p w:rsidR="50C65511" w:rsidP="3DC7A50A" w:rsidRDefault="50C65511" w14:paraId="238194FC" w14:textId="161E7704">
          <w:pPr>
            <w:pStyle w:val="TOC2"/>
            <w:tabs>
              <w:tab w:val="right" w:leader="dot" w:pos="9360"/>
            </w:tabs>
            <w:bidi w:val="0"/>
            <w:spacing w:before="240" w:beforeAutospacing="off" w:after="240" w:afterAutospacing="off"/>
            <w:rPr>
              <w:rStyle w:val="Hyperlink"/>
            </w:rPr>
          </w:pPr>
          <w:hyperlink w:anchor="_Toc466394164">
            <w:r w:rsidRPr="3DC7A50A" w:rsidR="3DC7A50A">
              <w:rPr>
                <w:rStyle w:val="Hyperlink"/>
              </w:rPr>
              <w:t>2.5 Human factors and organisational contributors to dispensing errors</w:t>
            </w:r>
            <w:r>
              <w:tab/>
            </w:r>
            <w:r>
              <w:fldChar w:fldCharType="begin"/>
            </w:r>
            <w:r>
              <w:instrText xml:space="preserve">PAGEREF _Toc466394164 \h</w:instrText>
            </w:r>
            <w:r>
              <w:fldChar w:fldCharType="separate"/>
            </w:r>
            <w:r w:rsidRPr="3DC7A50A" w:rsidR="3DC7A50A">
              <w:rPr>
                <w:rStyle w:val="Hyperlink"/>
              </w:rPr>
              <w:t>13</w:t>
            </w:r>
            <w:r>
              <w:fldChar w:fldCharType="end"/>
            </w:r>
          </w:hyperlink>
        </w:p>
        <w:p w:rsidR="50C65511" w:rsidP="3DC7A50A" w:rsidRDefault="50C65511" w14:paraId="2CAD3D3C" w14:textId="14F9FBCC">
          <w:pPr>
            <w:pStyle w:val="TOC2"/>
            <w:tabs>
              <w:tab w:val="right" w:leader="dot" w:pos="9360"/>
            </w:tabs>
            <w:bidi w:val="0"/>
            <w:spacing w:before="240" w:beforeAutospacing="off" w:after="240" w:afterAutospacing="off"/>
            <w:rPr>
              <w:rStyle w:val="Hyperlink"/>
            </w:rPr>
          </w:pPr>
          <w:hyperlink w:anchor="_Toc29886195">
            <w:r w:rsidRPr="3DC7A50A" w:rsidR="3DC7A50A">
              <w:rPr>
                <w:rStyle w:val="Hyperlink"/>
              </w:rPr>
              <w:t>2.6 Sociocultural and ethical influences on dispensing practice</w:t>
            </w:r>
            <w:r>
              <w:tab/>
            </w:r>
            <w:r>
              <w:fldChar w:fldCharType="begin"/>
            </w:r>
            <w:r>
              <w:instrText xml:space="preserve">PAGEREF _Toc29886195 \h</w:instrText>
            </w:r>
            <w:r>
              <w:fldChar w:fldCharType="separate"/>
            </w:r>
            <w:r w:rsidRPr="3DC7A50A" w:rsidR="3DC7A50A">
              <w:rPr>
                <w:rStyle w:val="Hyperlink"/>
              </w:rPr>
              <w:t>13</w:t>
            </w:r>
            <w:r>
              <w:fldChar w:fldCharType="end"/>
            </w:r>
          </w:hyperlink>
        </w:p>
        <w:p w:rsidR="50C65511" w:rsidP="3DC7A50A" w:rsidRDefault="50C65511" w14:paraId="0BA579F7" w14:textId="6E6847DE">
          <w:pPr>
            <w:pStyle w:val="TOC2"/>
            <w:tabs>
              <w:tab w:val="right" w:leader="dot" w:pos="9360"/>
            </w:tabs>
            <w:bidi w:val="0"/>
            <w:spacing w:before="240" w:beforeAutospacing="off" w:after="240" w:afterAutospacing="off"/>
            <w:rPr>
              <w:rStyle w:val="Hyperlink"/>
            </w:rPr>
          </w:pPr>
          <w:hyperlink w:anchor="_Toc1943995417">
            <w:r w:rsidRPr="3DC7A50A" w:rsidR="3DC7A50A">
              <w:rPr>
                <w:rStyle w:val="Hyperlink"/>
              </w:rPr>
              <w:t>2.7 Dispensing errors, antimicrobial stewardship, and AMR</w:t>
            </w:r>
            <w:r>
              <w:tab/>
            </w:r>
            <w:r>
              <w:fldChar w:fldCharType="begin"/>
            </w:r>
            <w:r>
              <w:instrText xml:space="preserve">PAGEREF _Toc1943995417 \h</w:instrText>
            </w:r>
            <w:r>
              <w:fldChar w:fldCharType="separate"/>
            </w:r>
            <w:r w:rsidRPr="3DC7A50A" w:rsidR="3DC7A50A">
              <w:rPr>
                <w:rStyle w:val="Hyperlink"/>
              </w:rPr>
              <w:t>13</w:t>
            </w:r>
            <w:r>
              <w:fldChar w:fldCharType="end"/>
            </w:r>
          </w:hyperlink>
        </w:p>
        <w:p w:rsidR="50C65511" w:rsidP="3DC7A50A" w:rsidRDefault="50C65511" w14:paraId="2ECEAFFA" w14:textId="7B59144D">
          <w:pPr>
            <w:pStyle w:val="TOC2"/>
            <w:tabs>
              <w:tab w:val="right" w:leader="dot" w:pos="9360"/>
            </w:tabs>
            <w:bidi w:val="0"/>
            <w:spacing w:before="240" w:beforeAutospacing="off" w:after="240" w:afterAutospacing="off"/>
            <w:rPr>
              <w:rStyle w:val="Hyperlink"/>
            </w:rPr>
          </w:pPr>
          <w:hyperlink w:anchor="_Toc890698901">
            <w:r w:rsidRPr="3DC7A50A" w:rsidR="3DC7A50A">
              <w:rPr>
                <w:rStyle w:val="Hyperlink"/>
              </w:rPr>
              <w:t>2.8 Quality improvement approaches in pharmacy practice</w:t>
            </w:r>
            <w:r>
              <w:tab/>
            </w:r>
            <w:r>
              <w:fldChar w:fldCharType="begin"/>
            </w:r>
            <w:r>
              <w:instrText xml:space="preserve">PAGEREF _Toc890698901 \h</w:instrText>
            </w:r>
            <w:r>
              <w:fldChar w:fldCharType="separate"/>
            </w:r>
            <w:r w:rsidRPr="3DC7A50A" w:rsidR="3DC7A50A">
              <w:rPr>
                <w:rStyle w:val="Hyperlink"/>
              </w:rPr>
              <w:t>14</w:t>
            </w:r>
            <w:r>
              <w:fldChar w:fldCharType="end"/>
            </w:r>
          </w:hyperlink>
        </w:p>
        <w:p w:rsidR="50C65511" w:rsidP="407E75B8" w:rsidRDefault="50C65511" w14:paraId="55AC8E85" w14:textId="2E9B9662">
          <w:pPr>
            <w:pStyle w:val="TOC2"/>
            <w:tabs>
              <w:tab w:val="right" w:leader="dot" w:pos="9360"/>
            </w:tabs>
            <w:bidi w:val="0"/>
            <w:spacing w:before="240" w:beforeAutospacing="off" w:after="240" w:afterAutospacing="off"/>
            <w:rPr>
              <w:rStyle w:val="Hyperlink"/>
            </w:rPr>
          </w:pPr>
          <w:hyperlink w:anchor="_Toc1045772096">
            <w:r w:rsidRPr="3DC7A50A" w:rsidR="3DC7A50A">
              <w:rPr>
                <w:rStyle w:val="Hyperlink"/>
              </w:rPr>
              <w:t>2.9 Gaps in existing literature and rationale for the current study</w:t>
            </w:r>
            <w:r>
              <w:tab/>
            </w:r>
            <w:r>
              <w:fldChar w:fldCharType="begin"/>
            </w:r>
            <w:r>
              <w:instrText xml:space="preserve">PAGEREF _Toc1045772096 \h</w:instrText>
            </w:r>
            <w:r>
              <w:fldChar w:fldCharType="separate"/>
            </w:r>
            <w:r w:rsidRPr="3DC7A50A" w:rsidR="3DC7A50A">
              <w:rPr>
                <w:rStyle w:val="Hyperlink"/>
              </w:rPr>
              <w:t>14</w:t>
            </w:r>
            <w:r>
              <w:fldChar w:fldCharType="end"/>
            </w:r>
          </w:hyperlink>
        </w:p>
        <w:p w:rsidR="50C65511" w:rsidP="3DC7A50A" w:rsidRDefault="50C65511" w14:paraId="0ECE3A5F" w14:textId="15C26EE0">
          <w:pPr>
            <w:pStyle w:val="TOC2"/>
            <w:tabs>
              <w:tab w:val="right" w:leader="dot" w:pos="9360"/>
            </w:tabs>
            <w:bidi w:val="0"/>
            <w:spacing w:before="240" w:beforeAutospacing="off" w:after="240" w:afterAutospacing="off"/>
            <w:rPr>
              <w:rStyle w:val="Hyperlink"/>
            </w:rPr>
          </w:pPr>
          <w:hyperlink w:anchor="_Toc842842066">
            <w:r w:rsidRPr="3DC7A50A" w:rsidR="3DC7A50A">
              <w:rPr>
                <w:rStyle w:val="Hyperlink"/>
              </w:rPr>
              <w:t>2.10 Summary</w:t>
            </w:r>
            <w:r>
              <w:tab/>
            </w:r>
            <w:r>
              <w:fldChar w:fldCharType="begin"/>
            </w:r>
            <w:r>
              <w:instrText xml:space="preserve">PAGEREF _Toc842842066 \h</w:instrText>
            </w:r>
            <w:r>
              <w:fldChar w:fldCharType="separate"/>
            </w:r>
            <w:r w:rsidRPr="3DC7A50A" w:rsidR="3DC7A50A">
              <w:rPr>
                <w:rStyle w:val="Hyperlink"/>
              </w:rPr>
              <w:t>15</w:t>
            </w:r>
            <w:r>
              <w:fldChar w:fldCharType="end"/>
            </w:r>
          </w:hyperlink>
        </w:p>
        <w:p w:rsidR="50C65511" w:rsidP="3DC7A50A" w:rsidRDefault="50C65511" w14:paraId="577271EC" w14:textId="1CF8CCE9">
          <w:pPr>
            <w:pStyle w:val="TOC1"/>
            <w:tabs>
              <w:tab w:val="right" w:leader="dot" w:pos="9360"/>
            </w:tabs>
            <w:bidi w:val="0"/>
            <w:spacing w:before="240" w:beforeAutospacing="off" w:after="240" w:afterAutospacing="off"/>
            <w:rPr>
              <w:rStyle w:val="Hyperlink"/>
            </w:rPr>
          </w:pPr>
          <w:hyperlink w:anchor="_Toc48393913">
            <w:r w:rsidRPr="3DC7A50A" w:rsidR="3DC7A50A">
              <w:rPr>
                <w:rStyle w:val="Hyperlink"/>
              </w:rPr>
              <w:t>Chapter 3: Methodology</w:t>
            </w:r>
            <w:r>
              <w:tab/>
            </w:r>
            <w:r>
              <w:fldChar w:fldCharType="begin"/>
            </w:r>
            <w:r>
              <w:instrText xml:space="preserve">PAGEREF _Toc48393913 \h</w:instrText>
            </w:r>
            <w:r>
              <w:fldChar w:fldCharType="separate"/>
            </w:r>
            <w:r w:rsidRPr="3DC7A50A" w:rsidR="3DC7A50A">
              <w:rPr>
                <w:rStyle w:val="Hyperlink"/>
              </w:rPr>
              <w:t>15</w:t>
            </w:r>
            <w:r>
              <w:fldChar w:fldCharType="end"/>
            </w:r>
          </w:hyperlink>
        </w:p>
        <w:p w:rsidR="50C65511" w:rsidP="3DC7A50A" w:rsidRDefault="50C65511" w14:paraId="24D3D505" w14:textId="259B6FFA">
          <w:pPr>
            <w:pStyle w:val="TOC2"/>
            <w:tabs>
              <w:tab w:val="right" w:leader="dot" w:pos="9360"/>
            </w:tabs>
            <w:bidi w:val="0"/>
            <w:spacing w:before="240" w:beforeAutospacing="off" w:after="240" w:afterAutospacing="off"/>
            <w:rPr>
              <w:rStyle w:val="Hyperlink"/>
            </w:rPr>
          </w:pPr>
          <w:hyperlink w:anchor="_Toc1079894561">
            <w:r w:rsidRPr="3DC7A50A" w:rsidR="3DC7A50A">
              <w:rPr>
                <w:rStyle w:val="Hyperlink"/>
              </w:rPr>
              <w:t>3.1 Introduction</w:t>
            </w:r>
            <w:r>
              <w:tab/>
            </w:r>
            <w:r>
              <w:fldChar w:fldCharType="begin"/>
            </w:r>
            <w:r>
              <w:instrText xml:space="preserve">PAGEREF _Toc1079894561 \h</w:instrText>
            </w:r>
            <w:r>
              <w:fldChar w:fldCharType="separate"/>
            </w:r>
            <w:r w:rsidRPr="3DC7A50A" w:rsidR="3DC7A50A">
              <w:rPr>
                <w:rStyle w:val="Hyperlink"/>
              </w:rPr>
              <w:t>15</w:t>
            </w:r>
            <w:r>
              <w:fldChar w:fldCharType="end"/>
            </w:r>
          </w:hyperlink>
        </w:p>
        <w:p w:rsidR="50C65511" w:rsidP="3DC7A50A" w:rsidRDefault="50C65511" w14:paraId="7E54B903" w14:textId="3C286BCC">
          <w:pPr>
            <w:pStyle w:val="TOC2"/>
            <w:tabs>
              <w:tab w:val="right" w:leader="dot" w:pos="9360"/>
            </w:tabs>
            <w:bidi w:val="0"/>
            <w:spacing w:before="240" w:beforeAutospacing="off" w:after="240" w:afterAutospacing="off"/>
            <w:rPr>
              <w:rStyle w:val="Hyperlink"/>
            </w:rPr>
          </w:pPr>
          <w:hyperlink w:anchor="_Toc102258599">
            <w:r w:rsidRPr="3DC7A50A" w:rsidR="3DC7A50A">
              <w:rPr>
                <w:rStyle w:val="Hyperlink"/>
              </w:rPr>
              <w:t>3.2 Systematic Literature Review (SLR)</w:t>
            </w:r>
            <w:r>
              <w:tab/>
            </w:r>
            <w:r>
              <w:fldChar w:fldCharType="begin"/>
            </w:r>
            <w:r>
              <w:instrText xml:space="preserve">PAGEREF _Toc102258599 \h</w:instrText>
            </w:r>
            <w:r>
              <w:fldChar w:fldCharType="separate"/>
            </w:r>
            <w:r w:rsidRPr="3DC7A50A" w:rsidR="3DC7A50A">
              <w:rPr>
                <w:rStyle w:val="Hyperlink"/>
              </w:rPr>
              <w:t>16</w:t>
            </w:r>
            <w:r>
              <w:fldChar w:fldCharType="end"/>
            </w:r>
          </w:hyperlink>
        </w:p>
        <w:p w:rsidR="50C65511" w:rsidP="3DC7A50A" w:rsidRDefault="50C65511" w14:paraId="3F70D481" w14:textId="0456B708">
          <w:pPr>
            <w:pStyle w:val="TOC2"/>
            <w:tabs>
              <w:tab w:val="right" w:leader="dot" w:pos="9360"/>
            </w:tabs>
            <w:bidi w:val="0"/>
            <w:spacing w:before="240" w:beforeAutospacing="off" w:after="240" w:afterAutospacing="off"/>
            <w:rPr>
              <w:rStyle w:val="Hyperlink"/>
            </w:rPr>
          </w:pPr>
          <w:hyperlink w:anchor="_Toc1037280874">
            <w:r w:rsidRPr="3DC7A50A" w:rsidR="3DC7A50A">
              <w:rPr>
                <w:rStyle w:val="Hyperlink"/>
              </w:rPr>
              <w:t>3.3 Search Strategy and Databases</w:t>
            </w:r>
            <w:r>
              <w:tab/>
            </w:r>
            <w:r>
              <w:fldChar w:fldCharType="begin"/>
            </w:r>
            <w:r>
              <w:instrText xml:space="preserve">PAGEREF _Toc1037280874 \h</w:instrText>
            </w:r>
            <w:r>
              <w:fldChar w:fldCharType="separate"/>
            </w:r>
            <w:r w:rsidRPr="3DC7A50A" w:rsidR="3DC7A50A">
              <w:rPr>
                <w:rStyle w:val="Hyperlink"/>
              </w:rPr>
              <w:t>17</w:t>
            </w:r>
            <w:r>
              <w:fldChar w:fldCharType="end"/>
            </w:r>
          </w:hyperlink>
        </w:p>
        <w:p w:rsidR="50C65511" w:rsidP="407E75B8" w:rsidRDefault="50C65511" w14:paraId="16330C60" w14:textId="25DEBF8C">
          <w:pPr>
            <w:pStyle w:val="TOC3"/>
            <w:tabs>
              <w:tab w:val="right" w:leader="dot" w:pos="9360"/>
            </w:tabs>
            <w:bidi w:val="0"/>
            <w:spacing w:before="240" w:beforeAutospacing="off" w:after="240" w:afterAutospacing="off"/>
            <w:rPr>
              <w:rStyle w:val="Hyperlink"/>
            </w:rPr>
          </w:pPr>
          <w:hyperlink w:anchor="_Toc534325944">
            <w:r w:rsidRPr="3DC7A50A" w:rsidR="3DC7A50A">
              <w:rPr>
                <w:rStyle w:val="Hyperlink"/>
              </w:rPr>
              <w:t>3.3.1 PICO Framework</w:t>
            </w:r>
            <w:r>
              <w:tab/>
            </w:r>
            <w:r>
              <w:fldChar w:fldCharType="begin"/>
            </w:r>
            <w:r>
              <w:instrText xml:space="preserve">PAGEREF _Toc534325944 \h</w:instrText>
            </w:r>
            <w:r>
              <w:fldChar w:fldCharType="separate"/>
            </w:r>
            <w:r w:rsidRPr="3DC7A50A" w:rsidR="3DC7A50A">
              <w:rPr>
                <w:rStyle w:val="Hyperlink"/>
              </w:rPr>
              <w:t>17</w:t>
            </w:r>
            <w:r>
              <w:fldChar w:fldCharType="end"/>
            </w:r>
          </w:hyperlink>
        </w:p>
        <w:p w:rsidR="50C65511" w:rsidP="407E75B8" w:rsidRDefault="50C65511" w14:paraId="52ADD81E" w14:textId="43B2D1D6">
          <w:pPr>
            <w:pStyle w:val="TOC3"/>
            <w:tabs>
              <w:tab w:val="right" w:leader="dot" w:pos="9360"/>
            </w:tabs>
            <w:bidi w:val="0"/>
            <w:spacing w:before="240" w:beforeAutospacing="off" w:after="240" w:afterAutospacing="off"/>
            <w:rPr>
              <w:rStyle w:val="Hyperlink"/>
            </w:rPr>
          </w:pPr>
          <w:hyperlink w:anchor="_Toc945611588">
            <w:r w:rsidRPr="3DC7A50A" w:rsidR="3DC7A50A">
              <w:rPr>
                <w:rStyle w:val="Hyperlink"/>
              </w:rPr>
              <w:t>3.3.2 Databases Searched</w:t>
            </w:r>
            <w:r>
              <w:tab/>
            </w:r>
            <w:r>
              <w:fldChar w:fldCharType="begin"/>
            </w:r>
            <w:r>
              <w:instrText xml:space="preserve">PAGEREF _Toc945611588 \h</w:instrText>
            </w:r>
            <w:r>
              <w:fldChar w:fldCharType="separate"/>
            </w:r>
            <w:r w:rsidRPr="3DC7A50A" w:rsidR="3DC7A50A">
              <w:rPr>
                <w:rStyle w:val="Hyperlink"/>
              </w:rPr>
              <w:t>17</w:t>
            </w:r>
            <w:r>
              <w:fldChar w:fldCharType="end"/>
            </w:r>
          </w:hyperlink>
        </w:p>
        <w:p w:rsidR="50C65511" w:rsidP="407E75B8" w:rsidRDefault="50C65511" w14:paraId="7CB8A569" w14:textId="07249C7E">
          <w:pPr>
            <w:pStyle w:val="TOC3"/>
            <w:tabs>
              <w:tab w:val="right" w:leader="dot" w:pos="9360"/>
            </w:tabs>
            <w:bidi w:val="0"/>
            <w:spacing w:before="240" w:beforeAutospacing="off" w:after="240" w:afterAutospacing="off"/>
            <w:rPr>
              <w:rStyle w:val="Hyperlink"/>
            </w:rPr>
          </w:pPr>
          <w:hyperlink w:anchor="_Toc986876682">
            <w:r w:rsidRPr="3DC7A50A" w:rsidR="3DC7A50A">
              <w:rPr>
                <w:rStyle w:val="Hyperlink"/>
              </w:rPr>
              <w:t>3.3.3 Search limits and screening process</w:t>
            </w:r>
            <w:r>
              <w:tab/>
            </w:r>
            <w:r>
              <w:fldChar w:fldCharType="begin"/>
            </w:r>
            <w:r>
              <w:instrText xml:space="preserve">PAGEREF _Toc986876682 \h</w:instrText>
            </w:r>
            <w:r>
              <w:fldChar w:fldCharType="separate"/>
            </w:r>
            <w:r w:rsidRPr="3DC7A50A" w:rsidR="3DC7A50A">
              <w:rPr>
                <w:rStyle w:val="Hyperlink"/>
              </w:rPr>
              <w:t>18</w:t>
            </w:r>
            <w:r>
              <w:fldChar w:fldCharType="end"/>
            </w:r>
          </w:hyperlink>
        </w:p>
        <w:p w:rsidR="50C65511" w:rsidP="3DC7A50A" w:rsidRDefault="50C65511" w14:paraId="7FF2B647" w14:textId="2A2A1822">
          <w:pPr>
            <w:pStyle w:val="TOC2"/>
            <w:tabs>
              <w:tab w:val="right" w:leader="dot" w:pos="9360"/>
            </w:tabs>
            <w:bidi w:val="0"/>
            <w:spacing w:before="240" w:beforeAutospacing="off" w:after="240" w:afterAutospacing="off"/>
            <w:rPr>
              <w:rStyle w:val="Hyperlink"/>
            </w:rPr>
          </w:pPr>
          <w:hyperlink w:anchor="_Toc1585039259">
            <w:r w:rsidRPr="3DC7A50A" w:rsidR="3DC7A50A">
              <w:rPr>
                <w:rStyle w:val="Hyperlink"/>
              </w:rPr>
              <w:t>3.4 Study Selection Outcome</w:t>
            </w:r>
            <w:r>
              <w:tab/>
            </w:r>
            <w:r>
              <w:fldChar w:fldCharType="begin"/>
            </w:r>
            <w:r>
              <w:instrText xml:space="preserve">PAGEREF _Toc1585039259 \h</w:instrText>
            </w:r>
            <w:r>
              <w:fldChar w:fldCharType="separate"/>
            </w:r>
            <w:r w:rsidRPr="3DC7A50A" w:rsidR="3DC7A50A">
              <w:rPr>
                <w:rStyle w:val="Hyperlink"/>
              </w:rPr>
              <w:t>18</w:t>
            </w:r>
            <w:r>
              <w:fldChar w:fldCharType="end"/>
            </w:r>
          </w:hyperlink>
        </w:p>
        <w:p w:rsidR="50C65511" w:rsidP="3DC7A50A" w:rsidRDefault="50C65511" w14:paraId="110D1AD2" w14:textId="19ABDC8E">
          <w:pPr>
            <w:pStyle w:val="TOC3"/>
            <w:tabs>
              <w:tab w:val="right" w:leader="dot" w:pos="9360"/>
            </w:tabs>
            <w:bidi w:val="0"/>
            <w:spacing w:before="240" w:beforeAutospacing="off" w:after="240" w:afterAutospacing="off"/>
            <w:rPr>
              <w:rStyle w:val="Hyperlink"/>
            </w:rPr>
          </w:pPr>
          <w:hyperlink w:anchor="_Toc222814232">
            <w:r w:rsidRPr="3DC7A50A" w:rsidR="3DC7A50A">
              <w:rPr>
                <w:rStyle w:val="Hyperlink"/>
              </w:rPr>
              <w:t>PRISMA FLOW DIAGARAM (FIGURE 3.1)</w:t>
            </w:r>
            <w:r>
              <w:tab/>
            </w:r>
            <w:r>
              <w:fldChar w:fldCharType="begin"/>
            </w:r>
            <w:r>
              <w:instrText xml:space="preserve">PAGEREF _Toc222814232 \h</w:instrText>
            </w:r>
            <w:r>
              <w:fldChar w:fldCharType="separate"/>
            </w:r>
            <w:r w:rsidRPr="3DC7A50A" w:rsidR="3DC7A50A">
              <w:rPr>
                <w:rStyle w:val="Hyperlink"/>
              </w:rPr>
              <w:t>18</w:t>
            </w:r>
            <w:r>
              <w:fldChar w:fldCharType="end"/>
            </w:r>
          </w:hyperlink>
        </w:p>
        <w:p w:rsidR="50C65511" w:rsidP="3DC7A50A" w:rsidRDefault="50C65511" w14:paraId="7F0E65D1" w14:textId="37367A2E">
          <w:pPr>
            <w:pStyle w:val="TOC2"/>
            <w:tabs>
              <w:tab w:val="right" w:leader="dot" w:pos="9360"/>
            </w:tabs>
            <w:bidi w:val="0"/>
            <w:spacing w:before="240" w:beforeAutospacing="off" w:after="240" w:afterAutospacing="off"/>
            <w:rPr>
              <w:rStyle w:val="Hyperlink"/>
            </w:rPr>
          </w:pPr>
          <w:hyperlink w:anchor="_Toc1859371924">
            <w:r w:rsidRPr="3DC7A50A" w:rsidR="3DC7A50A">
              <w:rPr>
                <w:rStyle w:val="Hyperlink"/>
              </w:rPr>
              <w:t>3.5Inclusion and Exclusion Criteria</w:t>
            </w:r>
            <w:r>
              <w:tab/>
            </w:r>
            <w:r>
              <w:fldChar w:fldCharType="begin"/>
            </w:r>
            <w:r>
              <w:instrText xml:space="preserve">PAGEREF _Toc1859371924 \h</w:instrText>
            </w:r>
            <w:r>
              <w:fldChar w:fldCharType="separate"/>
            </w:r>
            <w:r w:rsidRPr="3DC7A50A" w:rsidR="3DC7A50A">
              <w:rPr>
                <w:rStyle w:val="Hyperlink"/>
              </w:rPr>
              <w:t>19</w:t>
            </w:r>
            <w:r>
              <w:fldChar w:fldCharType="end"/>
            </w:r>
          </w:hyperlink>
        </w:p>
        <w:p w:rsidR="50C65511" w:rsidP="407E75B8" w:rsidRDefault="50C65511" w14:paraId="16057ADB" w14:textId="01838B4D">
          <w:pPr>
            <w:pStyle w:val="TOC3"/>
            <w:tabs>
              <w:tab w:val="right" w:leader="dot" w:pos="9360"/>
            </w:tabs>
            <w:bidi w:val="0"/>
            <w:spacing w:before="240" w:beforeAutospacing="off" w:after="240" w:afterAutospacing="off"/>
            <w:rPr>
              <w:rStyle w:val="Hyperlink"/>
            </w:rPr>
          </w:pPr>
          <w:hyperlink w:anchor="_Toc814037937">
            <w:r w:rsidRPr="3DC7A50A" w:rsidR="3DC7A50A">
              <w:rPr>
                <w:rStyle w:val="Hyperlink"/>
              </w:rPr>
              <w:t>TABLE 3.1 (INCLUSION AND EXCLUSION)</w:t>
            </w:r>
            <w:r>
              <w:tab/>
            </w:r>
            <w:r>
              <w:fldChar w:fldCharType="begin"/>
            </w:r>
            <w:r>
              <w:instrText xml:space="preserve">PAGEREF _Toc814037937 \h</w:instrText>
            </w:r>
            <w:r>
              <w:fldChar w:fldCharType="separate"/>
            </w:r>
            <w:r w:rsidRPr="3DC7A50A" w:rsidR="3DC7A50A">
              <w:rPr>
                <w:rStyle w:val="Hyperlink"/>
              </w:rPr>
              <w:t>19</w:t>
            </w:r>
            <w:r>
              <w:fldChar w:fldCharType="end"/>
            </w:r>
          </w:hyperlink>
        </w:p>
        <w:p w:rsidR="50C65511" w:rsidP="3DC7A50A" w:rsidRDefault="50C65511" w14:paraId="5FAE06E5" w14:textId="6E9CE3F3">
          <w:pPr>
            <w:pStyle w:val="TOC2"/>
            <w:tabs>
              <w:tab w:val="right" w:leader="dot" w:pos="9360"/>
            </w:tabs>
            <w:bidi w:val="0"/>
            <w:spacing w:before="240" w:beforeAutospacing="off" w:after="240" w:afterAutospacing="off"/>
            <w:rPr>
              <w:rStyle w:val="Hyperlink"/>
            </w:rPr>
          </w:pPr>
          <w:hyperlink w:anchor="_Toc239247115">
            <w:r w:rsidRPr="3DC7A50A" w:rsidR="3DC7A50A">
              <w:rPr>
                <w:rStyle w:val="Hyperlink"/>
              </w:rPr>
              <w:t>3.6 Quality Assessment (CASP Tool)</w:t>
            </w:r>
            <w:r>
              <w:tab/>
            </w:r>
            <w:r>
              <w:fldChar w:fldCharType="begin"/>
            </w:r>
            <w:r>
              <w:instrText xml:space="preserve">PAGEREF _Toc239247115 \h</w:instrText>
            </w:r>
            <w:r>
              <w:fldChar w:fldCharType="separate"/>
            </w:r>
            <w:r w:rsidRPr="3DC7A50A" w:rsidR="3DC7A50A">
              <w:rPr>
                <w:rStyle w:val="Hyperlink"/>
              </w:rPr>
              <w:t>20</w:t>
            </w:r>
            <w:r>
              <w:fldChar w:fldCharType="end"/>
            </w:r>
          </w:hyperlink>
        </w:p>
        <w:p w:rsidR="50C65511" w:rsidP="407E75B8" w:rsidRDefault="50C65511" w14:paraId="07EE23B4" w14:textId="19688589">
          <w:pPr>
            <w:pStyle w:val="TOC3"/>
            <w:tabs>
              <w:tab w:val="right" w:leader="dot" w:pos="9360"/>
            </w:tabs>
            <w:bidi w:val="0"/>
            <w:spacing w:before="240" w:beforeAutospacing="off" w:after="240" w:afterAutospacing="off"/>
            <w:rPr>
              <w:rStyle w:val="Hyperlink"/>
            </w:rPr>
          </w:pPr>
          <w:hyperlink w:anchor="_Toc869122625">
            <w:r w:rsidRPr="3DC7A50A" w:rsidR="3DC7A50A">
              <w:rPr>
                <w:rStyle w:val="Hyperlink"/>
              </w:rPr>
              <w:t>TABLE 3.2 CASP</w:t>
            </w:r>
            <w:r>
              <w:tab/>
            </w:r>
            <w:r>
              <w:fldChar w:fldCharType="begin"/>
            </w:r>
            <w:r>
              <w:instrText xml:space="preserve">PAGEREF _Toc869122625 \h</w:instrText>
            </w:r>
            <w:r>
              <w:fldChar w:fldCharType="separate"/>
            </w:r>
            <w:r w:rsidRPr="3DC7A50A" w:rsidR="3DC7A50A">
              <w:rPr>
                <w:rStyle w:val="Hyperlink"/>
              </w:rPr>
              <w:t>20</w:t>
            </w:r>
            <w:r>
              <w:fldChar w:fldCharType="end"/>
            </w:r>
          </w:hyperlink>
        </w:p>
        <w:p w:rsidR="50C65511" w:rsidP="3DC7A50A" w:rsidRDefault="50C65511" w14:paraId="1675CE7D" w14:textId="6840B3BB">
          <w:pPr>
            <w:pStyle w:val="TOC2"/>
            <w:tabs>
              <w:tab w:val="right" w:leader="dot" w:pos="9360"/>
            </w:tabs>
            <w:bidi w:val="0"/>
            <w:spacing w:before="240" w:beforeAutospacing="off" w:after="240" w:afterAutospacing="off"/>
            <w:rPr>
              <w:rStyle w:val="Hyperlink"/>
            </w:rPr>
          </w:pPr>
          <w:hyperlink w:anchor="_Toc392944302">
            <w:r w:rsidRPr="3DC7A50A" w:rsidR="3DC7A50A">
              <w:rPr>
                <w:rStyle w:val="Hyperlink"/>
              </w:rPr>
              <w:t>3.7 Ethical Considerations</w:t>
            </w:r>
            <w:r>
              <w:tab/>
            </w:r>
            <w:r>
              <w:fldChar w:fldCharType="begin"/>
            </w:r>
            <w:r>
              <w:instrText xml:space="preserve">PAGEREF _Toc392944302 \h</w:instrText>
            </w:r>
            <w:r>
              <w:fldChar w:fldCharType="separate"/>
            </w:r>
            <w:r w:rsidRPr="3DC7A50A" w:rsidR="3DC7A50A">
              <w:rPr>
                <w:rStyle w:val="Hyperlink"/>
              </w:rPr>
              <w:t>21</w:t>
            </w:r>
            <w:r>
              <w:fldChar w:fldCharType="end"/>
            </w:r>
          </w:hyperlink>
        </w:p>
        <w:p w:rsidR="50C65511" w:rsidP="3DC7A50A" w:rsidRDefault="50C65511" w14:paraId="75FE0936" w14:textId="2E09FBA4">
          <w:pPr>
            <w:pStyle w:val="TOC2"/>
            <w:tabs>
              <w:tab w:val="right" w:leader="dot" w:pos="9360"/>
            </w:tabs>
            <w:bidi w:val="0"/>
            <w:spacing w:before="240" w:beforeAutospacing="off" w:after="240" w:afterAutospacing="off"/>
            <w:rPr>
              <w:rStyle w:val="Hyperlink"/>
            </w:rPr>
          </w:pPr>
          <w:hyperlink w:anchor="_Toc1712511281">
            <w:r w:rsidRPr="3DC7A50A" w:rsidR="3DC7A50A">
              <w:rPr>
                <w:rStyle w:val="Hyperlink"/>
              </w:rPr>
              <w:t>3.8 Chapter Summary</w:t>
            </w:r>
            <w:r>
              <w:tab/>
            </w:r>
            <w:r>
              <w:fldChar w:fldCharType="begin"/>
            </w:r>
            <w:r>
              <w:instrText xml:space="preserve">PAGEREF _Toc1712511281 \h</w:instrText>
            </w:r>
            <w:r>
              <w:fldChar w:fldCharType="separate"/>
            </w:r>
            <w:r w:rsidRPr="3DC7A50A" w:rsidR="3DC7A50A">
              <w:rPr>
                <w:rStyle w:val="Hyperlink"/>
              </w:rPr>
              <w:t>21</w:t>
            </w:r>
            <w:r>
              <w:fldChar w:fldCharType="end"/>
            </w:r>
          </w:hyperlink>
        </w:p>
        <w:p w:rsidR="50C65511" w:rsidP="3DC7A50A" w:rsidRDefault="50C65511" w14:paraId="3229E6F5" w14:textId="52AED869">
          <w:pPr>
            <w:pStyle w:val="TOC1"/>
            <w:tabs>
              <w:tab w:val="right" w:leader="dot" w:pos="9360"/>
            </w:tabs>
            <w:bidi w:val="0"/>
            <w:spacing w:before="240" w:beforeAutospacing="off" w:after="240" w:afterAutospacing="off"/>
            <w:rPr>
              <w:rStyle w:val="Hyperlink"/>
            </w:rPr>
          </w:pPr>
          <w:hyperlink w:anchor="_Toc1292358635">
            <w:r w:rsidRPr="3DC7A50A" w:rsidR="3DC7A50A">
              <w:rPr>
                <w:rStyle w:val="Hyperlink"/>
              </w:rPr>
              <w:t>Chapter 4: Data Extraction and Evaluation</w:t>
            </w:r>
            <w:r>
              <w:tab/>
            </w:r>
            <w:r>
              <w:fldChar w:fldCharType="begin"/>
            </w:r>
            <w:r>
              <w:instrText xml:space="preserve">PAGEREF _Toc1292358635 \h</w:instrText>
            </w:r>
            <w:r>
              <w:fldChar w:fldCharType="separate"/>
            </w:r>
            <w:r w:rsidRPr="3DC7A50A" w:rsidR="3DC7A50A">
              <w:rPr>
                <w:rStyle w:val="Hyperlink"/>
              </w:rPr>
              <w:t>22</w:t>
            </w:r>
            <w:r>
              <w:fldChar w:fldCharType="end"/>
            </w:r>
          </w:hyperlink>
        </w:p>
        <w:p w:rsidR="50C65511" w:rsidP="3DC7A50A" w:rsidRDefault="50C65511" w14:paraId="5BDA0F55" w14:textId="0E23DB38">
          <w:pPr>
            <w:pStyle w:val="TOC2"/>
            <w:tabs>
              <w:tab w:val="right" w:leader="dot" w:pos="9360"/>
            </w:tabs>
            <w:bidi w:val="0"/>
            <w:spacing w:before="240" w:beforeAutospacing="off" w:after="240" w:afterAutospacing="off"/>
            <w:rPr>
              <w:rStyle w:val="Hyperlink"/>
            </w:rPr>
          </w:pPr>
          <w:hyperlink w:anchor="_Toc51671021">
            <w:r w:rsidRPr="3DC7A50A" w:rsidR="3DC7A50A">
              <w:rPr>
                <w:rStyle w:val="Hyperlink"/>
              </w:rPr>
              <w:t>4.2 Data Extraction</w:t>
            </w:r>
            <w:r>
              <w:tab/>
            </w:r>
            <w:r>
              <w:fldChar w:fldCharType="begin"/>
            </w:r>
            <w:r>
              <w:instrText xml:space="preserve">PAGEREF _Toc51671021 \h</w:instrText>
            </w:r>
            <w:r>
              <w:fldChar w:fldCharType="separate"/>
            </w:r>
            <w:r w:rsidRPr="3DC7A50A" w:rsidR="3DC7A50A">
              <w:rPr>
                <w:rStyle w:val="Hyperlink"/>
              </w:rPr>
              <w:t>22</w:t>
            </w:r>
            <w:r>
              <w:fldChar w:fldCharType="end"/>
            </w:r>
          </w:hyperlink>
        </w:p>
        <w:p w:rsidR="50C65511" w:rsidP="3DC7A50A" w:rsidRDefault="50C65511" w14:paraId="4945FF82" w14:textId="1C0E577E">
          <w:pPr>
            <w:pStyle w:val="TOC2"/>
            <w:tabs>
              <w:tab w:val="right" w:leader="dot" w:pos="9360"/>
            </w:tabs>
            <w:bidi w:val="0"/>
            <w:spacing w:before="240" w:beforeAutospacing="off" w:after="240" w:afterAutospacing="off"/>
            <w:rPr>
              <w:rStyle w:val="Hyperlink"/>
            </w:rPr>
          </w:pPr>
          <w:hyperlink w:anchor="_Toc1566367151">
            <w:r w:rsidRPr="3DC7A50A" w:rsidR="3DC7A50A">
              <w:rPr>
                <w:rStyle w:val="Hyperlink"/>
              </w:rPr>
              <w:t>4.4 Critical Appraisal Tool</w:t>
            </w:r>
            <w:r>
              <w:tab/>
            </w:r>
            <w:r>
              <w:fldChar w:fldCharType="begin"/>
            </w:r>
            <w:r>
              <w:instrText xml:space="preserve">PAGEREF _Toc1566367151 \h</w:instrText>
            </w:r>
            <w:r>
              <w:fldChar w:fldCharType="separate"/>
            </w:r>
            <w:r w:rsidRPr="3DC7A50A" w:rsidR="3DC7A50A">
              <w:rPr>
                <w:rStyle w:val="Hyperlink"/>
              </w:rPr>
              <w:t>24</w:t>
            </w:r>
            <w:r>
              <w:fldChar w:fldCharType="end"/>
            </w:r>
          </w:hyperlink>
        </w:p>
        <w:p w:rsidR="50C65511" w:rsidP="3DC7A50A" w:rsidRDefault="50C65511" w14:paraId="2AE32254" w14:textId="4834AEA8">
          <w:pPr>
            <w:pStyle w:val="TOC2"/>
            <w:tabs>
              <w:tab w:val="right" w:leader="dot" w:pos="9360"/>
            </w:tabs>
            <w:bidi w:val="0"/>
            <w:spacing w:before="240" w:beforeAutospacing="off" w:after="240" w:afterAutospacing="off"/>
            <w:rPr>
              <w:rStyle w:val="Hyperlink"/>
            </w:rPr>
          </w:pPr>
          <w:hyperlink w:anchor="_Toc721849604">
            <w:r w:rsidRPr="3DC7A50A" w:rsidR="3DC7A50A">
              <w:rPr>
                <w:rStyle w:val="Hyperlink"/>
              </w:rPr>
              <w:t>4.5 Critical Appraisal of Included Qualitative Studies Using CASP</w:t>
            </w:r>
            <w:r>
              <w:tab/>
            </w:r>
            <w:r>
              <w:fldChar w:fldCharType="begin"/>
            </w:r>
            <w:r>
              <w:instrText xml:space="preserve">PAGEREF _Toc721849604 \h</w:instrText>
            </w:r>
            <w:r>
              <w:fldChar w:fldCharType="separate"/>
            </w:r>
            <w:r w:rsidRPr="3DC7A50A" w:rsidR="3DC7A50A">
              <w:rPr>
                <w:rStyle w:val="Hyperlink"/>
              </w:rPr>
              <w:t>25</w:t>
            </w:r>
            <w:r>
              <w:fldChar w:fldCharType="end"/>
            </w:r>
          </w:hyperlink>
        </w:p>
        <w:p w:rsidR="50C65511" w:rsidP="407E75B8" w:rsidRDefault="50C65511" w14:paraId="656B0C98" w14:textId="6FBFF04D">
          <w:pPr>
            <w:pStyle w:val="TOC3"/>
            <w:tabs>
              <w:tab w:val="right" w:leader="dot" w:pos="9360"/>
            </w:tabs>
            <w:bidi w:val="0"/>
            <w:spacing w:before="240" w:beforeAutospacing="off" w:after="240" w:afterAutospacing="off"/>
            <w:rPr>
              <w:rStyle w:val="Hyperlink"/>
            </w:rPr>
          </w:pPr>
          <w:hyperlink w:anchor="_Toc1077664882">
            <w:r w:rsidRPr="3DC7A50A" w:rsidR="3DC7A50A">
              <w:rPr>
                <w:rStyle w:val="Hyperlink"/>
              </w:rPr>
              <w:t>4.5.1 Article 1: Musoke D, et al. (Uganda)</w:t>
            </w:r>
            <w:r>
              <w:tab/>
            </w:r>
            <w:r>
              <w:fldChar w:fldCharType="begin"/>
            </w:r>
            <w:r>
              <w:instrText xml:space="preserve">PAGEREF _Toc1077664882 \h</w:instrText>
            </w:r>
            <w:r>
              <w:fldChar w:fldCharType="separate"/>
            </w:r>
            <w:r w:rsidRPr="3DC7A50A" w:rsidR="3DC7A50A">
              <w:rPr>
                <w:rStyle w:val="Hyperlink"/>
              </w:rPr>
              <w:t>25</w:t>
            </w:r>
            <w:r>
              <w:fldChar w:fldCharType="end"/>
            </w:r>
          </w:hyperlink>
        </w:p>
        <w:p w:rsidR="50C65511" w:rsidP="407E75B8" w:rsidRDefault="50C65511" w14:paraId="2006B917" w14:textId="6800283E">
          <w:pPr>
            <w:pStyle w:val="TOC3"/>
            <w:tabs>
              <w:tab w:val="right" w:leader="dot" w:pos="9360"/>
            </w:tabs>
            <w:bidi w:val="0"/>
            <w:spacing w:before="240" w:beforeAutospacing="off" w:after="240" w:afterAutospacing="off"/>
            <w:rPr>
              <w:rStyle w:val="Hyperlink"/>
            </w:rPr>
          </w:pPr>
          <w:hyperlink w:anchor="_Toc606179684">
            <w:r w:rsidRPr="3DC7A50A" w:rsidR="3DC7A50A">
              <w:rPr>
                <w:rStyle w:val="Hyperlink"/>
              </w:rPr>
              <w:t>4.5.2 Article 2: Saleem Z, et al. (Pakistan)</w:t>
            </w:r>
            <w:r>
              <w:tab/>
            </w:r>
            <w:r>
              <w:fldChar w:fldCharType="begin"/>
            </w:r>
            <w:r>
              <w:instrText xml:space="preserve">PAGEREF _Toc606179684 \h</w:instrText>
            </w:r>
            <w:r>
              <w:fldChar w:fldCharType="separate"/>
            </w:r>
            <w:r w:rsidRPr="3DC7A50A" w:rsidR="3DC7A50A">
              <w:rPr>
                <w:rStyle w:val="Hyperlink"/>
              </w:rPr>
              <w:t>26</w:t>
            </w:r>
            <w:r>
              <w:fldChar w:fldCharType="end"/>
            </w:r>
          </w:hyperlink>
        </w:p>
        <w:p w:rsidR="50C65511" w:rsidP="407E75B8" w:rsidRDefault="50C65511" w14:paraId="4E595656" w14:textId="3D4156A0">
          <w:pPr>
            <w:pStyle w:val="TOC3"/>
            <w:tabs>
              <w:tab w:val="right" w:leader="dot" w:pos="9360"/>
            </w:tabs>
            <w:bidi w:val="0"/>
            <w:spacing w:before="240" w:beforeAutospacing="off" w:after="240" w:afterAutospacing="off"/>
            <w:rPr>
              <w:rStyle w:val="Hyperlink"/>
            </w:rPr>
          </w:pPr>
          <w:hyperlink w:anchor="_Toc2088866116">
            <w:r w:rsidRPr="3DC7A50A" w:rsidR="3DC7A50A">
              <w:rPr>
                <w:rStyle w:val="Hyperlink"/>
              </w:rPr>
              <w:t>4.5.3 Article 3: Mbugua S.M., et al. (Kenya)</w:t>
            </w:r>
            <w:r>
              <w:tab/>
            </w:r>
            <w:r>
              <w:fldChar w:fldCharType="begin"/>
            </w:r>
            <w:r>
              <w:instrText xml:space="preserve">PAGEREF _Toc2088866116 \h</w:instrText>
            </w:r>
            <w:r>
              <w:fldChar w:fldCharType="separate"/>
            </w:r>
            <w:r w:rsidRPr="3DC7A50A" w:rsidR="3DC7A50A">
              <w:rPr>
                <w:rStyle w:val="Hyperlink"/>
              </w:rPr>
              <w:t>26</w:t>
            </w:r>
            <w:r>
              <w:fldChar w:fldCharType="end"/>
            </w:r>
          </w:hyperlink>
        </w:p>
        <w:p w:rsidR="50C65511" w:rsidP="407E75B8" w:rsidRDefault="50C65511" w14:paraId="7378D7EB" w14:textId="2858259F">
          <w:pPr>
            <w:pStyle w:val="TOC3"/>
            <w:tabs>
              <w:tab w:val="right" w:leader="dot" w:pos="9360"/>
            </w:tabs>
            <w:bidi w:val="0"/>
            <w:spacing w:before="240" w:beforeAutospacing="off" w:after="240" w:afterAutospacing="off"/>
            <w:rPr>
              <w:rStyle w:val="Hyperlink"/>
            </w:rPr>
          </w:pPr>
          <w:hyperlink w:anchor="_Toc1435773557">
            <w:r w:rsidRPr="3DC7A50A" w:rsidR="3DC7A50A">
              <w:rPr>
                <w:rStyle w:val="Hyperlink"/>
              </w:rPr>
              <w:t>4.5.4 Article 4: Mekonnen A.B., et al. (Ethiopia)</w:t>
            </w:r>
            <w:r>
              <w:tab/>
            </w:r>
            <w:r>
              <w:fldChar w:fldCharType="begin"/>
            </w:r>
            <w:r>
              <w:instrText xml:space="preserve">PAGEREF _Toc1435773557 \h</w:instrText>
            </w:r>
            <w:r>
              <w:fldChar w:fldCharType="separate"/>
            </w:r>
            <w:r w:rsidRPr="3DC7A50A" w:rsidR="3DC7A50A">
              <w:rPr>
                <w:rStyle w:val="Hyperlink"/>
              </w:rPr>
              <w:t>27</w:t>
            </w:r>
            <w:r>
              <w:fldChar w:fldCharType="end"/>
            </w:r>
          </w:hyperlink>
        </w:p>
        <w:p w:rsidR="50C65511" w:rsidP="407E75B8" w:rsidRDefault="50C65511" w14:paraId="1E35F47A" w14:textId="0BF009B5">
          <w:pPr>
            <w:pStyle w:val="TOC3"/>
            <w:tabs>
              <w:tab w:val="right" w:leader="dot" w:pos="9360"/>
            </w:tabs>
            <w:bidi w:val="0"/>
            <w:spacing w:before="240" w:beforeAutospacing="off" w:after="240" w:afterAutospacing="off"/>
            <w:rPr>
              <w:rStyle w:val="Hyperlink"/>
            </w:rPr>
          </w:pPr>
          <w:hyperlink w:anchor="_Toc942698369">
            <w:r w:rsidRPr="3DC7A50A" w:rsidR="3DC7A50A">
              <w:rPr>
                <w:rStyle w:val="Hyperlink"/>
              </w:rPr>
              <w:t>4.5.5 Article 5: Saleem N.H., et al. (Pakistan)</w:t>
            </w:r>
            <w:r>
              <w:tab/>
            </w:r>
            <w:r>
              <w:fldChar w:fldCharType="begin"/>
            </w:r>
            <w:r>
              <w:instrText xml:space="preserve">PAGEREF _Toc942698369 \h</w:instrText>
            </w:r>
            <w:r>
              <w:fldChar w:fldCharType="separate"/>
            </w:r>
            <w:r w:rsidRPr="3DC7A50A" w:rsidR="3DC7A50A">
              <w:rPr>
                <w:rStyle w:val="Hyperlink"/>
              </w:rPr>
              <w:t>27</w:t>
            </w:r>
            <w:r>
              <w:fldChar w:fldCharType="end"/>
            </w:r>
          </w:hyperlink>
        </w:p>
        <w:p w:rsidR="50C65511" w:rsidP="3DC7A50A" w:rsidRDefault="50C65511" w14:paraId="349B2187" w14:textId="42FEA3A4">
          <w:pPr>
            <w:pStyle w:val="TOC3"/>
            <w:tabs>
              <w:tab w:val="right" w:leader="dot" w:pos="9360"/>
            </w:tabs>
            <w:bidi w:val="0"/>
            <w:spacing w:before="240" w:beforeAutospacing="off" w:after="240" w:afterAutospacing="off"/>
            <w:rPr>
              <w:rStyle w:val="Hyperlink"/>
            </w:rPr>
          </w:pPr>
          <w:hyperlink w:anchor="_Toc1843959091">
            <w:r w:rsidRPr="3DC7A50A" w:rsidR="3DC7A50A">
              <w:rPr>
                <w:rStyle w:val="Hyperlink"/>
              </w:rPr>
              <w:t>4.5.6 Article 6: Atif M., et al. (Pakistan)</w:t>
            </w:r>
            <w:r>
              <w:tab/>
            </w:r>
            <w:r>
              <w:fldChar w:fldCharType="begin"/>
            </w:r>
            <w:r>
              <w:instrText xml:space="preserve">PAGEREF _Toc1843959091 \h</w:instrText>
            </w:r>
            <w:r>
              <w:fldChar w:fldCharType="separate"/>
            </w:r>
            <w:r w:rsidRPr="3DC7A50A" w:rsidR="3DC7A50A">
              <w:rPr>
                <w:rStyle w:val="Hyperlink"/>
              </w:rPr>
              <w:t>28</w:t>
            </w:r>
            <w:r>
              <w:fldChar w:fldCharType="end"/>
            </w:r>
          </w:hyperlink>
        </w:p>
        <w:p w:rsidR="50C65511" w:rsidP="3DC7A50A" w:rsidRDefault="50C65511" w14:paraId="2CC4D93C" w14:textId="5E577F8B">
          <w:pPr>
            <w:pStyle w:val="TOC3"/>
            <w:tabs>
              <w:tab w:val="right" w:leader="dot" w:pos="9360"/>
            </w:tabs>
            <w:bidi w:val="0"/>
            <w:spacing w:before="240" w:beforeAutospacing="off" w:after="240" w:afterAutospacing="off"/>
            <w:rPr>
              <w:rStyle w:val="Hyperlink"/>
            </w:rPr>
          </w:pPr>
          <w:hyperlink w:anchor="_Toc1086404949">
            <w:r w:rsidRPr="3DC7A50A" w:rsidR="3DC7A50A">
              <w:rPr>
                <w:rStyle w:val="Hyperlink"/>
              </w:rPr>
              <w:t>4.5.7 Article 7: Roche S.D., et al. (Kenya)</w:t>
            </w:r>
            <w:r>
              <w:tab/>
            </w:r>
            <w:r>
              <w:fldChar w:fldCharType="begin"/>
            </w:r>
            <w:r>
              <w:instrText xml:space="preserve">PAGEREF _Toc1086404949 \h</w:instrText>
            </w:r>
            <w:r>
              <w:fldChar w:fldCharType="separate"/>
            </w:r>
            <w:r w:rsidRPr="3DC7A50A" w:rsidR="3DC7A50A">
              <w:rPr>
                <w:rStyle w:val="Hyperlink"/>
              </w:rPr>
              <w:t>28</w:t>
            </w:r>
            <w:r>
              <w:fldChar w:fldCharType="end"/>
            </w:r>
          </w:hyperlink>
        </w:p>
        <w:p w:rsidR="50C65511" w:rsidP="407E75B8" w:rsidRDefault="50C65511" w14:paraId="7A6B09B9" w14:textId="340B91E7">
          <w:pPr>
            <w:pStyle w:val="TOC3"/>
            <w:tabs>
              <w:tab w:val="right" w:leader="dot" w:pos="9360"/>
            </w:tabs>
            <w:bidi w:val="0"/>
            <w:spacing w:before="240" w:beforeAutospacing="off" w:after="240" w:afterAutospacing="off"/>
            <w:rPr>
              <w:rStyle w:val="Hyperlink"/>
            </w:rPr>
          </w:pPr>
          <w:hyperlink w:anchor="_Toc155436902">
            <w:r w:rsidRPr="3DC7A50A" w:rsidR="3DC7A50A">
              <w:rPr>
                <w:rStyle w:val="Hyperlink"/>
              </w:rPr>
              <w:t>4.5.8 Article 8: Crafford L., et al. (South Africa)</w:t>
            </w:r>
            <w:r>
              <w:tab/>
            </w:r>
            <w:r>
              <w:fldChar w:fldCharType="begin"/>
            </w:r>
            <w:r>
              <w:instrText xml:space="preserve">PAGEREF _Toc155436902 \h</w:instrText>
            </w:r>
            <w:r>
              <w:fldChar w:fldCharType="separate"/>
            </w:r>
            <w:r w:rsidRPr="3DC7A50A" w:rsidR="3DC7A50A">
              <w:rPr>
                <w:rStyle w:val="Hyperlink"/>
              </w:rPr>
              <w:t>29</w:t>
            </w:r>
            <w:r>
              <w:fldChar w:fldCharType="end"/>
            </w:r>
          </w:hyperlink>
        </w:p>
        <w:p w:rsidR="50C65511" w:rsidP="407E75B8" w:rsidRDefault="50C65511" w14:paraId="193294A8" w14:textId="08EC9FF4">
          <w:pPr>
            <w:pStyle w:val="TOC3"/>
            <w:tabs>
              <w:tab w:val="right" w:leader="dot" w:pos="9360"/>
            </w:tabs>
            <w:bidi w:val="0"/>
            <w:spacing w:before="240" w:beforeAutospacing="off" w:after="240" w:afterAutospacing="off"/>
            <w:rPr>
              <w:rStyle w:val="Hyperlink"/>
            </w:rPr>
          </w:pPr>
          <w:hyperlink w:anchor="_Toc1062332642">
            <w:r w:rsidRPr="3DC7A50A" w:rsidR="3DC7A50A">
              <w:rPr>
                <w:rStyle w:val="Hyperlink"/>
              </w:rPr>
              <w:t>4.5.9 Article 9: Gelayee D.A., et al. (Ethiopia)</w:t>
            </w:r>
            <w:r>
              <w:tab/>
            </w:r>
            <w:r>
              <w:fldChar w:fldCharType="begin"/>
            </w:r>
            <w:r>
              <w:instrText xml:space="preserve">PAGEREF _Toc1062332642 \h</w:instrText>
            </w:r>
            <w:r>
              <w:fldChar w:fldCharType="separate"/>
            </w:r>
            <w:r w:rsidRPr="3DC7A50A" w:rsidR="3DC7A50A">
              <w:rPr>
                <w:rStyle w:val="Hyperlink"/>
              </w:rPr>
              <w:t>29</w:t>
            </w:r>
            <w:r>
              <w:fldChar w:fldCharType="end"/>
            </w:r>
          </w:hyperlink>
        </w:p>
        <w:p w:rsidR="50C65511" w:rsidP="407E75B8" w:rsidRDefault="50C65511" w14:paraId="4779E6FB" w14:textId="6FD1F692">
          <w:pPr>
            <w:pStyle w:val="TOC3"/>
            <w:tabs>
              <w:tab w:val="right" w:leader="dot" w:pos="9360"/>
            </w:tabs>
            <w:bidi w:val="0"/>
            <w:spacing w:before="240" w:beforeAutospacing="off" w:after="240" w:afterAutospacing="off"/>
            <w:rPr>
              <w:rStyle w:val="Hyperlink"/>
            </w:rPr>
          </w:pPr>
          <w:hyperlink w:anchor="_Toc355694106">
            <w:r w:rsidRPr="3DC7A50A" w:rsidR="3DC7A50A">
              <w:rPr>
                <w:rStyle w:val="Hyperlink"/>
              </w:rPr>
              <w:t>4.5.10 Article 10: Kentab B.Y., et al. (Global)</w:t>
            </w:r>
            <w:r>
              <w:tab/>
            </w:r>
            <w:r>
              <w:fldChar w:fldCharType="begin"/>
            </w:r>
            <w:r>
              <w:instrText xml:space="preserve">PAGEREF _Toc355694106 \h</w:instrText>
            </w:r>
            <w:r>
              <w:fldChar w:fldCharType="separate"/>
            </w:r>
            <w:r w:rsidRPr="3DC7A50A" w:rsidR="3DC7A50A">
              <w:rPr>
                <w:rStyle w:val="Hyperlink"/>
              </w:rPr>
              <w:t>29</w:t>
            </w:r>
            <w:r>
              <w:fldChar w:fldCharType="end"/>
            </w:r>
          </w:hyperlink>
        </w:p>
        <w:p w:rsidR="50C65511" w:rsidP="3DC7A50A" w:rsidRDefault="50C65511" w14:paraId="608CEB5A" w14:textId="6D9750C7">
          <w:pPr>
            <w:pStyle w:val="TOC3"/>
            <w:tabs>
              <w:tab w:val="right" w:leader="dot" w:pos="9360"/>
            </w:tabs>
            <w:bidi w:val="0"/>
            <w:spacing w:before="240" w:beforeAutospacing="off" w:after="240" w:afterAutospacing="off"/>
            <w:rPr>
              <w:rStyle w:val="Hyperlink"/>
            </w:rPr>
          </w:pPr>
          <w:hyperlink w:anchor="_Toc173502751">
            <w:r w:rsidRPr="3DC7A50A" w:rsidR="3DC7A50A">
              <w:rPr>
                <w:rStyle w:val="Hyperlink"/>
              </w:rPr>
              <w:t>4.5.11 Article 11: Atif M., et al. (South Asia)</w:t>
            </w:r>
            <w:r>
              <w:tab/>
            </w:r>
            <w:r>
              <w:fldChar w:fldCharType="begin"/>
            </w:r>
            <w:r>
              <w:instrText xml:space="preserve">PAGEREF _Toc173502751 \h</w:instrText>
            </w:r>
            <w:r>
              <w:fldChar w:fldCharType="separate"/>
            </w:r>
            <w:r w:rsidRPr="3DC7A50A" w:rsidR="3DC7A50A">
              <w:rPr>
                <w:rStyle w:val="Hyperlink"/>
              </w:rPr>
              <w:t>30</w:t>
            </w:r>
            <w:r>
              <w:fldChar w:fldCharType="end"/>
            </w:r>
          </w:hyperlink>
        </w:p>
        <w:p w:rsidR="50C65511" w:rsidP="3DC7A50A" w:rsidRDefault="50C65511" w14:paraId="456C77C4" w14:textId="547E9DAE">
          <w:pPr>
            <w:pStyle w:val="TOC3"/>
            <w:tabs>
              <w:tab w:val="right" w:leader="dot" w:pos="9360"/>
            </w:tabs>
            <w:bidi w:val="0"/>
            <w:spacing w:before="240" w:beforeAutospacing="off" w:after="240" w:afterAutospacing="off"/>
            <w:rPr>
              <w:rStyle w:val="Hyperlink"/>
            </w:rPr>
          </w:pPr>
          <w:hyperlink w:anchor="_Toc1410733907">
            <w:r w:rsidRPr="3DC7A50A" w:rsidR="3DC7A50A">
              <w:rPr>
                <w:rStyle w:val="Hyperlink"/>
              </w:rPr>
              <w:t>4.5.12 Article 12: Kamba P.F., et al. (Uganda)</w:t>
            </w:r>
            <w:r>
              <w:tab/>
            </w:r>
            <w:r>
              <w:fldChar w:fldCharType="begin"/>
            </w:r>
            <w:r>
              <w:instrText xml:space="preserve">PAGEREF _Toc1410733907 \h</w:instrText>
            </w:r>
            <w:r>
              <w:fldChar w:fldCharType="separate"/>
            </w:r>
            <w:r w:rsidRPr="3DC7A50A" w:rsidR="3DC7A50A">
              <w:rPr>
                <w:rStyle w:val="Hyperlink"/>
              </w:rPr>
              <w:t>30</w:t>
            </w:r>
            <w:r>
              <w:fldChar w:fldCharType="end"/>
            </w:r>
          </w:hyperlink>
        </w:p>
        <w:p w:rsidR="50C65511" w:rsidP="3DC7A50A" w:rsidRDefault="50C65511" w14:paraId="1A19D589" w14:textId="45D00E6A">
          <w:pPr>
            <w:pStyle w:val="TOC2"/>
            <w:tabs>
              <w:tab w:val="right" w:leader="dot" w:pos="9360"/>
            </w:tabs>
            <w:bidi w:val="0"/>
            <w:spacing w:before="240" w:beforeAutospacing="off" w:after="240" w:afterAutospacing="off"/>
            <w:rPr>
              <w:rStyle w:val="Hyperlink"/>
            </w:rPr>
          </w:pPr>
          <w:hyperlink w:anchor="_Toc1051739213">
            <w:r w:rsidRPr="3DC7A50A" w:rsidR="3DC7A50A">
              <w:rPr>
                <w:rStyle w:val="Hyperlink"/>
              </w:rPr>
              <w:t>4.6 Chapter Summary</w:t>
            </w:r>
            <w:r>
              <w:tab/>
            </w:r>
            <w:r>
              <w:fldChar w:fldCharType="begin"/>
            </w:r>
            <w:r>
              <w:instrText xml:space="preserve">PAGEREF _Toc1051739213 \h</w:instrText>
            </w:r>
            <w:r>
              <w:fldChar w:fldCharType="separate"/>
            </w:r>
            <w:r w:rsidRPr="3DC7A50A" w:rsidR="3DC7A50A">
              <w:rPr>
                <w:rStyle w:val="Hyperlink"/>
              </w:rPr>
              <w:t>30</w:t>
            </w:r>
            <w:r>
              <w:fldChar w:fldCharType="end"/>
            </w:r>
          </w:hyperlink>
        </w:p>
        <w:p w:rsidR="50C65511" w:rsidP="3DC7A50A" w:rsidRDefault="50C65511" w14:paraId="2ECC34AC" w14:textId="08134218">
          <w:pPr>
            <w:pStyle w:val="TOC1"/>
            <w:tabs>
              <w:tab w:val="right" w:leader="dot" w:pos="9360"/>
            </w:tabs>
            <w:bidi w:val="0"/>
            <w:spacing w:before="240" w:beforeAutospacing="off" w:after="240" w:afterAutospacing="off"/>
            <w:rPr>
              <w:rStyle w:val="Hyperlink"/>
            </w:rPr>
          </w:pPr>
          <w:hyperlink w:anchor="_Toc1069044539">
            <w:r w:rsidRPr="3DC7A50A" w:rsidR="3DC7A50A">
              <w:rPr>
                <w:rStyle w:val="Hyperlink"/>
              </w:rPr>
              <w:t>CHAPTER 5: Data Analysis and Thematic Synthesis</w:t>
            </w:r>
            <w:r>
              <w:tab/>
            </w:r>
            <w:r>
              <w:fldChar w:fldCharType="begin"/>
            </w:r>
            <w:r>
              <w:instrText xml:space="preserve">PAGEREF _Toc1069044539 \h</w:instrText>
            </w:r>
            <w:r>
              <w:fldChar w:fldCharType="separate"/>
            </w:r>
            <w:r w:rsidRPr="3DC7A50A" w:rsidR="3DC7A50A">
              <w:rPr>
                <w:rStyle w:val="Hyperlink"/>
              </w:rPr>
              <w:t>31</w:t>
            </w:r>
            <w:r>
              <w:fldChar w:fldCharType="end"/>
            </w:r>
          </w:hyperlink>
        </w:p>
        <w:p w:rsidR="50C65511" w:rsidP="3DC7A50A" w:rsidRDefault="50C65511" w14:paraId="37215702" w14:textId="3A5C9E5A">
          <w:pPr>
            <w:pStyle w:val="TOC2"/>
            <w:tabs>
              <w:tab w:val="right" w:leader="dot" w:pos="9360"/>
            </w:tabs>
            <w:bidi w:val="0"/>
            <w:spacing w:before="240" w:beforeAutospacing="off" w:after="240" w:afterAutospacing="off"/>
            <w:rPr>
              <w:rStyle w:val="Hyperlink"/>
            </w:rPr>
          </w:pPr>
          <w:hyperlink w:anchor="_Toc941602274">
            <w:r w:rsidRPr="3DC7A50A" w:rsidR="3DC7A50A">
              <w:rPr>
                <w:rStyle w:val="Hyperlink"/>
              </w:rPr>
              <w:t>5.1 Introduction</w:t>
            </w:r>
            <w:r>
              <w:tab/>
            </w:r>
            <w:r>
              <w:fldChar w:fldCharType="begin"/>
            </w:r>
            <w:r>
              <w:instrText xml:space="preserve">PAGEREF _Toc941602274 \h</w:instrText>
            </w:r>
            <w:r>
              <w:fldChar w:fldCharType="separate"/>
            </w:r>
            <w:r w:rsidRPr="3DC7A50A" w:rsidR="3DC7A50A">
              <w:rPr>
                <w:rStyle w:val="Hyperlink"/>
              </w:rPr>
              <w:t>31</w:t>
            </w:r>
            <w:r>
              <w:fldChar w:fldCharType="end"/>
            </w:r>
          </w:hyperlink>
        </w:p>
        <w:p w:rsidR="50C65511" w:rsidP="3DC7A50A" w:rsidRDefault="50C65511" w14:paraId="0FDAF1EE" w14:textId="6D7749FA">
          <w:pPr>
            <w:pStyle w:val="TOC2"/>
            <w:tabs>
              <w:tab w:val="right" w:leader="dot" w:pos="9360"/>
            </w:tabs>
            <w:bidi w:val="0"/>
            <w:spacing w:before="240" w:beforeAutospacing="off" w:after="240" w:afterAutospacing="off"/>
            <w:rPr>
              <w:rStyle w:val="Hyperlink"/>
            </w:rPr>
          </w:pPr>
          <w:hyperlink w:anchor="_Toc1718535801">
            <w:r w:rsidRPr="3DC7A50A" w:rsidR="3DC7A50A">
              <w:rPr>
                <w:rStyle w:val="Hyperlink"/>
              </w:rPr>
              <w:t>5.3 Characteristics of the Identified Studies</w:t>
            </w:r>
            <w:r>
              <w:tab/>
            </w:r>
            <w:r>
              <w:fldChar w:fldCharType="begin"/>
            </w:r>
            <w:r>
              <w:instrText xml:space="preserve">PAGEREF _Toc1718535801 \h</w:instrText>
            </w:r>
            <w:r>
              <w:fldChar w:fldCharType="separate"/>
            </w:r>
            <w:r w:rsidRPr="3DC7A50A" w:rsidR="3DC7A50A">
              <w:rPr>
                <w:rStyle w:val="Hyperlink"/>
              </w:rPr>
              <w:t>32</w:t>
            </w:r>
            <w:r>
              <w:fldChar w:fldCharType="end"/>
            </w:r>
          </w:hyperlink>
        </w:p>
        <w:p w:rsidR="50C65511" w:rsidP="407E75B8" w:rsidRDefault="50C65511" w14:paraId="2BE87344" w14:textId="2702E6C4">
          <w:pPr>
            <w:pStyle w:val="TOC3"/>
            <w:tabs>
              <w:tab w:val="right" w:leader="dot" w:pos="9360"/>
            </w:tabs>
            <w:bidi w:val="0"/>
            <w:spacing w:before="240" w:beforeAutospacing="off" w:after="240" w:afterAutospacing="off"/>
            <w:rPr>
              <w:rStyle w:val="Hyperlink"/>
            </w:rPr>
          </w:pPr>
          <w:hyperlink w:anchor="_Toc316414080">
            <w:r w:rsidRPr="3DC7A50A" w:rsidR="3DC7A50A">
              <w:rPr>
                <w:rStyle w:val="Hyperlink"/>
              </w:rPr>
              <w:t>5.4 Thematic Analysis (Expanded Version)</w:t>
            </w:r>
            <w:r>
              <w:tab/>
            </w:r>
            <w:r>
              <w:fldChar w:fldCharType="begin"/>
            </w:r>
            <w:r>
              <w:instrText xml:space="preserve">PAGEREF _Toc316414080 \h</w:instrText>
            </w:r>
            <w:r>
              <w:fldChar w:fldCharType="separate"/>
            </w:r>
            <w:r w:rsidRPr="3DC7A50A" w:rsidR="3DC7A50A">
              <w:rPr>
                <w:rStyle w:val="Hyperlink"/>
              </w:rPr>
              <w:t>32</w:t>
            </w:r>
            <w:r>
              <w:fldChar w:fldCharType="end"/>
            </w:r>
          </w:hyperlink>
        </w:p>
        <w:p w:rsidR="50C65511" w:rsidP="407E75B8" w:rsidRDefault="50C65511" w14:paraId="57ED79F9" w14:textId="0872F784">
          <w:pPr>
            <w:pStyle w:val="TOC3"/>
            <w:tabs>
              <w:tab w:val="right" w:leader="dot" w:pos="9360"/>
            </w:tabs>
            <w:bidi w:val="0"/>
            <w:spacing w:before="240" w:beforeAutospacing="off" w:after="240" w:afterAutospacing="off"/>
            <w:rPr>
              <w:rStyle w:val="Hyperlink"/>
            </w:rPr>
          </w:pPr>
          <w:hyperlink w:anchor="_Toc1562297995">
            <w:r w:rsidRPr="3DC7A50A" w:rsidR="3DC7A50A">
              <w:rPr>
                <w:rStyle w:val="Hyperlink"/>
              </w:rPr>
              <w:t>Table 5.1(Themes and Subthemes)</w:t>
            </w:r>
            <w:r>
              <w:tab/>
            </w:r>
            <w:r>
              <w:fldChar w:fldCharType="begin"/>
            </w:r>
            <w:r>
              <w:instrText xml:space="preserve">PAGEREF _Toc1562297995 \h</w:instrText>
            </w:r>
            <w:r>
              <w:fldChar w:fldCharType="separate"/>
            </w:r>
            <w:r w:rsidRPr="3DC7A50A" w:rsidR="3DC7A50A">
              <w:rPr>
                <w:rStyle w:val="Hyperlink"/>
              </w:rPr>
              <w:t>33</w:t>
            </w:r>
            <w:r>
              <w:fldChar w:fldCharType="end"/>
            </w:r>
          </w:hyperlink>
        </w:p>
        <w:p w:rsidR="50C65511" w:rsidP="407E75B8" w:rsidRDefault="50C65511" w14:paraId="29415DEC" w14:textId="018BB781">
          <w:pPr>
            <w:pStyle w:val="TOC3"/>
            <w:tabs>
              <w:tab w:val="right" w:leader="dot" w:pos="9360"/>
            </w:tabs>
            <w:bidi w:val="0"/>
            <w:spacing w:before="240" w:beforeAutospacing="off" w:after="240" w:afterAutospacing="off"/>
            <w:rPr>
              <w:rStyle w:val="Hyperlink"/>
            </w:rPr>
          </w:pPr>
          <w:hyperlink w:anchor="_Toc544984139">
            <w:r w:rsidRPr="3DC7A50A" w:rsidR="3DC7A50A">
              <w:rPr>
                <w:rStyle w:val="Hyperlink"/>
              </w:rPr>
              <w:t>5.4.1 Theme 1: Knowledge Gaps and Training Deficiencies Among Pharmacists Affect Medication Safety</w:t>
            </w:r>
            <w:r>
              <w:tab/>
            </w:r>
            <w:r>
              <w:fldChar w:fldCharType="begin"/>
            </w:r>
            <w:r>
              <w:instrText xml:space="preserve">PAGEREF _Toc544984139 \h</w:instrText>
            </w:r>
            <w:r>
              <w:fldChar w:fldCharType="separate"/>
            </w:r>
            <w:r w:rsidRPr="3DC7A50A" w:rsidR="3DC7A50A">
              <w:rPr>
                <w:rStyle w:val="Hyperlink"/>
              </w:rPr>
              <w:t>35</w:t>
            </w:r>
            <w:r>
              <w:fldChar w:fldCharType="end"/>
            </w:r>
          </w:hyperlink>
        </w:p>
        <w:p w:rsidR="50C65511" w:rsidP="407E75B8" w:rsidRDefault="50C65511" w14:paraId="5A30BC01" w14:textId="3F6F863F">
          <w:pPr>
            <w:pStyle w:val="TOC3"/>
            <w:tabs>
              <w:tab w:val="right" w:leader="dot" w:pos="9360"/>
            </w:tabs>
            <w:bidi w:val="0"/>
            <w:spacing w:before="240" w:beforeAutospacing="off" w:after="240" w:afterAutospacing="off"/>
            <w:rPr>
              <w:rStyle w:val="Hyperlink"/>
            </w:rPr>
          </w:pPr>
          <w:hyperlink w:anchor="_Toc1881944377">
            <w:r w:rsidRPr="3DC7A50A" w:rsidR="3DC7A50A">
              <w:rPr>
                <w:rStyle w:val="Hyperlink"/>
              </w:rPr>
              <w:t>5.4.2 Theme 2: Systemic and Organisational Barriers Impede Safe Dispensing Practices</w:t>
            </w:r>
            <w:r>
              <w:tab/>
            </w:r>
            <w:r>
              <w:fldChar w:fldCharType="begin"/>
            </w:r>
            <w:r>
              <w:instrText xml:space="preserve">PAGEREF _Toc1881944377 \h</w:instrText>
            </w:r>
            <w:r>
              <w:fldChar w:fldCharType="separate"/>
            </w:r>
            <w:r w:rsidRPr="3DC7A50A" w:rsidR="3DC7A50A">
              <w:rPr>
                <w:rStyle w:val="Hyperlink"/>
              </w:rPr>
              <w:t>36</w:t>
            </w:r>
            <w:r>
              <w:fldChar w:fldCharType="end"/>
            </w:r>
          </w:hyperlink>
        </w:p>
        <w:p w:rsidR="50C65511" w:rsidP="407E75B8" w:rsidRDefault="50C65511" w14:paraId="4A01B7B7" w14:textId="1CA9893D">
          <w:pPr>
            <w:pStyle w:val="TOC3"/>
            <w:tabs>
              <w:tab w:val="right" w:leader="dot" w:pos="9360"/>
            </w:tabs>
            <w:bidi w:val="0"/>
            <w:spacing w:before="240" w:beforeAutospacing="off" w:after="240" w:afterAutospacing="off"/>
            <w:rPr>
              <w:rStyle w:val="Hyperlink"/>
            </w:rPr>
          </w:pPr>
          <w:hyperlink w:anchor="_Toc1365980672">
            <w:r w:rsidRPr="3DC7A50A" w:rsidR="3DC7A50A">
              <w:rPr>
                <w:rStyle w:val="Hyperlink"/>
              </w:rPr>
              <w:t>5.4.3 Theme 3: Ethical Challenges and Socio-Cultural Influences Shape Pharmacists’ Attitudes Toward Error Reporting</w:t>
            </w:r>
            <w:r>
              <w:tab/>
            </w:r>
            <w:r>
              <w:fldChar w:fldCharType="begin"/>
            </w:r>
            <w:r>
              <w:instrText xml:space="preserve">PAGEREF _Toc1365980672 \h</w:instrText>
            </w:r>
            <w:r>
              <w:fldChar w:fldCharType="separate"/>
            </w:r>
            <w:r w:rsidRPr="3DC7A50A" w:rsidR="3DC7A50A">
              <w:rPr>
                <w:rStyle w:val="Hyperlink"/>
              </w:rPr>
              <w:t>37</w:t>
            </w:r>
            <w:r>
              <w:fldChar w:fldCharType="end"/>
            </w:r>
          </w:hyperlink>
        </w:p>
        <w:p w:rsidR="50C65511" w:rsidP="407E75B8" w:rsidRDefault="50C65511" w14:paraId="099D33DE" w14:textId="422C8B8A">
          <w:pPr>
            <w:pStyle w:val="TOC3"/>
            <w:tabs>
              <w:tab w:val="right" w:leader="dot" w:pos="9360"/>
            </w:tabs>
            <w:bidi w:val="0"/>
            <w:spacing w:before="240" w:beforeAutospacing="off" w:after="240" w:afterAutospacing="off"/>
            <w:rPr>
              <w:rStyle w:val="Hyperlink"/>
            </w:rPr>
          </w:pPr>
          <w:hyperlink w:anchor="_Toc894060457">
            <w:r w:rsidRPr="3DC7A50A" w:rsidR="3DC7A50A">
              <w:rPr>
                <w:rStyle w:val="Hyperlink"/>
              </w:rPr>
              <w:t>5.4.4 Theme 4: Quality Improvement Initiatives and Technology Adoption Enhance Medication Safety in Pharmacy Settings</w:t>
            </w:r>
            <w:r>
              <w:tab/>
            </w:r>
            <w:r>
              <w:fldChar w:fldCharType="begin"/>
            </w:r>
            <w:r>
              <w:instrText xml:space="preserve">PAGEREF _Toc894060457 \h</w:instrText>
            </w:r>
            <w:r>
              <w:fldChar w:fldCharType="separate"/>
            </w:r>
            <w:r w:rsidRPr="3DC7A50A" w:rsidR="3DC7A50A">
              <w:rPr>
                <w:rStyle w:val="Hyperlink"/>
              </w:rPr>
              <w:t>38</w:t>
            </w:r>
            <w:r>
              <w:fldChar w:fldCharType="end"/>
            </w:r>
          </w:hyperlink>
        </w:p>
        <w:p w:rsidR="50C65511" w:rsidP="3DC7A50A" w:rsidRDefault="50C65511" w14:paraId="518E86B1" w14:textId="0B7D63AE">
          <w:pPr>
            <w:pStyle w:val="TOC2"/>
            <w:tabs>
              <w:tab w:val="right" w:leader="dot" w:pos="9360"/>
            </w:tabs>
            <w:bidi w:val="0"/>
            <w:spacing w:before="240" w:beforeAutospacing="off" w:after="240" w:afterAutospacing="off"/>
            <w:rPr>
              <w:rStyle w:val="Hyperlink"/>
            </w:rPr>
          </w:pPr>
          <w:hyperlink w:anchor="_Toc962451823">
            <w:r w:rsidRPr="3DC7A50A" w:rsidR="3DC7A50A">
              <w:rPr>
                <w:rStyle w:val="Hyperlink"/>
              </w:rPr>
              <w:t>5.5 Chapter Summary</w:t>
            </w:r>
            <w:r>
              <w:tab/>
            </w:r>
            <w:r>
              <w:fldChar w:fldCharType="begin"/>
            </w:r>
            <w:r>
              <w:instrText xml:space="preserve">PAGEREF _Toc962451823 \h</w:instrText>
            </w:r>
            <w:r>
              <w:fldChar w:fldCharType="separate"/>
            </w:r>
            <w:r w:rsidRPr="3DC7A50A" w:rsidR="3DC7A50A">
              <w:rPr>
                <w:rStyle w:val="Hyperlink"/>
              </w:rPr>
              <w:t>39</w:t>
            </w:r>
            <w:r>
              <w:fldChar w:fldCharType="end"/>
            </w:r>
          </w:hyperlink>
        </w:p>
        <w:p w:rsidR="50C65511" w:rsidP="3DC7A50A" w:rsidRDefault="50C65511" w14:paraId="6D3BFCBB" w14:textId="13CC4811">
          <w:pPr>
            <w:pStyle w:val="TOC1"/>
            <w:tabs>
              <w:tab w:val="right" w:leader="dot" w:pos="9360"/>
            </w:tabs>
            <w:bidi w:val="0"/>
            <w:spacing w:before="240" w:beforeAutospacing="off" w:after="240" w:afterAutospacing="off"/>
            <w:rPr>
              <w:rStyle w:val="Hyperlink"/>
            </w:rPr>
          </w:pPr>
          <w:hyperlink w:anchor="_Toc899709787">
            <w:r w:rsidRPr="3DC7A50A" w:rsidR="3DC7A50A">
              <w:rPr>
                <w:rStyle w:val="Hyperlink"/>
              </w:rPr>
              <w:t>CHAPTER 6: DISCUSSION</w:t>
            </w:r>
            <w:r>
              <w:tab/>
            </w:r>
            <w:r>
              <w:fldChar w:fldCharType="begin"/>
            </w:r>
            <w:r>
              <w:instrText xml:space="preserve">PAGEREF _Toc899709787 \h</w:instrText>
            </w:r>
            <w:r>
              <w:fldChar w:fldCharType="separate"/>
            </w:r>
            <w:r w:rsidRPr="3DC7A50A" w:rsidR="3DC7A50A">
              <w:rPr>
                <w:rStyle w:val="Hyperlink"/>
              </w:rPr>
              <w:t>40</w:t>
            </w:r>
            <w:r>
              <w:fldChar w:fldCharType="end"/>
            </w:r>
          </w:hyperlink>
        </w:p>
        <w:p w:rsidR="50C65511" w:rsidP="3DC7A50A" w:rsidRDefault="50C65511" w14:paraId="49145206" w14:textId="68593315">
          <w:pPr>
            <w:pStyle w:val="TOC2"/>
            <w:tabs>
              <w:tab w:val="right" w:leader="dot" w:pos="9360"/>
            </w:tabs>
            <w:bidi w:val="0"/>
            <w:spacing w:before="240" w:beforeAutospacing="off" w:after="240" w:afterAutospacing="off"/>
            <w:rPr>
              <w:rStyle w:val="Hyperlink"/>
            </w:rPr>
          </w:pPr>
          <w:hyperlink w:anchor="_Toc1213824802">
            <w:r w:rsidRPr="3DC7A50A" w:rsidR="3DC7A50A">
              <w:rPr>
                <w:rStyle w:val="Hyperlink"/>
              </w:rPr>
              <w:t>6.1 Introduction</w:t>
            </w:r>
            <w:r>
              <w:tab/>
            </w:r>
            <w:r>
              <w:fldChar w:fldCharType="begin"/>
            </w:r>
            <w:r>
              <w:instrText xml:space="preserve">PAGEREF _Toc1213824802 \h</w:instrText>
            </w:r>
            <w:r>
              <w:fldChar w:fldCharType="separate"/>
            </w:r>
            <w:r w:rsidRPr="3DC7A50A" w:rsidR="3DC7A50A">
              <w:rPr>
                <w:rStyle w:val="Hyperlink"/>
              </w:rPr>
              <w:t>40</w:t>
            </w:r>
            <w:r>
              <w:fldChar w:fldCharType="end"/>
            </w:r>
          </w:hyperlink>
        </w:p>
        <w:p w:rsidR="50C65511" w:rsidP="3DC7A50A" w:rsidRDefault="50C65511" w14:paraId="323A6BFD" w14:textId="7DB7106C">
          <w:pPr>
            <w:pStyle w:val="TOC2"/>
            <w:tabs>
              <w:tab w:val="right" w:leader="dot" w:pos="9360"/>
            </w:tabs>
            <w:bidi w:val="0"/>
            <w:spacing w:before="240" w:beforeAutospacing="off" w:after="240" w:afterAutospacing="off"/>
            <w:rPr>
              <w:rStyle w:val="Hyperlink"/>
            </w:rPr>
          </w:pPr>
          <w:hyperlink w:anchor="_Toc425492968">
            <w:r w:rsidRPr="3DC7A50A" w:rsidR="3DC7A50A">
              <w:rPr>
                <w:rStyle w:val="Hyperlink"/>
              </w:rPr>
              <w:t>6.2 Systemic and Organisational Barriers</w:t>
            </w:r>
            <w:r>
              <w:tab/>
            </w:r>
            <w:r>
              <w:fldChar w:fldCharType="begin"/>
            </w:r>
            <w:r>
              <w:instrText xml:space="preserve">PAGEREF _Toc425492968 \h</w:instrText>
            </w:r>
            <w:r>
              <w:fldChar w:fldCharType="separate"/>
            </w:r>
            <w:r w:rsidRPr="3DC7A50A" w:rsidR="3DC7A50A">
              <w:rPr>
                <w:rStyle w:val="Hyperlink"/>
              </w:rPr>
              <w:t>41</w:t>
            </w:r>
            <w:r>
              <w:fldChar w:fldCharType="end"/>
            </w:r>
          </w:hyperlink>
        </w:p>
        <w:p w:rsidR="50C65511" w:rsidP="3DC7A50A" w:rsidRDefault="50C65511" w14:paraId="4CE09ED6" w14:textId="44529722">
          <w:pPr>
            <w:pStyle w:val="TOC2"/>
            <w:tabs>
              <w:tab w:val="right" w:leader="dot" w:pos="9360"/>
            </w:tabs>
            <w:bidi w:val="0"/>
            <w:spacing w:before="240" w:beforeAutospacing="off" w:after="240" w:afterAutospacing="off"/>
            <w:rPr>
              <w:rStyle w:val="Hyperlink"/>
            </w:rPr>
          </w:pPr>
          <w:hyperlink w:anchor="_Toc2048048021">
            <w:r w:rsidRPr="3DC7A50A" w:rsidR="3DC7A50A">
              <w:rPr>
                <w:rStyle w:val="Hyperlink"/>
              </w:rPr>
              <w:t>6.3 Impact on Patient Outcomes</w:t>
            </w:r>
            <w:r>
              <w:tab/>
            </w:r>
            <w:r>
              <w:fldChar w:fldCharType="begin"/>
            </w:r>
            <w:r>
              <w:instrText xml:space="preserve">PAGEREF _Toc2048048021 \h</w:instrText>
            </w:r>
            <w:r>
              <w:fldChar w:fldCharType="separate"/>
            </w:r>
            <w:r w:rsidRPr="3DC7A50A" w:rsidR="3DC7A50A">
              <w:rPr>
                <w:rStyle w:val="Hyperlink"/>
              </w:rPr>
              <w:t>42</w:t>
            </w:r>
            <w:r>
              <w:fldChar w:fldCharType="end"/>
            </w:r>
          </w:hyperlink>
        </w:p>
        <w:p w:rsidR="50C65511" w:rsidP="3DC7A50A" w:rsidRDefault="50C65511" w14:paraId="14CECB9D" w14:textId="0D4973D6">
          <w:pPr>
            <w:pStyle w:val="TOC2"/>
            <w:tabs>
              <w:tab w:val="right" w:leader="dot" w:pos="9360"/>
            </w:tabs>
            <w:bidi w:val="0"/>
            <w:spacing w:before="240" w:beforeAutospacing="off" w:after="240" w:afterAutospacing="off"/>
            <w:rPr>
              <w:rStyle w:val="Hyperlink"/>
            </w:rPr>
          </w:pPr>
          <w:hyperlink w:anchor="_Toc434104547">
            <w:r w:rsidRPr="3DC7A50A" w:rsidR="3DC7A50A">
              <w:rPr>
                <w:rStyle w:val="Hyperlink"/>
              </w:rPr>
              <w:t>6.4 Cultural and Ethical Standards</w:t>
            </w:r>
            <w:r>
              <w:tab/>
            </w:r>
            <w:r>
              <w:fldChar w:fldCharType="begin"/>
            </w:r>
            <w:r>
              <w:instrText xml:space="preserve">PAGEREF _Toc434104547 \h</w:instrText>
            </w:r>
            <w:r>
              <w:fldChar w:fldCharType="separate"/>
            </w:r>
            <w:r w:rsidRPr="3DC7A50A" w:rsidR="3DC7A50A">
              <w:rPr>
                <w:rStyle w:val="Hyperlink"/>
              </w:rPr>
              <w:t>42</w:t>
            </w:r>
            <w:r>
              <w:fldChar w:fldCharType="end"/>
            </w:r>
          </w:hyperlink>
        </w:p>
        <w:p w:rsidR="50C65511" w:rsidP="407E75B8" w:rsidRDefault="50C65511" w14:paraId="7444B87A" w14:textId="7EEFB89B">
          <w:pPr>
            <w:pStyle w:val="TOC2"/>
            <w:tabs>
              <w:tab w:val="right" w:leader="dot" w:pos="9360"/>
            </w:tabs>
            <w:bidi w:val="0"/>
            <w:spacing w:before="240" w:beforeAutospacing="off" w:after="240" w:afterAutospacing="off"/>
            <w:rPr>
              <w:rStyle w:val="Hyperlink"/>
            </w:rPr>
          </w:pPr>
          <w:hyperlink w:anchor="_Toc2094049556">
            <w:r w:rsidRPr="3DC7A50A" w:rsidR="3DC7A50A">
              <w:rPr>
                <w:rStyle w:val="Hyperlink"/>
              </w:rPr>
              <w:t>6.5 Avoidance Behaviours and Family Roles</w:t>
            </w:r>
            <w:r>
              <w:tab/>
            </w:r>
            <w:r>
              <w:fldChar w:fldCharType="begin"/>
            </w:r>
            <w:r>
              <w:instrText xml:space="preserve">PAGEREF _Toc2094049556 \h</w:instrText>
            </w:r>
            <w:r>
              <w:fldChar w:fldCharType="separate"/>
            </w:r>
            <w:r w:rsidRPr="3DC7A50A" w:rsidR="3DC7A50A">
              <w:rPr>
                <w:rStyle w:val="Hyperlink"/>
              </w:rPr>
              <w:t>43</w:t>
            </w:r>
            <w:r>
              <w:fldChar w:fldCharType="end"/>
            </w:r>
          </w:hyperlink>
        </w:p>
        <w:p w:rsidR="3DC7A50A" w:rsidP="3DC7A50A" w:rsidRDefault="3DC7A50A" w14:paraId="50D65B05" w14:textId="65F7DB75">
          <w:pPr>
            <w:pStyle w:val="TOC2"/>
            <w:tabs>
              <w:tab w:val="right" w:leader="dot" w:pos="9360"/>
            </w:tabs>
            <w:bidi w:val="0"/>
            <w:rPr>
              <w:rStyle w:val="Hyperlink"/>
            </w:rPr>
          </w:pPr>
          <w:hyperlink w:anchor="_Toc1740912718">
            <w:r w:rsidRPr="3DC7A50A" w:rsidR="3DC7A50A">
              <w:rPr>
                <w:rStyle w:val="Hyperlink"/>
              </w:rPr>
              <w:t>6.6 Impact of Language Barriers</w:t>
            </w:r>
            <w:r>
              <w:tab/>
            </w:r>
            <w:r>
              <w:fldChar w:fldCharType="begin"/>
            </w:r>
            <w:r>
              <w:instrText xml:space="preserve">PAGEREF _Toc1740912718 \h</w:instrText>
            </w:r>
            <w:r>
              <w:fldChar w:fldCharType="separate"/>
            </w:r>
            <w:r w:rsidRPr="3DC7A50A" w:rsidR="3DC7A50A">
              <w:rPr>
                <w:rStyle w:val="Hyperlink"/>
              </w:rPr>
              <w:t>44</w:t>
            </w:r>
            <w:r>
              <w:fldChar w:fldCharType="end"/>
            </w:r>
          </w:hyperlink>
        </w:p>
        <w:p w:rsidR="3DC7A50A" w:rsidP="3DC7A50A" w:rsidRDefault="3DC7A50A" w14:paraId="0F3A9189" w14:textId="4528EBE7">
          <w:pPr>
            <w:pStyle w:val="TOC2"/>
            <w:tabs>
              <w:tab w:val="right" w:leader="dot" w:pos="9360"/>
            </w:tabs>
            <w:bidi w:val="0"/>
            <w:rPr>
              <w:rStyle w:val="Hyperlink"/>
            </w:rPr>
          </w:pPr>
          <w:hyperlink w:anchor="_Toc1759269038">
            <w:r w:rsidRPr="3DC7A50A" w:rsidR="3DC7A50A">
              <w:rPr>
                <w:rStyle w:val="Hyperlink"/>
              </w:rPr>
              <w:t>6.7 Socioeconomic Disadvantages</w:t>
            </w:r>
            <w:r>
              <w:tab/>
            </w:r>
            <w:r>
              <w:fldChar w:fldCharType="begin"/>
            </w:r>
            <w:r>
              <w:instrText xml:space="preserve">PAGEREF _Toc1759269038 \h</w:instrText>
            </w:r>
            <w:r>
              <w:fldChar w:fldCharType="separate"/>
            </w:r>
            <w:r w:rsidRPr="3DC7A50A" w:rsidR="3DC7A50A">
              <w:rPr>
                <w:rStyle w:val="Hyperlink"/>
              </w:rPr>
              <w:t>44</w:t>
            </w:r>
            <w:r>
              <w:fldChar w:fldCharType="end"/>
            </w:r>
          </w:hyperlink>
        </w:p>
        <w:p w:rsidR="3DC7A50A" w:rsidP="3DC7A50A" w:rsidRDefault="3DC7A50A" w14:paraId="33F623C2" w14:textId="048935B0">
          <w:pPr>
            <w:pStyle w:val="TOC2"/>
            <w:tabs>
              <w:tab w:val="right" w:leader="dot" w:pos="9360"/>
            </w:tabs>
            <w:bidi w:val="0"/>
            <w:rPr>
              <w:rStyle w:val="Hyperlink"/>
            </w:rPr>
          </w:pPr>
          <w:hyperlink w:anchor="_Toc544010809">
            <w:r w:rsidRPr="3DC7A50A" w:rsidR="3DC7A50A">
              <w:rPr>
                <w:rStyle w:val="Hyperlink"/>
              </w:rPr>
              <w:t>6.8 Recommendations for Improvement</w:t>
            </w:r>
            <w:r>
              <w:tab/>
            </w:r>
            <w:r>
              <w:fldChar w:fldCharType="begin"/>
            </w:r>
            <w:r>
              <w:instrText xml:space="preserve">PAGEREF _Toc544010809 \h</w:instrText>
            </w:r>
            <w:r>
              <w:fldChar w:fldCharType="separate"/>
            </w:r>
            <w:r w:rsidRPr="3DC7A50A" w:rsidR="3DC7A50A">
              <w:rPr>
                <w:rStyle w:val="Hyperlink"/>
              </w:rPr>
              <w:t>45</w:t>
            </w:r>
            <w:r>
              <w:fldChar w:fldCharType="end"/>
            </w:r>
          </w:hyperlink>
        </w:p>
        <w:p w:rsidR="3DC7A50A" w:rsidP="3DC7A50A" w:rsidRDefault="3DC7A50A" w14:paraId="77E8D890" w14:textId="6129E49B">
          <w:pPr>
            <w:pStyle w:val="TOC2"/>
            <w:tabs>
              <w:tab w:val="right" w:leader="dot" w:pos="9360"/>
            </w:tabs>
            <w:bidi w:val="0"/>
            <w:rPr>
              <w:rStyle w:val="Hyperlink"/>
            </w:rPr>
          </w:pPr>
          <w:hyperlink w:anchor="_Toc830514248">
            <w:r w:rsidRPr="3DC7A50A" w:rsidR="3DC7A50A">
              <w:rPr>
                <w:rStyle w:val="Hyperlink"/>
              </w:rPr>
              <w:t>6.9 Implications for Policy and Practice</w:t>
            </w:r>
            <w:r>
              <w:tab/>
            </w:r>
            <w:r>
              <w:fldChar w:fldCharType="begin"/>
            </w:r>
            <w:r>
              <w:instrText xml:space="preserve">PAGEREF _Toc830514248 \h</w:instrText>
            </w:r>
            <w:r>
              <w:fldChar w:fldCharType="separate"/>
            </w:r>
            <w:r w:rsidRPr="3DC7A50A" w:rsidR="3DC7A50A">
              <w:rPr>
                <w:rStyle w:val="Hyperlink"/>
              </w:rPr>
              <w:t>45</w:t>
            </w:r>
            <w:r>
              <w:fldChar w:fldCharType="end"/>
            </w:r>
          </w:hyperlink>
        </w:p>
        <w:p w:rsidR="3DC7A50A" w:rsidP="3DC7A50A" w:rsidRDefault="3DC7A50A" w14:paraId="4CA0C2B6" w14:textId="07104530">
          <w:pPr>
            <w:pStyle w:val="TOC2"/>
            <w:tabs>
              <w:tab w:val="right" w:leader="dot" w:pos="9360"/>
            </w:tabs>
            <w:bidi w:val="0"/>
            <w:rPr>
              <w:rStyle w:val="Hyperlink"/>
            </w:rPr>
          </w:pPr>
          <w:hyperlink w:anchor="_Toc665075567">
            <w:r w:rsidRPr="3DC7A50A" w:rsidR="3DC7A50A">
              <w:rPr>
                <w:rStyle w:val="Hyperlink"/>
              </w:rPr>
              <w:t>6.10 Strengths and Limitations</w:t>
            </w:r>
            <w:r>
              <w:tab/>
            </w:r>
            <w:r>
              <w:fldChar w:fldCharType="begin"/>
            </w:r>
            <w:r>
              <w:instrText xml:space="preserve">PAGEREF _Toc665075567 \h</w:instrText>
            </w:r>
            <w:r>
              <w:fldChar w:fldCharType="separate"/>
            </w:r>
            <w:r w:rsidRPr="3DC7A50A" w:rsidR="3DC7A50A">
              <w:rPr>
                <w:rStyle w:val="Hyperlink"/>
              </w:rPr>
              <w:t>46</w:t>
            </w:r>
            <w:r>
              <w:fldChar w:fldCharType="end"/>
            </w:r>
          </w:hyperlink>
        </w:p>
        <w:p w:rsidR="3DC7A50A" w:rsidP="3DC7A50A" w:rsidRDefault="3DC7A50A" w14:paraId="3E0402DB" w14:textId="0DECA85D">
          <w:pPr>
            <w:pStyle w:val="TOC2"/>
            <w:tabs>
              <w:tab w:val="right" w:leader="dot" w:pos="9360"/>
            </w:tabs>
            <w:bidi w:val="0"/>
            <w:rPr>
              <w:rStyle w:val="Hyperlink"/>
            </w:rPr>
          </w:pPr>
          <w:hyperlink w:anchor="_Toc1884419942">
            <w:r w:rsidRPr="3DC7A50A" w:rsidR="3DC7A50A">
              <w:rPr>
                <w:rStyle w:val="Hyperlink"/>
              </w:rPr>
              <w:t>6.11 Summary</w:t>
            </w:r>
            <w:r>
              <w:tab/>
            </w:r>
            <w:r>
              <w:fldChar w:fldCharType="begin"/>
            </w:r>
            <w:r>
              <w:instrText xml:space="preserve">PAGEREF _Toc1884419942 \h</w:instrText>
            </w:r>
            <w:r>
              <w:fldChar w:fldCharType="separate"/>
            </w:r>
            <w:r w:rsidRPr="3DC7A50A" w:rsidR="3DC7A50A">
              <w:rPr>
                <w:rStyle w:val="Hyperlink"/>
              </w:rPr>
              <w:t>46</w:t>
            </w:r>
            <w:r>
              <w:fldChar w:fldCharType="end"/>
            </w:r>
          </w:hyperlink>
        </w:p>
        <w:p w:rsidR="3DC7A50A" w:rsidP="3DC7A50A" w:rsidRDefault="3DC7A50A" w14:paraId="79D9B475" w14:textId="61B404F1">
          <w:pPr>
            <w:pStyle w:val="TOC1"/>
            <w:tabs>
              <w:tab w:val="right" w:leader="dot" w:pos="9360"/>
            </w:tabs>
            <w:bidi w:val="0"/>
            <w:rPr>
              <w:rStyle w:val="Hyperlink"/>
            </w:rPr>
          </w:pPr>
          <w:hyperlink w:anchor="_Toc107635613">
            <w:r w:rsidRPr="3DC7A50A" w:rsidR="3DC7A50A">
              <w:rPr>
                <w:rStyle w:val="Hyperlink"/>
              </w:rPr>
              <w:t>CHAPTER 7: CONCLUSION AND RECOMMENDATIONS</w:t>
            </w:r>
            <w:r>
              <w:tab/>
            </w:r>
            <w:r>
              <w:fldChar w:fldCharType="begin"/>
            </w:r>
            <w:r>
              <w:instrText xml:space="preserve">PAGEREF _Toc107635613 \h</w:instrText>
            </w:r>
            <w:r>
              <w:fldChar w:fldCharType="separate"/>
            </w:r>
            <w:r w:rsidRPr="3DC7A50A" w:rsidR="3DC7A50A">
              <w:rPr>
                <w:rStyle w:val="Hyperlink"/>
              </w:rPr>
              <w:t>47</w:t>
            </w:r>
            <w:r>
              <w:fldChar w:fldCharType="end"/>
            </w:r>
          </w:hyperlink>
        </w:p>
        <w:p w:rsidR="3DC7A50A" w:rsidP="3DC7A50A" w:rsidRDefault="3DC7A50A" w14:paraId="703E67F1" w14:textId="46244239">
          <w:pPr>
            <w:pStyle w:val="TOC2"/>
            <w:tabs>
              <w:tab w:val="right" w:leader="dot" w:pos="9360"/>
            </w:tabs>
            <w:bidi w:val="0"/>
            <w:rPr>
              <w:rStyle w:val="Hyperlink"/>
            </w:rPr>
          </w:pPr>
          <w:hyperlink w:anchor="_Toc707833787">
            <w:r w:rsidRPr="3DC7A50A" w:rsidR="3DC7A50A">
              <w:rPr>
                <w:rStyle w:val="Hyperlink"/>
              </w:rPr>
              <w:t>7.1 Introduction</w:t>
            </w:r>
            <w:r>
              <w:tab/>
            </w:r>
            <w:r>
              <w:fldChar w:fldCharType="begin"/>
            </w:r>
            <w:r>
              <w:instrText xml:space="preserve">PAGEREF _Toc707833787 \h</w:instrText>
            </w:r>
            <w:r>
              <w:fldChar w:fldCharType="separate"/>
            </w:r>
            <w:r w:rsidRPr="3DC7A50A" w:rsidR="3DC7A50A">
              <w:rPr>
                <w:rStyle w:val="Hyperlink"/>
              </w:rPr>
              <w:t>47</w:t>
            </w:r>
            <w:r>
              <w:fldChar w:fldCharType="end"/>
            </w:r>
          </w:hyperlink>
        </w:p>
        <w:p w:rsidR="3DC7A50A" w:rsidP="3DC7A50A" w:rsidRDefault="3DC7A50A" w14:paraId="24728686" w14:textId="03868E46">
          <w:pPr>
            <w:pStyle w:val="TOC2"/>
            <w:tabs>
              <w:tab w:val="right" w:leader="dot" w:pos="9360"/>
            </w:tabs>
            <w:bidi w:val="0"/>
            <w:rPr>
              <w:rStyle w:val="Hyperlink"/>
            </w:rPr>
          </w:pPr>
          <w:hyperlink w:anchor="_Toc1743433829">
            <w:r w:rsidRPr="3DC7A50A" w:rsidR="3DC7A50A">
              <w:rPr>
                <w:rStyle w:val="Hyperlink"/>
              </w:rPr>
              <w:t>7.2 Overall Conclusion</w:t>
            </w:r>
            <w:r>
              <w:tab/>
            </w:r>
            <w:r>
              <w:fldChar w:fldCharType="begin"/>
            </w:r>
            <w:r>
              <w:instrText xml:space="preserve">PAGEREF _Toc1743433829 \h</w:instrText>
            </w:r>
            <w:r>
              <w:fldChar w:fldCharType="separate"/>
            </w:r>
            <w:r w:rsidRPr="3DC7A50A" w:rsidR="3DC7A50A">
              <w:rPr>
                <w:rStyle w:val="Hyperlink"/>
              </w:rPr>
              <w:t>47</w:t>
            </w:r>
            <w:r>
              <w:fldChar w:fldCharType="end"/>
            </w:r>
          </w:hyperlink>
        </w:p>
        <w:p w:rsidR="3DC7A50A" w:rsidP="3DC7A50A" w:rsidRDefault="3DC7A50A" w14:paraId="1F9EAAD4" w14:textId="38AE9347">
          <w:pPr>
            <w:pStyle w:val="TOC2"/>
            <w:tabs>
              <w:tab w:val="right" w:leader="dot" w:pos="9360"/>
            </w:tabs>
            <w:bidi w:val="0"/>
            <w:rPr>
              <w:rStyle w:val="Hyperlink"/>
            </w:rPr>
          </w:pPr>
          <w:hyperlink w:anchor="_Toc908506053">
            <w:r w:rsidRPr="3DC7A50A" w:rsidR="3DC7A50A">
              <w:rPr>
                <w:rStyle w:val="Hyperlink"/>
              </w:rPr>
              <w:t>7.3 Summary Table of Themes, Issues, and Actions</w:t>
            </w:r>
            <w:r>
              <w:tab/>
            </w:r>
            <w:r>
              <w:fldChar w:fldCharType="begin"/>
            </w:r>
            <w:r>
              <w:instrText xml:space="preserve">PAGEREF _Toc908506053 \h</w:instrText>
            </w:r>
            <w:r>
              <w:fldChar w:fldCharType="separate"/>
            </w:r>
            <w:r w:rsidRPr="3DC7A50A" w:rsidR="3DC7A50A">
              <w:rPr>
                <w:rStyle w:val="Hyperlink"/>
              </w:rPr>
              <w:t>48</w:t>
            </w:r>
            <w:r>
              <w:fldChar w:fldCharType="end"/>
            </w:r>
          </w:hyperlink>
        </w:p>
        <w:p w:rsidR="3DC7A50A" w:rsidP="3DC7A50A" w:rsidRDefault="3DC7A50A" w14:paraId="7E411307" w14:textId="14791D47">
          <w:pPr>
            <w:pStyle w:val="TOC3"/>
            <w:tabs>
              <w:tab w:val="right" w:leader="dot" w:pos="9360"/>
            </w:tabs>
            <w:bidi w:val="0"/>
            <w:rPr>
              <w:rStyle w:val="Hyperlink"/>
            </w:rPr>
          </w:pPr>
          <w:hyperlink w:anchor="_Toc906291840">
            <w:r w:rsidRPr="3DC7A50A" w:rsidR="3DC7A50A">
              <w:rPr>
                <w:rStyle w:val="Hyperlink"/>
              </w:rPr>
              <w:t>Table 7.3.1: Summary of Themes, Key Issues, and Recommended Improvement Actions</w:t>
            </w:r>
            <w:r>
              <w:tab/>
            </w:r>
            <w:r>
              <w:fldChar w:fldCharType="begin"/>
            </w:r>
            <w:r>
              <w:instrText xml:space="preserve">PAGEREF _Toc906291840 \h</w:instrText>
            </w:r>
            <w:r>
              <w:fldChar w:fldCharType="separate"/>
            </w:r>
            <w:r w:rsidRPr="3DC7A50A" w:rsidR="3DC7A50A">
              <w:rPr>
                <w:rStyle w:val="Hyperlink"/>
              </w:rPr>
              <w:t>48</w:t>
            </w:r>
            <w:r>
              <w:fldChar w:fldCharType="end"/>
            </w:r>
          </w:hyperlink>
        </w:p>
        <w:p w:rsidR="3DC7A50A" w:rsidP="3DC7A50A" w:rsidRDefault="3DC7A50A" w14:paraId="7AFDD115" w14:textId="4EA5EF8D">
          <w:pPr>
            <w:pStyle w:val="TOC2"/>
            <w:tabs>
              <w:tab w:val="right" w:leader="dot" w:pos="9360"/>
            </w:tabs>
            <w:bidi w:val="0"/>
            <w:rPr>
              <w:rStyle w:val="Hyperlink"/>
            </w:rPr>
          </w:pPr>
          <w:hyperlink w:anchor="_Toc525702475">
            <w:r w:rsidRPr="3DC7A50A" w:rsidR="3DC7A50A">
              <w:rPr>
                <w:rStyle w:val="Hyperlink"/>
              </w:rPr>
              <w:t>7.4 Recommendations for Practice, Policy, and System Strengthening</w:t>
            </w:r>
            <w:r>
              <w:tab/>
            </w:r>
            <w:r>
              <w:fldChar w:fldCharType="begin"/>
            </w:r>
            <w:r>
              <w:instrText xml:space="preserve">PAGEREF _Toc525702475 \h</w:instrText>
            </w:r>
            <w:r>
              <w:fldChar w:fldCharType="separate"/>
            </w:r>
            <w:r w:rsidRPr="3DC7A50A" w:rsidR="3DC7A50A">
              <w:rPr>
                <w:rStyle w:val="Hyperlink"/>
              </w:rPr>
              <w:t>49</w:t>
            </w:r>
            <w:r>
              <w:fldChar w:fldCharType="end"/>
            </w:r>
          </w:hyperlink>
        </w:p>
        <w:p w:rsidR="3DC7A50A" w:rsidP="3DC7A50A" w:rsidRDefault="3DC7A50A" w14:paraId="0E38AFE2" w14:textId="5C5F16B1">
          <w:pPr>
            <w:pStyle w:val="TOC2"/>
            <w:tabs>
              <w:tab w:val="right" w:leader="dot" w:pos="9360"/>
            </w:tabs>
            <w:bidi w:val="0"/>
            <w:rPr>
              <w:rStyle w:val="Hyperlink"/>
            </w:rPr>
          </w:pPr>
          <w:hyperlink w:anchor="_Toc805032561">
            <w:r w:rsidRPr="3DC7A50A" w:rsidR="3DC7A50A">
              <w:rPr>
                <w:rStyle w:val="Hyperlink"/>
              </w:rPr>
              <w:t>7.5 Implications for Policy and Practice</w:t>
            </w:r>
            <w:r>
              <w:tab/>
            </w:r>
            <w:r>
              <w:fldChar w:fldCharType="begin"/>
            </w:r>
            <w:r>
              <w:instrText xml:space="preserve">PAGEREF _Toc805032561 \h</w:instrText>
            </w:r>
            <w:r>
              <w:fldChar w:fldCharType="separate"/>
            </w:r>
            <w:r w:rsidRPr="3DC7A50A" w:rsidR="3DC7A50A">
              <w:rPr>
                <w:rStyle w:val="Hyperlink"/>
              </w:rPr>
              <w:t>50</w:t>
            </w:r>
            <w:r>
              <w:fldChar w:fldCharType="end"/>
            </w:r>
          </w:hyperlink>
        </w:p>
        <w:p w:rsidR="3DC7A50A" w:rsidP="3DC7A50A" w:rsidRDefault="3DC7A50A" w14:paraId="0E437FDF" w14:textId="26BC4434">
          <w:pPr>
            <w:pStyle w:val="TOC2"/>
            <w:tabs>
              <w:tab w:val="right" w:leader="dot" w:pos="9360"/>
            </w:tabs>
            <w:bidi w:val="0"/>
            <w:rPr>
              <w:rStyle w:val="Hyperlink"/>
            </w:rPr>
          </w:pPr>
          <w:hyperlink w:anchor="_Toc1151714875">
            <w:r w:rsidRPr="3DC7A50A" w:rsidR="3DC7A50A">
              <w:rPr>
                <w:rStyle w:val="Hyperlink"/>
              </w:rPr>
              <w:t>7.6 Limitations and Future Research</w:t>
            </w:r>
            <w:r>
              <w:tab/>
            </w:r>
            <w:r>
              <w:fldChar w:fldCharType="begin"/>
            </w:r>
            <w:r>
              <w:instrText xml:space="preserve">PAGEREF _Toc1151714875 \h</w:instrText>
            </w:r>
            <w:r>
              <w:fldChar w:fldCharType="separate"/>
            </w:r>
            <w:r w:rsidRPr="3DC7A50A" w:rsidR="3DC7A50A">
              <w:rPr>
                <w:rStyle w:val="Hyperlink"/>
              </w:rPr>
              <w:t>50</w:t>
            </w:r>
            <w:r>
              <w:fldChar w:fldCharType="end"/>
            </w:r>
          </w:hyperlink>
        </w:p>
        <w:p w:rsidR="3DC7A50A" w:rsidP="3DC7A50A" w:rsidRDefault="3DC7A50A" w14:paraId="5BEDC537" w14:textId="662E0B9A">
          <w:pPr>
            <w:pStyle w:val="TOC2"/>
            <w:tabs>
              <w:tab w:val="right" w:leader="dot" w:pos="9360"/>
            </w:tabs>
            <w:bidi w:val="0"/>
            <w:rPr>
              <w:rStyle w:val="Hyperlink"/>
            </w:rPr>
          </w:pPr>
          <w:hyperlink w:anchor="_Toc1379871730">
            <w:r w:rsidRPr="3DC7A50A" w:rsidR="3DC7A50A">
              <w:rPr>
                <w:rStyle w:val="Hyperlink"/>
              </w:rPr>
              <w:t>7.7 Final Summary</w:t>
            </w:r>
            <w:r>
              <w:tab/>
            </w:r>
            <w:r>
              <w:fldChar w:fldCharType="begin"/>
            </w:r>
            <w:r>
              <w:instrText xml:space="preserve">PAGEREF _Toc1379871730 \h</w:instrText>
            </w:r>
            <w:r>
              <w:fldChar w:fldCharType="separate"/>
            </w:r>
            <w:r w:rsidRPr="3DC7A50A" w:rsidR="3DC7A50A">
              <w:rPr>
                <w:rStyle w:val="Hyperlink"/>
              </w:rPr>
              <w:t>51</w:t>
            </w:r>
            <w:r>
              <w:fldChar w:fldCharType="end"/>
            </w:r>
          </w:hyperlink>
        </w:p>
        <w:p w:rsidR="3DC7A50A" w:rsidP="3DC7A50A" w:rsidRDefault="3DC7A50A" w14:paraId="3F3F990E" w14:textId="3303CEF5">
          <w:pPr>
            <w:pStyle w:val="TOC1"/>
            <w:tabs>
              <w:tab w:val="right" w:leader="dot" w:pos="9360"/>
            </w:tabs>
            <w:bidi w:val="0"/>
            <w:rPr>
              <w:rStyle w:val="Hyperlink"/>
            </w:rPr>
          </w:pPr>
          <w:hyperlink w:anchor="_Toc463933969">
            <w:r w:rsidRPr="3DC7A50A" w:rsidR="3DC7A50A">
              <w:rPr>
                <w:rStyle w:val="Hyperlink"/>
              </w:rPr>
              <w:t>Appendix Tables</w:t>
            </w:r>
            <w:r>
              <w:tab/>
            </w:r>
            <w:r>
              <w:fldChar w:fldCharType="begin"/>
            </w:r>
            <w:r>
              <w:instrText xml:space="preserve">PAGEREF _Toc463933969 \h</w:instrText>
            </w:r>
            <w:r>
              <w:fldChar w:fldCharType="separate"/>
            </w:r>
            <w:r w:rsidRPr="3DC7A50A" w:rsidR="3DC7A50A">
              <w:rPr>
                <w:rStyle w:val="Hyperlink"/>
              </w:rPr>
              <w:t>52</w:t>
            </w:r>
            <w:r>
              <w:fldChar w:fldCharType="end"/>
            </w:r>
          </w:hyperlink>
        </w:p>
        <w:p w:rsidR="3DC7A50A" w:rsidP="3DC7A50A" w:rsidRDefault="3DC7A50A" w14:paraId="4EF1BFD3" w14:textId="63DA0B3D">
          <w:pPr>
            <w:pStyle w:val="TOC2"/>
            <w:tabs>
              <w:tab w:val="right" w:leader="dot" w:pos="9360"/>
            </w:tabs>
            <w:bidi w:val="0"/>
            <w:rPr>
              <w:rStyle w:val="Hyperlink"/>
            </w:rPr>
          </w:pPr>
          <w:hyperlink w:anchor="_Toc1012412614">
            <w:r w:rsidRPr="3DC7A50A" w:rsidR="3DC7A50A">
              <w:rPr>
                <w:rStyle w:val="Hyperlink"/>
              </w:rPr>
              <w:t>Appendix A: Evidence Extraction Table</w:t>
            </w:r>
            <w:r>
              <w:tab/>
            </w:r>
            <w:r>
              <w:fldChar w:fldCharType="begin"/>
            </w:r>
            <w:r>
              <w:instrText xml:space="preserve">PAGEREF _Toc1012412614 \h</w:instrText>
            </w:r>
            <w:r>
              <w:fldChar w:fldCharType="separate"/>
            </w:r>
            <w:r w:rsidRPr="3DC7A50A" w:rsidR="3DC7A50A">
              <w:rPr>
                <w:rStyle w:val="Hyperlink"/>
              </w:rPr>
              <w:t>52</w:t>
            </w:r>
            <w:r>
              <w:fldChar w:fldCharType="end"/>
            </w:r>
          </w:hyperlink>
        </w:p>
        <w:p w:rsidR="3DC7A50A" w:rsidP="3DC7A50A" w:rsidRDefault="3DC7A50A" w14:paraId="43704006" w14:textId="7CA6BEA0">
          <w:pPr>
            <w:pStyle w:val="TOC2"/>
            <w:tabs>
              <w:tab w:val="right" w:leader="dot" w:pos="9360"/>
            </w:tabs>
            <w:bidi w:val="0"/>
            <w:rPr>
              <w:rStyle w:val="Hyperlink"/>
            </w:rPr>
          </w:pPr>
          <w:hyperlink w:anchor="_Toc323637640">
            <w:r w:rsidRPr="3DC7A50A" w:rsidR="3DC7A50A">
              <w:rPr>
                <w:rStyle w:val="Hyperlink"/>
              </w:rPr>
              <w:t>Appendix B: Quality Appraisal Table</w:t>
            </w:r>
            <w:r>
              <w:tab/>
            </w:r>
            <w:r>
              <w:fldChar w:fldCharType="begin"/>
            </w:r>
            <w:r>
              <w:instrText xml:space="preserve">PAGEREF _Toc323637640 \h</w:instrText>
            </w:r>
            <w:r>
              <w:fldChar w:fldCharType="separate"/>
            </w:r>
            <w:r w:rsidRPr="3DC7A50A" w:rsidR="3DC7A50A">
              <w:rPr>
                <w:rStyle w:val="Hyperlink"/>
              </w:rPr>
              <w:t>53</w:t>
            </w:r>
            <w:r>
              <w:fldChar w:fldCharType="end"/>
            </w:r>
          </w:hyperlink>
        </w:p>
        <w:p w:rsidR="3DC7A50A" w:rsidP="3DC7A50A" w:rsidRDefault="3DC7A50A" w14:paraId="0FF9AA47" w14:textId="1B7A0ED1">
          <w:pPr>
            <w:pStyle w:val="TOC1"/>
            <w:tabs>
              <w:tab w:val="right" w:leader="dot" w:pos="9360"/>
            </w:tabs>
            <w:bidi w:val="0"/>
            <w:rPr>
              <w:rStyle w:val="Hyperlink"/>
            </w:rPr>
          </w:pPr>
          <w:hyperlink w:anchor="_Toc518203920">
            <w:r w:rsidRPr="3DC7A50A" w:rsidR="3DC7A50A">
              <w:rPr>
                <w:rStyle w:val="Hyperlink"/>
              </w:rPr>
              <w:t>Reference</w:t>
            </w:r>
            <w:r>
              <w:tab/>
            </w:r>
            <w:r>
              <w:fldChar w:fldCharType="begin"/>
            </w:r>
            <w:r>
              <w:instrText xml:space="preserve">PAGEREF _Toc518203920 \h</w:instrText>
            </w:r>
            <w:r>
              <w:fldChar w:fldCharType="separate"/>
            </w:r>
            <w:r w:rsidRPr="3DC7A50A" w:rsidR="3DC7A50A">
              <w:rPr>
                <w:rStyle w:val="Hyperlink"/>
              </w:rPr>
              <w:t>53</w:t>
            </w:r>
            <w:r>
              <w:fldChar w:fldCharType="end"/>
            </w:r>
          </w:hyperlink>
          <w:r>
            <w:fldChar w:fldCharType="end"/>
          </w:r>
        </w:p>
      </w:sdtContent>
    </w:sdt>
    <w:p w:rsidR="50C65511" w:rsidP="3DC7A50A" w:rsidRDefault="50C65511" w14:paraId="3E7D2465" w14:textId="5F728AEB">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3DC7A50A" w:rsidRDefault="50C65511" w14:paraId="3691353B" w14:textId="5A70FFF9">
      <w:pPr>
        <w:pStyle w:val="Normal"/>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C65511" w:rsidP="3DC7A50A" w:rsidRDefault="50C65511" w14:paraId="1501F9BF" w14:textId="4EEB751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8"/>
          <w:szCs w:val="28"/>
          <w:lang w:val="en-US"/>
        </w:rPr>
      </w:pPr>
      <w:r w:rsidRPr="3DC7A50A" w:rsidR="26D9B312">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3DC7A50A" w:rsidR="26D9B312">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w:rsidR="732F608B" w:rsidP="3DC7A50A" w:rsidRDefault="732F608B" w14:paraId="1E9FC610" w14:textId="0F9B157C">
      <w:pPr>
        <w:pStyle w:val="Heading1"/>
        <w:rPr>
          <w:rFonts w:ascii="Arial" w:hAnsi="Arial" w:eastAsia="Arial" w:cs="Arial"/>
          <w:b w:val="1"/>
          <w:bCs w:val="1"/>
          <w:noProof w:val="0"/>
          <w:color w:val="auto"/>
          <w:lang w:val="en-US"/>
        </w:rPr>
      </w:pPr>
    </w:p>
    <w:p w:rsidR="732F608B" w:rsidP="3DC7A50A" w:rsidRDefault="732F608B" w14:paraId="3DE18A5A" w14:textId="6C302D27">
      <w:pPr>
        <w:spacing w:before="322" w:beforeAutospacing="off" w:after="322" w:afterAutospacing="off"/>
      </w:pPr>
      <w:r>
        <w:br w:type="page"/>
      </w:r>
    </w:p>
    <w:p w:rsidR="732F608B" w:rsidP="3DC7A50A" w:rsidRDefault="732F608B" w14:paraId="6073E022" w14:textId="2CE31548">
      <w:pPr>
        <w:pStyle w:val="Heading1"/>
        <w:rPr>
          <w:rFonts w:ascii="Arial" w:hAnsi="Arial" w:eastAsia="Arial" w:cs="Arial"/>
          <w:b w:val="1"/>
          <w:bCs w:val="1"/>
          <w:noProof w:val="0"/>
          <w:color w:val="auto"/>
          <w:sz w:val="48"/>
          <w:szCs w:val="48"/>
          <w:lang w:val="en-US"/>
        </w:rPr>
      </w:pPr>
      <w:bookmarkStart w:name="_Toc1832777974" w:id="2099358214"/>
      <w:r w:rsidRPr="3DC7A50A" w:rsidR="4DDC7B1C">
        <w:rPr>
          <w:rFonts w:ascii="Arial" w:hAnsi="Arial" w:eastAsia="Arial" w:cs="Arial"/>
          <w:b w:val="1"/>
          <w:bCs w:val="1"/>
          <w:noProof w:val="0"/>
          <w:color w:val="auto"/>
          <w:lang w:val="en-US"/>
        </w:rPr>
        <w:t>CHAPTER 1: INTRODUCTION</w:t>
      </w:r>
      <w:bookmarkEnd w:id="2099358214"/>
    </w:p>
    <w:p w:rsidR="732F608B" w:rsidP="3DC7A50A" w:rsidRDefault="732F608B" w14:paraId="37DE34A5" w14:textId="01EEFAF2">
      <w:pPr>
        <w:pStyle w:val="Heading2"/>
        <w:spacing w:before="299" w:beforeAutospacing="off" w:after="299" w:afterAutospacing="off"/>
        <w:jc w:val="both"/>
        <w:rPr>
          <w:rFonts w:ascii="Arial" w:hAnsi="Arial" w:eastAsia="Arial" w:cs="Arial"/>
          <w:b w:val="0"/>
          <w:bCs w:val="0"/>
          <w:noProof w:val="0"/>
          <w:sz w:val="36"/>
          <w:szCs w:val="36"/>
          <w:lang w:val="en-US"/>
        </w:rPr>
      </w:pPr>
      <w:bookmarkStart w:name="_Toc390838031" w:id="163864776"/>
      <w:r w:rsidRPr="3DC7A50A" w:rsidR="4DDC7B1C">
        <w:rPr>
          <w:rFonts w:ascii="Arial" w:hAnsi="Arial" w:eastAsia="Arial" w:cs="Arial"/>
          <w:b w:val="0"/>
          <w:bCs w:val="0"/>
          <w:noProof w:val="0"/>
          <w:sz w:val="32"/>
          <w:szCs w:val="32"/>
          <w:lang w:val="en-US"/>
        </w:rPr>
        <w:t>1.1 Introdu</w:t>
      </w:r>
      <w:r w:rsidRPr="3DC7A50A" w:rsidR="4DDC7B1C">
        <w:rPr>
          <w:rFonts w:ascii="Arial" w:hAnsi="Arial" w:eastAsia="Arial" w:cs="Arial"/>
          <w:b w:val="0"/>
          <w:bCs w:val="0"/>
          <w:noProof w:val="0"/>
          <w:sz w:val="36"/>
          <w:szCs w:val="36"/>
          <w:lang w:val="en-US"/>
        </w:rPr>
        <w:t>ction</w:t>
      </w:r>
      <w:bookmarkEnd w:id="163864776"/>
    </w:p>
    <w:p w:rsidR="732F608B" w:rsidP="3DC7A50A" w:rsidRDefault="732F608B" w14:paraId="1FF40E58" w14:textId="4106E895">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Medication safety is a core </w:t>
      </w:r>
      <w:r w:rsidRPr="3DC7A50A" w:rsidR="4DDC7B1C">
        <w:rPr>
          <w:rFonts w:ascii="Arial" w:hAnsi="Arial" w:eastAsia="Arial" w:cs="Arial"/>
          <w:noProof w:val="0"/>
          <w:sz w:val="24"/>
          <w:szCs w:val="24"/>
          <w:lang w:val="en-US"/>
        </w:rPr>
        <w:t>component</w:t>
      </w:r>
      <w:r w:rsidRPr="3DC7A50A" w:rsidR="4DDC7B1C">
        <w:rPr>
          <w:rFonts w:ascii="Arial" w:hAnsi="Arial" w:eastAsia="Arial" w:cs="Arial"/>
          <w:noProof w:val="0"/>
          <w:sz w:val="24"/>
          <w:szCs w:val="24"/>
          <w:lang w:val="en-US"/>
        </w:rPr>
        <w:t xml:space="preserve"> of patient safety, and dispensing </w:t>
      </w:r>
      <w:r w:rsidRPr="3DC7A50A" w:rsidR="4DDC7B1C">
        <w:rPr>
          <w:rFonts w:ascii="Arial" w:hAnsi="Arial" w:eastAsia="Arial" w:cs="Arial"/>
          <w:noProof w:val="0"/>
          <w:sz w:val="24"/>
          <w:szCs w:val="24"/>
          <w:lang w:val="en-US"/>
        </w:rPr>
        <w:t>represents</w:t>
      </w:r>
      <w:r w:rsidRPr="3DC7A50A" w:rsidR="4DDC7B1C">
        <w:rPr>
          <w:rFonts w:ascii="Arial" w:hAnsi="Arial" w:eastAsia="Arial" w:cs="Arial"/>
          <w:noProof w:val="0"/>
          <w:sz w:val="24"/>
          <w:szCs w:val="24"/>
          <w:lang w:val="en-US"/>
        </w:rPr>
        <w:t xml:space="preserve"> one of the final and most critical checkpoints in the medication-use process. Dispensing errors occur when the wrong medicine, strength, dose, quantity, label, instructions, or patient is supplied, or when clinically important checks and counselling are missed. Such errors are rarely caused by a single mistake; instead, they arise through interactions between system weaknesses and human factors such as fatigue, high workload, interruptions, and inadequate training (WHO, n.d.). When these vulnerabilities align across stages of </w:t>
      </w:r>
      <w:r w:rsidRPr="3DC7A50A" w:rsidR="4DDC7B1C">
        <w:rPr>
          <w:rFonts w:ascii="Arial" w:hAnsi="Arial" w:eastAsia="Arial" w:cs="Arial"/>
          <w:noProof w:val="0"/>
          <w:sz w:val="24"/>
          <w:szCs w:val="24"/>
          <w:lang w:val="en-US"/>
        </w:rPr>
        <w:t>care</w:t>
      </w:r>
      <w:r w:rsidRPr="3DC7A50A" w:rsidR="36D66868">
        <w:rPr>
          <w:rFonts w:ascii="Arial" w:hAnsi="Arial" w:eastAsia="Arial" w:cs="Arial"/>
          <w:noProof w:val="0"/>
          <w:sz w:val="24"/>
          <w:szCs w:val="24"/>
          <w:lang w:val="en-US"/>
        </w:rPr>
        <w:t xml:space="preserve"> </w:t>
      </w:r>
      <w:r w:rsidRPr="3DC7A50A" w:rsidR="4DDC7B1C">
        <w:rPr>
          <w:rFonts w:ascii="Arial" w:hAnsi="Arial" w:eastAsia="Arial" w:cs="Arial"/>
          <w:noProof w:val="0"/>
          <w:sz w:val="24"/>
          <w:szCs w:val="24"/>
          <w:lang w:val="en-US"/>
        </w:rPr>
        <w:t>prescribing, transcribing, dispensing, administration, and monitoring</w:t>
      </w:r>
      <w:r w:rsidRPr="3DC7A50A" w:rsidR="64CB1A3C">
        <w:rPr>
          <w:rFonts w:ascii="Arial" w:hAnsi="Arial" w:eastAsia="Arial" w:cs="Arial"/>
          <w:noProof w:val="0"/>
          <w:sz w:val="24"/>
          <w:szCs w:val="24"/>
          <w:lang w:val="en-US"/>
        </w:rPr>
        <w:t xml:space="preserve"> </w:t>
      </w:r>
      <w:r w:rsidRPr="3DC7A50A" w:rsidR="4DDC7B1C">
        <w:rPr>
          <w:rFonts w:ascii="Arial" w:hAnsi="Arial" w:eastAsia="Arial" w:cs="Arial"/>
          <w:noProof w:val="0"/>
          <w:sz w:val="24"/>
          <w:szCs w:val="24"/>
          <w:lang w:val="en-US"/>
        </w:rPr>
        <w:t>avoidable harm becomes more likely (WHO, 2017).</w:t>
      </w:r>
    </w:p>
    <w:p w:rsidR="732F608B" w:rsidP="3DC7A50A" w:rsidRDefault="732F608B" w14:paraId="7594B41C" w14:textId="37E8285D">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The World Health Organization (WHO) has highlighted medication-related harm as a global priority through the Third Global Patient Safety Challenge: </w:t>
      </w:r>
      <w:r w:rsidRPr="3DC7A50A" w:rsidR="4DDC7B1C">
        <w:rPr>
          <w:rFonts w:ascii="Arial" w:hAnsi="Arial" w:eastAsia="Arial" w:cs="Arial"/>
          <w:i w:val="1"/>
          <w:iCs w:val="1"/>
          <w:noProof w:val="0"/>
          <w:sz w:val="24"/>
          <w:szCs w:val="24"/>
          <w:lang w:val="en-US"/>
        </w:rPr>
        <w:t>Medication Without Harm</w:t>
      </w:r>
      <w:r w:rsidRPr="3DC7A50A" w:rsidR="4DDC7B1C">
        <w:rPr>
          <w:rFonts w:ascii="Arial" w:hAnsi="Arial" w:eastAsia="Arial" w:cs="Arial"/>
          <w:noProof w:val="0"/>
          <w:sz w:val="24"/>
          <w:szCs w:val="24"/>
          <w:lang w:val="en-US"/>
        </w:rPr>
        <w:t xml:space="preserve">, which aimed to reduce severe, avoidable medication-related harm through coordinated system improvement (WHO, 2017). The initiative </w:t>
      </w:r>
      <w:r w:rsidRPr="3DC7A50A" w:rsidR="4DDC7B1C">
        <w:rPr>
          <w:rFonts w:ascii="Arial" w:hAnsi="Arial" w:eastAsia="Arial" w:cs="Arial"/>
          <w:noProof w:val="0"/>
          <w:sz w:val="24"/>
          <w:szCs w:val="24"/>
          <w:lang w:val="en-US"/>
        </w:rPr>
        <w:t>emphasises</w:t>
      </w:r>
      <w:r w:rsidRPr="3DC7A50A" w:rsidR="4DDC7B1C">
        <w:rPr>
          <w:rFonts w:ascii="Arial" w:hAnsi="Arial" w:eastAsia="Arial" w:cs="Arial"/>
          <w:noProof w:val="0"/>
          <w:sz w:val="24"/>
          <w:szCs w:val="24"/>
          <w:lang w:val="en-US"/>
        </w:rPr>
        <w:t xml:space="preserve"> that improving medication safety requires strengthening processes, </w:t>
      </w:r>
      <w:r w:rsidRPr="3DC7A50A" w:rsidR="4DDC7B1C">
        <w:rPr>
          <w:rFonts w:ascii="Arial" w:hAnsi="Arial" w:eastAsia="Arial" w:cs="Arial"/>
          <w:noProof w:val="0"/>
          <w:sz w:val="24"/>
          <w:szCs w:val="24"/>
          <w:lang w:val="en-US"/>
        </w:rPr>
        <w:t>standardising</w:t>
      </w:r>
      <w:r w:rsidRPr="3DC7A50A" w:rsidR="4DDC7B1C">
        <w:rPr>
          <w:rFonts w:ascii="Arial" w:hAnsi="Arial" w:eastAsia="Arial" w:cs="Arial"/>
          <w:noProof w:val="0"/>
          <w:sz w:val="24"/>
          <w:szCs w:val="24"/>
          <w:lang w:val="en-US"/>
        </w:rPr>
        <w:t xml:space="preserve"> practice, enhancing workforce competence, and creating cultures that support learning from errors rather than blaming individuals (WHO, 2017; WHO, n.d.). In this context, pharmacy teams have a significant role because dispensing is a high-frequency activity, often occurring under time pressure, and errors can directly translate into patient harm if not detected before the medicine reaches the patient.</w:t>
      </w:r>
    </w:p>
    <w:p w:rsidR="732F608B" w:rsidP="3DC7A50A" w:rsidRDefault="732F608B" w14:paraId="5EB50804" w14:textId="461FD81D">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The challenge of safe dispensing is especially complex in </w:t>
      </w:r>
      <w:r w:rsidRPr="3DC7A50A" w:rsidR="4DDC7B1C">
        <w:rPr>
          <w:rFonts w:ascii="Arial" w:hAnsi="Arial" w:eastAsia="Arial" w:cs="Arial"/>
          <w:b w:val="1"/>
          <w:bCs w:val="1"/>
          <w:noProof w:val="0"/>
          <w:sz w:val="24"/>
          <w:szCs w:val="24"/>
          <w:lang w:val="en-US"/>
        </w:rPr>
        <w:t>low- and middle-income countries (LMICs)</w:t>
      </w:r>
      <w:r w:rsidRPr="3DC7A50A" w:rsidR="4DDC7B1C">
        <w:rPr>
          <w:rFonts w:ascii="Arial" w:hAnsi="Arial" w:eastAsia="Arial" w:cs="Arial"/>
          <w:noProof w:val="0"/>
          <w:sz w:val="24"/>
          <w:szCs w:val="24"/>
          <w:lang w:val="en-US"/>
        </w:rPr>
        <w:t xml:space="preserve">. In many LMIC settings, pharmacies function as first-contact healthcare access points, where community members seek advice and medicines for acute symptoms without consulting prescribers. At the same time, pharmacy services often </w:t>
      </w:r>
      <w:r w:rsidRPr="3DC7A50A" w:rsidR="4DDC7B1C">
        <w:rPr>
          <w:rFonts w:ascii="Arial" w:hAnsi="Arial" w:eastAsia="Arial" w:cs="Arial"/>
          <w:noProof w:val="0"/>
          <w:sz w:val="24"/>
          <w:szCs w:val="24"/>
          <w:lang w:val="en-US"/>
        </w:rPr>
        <w:t>operate</w:t>
      </w:r>
      <w:r w:rsidRPr="3DC7A50A" w:rsidR="4DDC7B1C">
        <w:rPr>
          <w:rFonts w:ascii="Arial" w:hAnsi="Arial" w:eastAsia="Arial" w:cs="Arial"/>
          <w:noProof w:val="0"/>
          <w:sz w:val="24"/>
          <w:szCs w:val="24"/>
          <w:lang w:val="en-US"/>
        </w:rPr>
        <w:t xml:space="preserve"> within constrained health systems that may have limited staffing, weak regulatory oversight, inconsistent use of standard operating procedures (SOPs), and underdeveloped reporting and learning mechanisms. These circumstances can increase the likelihood of inappropriate dispensing, incomplete counselling, and reduced opportunities to detect prescribing issues before harm occurs (WHO, n.d.).</w:t>
      </w:r>
    </w:p>
    <w:p w:rsidR="732F608B" w:rsidP="3DC7A50A" w:rsidRDefault="732F608B" w14:paraId="2CD2AAB9" w14:textId="01832A35">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Dispensing practices also intersect with urgent global priorities such as antimicrobial resistance (AMR). AMR is widely </w:t>
      </w:r>
      <w:r w:rsidRPr="3DC7A50A" w:rsidR="4DDC7B1C">
        <w:rPr>
          <w:rFonts w:ascii="Arial" w:hAnsi="Arial" w:eastAsia="Arial" w:cs="Arial"/>
          <w:noProof w:val="0"/>
          <w:sz w:val="24"/>
          <w:szCs w:val="24"/>
          <w:lang w:val="en-US"/>
        </w:rPr>
        <w:t>recognised</w:t>
      </w:r>
      <w:r w:rsidRPr="3DC7A50A" w:rsidR="4DDC7B1C">
        <w:rPr>
          <w:rFonts w:ascii="Arial" w:hAnsi="Arial" w:eastAsia="Arial" w:cs="Arial"/>
          <w:noProof w:val="0"/>
          <w:sz w:val="24"/>
          <w:szCs w:val="24"/>
          <w:lang w:val="en-US"/>
        </w:rPr>
        <w:t xml:space="preserve"> as a major public health threat, and the misuse or overuse of antimicrobials is a key driver of resistance development (WHO, 2023). In settings where antibiotics are obtained without prescription or dispensed in inappropriate quantities, strengths, or durations, patients may experience treatment failure and contribute to wider resistance patterns. Therefore, strengthening dispensing safety is not only a patient-level issue but also a health system and population-level priority.</w:t>
      </w:r>
    </w:p>
    <w:p w:rsidR="732F608B" w:rsidP="3DC7A50A" w:rsidRDefault="732F608B" w14:paraId="4B4D81C2" w14:textId="14FAABBE">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Against this background, this dissertation undertakes a systematic review of qualitative evidence to understand pharmacist-related dispensing errors and to </w:t>
      </w:r>
      <w:r w:rsidRPr="3DC7A50A" w:rsidR="4DDC7B1C">
        <w:rPr>
          <w:rFonts w:ascii="Arial" w:hAnsi="Arial" w:eastAsia="Arial" w:cs="Arial"/>
          <w:noProof w:val="0"/>
          <w:sz w:val="24"/>
          <w:szCs w:val="24"/>
          <w:lang w:val="en-US"/>
        </w:rPr>
        <w:t>identify</w:t>
      </w:r>
      <w:r w:rsidRPr="3DC7A50A" w:rsidR="4DDC7B1C">
        <w:rPr>
          <w:rFonts w:ascii="Arial" w:hAnsi="Arial" w:eastAsia="Arial" w:cs="Arial"/>
          <w:noProof w:val="0"/>
          <w:sz w:val="24"/>
          <w:szCs w:val="24"/>
          <w:lang w:val="en-US"/>
        </w:rPr>
        <w:t xml:space="preserve"> quality improvement (QI) strategies that may improve medication safety in LMIC pharmacy settings.</w:t>
      </w:r>
    </w:p>
    <w:p w:rsidR="732F608B" w:rsidP="3DC7A50A" w:rsidRDefault="732F608B" w14:paraId="0B724500" w14:textId="2682A8E9">
      <w:pPr>
        <w:pStyle w:val="Heading2"/>
        <w:spacing w:before="299" w:beforeAutospacing="off" w:after="299" w:afterAutospacing="off"/>
        <w:jc w:val="both"/>
        <w:rPr>
          <w:rFonts w:ascii="Arial" w:hAnsi="Arial" w:eastAsia="Arial" w:cs="Arial"/>
          <w:b w:val="1"/>
          <w:bCs w:val="1"/>
          <w:noProof w:val="0"/>
          <w:sz w:val="32"/>
          <w:szCs w:val="32"/>
          <w:lang w:val="en-US"/>
        </w:rPr>
      </w:pPr>
      <w:bookmarkStart w:name="_Toc1365947040" w:id="2091125832"/>
      <w:r w:rsidRPr="3DC7A50A" w:rsidR="4DDC7B1C">
        <w:rPr>
          <w:rFonts w:ascii="Arial" w:hAnsi="Arial" w:eastAsia="Arial" w:cs="Arial"/>
          <w:b w:val="0"/>
          <w:bCs w:val="0"/>
          <w:noProof w:val="0"/>
          <w:sz w:val="32"/>
          <w:szCs w:val="32"/>
          <w:lang w:val="en-US"/>
        </w:rPr>
        <w:t>1.2 Background and Context</w:t>
      </w:r>
      <w:bookmarkEnd w:id="2091125832"/>
    </w:p>
    <w:p w:rsidR="732F608B" w:rsidP="3DC7A50A" w:rsidRDefault="732F608B" w14:paraId="4AF759C1" w14:textId="088C4B20">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A medication error can be defined as a preventable event that may cause or lead to inappropriate medication use or patient harm while the medicine is in the control of a healthcare professional, patient, or consumer (WHO, 2022). Dispensing errors are a subset of medication errors and can occur due to misinterpretation of prescriptions, confusion between similar names or packaging, inadequate clinical verification, incomplete labelling, or insufficient counselling. These risks are amplified when pharmacy workflows are not </w:t>
      </w:r>
      <w:r w:rsidRPr="3DC7A50A" w:rsidR="4DDC7B1C">
        <w:rPr>
          <w:rFonts w:ascii="Arial" w:hAnsi="Arial" w:eastAsia="Arial" w:cs="Arial"/>
          <w:noProof w:val="0"/>
          <w:sz w:val="24"/>
          <w:szCs w:val="24"/>
          <w:lang w:val="en-US"/>
        </w:rPr>
        <w:t>standardised</w:t>
      </w:r>
      <w:r w:rsidRPr="3DC7A50A" w:rsidR="4DDC7B1C">
        <w:rPr>
          <w:rFonts w:ascii="Arial" w:hAnsi="Arial" w:eastAsia="Arial" w:cs="Arial"/>
          <w:noProof w:val="0"/>
          <w:sz w:val="24"/>
          <w:szCs w:val="24"/>
          <w:lang w:val="en-US"/>
        </w:rPr>
        <w:t xml:space="preserve">, when staffing is inadequate, or when pharmacists are expected to manage </w:t>
      </w:r>
      <w:r w:rsidRPr="3DC7A50A" w:rsidR="4DDC7B1C">
        <w:rPr>
          <w:rFonts w:ascii="Arial" w:hAnsi="Arial" w:eastAsia="Arial" w:cs="Arial"/>
          <w:noProof w:val="0"/>
          <w:sz w:val="24"/>
          <w:szCs w:val="24"/>
          <w:lang w:val="en-US"/>
        </w:rPr>
        <w:t>very high</w:t>
      </w:r>
      <w:r w:rsidRPr="3DC7A50A" w:rsidR="4DDC7B1C">
        <w:rPr>
          <w:rFonts w:ascii="Arial" w:hAnsi="Arial" w:eastAsia="Arial" w:cs="Arial"/>
          <w:noProof w:val="0"/>
          <w:sz w:val="24"/>
          <w:szCs w:val="24"/>
          <w:lang w:val="en-US"/>
        </w:rPr>
        <w:t xml:space="preserve"> client volumes with limited time for clinical checks (WHO, n.d.).</w:t>
      </w:r>
    </w:p>
    <w:p w:rsidR="732F608B" w:rsidP="3DC7A50A" w:rsidRDefault="732F608B" w14:paraId="4C41734B" w14:textId="6BEEA42B">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The relevance of these issues becomes more pronounced in LMICs because of structural and contextual pressures. In many countries, pharmacies </w:t>
      </w:r>
      <w:r w:rsidRPr="3DC7A50A" w:rsidR="4DDC7B1C">
        <w:rPr>
          <w:rFonts w:ascii="Arial" w:hAnsi="Arial" w:eastAsia="Arial" w:cs="Arial"/>
          <w:noProof w:val="0"/>
          <w:sz w:val="24"/>
          <w:szCs w:val="24"/>
          <w:lang w:val="en-US"/>
        </w:rPr>
        <w:t>operate</w:t>
      </w:r>
      <w:r w:rsidRPr="3DC7A50A" w:rsidR="4DDC7B1C">
        <w:rPr>
          <w:rFonts w:ascii="Arial" w:hAnsi="Arial" w:eastAsia="Arial" w:cs="Arial"/>
          <w:noProof w:val="0"/>
          <w:sz w:val="24"/>
          <w:szCs w:val="24"/>
          <w:lang w:val="en-US"/>
        </w:rPr>
        <w:t xml:space="preserve"> across highly variable regulatory environments. Some settings experience limited enforcement of prescription-only medicine rules, inadequate inspection systems, shortages of qualified pharmacy professionals, and reliance on non-pharmacist staff to dispense medicines. In addition, pharmacies may be influenced by commercial pressures, patient expectations for “quick relief,” and social norms that encourage self-medication and demand for antibiotics. When combined, these pressures can shift dispensing away from a safety-first process toward a speed- and demand-driven service model.</w:t>
      </w:r>
    </w:p>
    <w:p w:rsidR="732F608B" w:rsidP="3DC7A50A" w:rsidRDefault="732F608B" w14:paraId="7431ECA2" w14:textId="2B8ECFC3">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This dissertation focuses on LMICs as defined by the World Bank income classification system, which groups economies based on Gross National Income (GNI) per capita and updates these thresholds annually (World Bank, 2024). The LMIC focus is important because medication safety strategies developed in high-income settings often depend on infrastructure that may not be consistently available in resource-constrained environments, such as e-prescribing, barcode verification, automated dispensing, and robust incident reporting systems. While these technologies can reduce risk, the feasibility, sustainability, and equity of implementation can differ </w:t>
      </w:r>
      <w:r w:rsidRPr="3DC7A50A" w:rsidR="4DDC7B1C">
        <w:rPr>
          <w:rFonts w:ascii="Arial" w:hAnsi="Arial" w:eastAsia="Arial" w:cs="Arial"/>
          <w:noProof w:val="0"/>
          <w:sz w:val="24"/>
          <w:szCs w:val="24"/>
          <w:lang w:val="en-US"/>
        </w:rPr>
        <w:t>considerably across</w:t>
      </w:r>
      <w:r w:rsidRPr="3DC7A50A" w:rsidR="4DDC7B1C">
        <w:rPr>
          <w:rFonts w:ascii="Arial" w:hAnsi="Arial" w:eastAsia="Arial" w:cs="Arial"/>
          <w:noProof w:val="0"/>
          <w:sz w:val="24"/>
          <w:szCs w:val="24"/>
          <w:lang w:val="en-US"/>
        </w:rPr>
        <w:t xml:space="preserve"> LMIC contexts.</w:t>
      </w:r>
    </w:p>
    <w:p w:rsidR="732F608B" w:rsidP="3DC7A50A" w:rsidRDefault="732F608B" w14:paraId="35E91980" w14:textId="476842D1">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Furthermore, the relevance of QI approaches is heightened because LMIC pharmacy settings </w:t>
      </w:r>
      <w:r w:rsidRPr="3DC7A50A" w:rsidR="4DDC7B1C">
        <w:rPr>
          <w:rFonts w:ascii="Arial" w:hAnsi="Arial" w:eastAsia="Arial" w:cs="Arial"/>
          <w:noProof w:val="0"/>
          <w:sz w:val="24"/>
          <w:szCs w:val="24"/>
          <w:lang w:val="en-US"/>
        </w:rPr>
        <w:t>frequently</w:t>
      </w:r>
      <w:r w:rsidRPr="3DC7A50A" w:rsidR="4DDC7B1C">
        <w:rPr>
          <w:rFonts w:ascii="Arial" w:hAnsi="Arial" w:eastAsia="Arial" w:cs="Arial"/>
          <w:noProof w:val="0"/>
          <w:sz w:val="24"/>
          <w:szCs w:val="24"/>
          <w:lang w:val="en-US"/>
        </w:rPr>
        <w:t xml:space="preserve"> require interventions that are practical, low-cost, adaptable, and </w:t>
      </w:r>
      <w:r w:rsidRPr="3DC7A50A" w:rsidR="4DDC7B1C">
        <w:rPr>
          <w:rFonts w:ascii="Arial" w:hAnsi="Arial" w:eastAsia="Arial" w:cs="Arial"/>
          <w:noProof w:val="0"/>
          <w:sz w:val="24"/>
          <w:szCs w:val="24"/>
          <w:lang w:val="en-US"/>
        </w:rPr>
        <w:t>workforce</w:t>
      </w:r>
      <w:r w:rsidRPr="3DC7A50A" w:rsidR="0D1E5F94">
        <w:rPr>
          <w:rFonts w:ascii="Arial" w:hAnsi="Arial" w:eastAsia="Arial" w:cs="Arial"/>
          <w:noProof w:val="0"/>
          <w:sz w:val="24"/>
          <w:szCs w:val="24"/>
          <w:lang w:val="en-US"/>
        </w:rPr>
        <w:t xml:space="preserve"> </w:t>
      </w:r>
      <w:r w:rsidRPr="3DC7A50A" w:rsidR="4DDC7B1C">
        <w:rPr>
          <w:rFonts w:ascii="Arial" w:hAnsi="Arial" w:eastAsia="Arial" w:cs="Arial"/>
          <w:noProof w:val="0"/>
          <w:sz w:val="24"/>
          <w:szCs w:val="24"/>
          <w:lang w:val="en-US"/>
        </w:rPr>
        <w:t>supportive</w:t>
      </w:r>
      <w:r w:rsidRPr="3DC7A50A" w:rsidR="4DDC7B1C">
        <w:rPr>
          <w:rFonts w:ascii="Arial" w:hAnsi="Arial" w:eastAsia="Arial" w:cs="Arial"/>
          <w:noProof w:val="0"/>
          <w:sz w:val="24"/>
          <w:szCs w:val="24"/>
          <w:lang w:val="en-US"/>
        </w:rPr>
        <w:t xml:space="preserve">. QI methods (for example, cycles of testing and refinement, local audit and feedback, and </w:t>
      </w:r>
      <w:r w:rsidRPr="3DC7A50A" w:rsidR="4DDC7B1C">
        <w:rPr>
          <w:rFonts w:ascii="Arial" w:hAnsi="Arial" w:eastAsia="Arial" w:cs="Arial"/>
          <w:noProof w:val="0"/>
          <w:sz w:val="24"/>
          <w:szCs w:val="24"/>
          <w:lang w:val="en-US"/>
        </w:rPr>
        <w:t>standardisation</w:t>
      </w:r>
      <w:r w:rsidRPr="3DC7A50A" w:rsidR="4DDC7B1C">
        <w:rPr>
          <w:rFonts w:ascii="Arial" w:hAnsi="Arial" w:eastAsia="Arial" w:cs="Arial"/>
          <w:noProof w:val="0"/>
          <w:sz w:val="24"/>
          <w:szCs w:val="24"/>
          <w:lang w:val="en-US"/>
        </w:rPr>
        <w:t xml:space="preserve"> through SOPs and checklists) can enable gradual improvement even where advanced technologies are not </w:t>
      </w:r>
      <w:r w:rsidRPr="3DC7A50A" w:rsidR="4DDC7B1C">
        <w:rPr>
          <w:rFonts w:ascii="Arial" w:hAnsi="Arial" w:eastAsia="Arial" w:cs="Arial"/>
          <w:noProof w:val="0"/>
          <w:sz w:val="24"/>
          <w:szCs w:val="24"/>
          <w:lang w:val="en-US"/>
        </w:rPr>
        <w:t>immediately</w:t>
      </w:r>
      <w:r w:rsidRPr="3DC7A50A" w:rsidR="4DDC7B1C">
        <w:rPr>
          <w:rFonts w:ascii="Arial" w:hAnsi="Arial" w:eastAsia="Arial" w:cs="Arial"/>
          <w:noProof w:val="0"/>
          <w:sz w:val="24"/>
          <w:szCs w:val="24"/>
          <w:lang w:val="en-US"/>
        </w:rPr>
        <w:t xml:space="preserve"> scalable. The WHO medication safety approach reinforces that system redesign and sustained improvement depend on leadership support, staff capacity building, and </w:t>
      </w:r>
      <w:r w:rsidRPr="3DC7A50A" w:rsidR="4DDC7B1C">
        <w:rPr>
          <w:rFonts w:ascii="Arial" w:hAnsi="Arial" w:eastAsia="Arial" w:cs="Arial"/>
          <w:noProof w:val="0"/>
          <w:sz w:val="24"/>
          <w:szCs w:val="24"/>
          <w:lang w:val="en-US"/>
        </w:rPr>
        <w:t>organisational</w:t>
      </w:r>
      <w:r w:rsidRPr="3DC7A50A" w:rsidR="4DDC7B1C">
        <w:rPr>
          <w:rFonts w:ascii="Arial" w:hAnsi="Arial" w:eastAsia="Arial" w:cs="Arial"/>
          <w:noProof w:val="0"/>
          <w:sz w:val="24"/>
          <w:szCs w:val="24"/>
          <w:lang w:val="en-US"/>
        </w:rPr>
        <w:t xml:space="preserve"> learning cultures (WHO, 2017; WHO, n.d.).</w:t>
      </w:r>
    </w:p>
    <w:p w:rsidR="732F608B" w:rsidP="3DC7A50A" w:rsidRDefault="732F608B" w14:paraId="4FDE1D05" w14:textId="32085E17">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719002126" w:id="350134918"/>
      <w:r w:rsidRPr="3DC7A50A" w:rsidR="4DDC7B1C">
        <w:rPr>
          <w:rFonts w:ascii="Arial" w:hAnsi="Arial" w:eastAsia="Arial" w:cs="Arial"/>
          <w:b w:val="0"/>
          <w:bCs w:val="0"/>
          <w:noProof w:val="0"/>
          <w:sz w:val="32"/>
          <w:szCs w:val="32"/>
          <w:lang w:val="en-US"/>
        </w:rPr>
        <w:t>1.3 Why Focus on LMICs</w:t>
      </w:r>
      <w:bookmarkEnd w:id="350134918"/>
    </w:p>
    <w:p w:rsidR="732F608B" w:rsidP="3DC7A50A" w:rsidRDefault="732F608B" w14:paraId="2FEA3A58" w14:textId="2E0331EB">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This dissertation specifically examines pharmacist-related dispensing errors in LMICs rather than high-income countries for several interconnected reasons.</w:t>
      </w:r>
    </w:p>
    <w:p w:rsidR="732F608B" w:rsidP="3DC7A50A" w:rsidRDefault="732F608B" w14:paraId="498465A5" w14:textId="762A9421">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First, LMICs often face a greater concentration of system constraints</w:t>
      </w:r>
      <w:r w:rsidRPr="3DC7A50A" w:rsidR="0136FC97">
        <w:rPr>
          <w:rFonts w:ascii="Arial" w:hAnsi="Arial" w:eastAsia="Arial" w:cs="Arial"/>
          <w:noProof w:val="0"/>
          <w:sz w:val="24"/>
          <w:szCs w:val="24"/>
          <w:lang w:val="en-US"/>
        </w:rPr>
        <w:t xml:space="preserve"> l</w:t>
      </w:r>
      <w:r w:rsidRPr="3DC7A50A" w:rsidR="4DDC7B1C">
        <w:rPr>
          <w:rFonts w:ascii="Arial" w:hAnsi="Arial" w:eastAsia="Arial" w:cs="Arial"/>
          <w:noProof w:val="0"/>
          <w:sz w:val="24"/>
          <w:szCs w:val="24"/>
          <w:lang w:val="en-US"/>
        </w:rPr>
        <w:t>imited workforce capacity, variable regulation, resource shortages, and uneven access to continuing professional development</w:t>
      </w:r>
      <w:r w:rsidRPr="3DC7A50A" w:rsidR="7BAF8C5C">
        <w:rPr>
          <w:rFonts w:ascii="Arial" w:hAnsi="Arial" w:eastAsia="Arial" w:cs="Arial"/>
          <w:noProof w:val="0"/>
          <w:sz w:val="24"/>
          <w:szCs w:val="24"/>
          <w:lang w:val="en-US"/>
        </w:rPr>
        <w:t xml:space="preserve"> </w:t>
      </w:r>
      <w:r w:rsidRPr="3DC7A50A" w:rsidR="4DDC7B1C">
        <w:rPr>
          <w:rFonts w:ascii="Arial" w:hAnsi="Arial" w:eastAsia="Arial" w:cs="Arial"/>
          <w:noProof w:val="0"/>
          <w:sz w:val="24"/>
          <w:szCs w:val="24"/>
          <w:lang w:val="en-US"/>
        </w:rPr>
        <w:t xml:space="preserve">that may elevate dispensing risks and reduce opportunities for detection and recovery from error (WHO, n.d.). Second, pharmacy services in LMICs </w:t>
      </w:r>
      <w:r w:rsidRPr="3DC7A50A" w:rsidR="4DDC7B1C">
        <w:rPr>
          <w:rFonts w:ascii="Arial" w:hAnsi="Arial" w:eastAsia="Arial" w:cs="Arial"/>
          <w:noProof w:val="0"/>
          <w:sz w:val="24"/>
          <w:szCs w:val="24"/>
          <w:lang w:val="en-US"/>
        </w:rPr>
        <w:t>frequently</w:t>
      </w:r>
      <w:r w:rsidRPr="3DC7A50A" w:rsidR="4DDC7B1C">
        <w:rPr>
          <w:rFonts w:ascii="Arial" w:hAnsi="Arial" w:eastAsia="Arial" w:cs="Arial"/>
          <w:noProof w:val="0"/>
          <w:sz w:val="24"/>
          <w:szCs w:val="24"/>
          <w:lang w:val="en-US"/>
        </w:rPr>
        <w:t xml:space="preserve"> play an expanded access role in communities where formal healthcare is less reachable, meaning dispensing decisions may occur in contexts of high patient demand and limited prescriber input. This increases the importance of pharmacists’ judgement, counselling, and safety checks at the point of supply.</w:t>
      </w:r>
    </w:p>
    <w:p w:rsidR="732F608B" w:rsidP="3DC7A50A" w:rsidRDefault="732F608B" w14:paraId="5A159B0A" w14:textId="334A379C">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Third, the global AMR burden is shaped by antimicrobial use practices worldwide, and inappropriate dispensing practices can contribute to antimicrobial misuse. WHO identifies misuse and overuse of antimicrobials as major drivers of resistant pathogens (WHO, 2023). Strengthening safe and </w:t>
      </w:r>
      <w:r w:rsidRPr="3DC7A50A" w:rsidR="4DDC7B1C">
        <w:rPr>
          <w:rFonts w:ascii="Arial" w:hAnsi="Arial" w:eastAsia="Arial" w:cs="Arial"/>
          <w:noProof w:val="0"/>
          <w:sz w:val="24"/>
          <w:szCs w:val="24"/>
          <w:lang w:val="en-US"/>
        </w:rPr>
        <w:t>appropriate dispensing</w:t>
      </w:r>
      <w:r w:rsidRPr="3DC7A50A" w:rsidR="4DDC7B1C">
        <w:rPr>
          <w:rFonts w:ascii="Arial" w:hAnsi="Arial" w:eastAsia="Arial" w:cs="Arial"/>
          <w:noProof w:val="0"/>
          <w:sz w:val="24"/>
          <w:szCs w:val="24"/>
          <w:lang w:val="en-US"/>
        </w:rPr>
        <w:t xml:space="preserve"> in LMICs is therefore aligned with both medication safety and AMR containment priorities.</w:t>
      </w:r>
    </w:p>
    <w:p w:rsidR="732F608B" w:rsidP="3DC7A50A" w:rsidRDefault="732F608B" w14:paraId="14BAACE7" w14:textId="687718A7">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Finally, there </w:t>
      </w:r>
      <w:r w:rsidRPr="3DC7A50A" w:rsidR="4DDC7B1C">
        <w:rPr>
          <w:rFonts w:ascii="Arial" w:hAnsi="Arial" w:eastAsia="Arial" w:cs="Arial"/>
          <w:noProof w:val="0"/>
          <w:sz w:val="24"/>
          <w:szCs w:val="24"/>
          <w:lang w:val="en-US"/>
        </w:rPr>
        <w:t>remains</w:t>
      </w:r>
      <w:r w:rsidRPr="3DC7A50A" w:rsidR="4DDC7B1C">
        <w:rPr>
          <w:rFonts w:ascii="Arial" w:hAnsi="Arial" w:eastAsia="Arial" w:cs="Arial"/>
          <w:noProof w:val="0"/>
          <w:sz w:val="24"/>
          <w:szCs w:val="24"/>
          <w:lang w:val="en-US"/>
        </w:rPr>
        <w:t xml:space="preserve"> a need to </w:t>
      </w:r>
      <w:r w:rsidRPr="3DC7A50A" w:rsidR="4DDC7B1C">
        <w:rPr>
          <w:rFonts w:ascii="Arial" w:hAnsi="Arial" w:eastAsia="Arial" w:cs="Arial"/>
          <w:noProof w:val="0"/>
          <w:sz w:val="24"/>
          <w:szCs w:val="24"/>
          <w:lang w:val="en-US"/>
        </w:rPr>
        <w:t>synthesise</w:t>
      </w:r>
      <w:r w:rsidRPr="3DC7A50A" w:rsidR="4DDC7B1C">
        <w:rPr>
          <w:rFonts w:ascii="Arial" w:hAnsi="Arial" w:eastAsia="Arial" w:cs="Arial"/>
          <w:noProof w:val="0"/>
          <w:sz w:val="24"/>
          <w:szCs w:val="24"/>
          <w:lang w:val="en-US"/>
        </w:rPr>
        <w:t xml:space="preserve"> qualitative evidence from LMIC pharmacy settings because lived experiences, sociocultural factors, professional hierarchies, and local </w:t>
      </w:r>
      <w:r w:rsidRPr="3DC7A50A" w:rsidR="4DDC7B1C">
        <w:rPr>
          <w:rFonts w:ascii="Arial" w:hAnsi="Arial" w:eastAsia="Arial" w:cs="Arial"/>
          <w:noProof w:val="0"/>
          <w:sz w:val="24"/>
          <w:szCs w:val="24"/>
          <w:lang w:val="en-US"/>
        </w:rPr>
        <w:t>organisational</w:t>
      </w:r>
      <w:r w:rsidRPr="3DC7A50A" w:rsidR="4DDC7B1C">
        <w:rPr>
          <w:rFonts w:ascii="Arial" w:hAnsi="Arial" w:eastAsia="Arial" w:cs="Arial"/>
          <w:noProof w:val="0"/>
          <w:sz w:val="24"/>
          <w:szCs w:val="24"/>
          <w:lang w:val="en-US"/>
        </w:rPr>
        <w:t xml:space="preserve"> realities can strongly influence safety </w:t>
      </w:r>
      <w:r w:rsidRPr="3DC7A50A" w:rsidR="4DDC7B1C">
        <w:rPr>
          <w:rFonts w:ascii="Arial" w:hAnsi="Arial" w:eastAsia="Arial" w:cs="Arial"/>
          <w:noProof w:val="0"/>
          <w:sz w:val="24"/>
          <w:szCs w:val="24"/>
          <w:lang w:val="en-US"/>
        </w:rPr>
        <w:t>behaviours</w:t>
      </w:r>
      <w:r w:rsidRPr="3DC7A50A" w:rsidR="4DDC7B1C">
        <w:rPr>
          <w:rFonts w:ascii="Arial" w:hAnsi="Arial" w:eastAsia="Arial" w:cs="Arial"/>
          <w:noProof w:val="0"/>
          <w:sz w:val="24"/>
          <w:szCs w:val="24"/>
          <w:lang w:val="en-US"/>
        </w:rPr>
        <w:t xml:space="preserve"> and intervention success. A qualitative synthesis can capture mechanisms and contextual explanations (the “why” and “how”) that are crucial for designing </w:t>
      </w:r>
      <w:r w:rsidRPr="3DC7A50A" w:rsidR="4DDC7B1C">
        <w:rPr>
          <w:rFonts w:ascii="Arial" w:hAnsi="Arial" w:eastAsia="Arial" w:cs="Arial"/>
          <w:noProof w:val="0"/>
          <w:sz w:val="24"/>
          <w:szCs w:val="24"/>
          <w:lang w:val="en-US"/>
        </w:rPr>
        <w:t>feasible</w:t>
      </w:r>
      <w:r w:rsidRPr="3DC7A50A" w:rsidR="4DDC7B1C">
        <w:rPr>
          <w:rFonts w:ascii="Arial" w:hAnsi="Arial" w:eastAsia="Arial" w:cs="Arial"/>
          <w:noProof w:val="0"/>
          <w:sz w:val="24"/>
          <w:szCs w:val="24"/>
          <w:lang w:val="en-US"/>
        </w:rPr>
        <w:t xml:space="preserve"> QI strategies, particularly in diverse LMIC environments.</w:t>
      </w:r>
    </w:p>
    <w:p w:rsidR="732F608B" w:rsidP="3DC7A50A" w:rsidRDefault="732F608B" w14:paraId="3EABE210" w14:textId="25D3C543">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712998185" w:id="1207564275"/>
      <w:r w:rsidRPr="3DC7A50A" w:rsidR="4DDC7B1C">
        <w:rPr>
          <w:rFonts w:ascii="Arial" w:hAnsi="Arial" w:eastAsia="Arial" w:cs="Arial"/>
          <w:b w:val="0"/>
          <w:bCs w:val="0"/>
          <w:noProof w:val="0"/>
          <w:sz w:val="32"/>
          <w:szCs w:val="32"/>
          <w:lang w:val="en-US"/>
        </w:rPr>
        <w:t>1.4 Problem Statement</w:t>
      </w:r>
      <w:bookmarkEnd w:id="1207564275"/>
    </w:p>
    <w:p w:rsidR="732F608B" w:rsidP="3DC7A50A" w:rsidRDefault="732F608B" w14:paraId="4D6108E8" w14:textId="1CF674E4">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Despite the </w:t>
      </w:r>
      <w:r w:rsidRPr="3DC7A50A" w:rsidR="4DDC7B1C">
        <w:rPr>
          <w:rFonts w:ascii="Arial" w:hAnsi="Arial" w:eastAsia="Arial" w:cs="Arial"/>
          <w:noProof w:val="0"/>
          <w:sz w:val="24"/>
          <w:szCs w:val="24"/>
          <w:lang w:val="en-US"/>
        </w:rPr>
        <w:t>recognised</w:t>
      </w:r>
      <w:r w:rsidRPr="3DC7A50A" w:rsidR="4DDC7B1C">
        <w:rPr>
          <w:rFonts w:ascii="Arial" w:hAnsi="Arial" w:eastAsia="Arial" w:cs="Arial"/>
          <w:noProof w:val="0"/>
          <w:sz w:val="24"/>
          <w:szCs w:val="24"/>
          <w:lang w:val="en-US"/>
        </w:rPr>
        <w:t xml:space="preserve"> importance of medication safety, dispensing errors </w:t>
      </w:r>
      <w:r w:rsidRPr="3DC7A50A" w:rsidR="4DDC7B1C">
        <w:rPr>
          <w:rFonts w:ascii="Arial" w:hAnsi="Arial" w:eastAsia="Arial" w:cs="Arial"/>
          <w:noProof w:val="0"/>
          <w:sz w:val="24"/>
          <w:szCs w:val="24"/>
          <w:lang w:val="en-US"/>
        </w:rPr>
        <w:t>remain</w:t>
      </w:r>
      <w:r w:rsidRPr="3DC7A50A" w:rsidR="4DDC7B1C">
        <w:rPr>
          <w:rFonts w:ascii="Arial" w:hAnsi="Arial" w:eastAsia="Arial" w:cs="Arial"/>
          <w:noProof w:val="0"/>
          <w:sz w:val="24"/>
          <w:szCs w:val="24"/>
          <w:lang w:val="en-US"/>
        </w:rPr>
        <w:t xml:space="preserve"> an under-</w:t>
      </w:r>
      <w:r w:rsidRPr="3DC7A50A" w:rsidR="4DDC7B1C">
        <w:rPr>
          <w:rFonts w:ascii="Arial" w:hAnsi="Arial" w:eastAsia="Arial" w:cs="Arial"/>
          <w:noProof w:val="0"/>
          <w:sz w:val="24"/>
          <w:szCs w:val="24"/>
          <w:lang w:val="en-US"/>
        </w:rPr>
        <w:t>recognised</w:t>
      </w:r>
      <w:r w:rsidRPr="3DC7A50A" w:rsidR="4DDC7B1C">
        <w:rPr>
          <w:rFonts w:ascii="Arial" w:hAnsi="Arial" w:eastAsia="Arial" w:cs="Arial"/>
          <w:noProof w:val="0"/>
          <w:sz w:val="24"/>
          <w:szCs w:val="24"/>
          <w:lang w:val="en-US"/>
        </w:rPr>
        <w:t xml:space="preserve"> and under-addressed challenge in many LMIC pharmacy contexts. While individual qualitative studies describe factors such as workload pressure, unclear prescriptions, limited training, and fear of blame, this evidence is often fragmented across countries and settings. Without systematic synthesis, it becomes difficult for policymakers, educators, and pharmacy leaders to </w:t>
      </w:r>
      <w:r w:rsidRPr="3DC7A50A" w:rsidR="4DDC7B1C">
        <w:rPr>
          <w:rFonts w:ascii="Arial" w:hAnsi="Arial" w:eastAsia="Arial" w:cs="Arial"/>
          <w:noProof w:val="0"/>
          <w:sz w:val="24"/>
          <w:szCs w:val="24"/>
          <w:lang w:val="en-US"/>
        </w:rPr>
        <w:t>identify</w:t>
      </w:r>
      <w:r w:rsidRPr="3DC7A50A" w:rsidR="4DDC7B1C">
        <w:rPr>
          <w:rFonts w:ascii="Arial" w:hAnsi="Arial" w:eastAsia="Arial" w:cs="Arial"/>
          <w:noProof w:val="0"/>
          <w:sz w:val="24"/>
          <w:szCs w:val="24"/>
          <w:lang w:val="en-US"/>
        </w:rPr>
        <w:t xml:space="preserve"> the most consistent drivers of error or the most </w:t>
      </w:r>
      <w:r w:rsidRPr="3DC7A50A" w:rsidR="4DDC7B1C">
        <w:rPr>
          <w:rFonts w:ascii="Arial" w:hAnsi="Arial" w:eastAsia="Arial" w:cs="Arial"/>
          <w:noProof w:val="0"/>
          <w:sz w:val="24"/>
          <w:szCs w:val="24"/>
          <w:lang w:val="en-US"/>
        </w:rPr>
        <w:t>feasible</w:t>
      </w:r>
      <w:r w:rsidRPr="3DC7A50A" w:rsidR="4DDC7B1C">
        <w:rPr>
          <w:rFonts w:ascii="Arial" w:hAnsi="Arial" w:eastAsia="Arial" w:cs="Arial"/>
          <w:noProof w:val="0"/>
          <w:sz w:val="24"/>
          <w:szCs w:val="24"/>
          <w:lang w:val="en-US"/>
        </w:rPr>
        <w:t xml:space="preserve"> and context-appropriate QI strategies to reduce harm.</w:t>
      </w:r>
    </w:p>
    <w:p w:rsidR="732F608B" w:rsidP="3DC7A50A" w:rsidRDefault="732F608B" w14:paraId="191777F9" w14:textId="456CDD24">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In addition, interventions proven effective in high-income settings may not directly translate to LMIC environments due to differences in infrastructure, staffing, governance, and healthcare access. Therefore, there is a need to </w:t>
      </w:r>
      <w:r w:rsidRPr="3DC7A50A" w:rsidR="4DDC7B1C">
        <w:rPr>
          <w:rFonts w:ascii="Arial" w:hAnsi="Arial" w:eastAsia="Arial" w:cs="Arial"/>
          <w:noProof w:val="0"/>
          <w:sz w:val="24"/>
          <w:szCs w:val="24"/>
          <w:lang w:val="en-US"/>
        </w:rPr>
        <w:t>consolidate</w:t>
      </w:r>
      <w:r w:rsidRPr="3DC7A50A" w:rsidR="4DDC7B1C">
        <w:rPr>
          <w:rFonts w:ascii="Arial" w:hAnsi="Arial" w:eastAsia="Arial" w:cs="Arial"/>
          <w:noProof w:val="0"/>
          <w:sz w:val="24"/>
          <w:szCs w:val="24"/>
          <w:lang w:val="en-US"/>
        </w:rPr>
        <w:t xml:space="preserve"> qualitative evidence that explains how dispensing errors occur within LMIC systems and which improvement strategies are most realistic, acceptable, and sustainable.</w:t>
      </w:r>
    </w:p>
    <w:p w:rsidR="732F608B" w:rsidP="3DC7A50A" w:rsidRDefault="732F608B" w14:paraId="7E850F30" w14:textId="5BE7608F">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1525370223" w:id="183696176"/>
      <w:r w:rsidRPr="3DC7A50A" w:rsidR="4DDC7B1C">
        <w:rPr>
          <w:rFonts w:ascii="Arial" w:hAnsi="Arial" w:eastAsia="Arial" w:cs="Arial"/>
          <w:b w:val="0"/>
          <w:bCs w:val="0"/>
          <w:noProof w:val="0"/>
          <w:sz w:val="32"/>
          <w:szCs w:val="32"/>
          <w:lang w:val="en-US"/>
        </w:rPr>
        <w:t>1.5 Aim of the Study</w:t>
      </w:r>
      <w:bookmarkEnd w:id="183696176"/>
    </w:p>
    <w:p w:rsidR="732F608B" w:rsidP="3DC7A50A" w:rsidRDefault="732F608B" w14:paraId="2ABA3854" w14:textId="3A301372">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The aim of this dissertation is to </w:t>
      </w:r>
      <w:r w:rsidRPr="3DC7A50A" w:rsidR="4DDC7B1C">
        <w:rPr>
          <w:rFonts w:ascii="Arial" w:hAnsi="Arial" w:eastAsia="Arial" w:cs="Arial"/>
          <w:noProof w:val="0"/>
          <w:sz w:val="24"/>
          <w:szCs w:val="24"/>
          <w:lang w:val="en-US"/>
        </w:rPr>
        <w:t>synthesise</w:t>
      </w:r>
      <w:r w:rsidRPr="3DC7A50A" w:rsidR="4DDC7B1C">
        <w:rPr>
          <w:rFonts w:ascii="Arial" w:hAnsi="Arial" w:eastAsia="Arial" w:cs="Arial"/>
          <w:noProof w:val="0"/>
          <w:sz w:val="24"/>
          <w:szCs w:val="24"/>
          <w:lang w:val="en-US"/>
        </w:rPr>
        <w:t xml:space="preserve"> qualitative evidence on pharmacist-related dispensing errors in </w:t>
      </w:r>
      <w:r w:rsidRPr="3DC7A50A" w:rsidR="4DDC7B1C">
        <w:rPr>
          <w:rFonts w:ascii="Arial" w:hAnsi="Arial" w:eastAsia="Arial" w:cs="Arial"/>
          <w:b w:val="0"/>
          <w:bCs w:val="0"/>
          <w:noProof w:val="0"/>
          <w:sz w:val="24"/>
          <w:szCs w:val="24"/>
          <w:lang w:val="en-US"/>
        </w:rPr>
        <w:t>low- and middle-income countries (LMICs)</w:t>
      </w:r>
      <w:r w:rsidRPr="3DC7A50A" w:rsidR="4DDC7B1C">
        <w:rPr>
          <w:rFonts w:ascii="Arial" w:hAnsi="Arial" w:eastAsia="Arial" w:cs="Arial"/>
          <w:b w:val="0"/>
          <w:bCs w:val="0"/>
          <w:noProof w:val="0"/>
          <w:sz w:val="24"/>
          <w:szCs w:val="24"/>
          <w:lang w:val="en-US"/>
        </w:rPr>
        <w:t xml:space="preserve"> </w:t>
      </w:r>
      <w:r w:rsidRPr="3DC7A50A" w:rsidR="4DDC7B1C">
        <w:rPr>
          <w:rFonts w:ascii="Arial" w:hAnsi="Arial" w:eastAsia="Arial" w:cs="Arial"/>
          <w:noProof w:val="0"/>
          <w:sz w:val="24"/>
          <w:szCs w:val="24"/>
          <w:lang w:val="en-US"/>
        </w:rPr>
        <w:t>and to critically evaluate quality improvement (QI) strategies that can strengthen medication safety in pharmacy settings.</w:t>
      </w:r>
    </w:p>
    <w:p w:rsidR="732F608B" w:rsidP="3DC7A50A" w:rsidRDefault="732F608B" w14:paraId="340DD2EF" w14:textId="22EC5AE5">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225938619" w:id="365219109"/>
      <w:r w:rsidRPr="3DC7A50A" w:rsidR="4DDC7B1C">
        <w:rPr>
          <w:rFonts w:ascii="Arial" w:hAnsi="Arial" w:eastAsia="Arial" w:cs="Arial"/>
          <w:b w:val="0"/>
          <w:bCs w:val="0"/>
          <w:noProof w:val="0"/>
          <w:sz w:val="32"/>
          <w:szCs w:val="32"/>
          <w:lang w:val="en-US"/>
        </w:rPr>
        <w:t>1.6 Research Objectives</w:t>
      </w:r>
      <w:bookmarkEnd w:id="365219109"/>
    </w:p>
    <w:p w:rsidR="732F608B" w:rsidP="3DC7A50A" w:rsidRDefault="732F608B" w14:paraId="71D9D100" w14:textId="06B9EA34">
      <w:pPr>
        <w:pStyle w:val="ListParagraph"/>
        <w:numPr>
          <w:ilvl w:val="0"/>
          <w:numId w:val="13"/>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To explore pharmacists’ and dispensers’ experiences, </w:t>
      </w:r>
      <w:r w:rsidRPr="3DC7A50A" w:rsidR="4DDC7B1C">
        <w:rPr>
          <w:rFonts w:ascii="Arial" w:hAnsi="Arial" w:eastAsia="Arial" w:cs="Arial"/>
          <w:noProof w:val="0"/>
          <w:sz w:val="24"/>
          <w:szCs w:val="24"/>
          <w:lang w:val="en-US"/>
        </w:rPr>
        <w:t>perceptions</w:t>
      </w:r>
      <w:r w:rsidRPr="3DC7A50A" w:rsidR="4DDC7B1C">
        <w:rPr>
          <w:rFonts w:ascii="Arial" w:hAnsi="Arial" w:eastAsia="Arial" w:cs="Arial"/>
          <w:noProof w:val="0"/>
          <w:sz w:val="24"/>
          <w:szCs w:val="24"/>
          <w:lang w:val="en-US"/>
        </w:rPr>
        <w:t>, and challenges related to dispensing errors within LMIC pharmacy settings.</w:t>
      </w:r>
    </w:p>
    <w:p w:rsidR="732F608B" w:rsidP="3DC7A50A" w:rsidRDefault="732F608B" w14:paraId="397A6777" w14:textId="7FD0A985">
      <w:pPr>
        <w:pStyle w:val="ListParagraph"/>
        <w:numPr>
          <w:ilvl w:val="0"/>
          <w:numId w:val="13"/>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To </w:t>
      </w:r>
      <w:r w:rsidRPr="3DC7A50A" w:rsidR="4DDC7B1C">
        <w:rPr>
          <w:rFonts w:ascii="Arial" w:hAnsi="Arial" w:eastAsia="Arial" w:cs="Arial"/>
          <w:noProof w:val="0"/>
          <w:sz w:val="24"/>
          <w:szCs w:val="24"/>
          <w:lang w:val="en-US"/>
        </w:rPr>
        <w:t>identify</w:t>
      </w:r>
      <w:r w:rsidRPr="3DC7A50A" w:rsidR="4DDC7B1C">
        <w:rPr>
          <w:rFonts w:ascii="Arial" w:hAnsi="Arial" w:eastAsia="Arial" w:cs="Arial"/>
          <w:noProof w:val="0"/>
          <w:sz w:val="24"/>
          <w:szCs w:val="24"/>
          <w:lang w:val="en-US"/>
        </w:rPr>
        <w:t xml:space="preserve"> individual, </w:t>
      </w:r>
      <w:r w:rsidRPr="3DC7A50A" w:rsidR="4DDC7B1C">
        <w:rPr>
          <w:rFonts w:ascii="Arial" w:hAnsi="Arial" w:eastAsia="Arial" w:cs="Arial"/>
          <w:noProof w:val="0"/>
          <w:sz w:val="24"/>
          <w:szCs w:val="24"/>
          <w:lang w:val="en-US"/>
        </w:rPr>
        <w:t>organisational</w:t>
      </w:r>
      <w:r w:rsidRPr="3DC7A50A" w:rsidR="4DDC7B1C">
        <w:rPr>
          <w:rFonts w:ascii="Arial" w:hAnsi="Arial" w:eastAsia="Arial" w:cs="Arial"/>
          <w:noProof w:val="0"/>
          <w:sz w:val="24"/>
          <w:szCs w:val="24"/>
          <w:lang w:val="en-US"/>
        </w:rPr>
        <w:t>, and system-level factors that contribute to pharmacist-related dispensing errors in LMICs.</w:t>
      </w:r>
    </w:p>
    <w:p w:rsidR="732F608B" w:rsidP="3DC7A50A" w:rsidRDefault="732F608B" w14:paraId="31B0E0FA" w14:textId="5213DE73">
      <w:pPr>
        <w:pStyle w:val="ListParagraph"/>
        <w:numPr>
          <w:ilvl w:val="0"/>
          <w:numId w:val="13"/>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To examine reported quality improvement strategies (including training, </w:t>
      </w:r>
      <w:r w:rsidRPr="3DC7A50A" w:rsidR="4DDC7B1C">
        <w:rPr>
          <w:rFonts w:ascii="Arial" w:hAnsi="Arial" w:eastAsia="Arial" w:cs="Arial"/>
          <w:noProof w:val="0"/>
          <w:sz w:val="24"/>
          <w:szCs w:val="24"/>
          <w:lang w:val="en-US"/>
        </w:rPr>
        <w:t>standardisation</w:t>
      </w:r>
      <w:r w:rsidRPr="3DC7A50A" w:rsidR="4DDC7B1C">
        <w:rPr>
          <w:rFonts w:ascii="Arial" w:hAnsi="Arial" w:eastAsia="Arial" w:cs="Arial"/>
          <w:noProof w:val="0"/>
          <w:sz w:val="24"/>
          <w:szCs w:val="24"/>
          <w:lang w:val="en-US"/>
        </w:rPr>
        <w:t>, reporting mechanisms, and technology-enabled approaches) relevant to reducing dispensing errors in LMIC contexts.</w:t>
      </w:r>
    </w:p>
    <w:p w:rsidR="732F608B" w:rsidP="3DC7A50A" w:rsidRDefault="732F608B" w14:paraId="43A1DD99" w14:textId="587F37F3">
      <w:pPr>
        <w:pStyle w:val="ListParagraph"/>
        <w:numPr>
          <w:ilvl w:val="0"/>
          <w:numId w:val="13"/>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To develop evidence-informed, context-sensitive recommendations that support safer dispensing practice and strengthen pharmacy service quality in LMICs.</w:t>
      </w:r>
    </w:p>
    <w:p w:rsidR="732F608B" w:rsidP="3DC7A50A" w:rsidRDefault="732F608B" w14:paraId="57728036" w14:textId="28D534C6">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944369474" w:id="1227676105"/>
      <w:r w:rsidRPr="3DC7A50A" w:rsidR="4DDC7B1C">
        <w:rPr>
          <w:rFonts w:ascii="Arial" w:hAnsi="Arial" w:eastAsia="Arial" w:cs="Arial"/>
          <w:b w:val="0"/>
          <w:bCs w:val="0"/>
          <w:noProof w:val="0"/>
          <w:sz w:val="32"/>
          <w:szCs w:val="32"/>
          <w:lang w:val="en-US"/>
        </w:rPr>
        <w:t>1.7 Research Questions</w:t>
      </w:r>
      <w:bookmarkEnd w:id="1227676105"/>
    </w:p>
    <w:p w:rsidR="732F608B" w:rsidP="3DC7A50A" w:rsidRDefault="732F608B" w14:paraId="6C91A852" w14:textId="134D13C1">
      <w:pPr>
        <w:pStyle w:val="ListParagraph"/>
        <w:numPr>
          <w:ilvl w:val="0"/>
          <w:numId w:val="14"/>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What individual, </w:t>
      </w:r>
      <w:r w:rsidRPr="3DC7A50A" w:rsidR="4DDC7B1C">
        <w:rPr>
          <w:rFonts w:ascii="Arial" w:hAnsi="Arial" w:eastAsia="Arial" w:cs="Arial"/>
          <w:noProof w:val="0"/>
          <w:sz w:val="24"/>
          <w:szCs w:val="24"/>
          <w:lang w:val="en-US"/>
        </w:rPr>
        <w:t>organisational</w:t>
      </w:r>
      <w:r w:rsidRPr="3DC7A50A" w:rsidR="4DDC7B1C">
        <w:rPr>
          <w:rFonts w:ascii="Arial" w:hAnsi="Arial" w:eastAsia="Arial" w:cs="Arial"/>
          <w:noProof w:val="0"/>
          <w:sz w:val="24"/>
          <w:szCs w:val="24"/>
          <w:lang w:val="en-US"/>
        </w:rPr>
        <w:t>, and system factors contribute to pharmacist-related dispensing errors in LMIC pharmacy settings?</w:t>
      </w:r>
    </w:p>
    <w:p w:rsidR="732F608B" w:rsidP="3DC7A50A" w:rsidRDefault="732F608B" w14:paraId="560E29A1" w14:textId="2127AE77">
      <w:pPr>
        <w:pStyle w:val="ListParagraph"/>
        <w:numPr>
          <w:ilvl w:val="0"/>
          <w:numId w:val="14"/>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How do contextual influences</w:t>
      </w:r>
      <w:r w:rsidRPr="3DC7A50A" w:rsidR="31D9B350">
        <w:rPr>
          <w:rFonts w:ascii="Arial" w:hAnsi="Arial" w:eastAsia="Arial" w:cs="Arial"/>
          <w:noProof w:val="0"/>
          <w:sz w:val="24"/>
          <w:szCs w:val="24"/>
          <w:lang w:val="en-US"/>
        </w:rPr>
        <w:t xml:space="preserve"> </w:t>
      </w:r>
      <w:r w:rsidRPr="3DC7A50A" w:rsidR="4DDC7B1C">
        <w:rPr>
          <w:rFonts w:ascii="Arial" w:hAnsi="Arial" w:eastAsia="Arial" w:cs="Arial"/>
          <w:noProof w:val="0"/>
          <w:sz w:val="24"/>
          <w:szCs w:val="24"/>
          <w:lang w:val="en-US"/>
        </w:rPr>
        <w:t>such as workload, training access, regulatory environments, professional culture, and patient expectations</w:t>
      </w:r>
      <w:r w:rsidRPr="3DC7A50A" w:rsidR="3BB8C88F">
        <w:rPr>
          <w:rFonts w:ascii="Arial" w:hAnsi="Arial" w:eastAsia="Arial" w:cs="Arial"/>
          <w:noProof w:val="0"/>
          <w:sz w:val="24"/>
          <w:szCs w:val="24"/>
          <w:lang w:val="en-US"/>
        </w:rPr>
        <w:t xml:space="preserve"> </w:t>
      </w:r>
      <w:r w:rsidRPr="3DC7A50A" w:rsidR="4DDC7B1C">
        <w:rPr>
          <w:rFonts w:ascii="Arial" w:hAnsi="Arial" w:eastAsia="Arial" w:cs="Arial"/>
          <w:noProof w:val="0"/>
          <w:sz w:val="24"/>
          <w:szCs w:val="24"/>
          <w:lang w:val="en-US"/>
        </w:rPr>
        <w:t xml:space="preserve">shape </w:t>
      </w:r>
      <w:r w:rsidRPr="3DC7A50A" w:rsidR="4DDC7B1C">
        <w:rPr>
          <w:rFonts w:ascii="Arial" w:hAnsi="Arial" w:eastAsia="Arial" w:cs="Arial"/>
          <w:noProof w:val="0"/>
          <w:sz w:val="24"/>
          <w:szCs w:val="24"/>
          <w:lang w:val="en-US"/>
        </w:rPr>
        <w:t>dispensing</w:t>
      </w:r>
      <w:r w:rsidRPr="3DC7A50A" w:rsidR="4DDC7B1C">
        <w:rPr>
          <w:rFonts w:ascii="Arial" w:hAnsi="Arial" w:eastAsia="Arial" w:cs="Arial"/>
          <w:noProof w:val="0"/>
          <w:sz w:val="24"/>
          <w:szCs w:val="24"/>
          <w:lang w:val="en-US"/>
        </w:rPr>
        <w:t xml:space="preserve"> safety </w:t>
      </w:r>
      <w:r w:rsidRPr="3DC7A50A" w:rsidR="4DDC7B1C">
        <w:rPr>
          <w:rFonts w:ascii="Arial" w:hAnsi="Arial" w:eastAsia="Arial" w:cs="Arial"/>
          <w:noProof w:val="0"/>
          <w:sz w:val="24"/>
          <w:szCs w:val="24"/>
          <w:lang w:val="en-US"/>
        </w:rPr>
        <w:t>behaviours</w:t>
      </w:r>
      <w:r w:rsidRPr="3DC7A50A" w:rsidR="4DDC7B1C">
        <w:rPr>
          <w:rFonts w:ascii="Arial" w:hAnsi="Arial" w:eastAsia="Arial" w:cs="Arial"/>
          <w:noProof w:val="0"/>
          <w:sz w:val="24"/>
          <w:szCs w:val="24"/>
          <w:lang w:val="en-US"/>
        </w:rPr>
        <w:t xml:space="preserve"> in LMICs?</w:t>
      </w:r>
    </w:p>
    <w:p w:rsidR="732F608B" w:rsidP="3DC7A50A" w:rsidRDefault="732F608B" w14:paraId="367B7349" w14:textId="3AE331E3">
      <w:pPr>
        <w:pStyle w:val="ListParagraph"/>
        <w:numPr>
          <w:ilvl w:val="0"/>
          <w:numId w:val="14"/>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What quality improvement strategies are reported as </w:t>
      </w:r>
      <w:r w:rsidRPr="3DC7A50A" w:rsidR="4DDC7B1C">
        <w:rPr>
          <w:rFonts w:ascii="Arial" w:hAnsi="Arial" w:eastAsia="Arial" w:cs="Arial"/>
          <w:noProof w:val="0"/>
          <w:sz w:val="24"/>
          <w:szCs w:val="24"/>
          <w:lang w:val="en-US"/>
        </w:rPr>
        <w:t>feasible</w:t>
      </w:r>
      <w:r w:rsidRPr="3DC7A50A" w:rsidR="4DDC7B1C">
        <w:rPr>
          <w:rFonts w:ascii="Arial" w:hAnsi="Arial" w:eastAsia="Arial" w:cs="Arial"/>
          <w:noProof w:val="0"/>
          <w:sz w:val="24"/>
          <w:szCs w:val="24"/>
          <w:lang w:val="en-US"/>
        </w:rPr>
        <w:t xml:space="preserve"> or beneficial for reducing pharmacist-related dispensing errors in LMIC settings?</w:t>
      </w:r>
    </w:p>
    <w:p w:rsidR="732F608B" w:rsidP="3DC7A50A" w:rsidRDefault="732F608B" w14:paraId="4EC1A782" w14:textId="655ADD2D">
      <w:pPr>
        <w:pStyle w:val="ListParagraph"/>
        <w:numPr>
          <w:ilvl w:val="0"/>
          <w:numId w:val="14"/>
        </w:num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How can qualitative evidence inform practical recommendations for strengthening medication safety and service improvement in LMIC pharmacy practice?</w:t>
      </w:r>
    </w:p>
    <w:p w:rsidR="4369956E" w:rsidP="3DC7A50A" w:rsidRDefault="4369956E" w14:paraId="2B048D7C" w14:textId="03580EFE">
      <w:pPr>
        <w:jc w:val="both"/>
        <w:rPr>
          <w:rFonts w:ascii="Arial" w:hAnsi="Arial" w:eastAsia="Arial" w:cs="Arial"/>
          <w:sz w:val="24"/>
          <w:szCs w:val="24"/>
        </w:rPr>
      </w:pPr>
    </w:p>
    <w:p w:rsidR="732F608B" w:rsidP="3DC7A50A" w:rsidRDefault="732F608B" w14:paraId="210C5046" w14:textId="67013DD7">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92000489" w:id="1670431839"/>
      <w:r w:rsidRPr="3DC7A50A" w:rsidR="4DDC7B1C">
        <w:rPr>
          <w:rFonts w:ascii="Arial" w:hAnsi="Arial" w:eastAsia="Arial" w:cs="Arial"/>
          <w:b w:val="0"/>
          <w:bCs w:val="0"/>
          <w:noProof w:val="0"/>
          <w:sz w:val="32"/>
          <w:szCs w:val="32"/>
          <w:lang w:val="en-US"/>
        </w:rPr>
        <w:t>1.8 Significance of the Study</w:t>
      </w:r>
      <w:bookmarkEnd w:id="1670431839"/>
    </w:p>
    <w:p w:rsidR="732F608B" w:rsidP="3DC7A50A" w:rsidRDefault="732F608B" w14:paraId="48985E09" w14:textId="7EE48CB5">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This dissertation contributes to patient safety and pharmacy practice literature by providing a structured synthesis of qualitative evidence focused on LMIC pharmacy environments. By drawing together insights across multiple settings, the study supports a deeper understanding of why dispensing errors persist and how improvement strategies can be tailored to resource constraints. This is aligned with the WHO position that medication errors occur due to weak systems and human </w:t>
      </w:r>
      <w:r w:rsidRPr="3DC7A50A" w:rsidR="4DDC7B1C">
        <w:rPr>
          <w:rFonts w:ascii="Arial" w:hAnsi="Arial" w:eastAsia="Arial" w:cs="Arial"/>
          <w:noProof w:val="0"/>
          <w:sz w:val="24"/>
          <w:szCs w:val="24"/>
          <w:lang w:val="en-US"/>
        </w:rPr>
        <w:t>factors</w:t>
      </w:r>
      <w:r w:rsidRPr="3DC7A50A" w:rsidR="4DDC7B1C">
        <w:rPr>
          <w:rFonts w:ascii="Arial" w:hAnsi="Arial" w:eastAsia="Arial" w:cs="Arial"/>
          <w:noProof w:val="0"/>
          <w:sz w:val="24"/>
          <w:szCs w:val="24"/>
          <w:lang w:val="en-US"/>
        </w:rPr>
        <w:t xml:space="preserve"> and that improvement requires coordinated system strengthening rather than individual blame (WHO, n.d.; WHO, 2017).</w:t>
      </w:r>
    </w:p>
    <w:p w:rsidR="732F608B" w:rsidP="3DC7A50A" w:rsidRDefault="732F608B" w14:paraId="1336E971" w14:textId="26C99406">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The findings are significant for several stakeholders. For policymakers and regulators, the synthesis may help </w:t>
      </w:r>
      <w:r w:rsidRPr="3DC7A50A" w:rsidR="4DDC7B1C">
        <w:rPr>
          <w:rFonts w:ascii="Arial" w:hAnsi="Arial" w:eastAsia="Arial" w:cs="Arial"/>
          <w:noProof w:val="0"/>
          <w:sz w:val="24"/>
          <w:szCs w:val="24"/>
          <w:lang w:val="en-US"/>
        </w:rPr>
        <w:t>identify</w:t>
      </w:r>
      <w:r w:rsidRPr="3DC7A50A" w:rsidR="4DDC7B1C">
        <w:rPr>
          <w:rFonts w:ascii="Arial" w:hAnsi="Arial" w:eastAsia="Arial" w:cs="Arial"/>
          <w:noProof w:val="0"/>
          <w:sz w:val="24"/>
          <w:szCs w:val="24"/>
          <w:lang w:val="en-US"/>
        </w:rPr>
        <w:t xml:space="preserve"> system priorities such as clearer standards, strengthened oversight, and scalable reporting and learning mechanisms. For pharmacy educators and professional bodies, the review can highlight competency gaps and reinforce the importance of structured continuing professional development. For pharmacy leaders and managers, the findings can inform workflow redesign, staffing considerations, SOP implementation, and culture change approaches that support learning and safety.</w:t>
      </w:r>
    </w:p>
    <w:p w:rsidR="732F608B" w:rsidP="3DC7A50A" w:rsidRDefault="732F608B" w14:paraId="6A52875A" w14:textId="6204CFEF">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Additionally, improving dispensing safety supports broader public health goals, including </w:t>
      </w:r>
      <w:r w:rsidRPr="3DC7A50A" w:rsidR="4DDC7B1C">
        <w:rPr>
          <w:rFonts w:ascii="Arial" w:hAnsi="Arial" w:eastAsia="Arial" w:cs="Arial"/>
          <w:noProof w:val="0"/>
          <w:sz w:val="24"/>
          <w:szCs w:val="24"/>
          <w:lang w:val="en-US"/>
        </w:rPr>
        <w:t>responsible</w:t>
      </w:r>
      <w:r w:rsidRPr="3DC7A50A" w:rsidR="4DDC7B1C">
        <w:rPr>
          <w:rFonts w:ascii="Arial" w:hAnsi="Arial" w:eastAsia="Arial" w:cs="Arial"/>
          <w:noProof w:val="0"/>
          <w:sz w:val="24"/>
          <w:szCs w:val="24"/>
          <w:lang w:val="en-US"/>
        </w:rPr>
        <w:t xml:space="preserve"> antimicrobial use. WHO identifies AMR as a major threat and </w:t>
      </w:r>
      <w:r w:rsidRPr="3DC7A50A" w:rsidR="4DDC7B1C">
        <w:rPr>
          <w:rFonts w:ascii="Arial" w:hAnsi="Arial" w:eastAsia="Arial" w:cs="Arial"/>
          <w:noProof w:val="0"/>
          <w:sz w:val="24"/>
          <w:szCs w:val="24"/>
          <w:lang w:val="en-US"/>
        </w:rPr>
        <w:t>emphasises</w:t>
      </w:r>
      <w:r w:rsidRPr="3DC7A50A" w:rsidR="4DDC7B1C">
        <w:rPr>
          <w:rFonts w:ascii="Arial" w:hAnsi="Arial" w:eastAsia="Arial" w:cs="Arial"/>
          <w:noProof w:val="0"/>
          <w:sz w:val="24"/>
          <w:szCs w:val="24"/>
          <w:lang w:val="en-US"/>
        </w:rPr>
        <w:t xml:space="preserve"> that misuse and overuse of antimicrobials are key drivers of resistance (WHO, 2023). Therefore, improving dispensing practice may have both direct benefits for patient outcomes and wider benefits for health system resilience and population health.</w:t>
      </w:r>
    </w:p>
    <w:p w:rsidR="732F608B" w:rsidP="3DC7A50A" w:rsidRDefault="732F608B" w14:paraId="36A00E0B" w14:textId="7E821592">
      <w:pPr>
        <w:pStyle w:val="Heading2"/>
        <w:spacing w:before="299" w:beforeAutospacing="off" w:after="299" w:afterAutospacing="off"/>
        <w:jc w:val="both"/>
        <w:rPr>
          <w:rFonts w:ascii="Arial" w:hAnsi="Arial" w:eastAsia="Arial" w:cs="Arial"/>
          <w:b w:val="0"/>
          <w:bCs w:val="0"/>
          <w:noProof w:val="0"/>
          <w:sz w:val="32"/>
          <w:szCs w:val="32"/>
          <w:lang w:val="en-US"/>
        </w:rPr>
      </w:pPr>
      <w:bookmarkStart w:name="_Toc1559764084" w:id="1605457601"/>
      <w:r w:rsidRPr="3DC7A50A" w:rsidR="4DDC7B1C">
        <w:rPr>
          <w:rFonts w:ascii="Arial" w:hAnsi="Arial" w:eastAsia="Arial" w:cs="Arial"/>
          <w:b w:val="0"/>
          <w:bCs w:val="0"/>
          <w:noProof w:val="0"/>
          <w:sz w:val="32"/>
          <w:szCs w:val="32"/>
          <w:lang w:val="en-US"/>
        </w:rPr>
        <w:t>1.9 Chapter Summary</w:t>
      </w:r>
      <w:bookmarkEnd w:id="1605457601"/>
    </w:p>
    <w:p w:rsidR="732F608B" w:rsidP="3DC7A50A" w:rsidRDefault="732F608B" w14:paraId="5AA773F5" w14:textId="41A7F7C7">
      <w:pPr>
        <w:spacing w:before="240" w:beforeAutospacing="off" w:after="240" w:afterAutospacing="off"/>
        <w:jc w:val="both"/>
        <w:rPr>
          <w:rFonts w:ascii="Arial" w:hAnsi="Arial" w:eastAsia="Arial" w:cs="Arial"/>
          <w:noProof w:val="0"/>
          <w:sz w:val="24"/>
          <w:szCs w:val="24"/>
          <w:lang w:val="en-US"/>
        </w:rPr>
      </w:pPr>
      <w:r w:rsidRPr="3DC7A50A" w:rsidR="4DDC7B1C">
        <w:rPr>
          <w:rFonts w:ascii="Arial" w:hAnsi="Arial" w:eastAsia="Arial" w:cs="Arial"/>
          <w:noProof w:val="0"/>
          <w:sz w:val="24"/>
          <w:szCs w:val="24"/>
          <w:lang w:val="en-US"/>
        </w:rPr>
        <w:t xml:space="preserve">This chapter introduced the focus of the dissertation, </w:t>
      </w:r>
      <w:r w:rsidRPr="3DC7A50A" w:rsidR="4DDC7B1C">
        <w:rPr>
          <w:rFonts w:ascii="Arial" w:hAnsi="Arial" w:eastAsia="Arial" w:cs="Arial"/>
          <w:noProof w:val="0"/>
          <w:sz w:val="24"/>
          <w:szCs w:val="24"/>
          <w:lang w:val="en-US"/>
        </w:rPr>
        <w:t>establishing</w:t>
      </w:r>
      <w:r w:rsidRPr="3DC7A50A" w:rsidR="4DDC7B1C">
        <w:rPr>
          <w:rFonts w:ascii="Arial" w:hAnsi="Arial" w:eastAsia="Arial" w:cs="Arial"/>
          <w:noProof w:val="0"/>
          <w:sz w:val="24"/>
          <w:szCs w:val="24"/>
          <w:lang w:val="en-US"/>
        </w:rPr>
        <w:t xml:space="preserve"> medication </w:t>
      </w:r>
      <w:r w:rsidRPr="3DC7A50A" w:rsidR="4DDC7B1C">
        <w:rPr>
          <w:rFonts w:ascii="Arial" w:hAnsi="Arial" w:eastAsia="Arial" w:cs="Arial"/>
          <w:noProof w:val="0"/>
          <w:sz w:val="24"/>
          <w:szCs w:val="24"/>
          <w:lang w:val="en-US"/>
        </w:rPr>
        <w:t>safety</w:t>
      </w:r>
      <w:r w:rsidRPr="3DC7A50A" w:rsidR="4DDC7B1C">
        <w:rPr>
          <w:rFonts w:ascii="Arial" w:hAnsi="Arial" w:eastAsia="Arial" w:cs="Arial"/>
          <w:noProof w:val="0"/>
          <w:sz w:val="24"/>
          <w:szCs w:val="24"/>
          <w:lang w:val="en-US"/>
        </w:rPr>
        <w:t xml:space="preserve"> and dispensing errors as critical patient safety </w:t>
      </w:r>
      <w:r w:rsidRPr="3DC7A50A" w:rsidR="4DDC7B1C">
        <w:rPr>
          <w:rFonts w:ascii="Arial" w:hAnsi="Arial" w:eastAsia="Arial" w:cs="Arial"/>
          <w:noProof w:val="0"/>
          <w:sz w:val="24"/>
          <w:szCs w:val="24"/>
          <w:lang w:val="en-US"/>
        </w:rPr>
        <w:t>concerns</w:t>
      </w:r>
      <w:r w:rsidRPr="3DC7A50A" w:rsidR="4DDC7B1C">
        <w:rPr>
          <w:rFonts w:ascii="Arial" w:hAnsi="Arial" w:eastAsia="Arial" w:cs="Arial"/>
          <w:noProof w:val="0"/>
          <w:sz w:val="24"/>
          <w:szCs w:val="24"/>
          <w:lang w:val="en-US"/>
        </w:rPr>
        <w:t xml:space="preserve"> and explaining why LMIC pharmacy contexts require specific attention. It clarified the rationale for selecting LMIC settings using World Bank income classifications and highlighted how resource constraints and system variability may influence dispensing safety (World Bank, 2024). The chapter also presented the problem statement, aim, research </w:t>
      </w:r>
      <w:r w:rsidRPr="3DC7A50A" w:rsidR="4DDC7B1C">
        <w:rPr>
          <w:rFonts w:ascii="Arial" w:hAnsi="Arial" w:eastAsia="Arial" w:cs="Arial"/>
          <w:noProof w:val="0"/>
          <w:sz w:val="24"/>
          <w:szCs w:val="24"/>
          <w:lang w:val="en-US"/>
        </w:rPr>
        <w:t>objectives</w:t>
      </w:r>
      <w:r w:rsidRPr="3DC7A50A" w:rsidR="4DDC7B1C">
        <w:rPr>
          <w:rFonts w:ascii="Arial" w:hAnsi="Arial" w:eastAsia="Arial" w:cs="Arial"/>
          <w:noProof w:val="0"/>
          <w:sz w:val="24"/>
          <w:szCs w:val="24"/>
          <w:lang w:val="en-US"/>
        </w:rPr>
        <w:t xml:space="preserve">, and research questions, and outlined the academic and practical significance of </w:t>
      </w:r>
      <w:r w:rsidRPr="3DC7A50A" w:rsidR="4DDC7B1C">
        <w:rPr>
          <w:rFonts w:ascii="Arial" w:hAnsi="Arial" w:eastAsia="Arial" w:cs="Arial"/>
          <w:noProof w:val="0"/>
          <w:sz w:val="24"/>
          <w:szCs w:val="24"/>
          <w:lang w:val="en-US"/>
        </w:rPr>
        <w:t>synthesising</w:t>
      </w:r>
      <w:r w:rsidRPr="3DC7A50A" w:rsidR="4DDC7B1C">
        <w:rPr>
          <w:rFonts w:ascii="Arial" w:hAnsi="Arial" w:eastAsia="Arial" w:cs="Arial"/>
          <w:noProof w:val="0"/>
          <w:sz w:val="24"/>
          <w:szCs w:val="24"/>
          <w:lang w:val="en-US"/>
        </w:rPr>
        <w:t xml:space="preserve"> qualitative evidence to support context-appropriate quality improvement strategies. The next chapter critically reviews relevant literature on dispensing errors, LMIC pharmacy practice, and quality improvement approaches to medication safety.</w:t>
      </w:r>
    </w:p>
    <w:p w:rsidR="3DC7A50A" w:rsidP="3DC7A50A" w:rsidRDefault="3DC7A50A" w14:paraId="39C58E1A" w14:textId="23C4150A">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2F9FFF43" w14:textId="7ED32012">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42559000" w14:textId="2411DC98">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2267FADC" w14:textId="4252931E">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51CCA450" w14:textId="39ACF132">
      <w:pPr>
        <w:pStyle w:val="Normal"/>
        <w:spacing w:before="240" w:beforeAutospacing="off" w:after="240" w:afterAutospacing="off"/>
        <w:jc w:val="both"/>
        <w:rPr>
          <w:rFonts w:ascii="Arial" w:hAnsi="Arial" w:eastAsia="Arial" w:cs="Arial"/>
          <w:noProof w:val="0"/>
          <w:sz w:val="24"/>
          <w:szCs w:val="24"/>
          <w:lang w:val="en-US"/>
        </w:rPr>
      </w:pPr>
    </w:p>
    <w:p w:rsidR="4369956E" w:rsidP="3DC7A50A" w:rsidRDefault="4369956E" w14:paraId="0BA28656" w14:textId="210F54C8">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5BB368" w:rsidP="3DC7A50A" w:rsidRDefault="375BB368" w14:paraId="6154A7A0" w14:textId="48DFFF33">
      <w:pPr>
        <w:pStyle w:val="Heading1"/>
        <w:rPr>
          <w:rFonts w:ascii="Arial" w:hAnsi="Arial" w:eastAsia="Arial" w:cs="Arial"/>
          <w:b w:val="1"/>
          <w:bCs w:val="1"/>
          <w:i w:val="0"/>
          <w:iCs w:val="0"/>
          <w:caps w:val="0"/>
          <w:smallCaps w:val="0"/>
          <w:noProof w:val="0"/>
          <w:color w:val="auto" w:themeColor="text1" w:themeTint="FF" w:themeShade="FF"/>
          <w:sz w:val="40"/>
          <w:szCs w:val="40"/>
          <w:lang w:val="en-US"/>
        </w:rPr>
      </w:pPr>
      <w:bookmarkStart w:name="_Toc1149110926" w:id="574197364"/>
      <w:r w:rsidRPr="3DC7A50A" w:rsidR="206AEF44">
        <w:rPr>
          <w:rFonts w:ascii="Arial" w:hAnsi="Arial" w:eastAsia="Arial" w:cs="Arial"/>
          <w:b w:val="1"/>
          <w:bCs w:val="1"/>
          <w:noProof w:val="0"/>
          <w:color w:val="auto"/>
          <w:sz w:val="40"/>
          <w:szCs w:val="40"/>
          <w:lang w:val="en-US"/>
        </w:rPr>
        <w:t>Chapter 2: Literature Review</w:t>
      </w:r>
      <w:bookmarkEnd w:id="574197364"/>
    </w:p>
    <w:p w:rsidR="375BB368" w:rsidP="3DC7A50A" w:rsidRDefault="375BB368" w14:paraId="59056740" w14:textId="4E25C13F">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299765232" w:id="1301832957"/>
      <w:r w:rsidRPr="3DC7A50A" w:rsidR="162235DD">
        <w:rPr>
          <w:rFonts w:ascii="Arial" w:hAnsi="Arial" w:eastAsia="Arial" w:cs="Arial"/>
          <w:b w:val="0"/>
          <w:bCs w:val="0"/>
          <w:noProof w:val="0"/>
          <w:lang w:val="en-US"/>
        </w:rPr>
        <w:t>2.1 Introduction</w:t>
      </w:r>
      <w:bookmarkEnd w:id="1301832957"/>
    </w:p>
    <w:p w:rsidR="375BB368" w:rsidP="3DC7A50A" w:rsidRDefault="375BB368" w14:paraId="6E713C87" w14:textId="3570351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A literature review aims to critically examine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existing knowledge relevant to the research topic rather than restrict discussion to a single methodological approach.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Accordingly</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this chapter integrates qualitative evidence, quantitative findings, global statistics, and policy guidance related to medication safety and pharmacist-related dispensing errors. Dispensing errors are reviewed within the broader context of patient safety, healthcare systems, and quality improvement, with particular attention to the realities of low- and middle-income countries (LMICs).</w:t>
      </w:r>
    </w:p>
    <w:p w:rsidR="375BB368" w:rsidP="3DC7A50A" w:rsidRDefault="375BB368" w14:paraId="425B9A3D" w14:textId="30BF5BD1">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Previous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studies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indicate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that medication safety challenges are multifactorial, involving human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systems, regulatory environments, and sociocultural influences (Reason, 2000; WHO, 2017). Therefore, a comprehensive review of literature across different study designs is necessary to understand the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magnitude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of dispensing errors, their contributory factors, and the effectiveness of improvement strategies. This chapter provides the conceptual and empirical foundation for the current systematic review by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summarising</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what is already known,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inconsistencies, and highlighting key gaps in existing research.</w:t>
      </w:r>
    </w:p>
    <w:p w:rsidR="375BB368" w:rsidP="3DC7A50A" w:rsidRDefault="375BB368" w14:paraId="40E4FD51" w14:textId="3B1131CC">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609363952" w:id="1537299813"/>
      <w:r w:rsidRPr="3DC7A50A" w:rsidR="162235DD">
        <w:rPr>
          <w:rFonts w:ascii="Arial" w:hAnsi="Arial" w:eastAsia="Arial" w:cs="Arial"/>
          <w:b w:val="0"/>
          <w:bCs w:val="0"/>
          <w:noProof w:val="0"/>
          <w:lang w:val="en-US"/>
        </w:rPr>
        <w:t>2.2 Global burden of medication errors and patient safety priorities</w:t>
      </w:r>
      <w:bookmarkEnd w:id="1537299813"/>
    </w:p>
    <w:p w:rsidR="375BB368" w:rsidP="3DC7A50A" w:rsidRDefault="375BB368" w14:paraId="6CC01318" w14:textId="32D19D1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errors are widely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as a major cause of preventable patient harm worldwide. The World Health Organization has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medication-related harm as one of the most common and avoidable threats to patient safety, occurring across all healthcare settings and levels of care (WHO, 2017; WHO, 2022). Globally, medication errors are estimated to cost health systems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approximately US$42 billion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each year,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representing</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a substantial economic and public health burden (WHO, 2017).</w:t>
      </w:r>
    </w:p>
    <w:p w:rsidR="375BB368" w:rsidP="3DC7A50A" w:rsidRDefault="375BB368" w14:paraId="2AC8164F" w14:textId="15B9A18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errors may occur at any stage of the medication-use process, including prescribing, transcribing, dispensing, administration, and monitoring. However, errors that reach the patient often reflect multiple system failures rather than isolated individual mistakes (Reason, 2000; Dean et al., 2002). This systems-based understanding underpins modern patient safety theory and is central to the WHO’s Medication Without Harm initiative, which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emphasises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strengthening processes, workforce competence,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(WHO, 2017).</w:t>
      </w:r>
    </w:p>
    <w:p w:rsidR="375BB368" w:rsidP="3DC7A50A" w:rsidRDefault="375BB368" w14:paraId="235A10E2" w14:textId="5C924E3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Evidence from high-income countries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that medication errors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remain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common even in advanced healthcare systems. In England, Elliott et al. (2018) estimated that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approximately 237</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million medication errors occur annually within the National Health Service, with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 significant proportion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occurring during prescribing and dispensing. These findings highlight that medication safety challenges are not confined to resource-poor settings and that system complexity itself can create vulnerability to error (Elliott et al., 2018;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 For LMICs, where safety infrastructure may be less developed, these challenges may be further intensified.</w:t>
      </w:r>
    </w:p>
    <w:p w:rsidR="375BB368" w:rsidP="3DC7A50A" w:rsidRDefault="375BB368" w14:paraId="5CAE3A3C" w14:textId="5089DFF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236040557" w:id="1896463302"/>
      <w:r w:rsidRPr="3DC7A50A" w:rsidR="162235DD">
        <w:rPr>
          <w:rStyle w:val="Heading2Char"/>
          <w:rFonts w:ascii="Arial" w:hAnsi="Arial" w:eastAsia="Arial" w:cs="Arial"/>
          <w:b w:val="0"/>
          <w:bCs w:val="0"/>
          <w:noProof w:val="0"/>
          <w:lang w:val="en-US"/>
        </w:rPr>
        <w:t>2.3 Definition, types, and prevalence of dispensing errors</w:t>
      </w:r>
      <w:bookmarkEnd w:id="1896463302"/>
    </w:p>
    <w:p w:rsidR="375BB368" w:rsidP="3DC7A50A" w:rsidRDefault="375BB368" w14:paraId="1D8854A2" w14:textId="605DE66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errors are defined as discrepancies between a valid prescription and the medicine supplied to the patient, including incorrect drug selection, wrong strength or dose, labelling inaccuracies, incorrect quantity, and omission of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appropriate counselling</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(WHO, 2022; James et al., 2009). These errors may result from technical failures, cognitive overload, or system weaknesses such as inadequate checking procedures and interruptions during workflow.</w:t>
      </w:r>
    </w:p>
    <w:p w:rsidR="375BB368" w:rsidP="3DC7A50A" w:rsidRDefault="375BB368" w14:paraId="08263FF4" w14:textId="583C0018">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Quantitative research has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attempted</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to estimate the prevalence of dispensing errors, although reported rates vary considerably. A recent systematic review and meta-analysis reported a pooled global prevalence of approximately 1.6%, noting substantial heterogeneity due to differences in study design, definitions, and detection methods (Um et al., 2024). Earlier reviews similarly reported wide ranges, with dispensing error rates varying across community and hospital pharmacy settings (James et al., 2009; Campbell et al., 2018).</w:t>
      </w:r>
    </w:p>
    <w:p w:rsidR="375BB368" w:rsidP="3DC7A50A" w:rsidRDefault="375BB368" w14:paraId="1428A286" w14:textId="4F14FDE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The variability in prevalence estimates does not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indicate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inconsistency in the problem but rather reflects methodological differences. Observational studies and simulated client methods tend to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higher error rates compared to self-reporting approaches, which may underestimate errors due to fear of blame or reputational harm (Ashcroft et al., 2015; Campbell et al., 2018). This issue is particularly relevant in LMIC contexts, where formal reporting systems may be weak or absent.</w:t>
      </w:r>
    </w:p>
    <w:p w:rsidR="375BB368" w:rsidP="3DC7A50A" w:rsidRDefault="375BB368" w14:paraId="6F5C2243" w14:textId="3E2311B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to frequency, the type of dispensing error is clinically significant. Studies consistently report wrong strength, incorrect labelling,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selection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errors—often involving look-alike or sound-alike medicines—as common categories (James et al., 2009; Ashcroft et al., 2015). These errors are especially concerning because they can result in serious patient harm if not detected prior to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medicine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use.</w:t>
      </w:r>
    </w:p>
    <w:p w:rsidR="375BB368" w:rsidP="3DC7A50A" w:rsidRDefault="375BB368" w14:paraId="603A8998" w14:textId="696BD930">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325720152" w:id="293265639"/>
      <w:r w:rsidRPr="3DC7A50A" w:rsidR="162235DD">
        <w:rPr>
          <w:rFonts w:ascii="Arial" w:hAnsi="Arial" w:eastAsia="Arial" w:cs="Arial"/>
          <w:b w:val="0"/>
          <w:bCs w:val="0"/>
          <w:noProof w:val="0"/>
          <w:lang w:val="en-US"/>
        </w:rPr>
        <w:t>2.4 LMIC pharmacy contexts and system-related vulnerabilities</w:t>
      </w:r>
      <w:bookmarkEnd w:id="293265639"/>
    </w:p>
    <w:p w:rsidR="375BB368" w:rsidP="3DC7A50A" w:rsidRDefault="375BB368" w14:paraId="681B0E5F" w14:textId="5FCF526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LMICs face distinct healthcare system challenges that may increase vulnerability to dispensing errors. These include workforce shortages, limited access to continuing professional development, inconsistent enforcement of pharmacy regulations, and inadequate implementation of standard operating procedures (WHO, 2017; Bigdeli et al., 2019). In many LMIC settings, pharmacies serve as the first point of contact for healthcare, particularly where access to physicians is limited, thereby increasing dispensing workload and responsibility (Bigdeli et al., 2019).</w:t>
      </w:r>
    </w:p>
    <w:p w:rsidR="375BB368" w:rsidP="3DC7A50A" w:rsidRDefault="375BB368" w14:paraId="66A810C8" w14:textId="6E0C0EAF">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Resource constraints also influence workflow design and staffing patterns. High patient volumes, multitasking, and interruptions are common features of pharmacy practice in LMICs and have been associated with increased error risk in multiple studies (Westbrook et al., 2010;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 When safety checks depend primarily on individual vigilance rather than structured systems, the likelihood of slips and lapses increases (Reason, 2000).</w:t>
      </w:r>
    </w:p>
    <w:p w:rsidR="375BB368" w:rsidP="3DC7A50A" w:rsidRDefault="375BB368" w14:paraId="3206FF40" w14:textId="0FA0E09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Regulatory variability further complicates safe dispensing practice. In some LMICs, prescription-only regulations may be inconsistently enforced, leading to widespread non-prescription supply of medicines, including antibiotics (WHO, 2023). This regulatory environment places pharmacists in ethically complex situations where patient demand, commercial pressures, and professional responsibility may conflict (Bigdeli et al., 2019).</w:t>
      </w:r>
    </w:p>
    <w:p w:rsidR="375BB368" w:rsidP="3DC7A50A" w:rsidRDefault="375BB368" w14:paraId="66394552" w14:textId="261EF4C4">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466394164" w:id="1666629587"/>
      <w:r w:rsidRPr="3DC7A50A" w:rsidR="162235DD">
        <w:rPr>
          <w:rFonts w:ascii="Arial" w:hAnsi="Arial" w:eastAsia="Arial" w:cs="Arial"/>
          <w:b w:val="0"/>
          <w:bCs w:val="0"/>
          <w:noProof w:val="0"/>
          <w:lang w:val="en-US"/>
        </w:rPr>
        <w:t xml:space="preserve">2.5 Human factors and </w:t>
      </w:r>
      <w:r w:rsidRPr="3DC7A50A" w:rsidR="162235DD">
        <w:rPr>
          <w:rFonts w:ascii="Arial" w:hAnsi="Arial" w:eastAsia="Arial" w:cs="Arial"/>
          <w:b w:val="0"/>
          <w:bCs w:val="0"/>
          <w:noProof w:val="0"/>
          <w:lang w:val="en-US"/>
        </w:rPr>
        <w:t>organisational</w:t>
      </w:r>
      <w:r w:rsidRPr="3DC7A50A" w:rsidR="162235DD">
        <w:rPr>
          <w:rFonts w:ascii="Arial" w:hAnsi="Arial" w:eastAsia="Arial" w:cs="Arial"/>
          <w:b w:val="0"/>
          <w:bCs w:val="0"/>
          <w:noProof w:val="0"/>
          <w:lang w:val="en-US"/>
        </w:rPr>
        <w:t xml:space="preserve"> contributors to dispensing errors</w:t>
      </w:r>
      <w:bookmarkEnd w:id="1666629587"/>
    </w:p>
    <w:p w:rsidR="375BB368" w:rsidP="3DC7A50A" w:rsidRDefault="375BB368" w14:paraId="60673F07" w14:textId="6C333ADB">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errors are strongly influenced by human factors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conditions. Human factors theory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recognises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that errors occur when system demands exceed human cognitive capacity, particularly in environments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characterised</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by fatigue, interruptions, and time pressure (Reason, 2000;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Carayon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2014).</w:t>
      </w:r>
    </w:p>
    <w:p w:rsidR="375BB368" w:rsidP="3DC7A50A" w:rsidRDefault="375BB368" w14:paraId="1A1D79AD" w14:textId="694505A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Workload is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a frequently</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cited contributor. High dispensing volume and inadequate staffing reduce time available for clinical verification and patient counselling, increasing reliance on memory and routine rather than deliberate checking (Westbrook et al., 2010;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 Communication failures also contribute to error, particularly when prescriptions are incomplete, unclear, or handwritten, forcing pharmacists to interpret ambiguous information (Dean et al., 2002).</w:t>
      </w:r>
    </w:p>
    <w:p w:rsidR="375BB368" w:rsidP="3DC7A50A" w:rsidRDefault="375BB368" w14:paraId="60B108D5" w14:textId="2F05EFA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Standardisation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plays a crucial role in mitigating these risks. The absence of SOPs, double-check systems, and defined escalation pathways means that safety is dependent on individual experience rather than consistent processes (WHO, 2017).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learning is further undermined when error reporting is discouraged by punitive cultures, preventing identification of systemic weaknesses (Reason, 2000; WHO, 2017).</w:t>
      </w:r>
    </w:p>
    <w:p w:rsidR="375BB368" w:rsidP="3DC7A50A" w:rsidRDefault="375BB368" w14:paraId="033091CF" w14:textId="5002E4C3">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29886195" w:id="2125311032"/>
      <w:r w:rsidRPr="3DC7A50A" w:rsidR="162235DD">
        <w:rPr>
          <w:rFonts w:ascii="Arial" w:hAnsi="Arial" w:eastAsia="Arial" w:cs="Arial"/>
          <w:b w:val="0"/>
          <w:bCs w:val="0"/>
          <w:noProof w:val="0"/>
          <w:lang w:val="en-US"/>
        </w:rPr>
        <w:t>2.6 Sociocultural and ethical influences on dispensing practice</w:t>
      </w:r>
      <w:bookmarkEnd w:id="2125311032"/>
    </w:p>
    <w:p w:rsidR="375BB368" w:rsidP="3DC7A50A" w:rsidRDefault="375BB368" w14:paraId="5B681249" w14:textId="5C932D7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Sociocultural factors shape how pharmacists interact with patients, prescribers,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In hierarchical healthcare systems, pharmacists may feel unable to challenge prescribers or question unclear prescriptions, reducing opportunities to intercept errors (Dean et al., 2002; Bigdeli et al., 2019). Fear of blame, job insecurity, and reputational damage can also discourage error reporting, particularly in private pharmacy settings (WHO, 2017).</w:t>
      </w:r>
    </w:p>
    <w:p w:rsidR="375BB368" w:rsidP="3DC7A50A" w:rsidRDefault="375BB368" w14:paraId="53CE35CC" w14:textId="7E87476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Ethical dilemmas arise when pharmacists must balance patient needs with limited resources. Situations involving medicine shortages, affordability constraints, or pressure to dispense partial courses may increase the risk of unsafe practices (Bigdeli et al., 2019). These challenges highlight the importance of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and ethical support frameworks in promoting safe dispensing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w:t>
      </w:r>
    </w:p>
    <w:p w:rsidR="375BB368" w:rsidP="3DC7A50A" w:rsidRDefault="375BB368" w14:paraId="70F17CDA" w14:textId="6E59F1DF">
      <w:pPr>
        <w:pStyle w:val="Heading2"/>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943995417" w:id="212900356"/>
      <w:r w:rsidRPr="3DC7A50A" w:rsidR="162235DD">
        <w:rPr>
          <w:rFonts w:ascii="Arial" w:hAnsi="Arial" w:eastAsia="Arial" w:cs="Arial"/>
          <w:b w:val="0"/>
          <w:bCs w:val="0"/>
          <w:noProof w:val="0"/>
          <w:lang w:val="en-US"/>
        </w:rPr>
        <w:t>2.7 Dispensing errors, antimicrobial stewardship, and AMR</w:t>
      </w:r>
      <w:bookmarkEnd w:id="212900356"/>
    </w:p>
    <w:p w:rsidR="375BB368" w:rsidP="3DC7A50A" w:rsidRDefault="375BB368" w14:paraId="15A3F11D" w14:textId="4D234F9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practice is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closely linked</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to antimicrobial stewardship and the global challenge of antimicrobial resistance. The WHO identifies misuse and overuse of antimicrobials as the primary drivers of resistance, with inappropriate dispensing contributing significantly to this problem (WHO, 2023). In 2019, bacterial antimicrobial resistance was estimated to be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directly responsible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for 1.27 million deaths globally, underscoring the urgency of improving antimicrobial use (WHO, 2023).</w:t>
      </w:r>
    </w:p>
    <w:p w:rsidR="375BB368" w:rsidP="3DC7A50A" w:rsidRDefault="375BB368" w14:paraId="2A629394" w14:textId="09A9420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In LMICs, antibiotics are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dispensed without prescriptions or supplied in inappropriate quantities due to patient demand, limited regulatory oversight, and commercial pressures (Bigdeli et al., 2019). These practices increase the risk of resistance development, treatment failure, and downstream healthcare costs. Strengthening dispensing safety and counselling therefore supports both patient safety and public health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w:t>
      </w:r>
    </w:p>
    <w:p w:rsidR="375BB368" w:rsidP="3DC7A50A" w:rsidRDefault="375BB368" w14:paraId="62583DC5" w14:textId="28BA663F">
      <w:pPr>
        <w:pStyle w:val="Heading2"/>
        <w:rPr>
          <w:rFonts w:ascii="Arial" w:hAnsi="Arial" w:eastAsia="Arial" w:cs="Arial"/>
          <w:b w:val="0"/>
          <w:bCs w:val="0"/>
          <w:i w:val="0"/>
          <w:iCs w:val="0"/>
          <w:caps w:val="0"/>
          <w:smallCaps w:val="0"/>
          <w:noProof w:val="0"/>
          <w:color w:val="000000" w:themeColor="text1" w:themeTint="FF" w:themeShade="FF"/>
          <w:sz w:val="32"/>
          <w:szCs w:val="32"/>
          <w:lang w:val="en-US"/>
        </w:rPr>
      </w:pPr>
      <w:bookmarkStart w:name="_Toc890698901" w:id="725827110"/>
      <w:r w:rsidRPr="3DC7A50A" w:rsidR="162235DD">
        <w:rPr>
          <w:rFonts w:ascii="Arial" w:hAnsi="Arial" w:eastAsia="Arial" w:cs="Arial"/>
          <w:b w:val="0"/>
          <w:bCs w:val="0"/>
          <w:noProof w:val="0"/>
          <w:sz w:val="32"/>
          <w:szCs w:val="32"/>
          <w:lang w:val="en-US"/>
        </w:rPr>
        <w:t>2.8 Quality improvement approaches in pharmacy practice</w:t>
      </w:r>
      <w:bookmarkEnd w:id="725827110"/>
    </w:p>
    <w:p w:rsidR="375BB368" w:rsidP="3DC7A50A" w:rsidRDefault="375BB368" w14:paraId="539A052C" w14:textId="75B73EC1">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Quality improvement approaches aim to enhance care reliability through structured, continuous system change rather than isolated training interventions. The WHO medication safety framework promotes system redesign, workforce development, and non-punitive learning cultures as core components of improvement (WHO, 2017).</w:t>
      </w:r>
    </w:p>
    <w:p w:rsidR="375BB368" w:rsidP="3DC7A50A" w:rsidRDefault="375BB368" w14:paraId="60B39339" w14:textId="26351D2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Common QI strategies relevant to dispensing include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standardised</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protocols, safety checklists, audit and feedback, and structured continuing professional development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Carayon</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2014; WHO, 2017). Where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feasible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digital technologies such as electronic prescribing and barcode verification can reduce transcription and selection errors, although implementation in LMICs must consider cost, infrastructure, and sustainability (WHO, 2017; Bigdeli et al., 2019).</w:t>
      </w:r>
    </w:p>
    <w:p w:rsidR="375BB368" w:rsidP="3DC7A50A" w:rsidRDefault="375BB368" w14:paraId="71005E17" w14:textId="0B5DB4E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Importantly, evidence suggests that QI interventions are most effective when they address both technical processes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reinforcing the need for context-sensitive strategies in LMIC pharmacy settings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Panagioti</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2019).</w:t>
      </w:r>
    </w:p>
    <w:p w:rsidR="375BB368" w:rsidP="3DC7A50A" w:rsidRDefault="375BB368" w14:paraId="4F53A277" w14:textId="2A096CC5">
      <w:pPr>
        <w:pStyle w:val="Heading2"/>
        <w:rPr>
          <w:rFonts w:ascii="Arial" w:hAnsi="Arial" w:eastAsia="Arial" w:cs="Arial"/>
          <w:b w:val="0"/>
          <w:bCs w:val="0"/>
          <w:i w:val="0"/>
          <w:iCs w:val="0"/>
          <w:caps w:val="0"/>
          <w:smallCaps w:val="0"/>
          <w:noProof w:val="0"/>
          <w:color w:val="000000" w:themeColor="text1" w:themeTint="FF" w:themeShade="FF"/>
          <w:sz w:val="32"/>
          <w:szCs w:val="32"/>
          <w:lang w:val="en-US"/>
        </w:rPr>
      </w:pPr>
      <w:bookmarkStart w:name="_Toc1045772096" w:id="1688495075"/>
      <w:r w:rsidRPr="3DC7A50A" w:rsidR="162235DD">
        <w:rPr>
          <w:rFonts w:ascii="Arial" w:hAnsi="Arial" w:eastAsia="Arial" w:cs="Arial"/>
          <w:b w:val="0"/>
          <w:bCs w:val="0"/>
          <w:noProof w:val="0"/>
          <w:sz w:val="32"/>
          <w:szCs w:val="32"/>
          <w:lang w:val="en-US"/>
        </w:rPr>
        <w:t>2.9 Gaps in existing literature and rationale for the current study</w:t>
      </w:r>
      <w:bookmarkEnd w:id="1688495075"/>
    </w:p>
    <w:p w:rsidR="375BB368" w:rsidP="3DC7A50A" w:rsidRDefault="375BB368" w14:paraId="730AD29F" w14:textId="1849761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Despite extensive research on medication safety, there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remains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limited synthesis of evidence focused specifically on pharmacist-related dispensing errors in LMIC contexts. Quantitative studies provide estimates of prevalence, while qualitative studies offer insight into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behavioural</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and contextual factors, but these bodies of evidence are often examined separately (Campbell et al., 2018; Um et al., 2024).</w:t>
      </w:r>
    </w:p>
    <w:p w:rsidR="375BB368" w:rsidP="3DC7A50A" w:rsidRDefault="375BB368" w14:paraId="62B7D69D" w14:textId="00C8CA6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Furthermore, many improvement strategies are evaluated in high-income settings, raising questions about transferability to LMICs with different regulatory, cultural, and resource constraints. This gap highlights the need for systematic synthesis that integrates diverse evidence to inform realistic, context-appropriate quality improvement strategies.</w:t>
      </w:r>
    </w:p>
    <w:p w:rsidR="375BB368" w:rsidP="3DC7A50A" w:rsidRDefault="375BB368" w14:paraId="0A107452" w14:textId="2F835D2B">
      <w:pPr>
        <w:pStyle w:val="Heading2"/>
        <w:rPr>
          <w:rFonts w:ascii="Arial" w:hAnsi="Arial" w:eastAsia="Arial" w:cs="Arial"/>
          <w:b w:val="0"/>
          <w:bCs w:val="0"/>
          <w:i w:val="0"/>
          <w:iCs w:val="0"/>
          <w:caps w:val="0"/>
          <w:smallCaps w:val="0"/>
          <w:noProof w:val="0"/>
          <w:color w:val="000000" w:themeColor="text1" w:themeTint="FF" w:themeShade="FF"/>
          <w:sz w:val="32"/>
          <w:szCs w:val="32"/>
          <w:lang w:val="en-US"/>
        </w:rPr>
      </w:pPr>
      <w:bookmarkStart w:name="_Toc842842066" w:id="1532484123"/>
      <w:r w:rsidRPr="3DC7A50A" w:rsidR="162235DD">
        <w:rPr>
          <w:rFonts w:ascii="Arial" w:hAnsi="Arial" w:eastAsia="Arial" w:cs="Arial"/>
          <w:b w:val="0"/>
          <w:bCs w:val="0"/>
          <w:noProof w:val="0"/>
          <w:sz w:val="32"/>
          <w:szCs w:val="32"/>
          <w:lang w:val="en-US"/>
        </w:rPr>
        <w:t>2.10 Summary</w:t>
      </w:r>
      <w:bookmarkEnd w:id="1532484123"/>
    </w:p>
    <w:p w:rsidR="375BB368" w:rsidP="3DC7A50A" w:rsidRDefault="375BB368" w14:paraId="5747F117" w14:textId="1DA6177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This chapter reviewed a wide range of literature related to medication safety and dispensing errors, incorporating global statistics, quantitative prevalence data, qualitative insights, and policy guidance. The evidence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that dispensing errors are a significant and preventable cause of patient harm worldwide, with system weaknesses, human factors, and sociocultural influences playing central roles (WHO, 2017; Reason, 2000). LMIC pharmacy settings face particular challenges due to resource constraints, regulatory variability, and expanded access roles.</w:t>
      </w:r>
    </w:p>
    <w:p w:rsidR="375BB368" w:rsidP="3DC7A50A" w:rsidRDefault="375BB368" w14:paraId="25658C4D" w14:textId="1086403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The literature also highlights strong links between dispensing practice and antimicrobial resistance, reinforcing the public health importance of improving pharmacy systems (WHO, 2023). Overall, the review supports the need for system-focused quality improvement approaches tailored to LMIC contexts. The following chapter outlines the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methodology</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used to systematically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appraise, and </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3DC7A50A" w:rsidR="162235DD">
        <w:rPr>
          <w:rFonts w:ascii="Arial" w:hAnsi="Arial" w:eastAsia="Arial" w:cs="Arial"/>
          <w:b w:val="0"/>
          <w:bCs w:val="0"/>
          <w:i w:val="0"/>
          <w:iCs w:val="0"/>
          <w:caps w:val="0"/>
          <w:smallCaps w:val="0"/>
          <w:noProof w:val="0"/>
          <w:color w:val="000000" w:themeColor="text1" w:themeTint="FF" w:themeShade="FF"/>
          <w:sz w:val="24"/>
          <w:szCs w:val="24"/>
          <w:lang w:val="en-US"/>
        </w:rPr>
        <w:t xml:space="preserve"> evidence relevant to these challenges.</w:t>
      </w:r>
    </w:p>
    <w:p w:rsidR="3DC7A50A" w:rsidP="3DC7A50A" w:rsidRDefault="3DC7A50A" w14:paraId="6B938DB5" w14:textId="771234B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DC7A50A" w:rsidP="3DC7A50A" w:rsidRDefault="3DC7A50A" w14:paraId="2644F9B8" w14:textId="261BD167">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DC7A50A" w:rsidP="3DC7A50A" w:rsidRDefault="3DC7A50A" w14:paraId="2CD1B3B3" w14:textId="538E5A03">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DC7A50A" w:rsidP="3DC7A50A" w:rsidRDefault="3DC7A50A" w14:paraId="5AC19F37" w14:textId="6C02A94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DC7A50A" w:rsidP="3DC7A50A" w:rsidRDefault="3DC7A50A" w14:paraId="46EE3F3B" w14:textId="445DD020">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DC7A50A" w:rsidP="3DC7A50A" w:rsidRDefault="3DC7A50A" w14:paraId="004D2938" w14:textId="717DE615">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5BB368" w:rsidP="3DC7A50A" w:rsidRDefault="375BB368" w14:paraId="1EB162EC" w14:textId="3203729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3C547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75BB368" w:rsidP="3DC7A50A" w:rsidRDefault="375BB368" w14:paraId="665B3445" w14:textId="4049BB34">
      <w:pPr>
        <w:pStyle w:val="Heading1"/>
        <w:jc w:val="both"/>
        <w:rPr>
          <w:rFonts w:ascii="Arial" w:hAnsi="Arial" w:eastAsia="Arial" w:cs="Arial"/>
          <w:b w:val="1"/>
          <w:bCs w:val="1"/>
          <w:i w:val="0"/>
          <w:iCs w:val="0"/>
          <w:caps w:val="0"/>
          <w:smallCaps w:val="0"/>
          <w:noProof w:val="0"/>
          <w:color w:val="auto" w:themeColor="text1" w:themeTint="FF" w:themeShade="FF"/>
          <w:sz w:val="40"/>
          <w:szCs w:val="40"/>
          <w:lang w:val="en-US"/>
        </w:rPr>
      </w:pPr>
      <w:bookmarkStart w:name="_Toc48393913" w:id="1378293803"/>
      <w:r w:rsidRPr="3DC7A50A" w:rsidR="4E80200D">
        <w:rPr>
          <w:rFonts w:ascii="Arial" w:hAnsi="Arial" w:eastAsia="Arial" w:cs="Arial"/>
          <w:b w:val="1"/>
          <w:bCs w:val="1"/>
          <w:noProof w:val="0"/>
          <w:color w:val="auto"/>
          <w:sz w:val="40"/>
          <w:szCs w:val="40"/>
          <w:lang w:val="en-US"/>
        </w:rPr>
        <w:t>Chapter 3: Methodology</w:t>
      </w:r>
      <w:bookmarkEnd w:id="1378293803"/>
    </w:p>
    <w:p w:rsidR="375BB368" w:rsidP="3DC7A50A" w:rsidRDefault="375BB368" w14:paraId="3C823E11" w14:textId="4A11B0D5">
      <w:pPr>
        <w:pStyle w:val="Heading2"/>
        <w:rPr>
          <w:rFonts w:ascii="Arial" w:hAnsi="Arial" w:eastAsia="Arial" w:cs="Arial"/>
          <w:noProof w:val="0"/>
          <w:sz w:val="32"/>
          <w:szCs w:val="32"/>
          <w:lang w:val="en-US"/>
        </w:rPr>
      </w:pPr>
      <w:r w:rsidRPr="3DC7A50A" w:rsidR="534808A3">
        <w:rPr>
          <w:noProof w:val="0"/>
          <w:sz w:val="32"/>
          <w:szCs w:val="32"/>
          <w:lang w:val="en-US"/>
        </w:rPr>
        <w:t xml:space="preserve"> </w:t>
      </w:r>
      <w:bookmarkStart w:name="_Toc1079894561" w:id="355246607"/>
      <w:r w:rsidRPr="3DC7A50A" w:rsidR="4E80200D">
        <w:rPr>
          <w:noProof w:val="0"/>
          <w:sz w:val="32"/>
          <w:szCs w:val="32"/>
          <w:lang w:val="en-US"/>
        </w:rPr>
        <w:t>3.1 Introduction</w:t>
      </w:r>
      <w:bookmarkEnd w:id="355246607"/>
    </w:p>
    <w:p w:rsidR="375BB368" w:rsidP="3DC7A50A" w:rsidRDefault="375BB368" w14:paraId="26B452C6" w14:textId="512545FE">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757B95BA">
        <w:rPr>
          <w:rFonts w:ascii="Arial" w:hAnsi="Arial" w:eastAsia="Arial" w:cs="Arial"/>
          <w:b w:val="0"/>
          <w:bCs w:val="0"/>
          <w:i w:val="0"/>
          <w:iCs w:val="0"/>
          <w:caps w:val="0"/>
          <w:smallCaps w:val="0"/>
          <w:noProof w:val="0"/>
          <w:color w:val="000000" w:themeColor="text1" w:themeTint="FF" w:themeShade="FF"/>
          <w:sz w:val="24"/>
          <w:szCs w:val="24"/>
          <w:lang w:val="en-US"/>
        </w:rPr>
        <w:t>This chapter presents the methodological framework adopted to systematically examine pharmacist-related dispensing errors in low- and middle-income countries (LMICs) and to evaluate quality improvement (QI) strategies aimed at enhancing medication safety. Given the complex, context-dependent, and human-</w:t>
      </w:r>
      <w:r w:rsidRPr="3DC7A50A" w:rsidR="757B95BA">
        <w:rPr>
          <w:rFonts w:ascii="Arial" w:hAnsi="Arial" w:eastAsia="Arial" w:cs="Arial"/>
          <w:b w:val="0"/>
          <w:bCs w:val="0"/>
          <w:i w:val="0"/>
          <w:iCs w:val="0"/>
          <w:caps w:val="0"/>
          <w:smallCaps w:val="0"/>
          <w:noProof w:val="0"/>
          <w:color w:val="000000" w:themeColor="text1" w:themeTint="FF" w:themeShade="FF"/>
          <w:sz w:val="24"/>
          <w:szCs w:val="24"/>
          <w:lang w:val="en-US"/>
        </w:rPr>
        <w:t>centred</w:t>
      </w:r>
      <w:r w:rsidRPr="3DC7A50A" w:rsidR="757B95BA">
        <w:rPr>
          <w:rFonts w:ascii="Arial" w:hAnsi="Arial" w:eastAsia="Arial" w:cs="Arial"/>
          <w:b w:val="0"/>
          <w:bCs w:val="0"/>
          <w:i w:val="0"/>
          <w:iCs w:val="0"/>
          <w:caps w:val="0"/>
          <w:smallCaps w:val="0"/>
          <w:noProof w:val="0"/>
          <w:color w:val="000000" w:themeColor="text1" w:themeTint="FF" w:themeShade="FF"/>
          <w:sz w:val="24"/>
          <w:szCs w:val="24"/>
          <w:lang w:val="en-US"/>
        </w:rPr>
        <w:t xml:space="preserve"> nature of dispensing errors, a rigorous and transparent research design was essential to ensure credibility, reproducibility, and relevance.</w:t>
      </w:r>
    </w:p>
    <w:p w:rsidR="6BF26150" w:rsidP="3DC7A50A" w:rsidRDefault="6BF26150" w14:paraId="64993722" w14:textId="4B8FF69A">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34154F29">
        <w:rPr>
          <w:rFonts w:ascii="Arial" w:hAnsi="Arial" w:eastAsia="Arial" w:cs="Arial"/>
          <w:b w:val="0"/>
          <w:bCs w:val="0"/>
          <w:i w:val="0"/>
          <w:iCs w:val="0"/>
          <w:caps w:val="0"/>
          <w:smallCaps w:val="0"/>
          <w:noProof w:val="0"/>
          <w:color w:val="000000" w:themeColor="text1" w:themeTint="FF" w:themeShade="FF"/>
          <w:sz w:val="24"/>
          <w:szCs w:val="24"/>
          <w:lang w:val="en-US"/>
        </w:rPr>
        <w:t xml:space="preserve">Dispensing errors in LMICs are shaped by interacting factors such as workforce constraints, </w:t>
      </w:r>
      <w:r w:rsidRPr="3DC7A50A" w:rsidR="34154F29">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3DC7A50A" w:rsidR="34154F29">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regulatory variability, and sociocultural pressures (Musoke et al., 2023; Saleem et al., 2021). These factors are not easily captured through numerical indicators alone. Therefore, this study employed a systematic literature review (SLR) of qualitative primary research, enabling in-depth exploration of pharmacists’ experiences, </w:t>
      </w:r>
      <w:r w:rsidRPr="3DC7A50A" w:rsidR="34154F29">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3DC7A50A" w:rsidR="34154F29">
        <w:rPr>
          <w:rFonts w:ascii="Arial" w:hAnsi="Arial" w:eastAsia="Arial" w:cs="Arial"/>
          <w:b w:val="0"/>
          <w:bCs w:val="0"/>
          <w:i w:val="0"/>
          <w:iCs w:val="0"/>
          <w:caps w:val="0"/>
          <w:smallCaps w:val="0"/>
          <w:noProof w:val="0"/>
          <w:color w:val="000000" w:themeColor="text1" w:themeTint="FF" w:themeShade="FF"/>
          <w:sz w:val="24"/>
          <w:szCs w:val="24"/>
          <w:lang w:val="en-US"/>
        </w:rPr>
        <w:t>, and contextual challenges. The chapter details the study design, search strategy, eligibility criteria, quality appraisal approach, and ethical considerations underpinning the review.</w:t>
      </w:r>
    </w:p>
    <w:p w:rsidR="375BB368" w:rsidP="3DC7A50A" w:rsidRDefault="375BB368" w14:paraId="35B02B72" w14:textId="545FC072">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75BB368" w:rsidP="3DC7A50A" w:rsidRDefault="375BB368" w14:paraId="5FD6B146" w14:textId="2073D1CE">
      <w:pPr>
        <w:pStyle w:val="Heading2"/>
        <w:rPr>
          <w:rFonts w:ascii="Arial" w:hAnsi="Arial" w:eastAsia="Arial" w:cs="Arial"/>
          <w:noProof w:val="0"/>
          <w:lang w:val="en-US"/>
        </w:rPr>
      </w:pPr>
      <w:bookmarkStart w:name="_Toc102258599" w:id="248927804"/>
      <w:r w:rsidRPr="3DC7A50A" w:rsidR="54E5B96C">
        <w:rPr>
          <w:rFonts w:ascii="Arial" w:hAnsi="Arial" w:eastAsia="Arial" w:cs="Arial"/>
          <w:noProof w:val="0"/>
          <w:lang w:val="en-US"/>
        </w:rPr>
        <w:t>3.2 Systematic Literature Review (SLR)</w:t>
      </w:r>
      <w:bookmarkEnd w:id="248927804"/>
      <w:r w:rsidRPr="3DC7A50A" w:rsidR="54E5B96C">
        <w:rPr>
          <w:rFonts w:ascii="Arial" w:hAnsi="Arial" w:eastAsia="Arial" w:cs="Arial"/>
          <w:noProof w:val="0"/>
          <w:lang w:val="en-US"/>
        </w:rPr>
        <w:t xml:space="preserve"> </w:t>
      </w:r>
    </w:p>
    <w:p w:rsidR="375BB368" w:rsidP="3DC7A50A" w:rsidRDefault="375BB368" w14:paraId="3E3D3E93" w14:textId="5D458704">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A systematic review design was selected for this study due to its rigor, transparency, and ability to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 evidence across multiple qualitative studies while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minimising</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 bias (Moher et al., 2019). By focusing exclusively on qualitative research, this review captures pharmacists’ experiences,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and contextual challenges influencing dispensing errors—insights often overlooked by quantitative surveys (Mbugua et al., 2020; Mekonnen et al., 2015). The methodological approach enables critical analysis of systemic and human factors contributing to dispensing errors and evaluates the effectiveness of quality improvement interventions in LMICs (Roche et al., 2021; Crafford et al., 2024).</w:t>
      </w:r>
    </w:p>
    <w:p w:rsidR="375BB368" w:rsidP="3DC7A50A" w:rsidRDefault="375BB368" w14:paraId="164B37E9" w14:textId="40C8805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A systematic literature review (SLR) was conducted to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 evaluate, and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synthesise</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 qualitative primary research examining pharmacist-related dispensing errors and quality improvement strategies in LMICs. The review adhered to the PRISMA 2020 guidelines to ensure transparency, reproducibility, and methodological credibility in study identification, screening, and selection (Page et al., 2021). PRISMA was chosen over ENTREQ and MOOSE frameworks because it provides a more structured reporting process suitable for healthcare-related systematic reviews,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facilitating</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 clear documentation of study selection and bias </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minimisation</w:t>
      </w:r>
      <w:r w:rsidRPr="3DC7A50A" w:rsidR="6C72EBD9">
        <w:rPr>
          <w:rFonts w:ascii="Arial" w:hAnsi="Arial" w:eastAsia="Arial" w:cs="Arial"/>
          <w:b w:val="0"/>
          <w:bCs w:val="0"/>
          <w:i w:val="0"/>
          <w:iCs w:val="0"/>
          <w:caps w:val="0"/>
          <w:smallCaps w:val="0"/>
          <w:noProof w:val="0"/>
          <w:color w:val="000000" w:themeColor="text1" w:themeTint="FF" w:themeShade="FF"/>
          <w:sz w:val="24"/>
          <w:szCs w:val="24"/>
          <w:lang w:val="en-US"/>
        </w:rPr>
        <w:t xml:space="preserve"> (Haddaway et al., 2020).</w:t>
      </w:r>
    </w:p>
    <w:p w:rsidR="375BB368" w:rsidP="3DC7A50A" w:rsidRDefault="375BB368" w14:paraId="670E3940" w14:textId="14259EAD">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C7A50A" w:rsidR="534808A3">
        <w:rPr>
          <w:rFonts w:ascii="Arial" w:hAnsi="Arial" w:eastAsia="Arial" w:cs="Arial"/>
          <w:b w:val="0"/>
          <w:bCs w:val="0"/>
          <w:i w:val="0"/>
          <w:iCs w:val="0"/>
          <w:caps w:val="0"/>
          <w:smallCaps w:val="0"/>
          <w:noProof w:val="0"/>
          <w:color w:val="000000" w:themeColor="text1" w:themeTint="FF" w:themeShade="FF"/>
          <w:sz w:val="24"/>
          <w:szCs w:val="24"/>
          <w:lang w:val="en-US"/>
        </w:rPr>
        <w:t xml:space="preserve">Focusing solely on qualitative studies allowed exploration of pharmacists’ perspectives, </w:t>
      </w:r>
      <w:r w:rsidRPr="3DC7A50A" w:rsidR="534808A3">
        <w:rPr>
          <w:rFonts w:ascii="Arial" w:hAnsi="Arial" w:eastAsia="Arial" w:cs="Arial"/>
          <w:b w:val="0"/>
          <w:bCs w:val="0"/>
          <w:i w:val="0"/>
          <w:iCs w:val="0"/>
          <w:caps w:val="0"/>
          <w:smallCaps w:val="0"/>
          <w:noProof w:val="0"/>
          <w:color w:val="000000" w:themeColor="text1" w:themeTint="FF" w:themeShade="FF"/>
          <w:sz w:val="24"/>
          <w:szCs w:val="24"/>
          <w:lang w:val="en-US"/>
        </w:rPr>
        <w:t>behaviours</w:t>
      </w:r>
      <w:r w:rsidRPr="3DC7A50A" w:rsidR="534808A3">
        <w:rPr>
          <w:rFonts w:ascii="Arial" w:hAnsi="Arial" w:eastAsia="Arial" w:cs="Arial"/>
          <w:b w:val="0"/>
          <w:bCs w:val="0"/>
          <w:i w:val="0"/>
          <w:iCs w:val="0"/>
          <w:caps w:val="0"/>
          <w:smallCaps w:val="0"/>
          <w:noProof w:val="0"/>
          <w:color w:val="000000" w:themeColor="text1" w:themeTint="FF" w:themeShade="FF"/>
          <w:sz w:val="24"/>
          <w:szCs w:val="24"/>
          <w:lang w:val="en-US"/>
        </w:rPr>
        <w:t xml:space="preserve">, and contextual challenges influencing dispensing practices, offering deeper insights than purely quantitative research (Atif et al., 2019; </w:t>
      </w:r>
      <w:r w:rsidRPr="3DC7A50A" w:rsidR="534808A3">
        <w:rPr>
          <w:rFonts w:ascii="Arial" w:hAnsi="Arial" w:eastAsia="Arial" w:cs="Arial"/>
          <w:b w:val="0"/>
          <w:bCs w:val="0"/>
          <w:i w:val="0"/>
          <w:iCs w:val="0"/>
          <w:caps w:val="0"/>
          <w:smallCaps w:val="0"/>
          <w:noProof w:val="0"/>
          <w:color w:val="000000" w:themeColor="text1" w:themeTint="FF" w:themeShade="FF"/>
          <w:sz w:val="24"/>
          <w:szCs w:val="24"/>
          <w:lang w:val="en-US"/>
        </w:rPr>
        <w:t>Gelayee</w:t>
      </w:r>
      <w:r w:rsidRPr="3DC7A50A" w:rsidR="534808A3">
        <w:rPr>
          <w:rFonts w:ascii="Arial" w:hAnsi="Arial" w:eastAsia="Arial" w:cs="Arial"/>
          <w:b w:val="0"/>
          <w:bCs w:val="0"/>
          <w:i w:val="0"/>
          <w:iCs w:val="0"/>
          <w:caps w:val="0"/>
          <w:smallCaps w:val="0"/>
          <w:noProof w:val="0"/>
          <w:color w:val="000000" w:themeColor="text1" w:themeTint="FF" w:themeShade="FF"/>
          <w:sz w:val="24"/>
          <w:szCs w:val="24"/>
          <w:lang w:val="en-US"/>
        </w:rPr>
        <w:t>, 2017). Limiting the review to LMICs ensured that findings reflected specific regulatory, cultural, and systemic realities, enhancing applicability for quality improvement initiatives in resource-constrained settings (Musoke et al., 2023; Saleem et al., 2021).</w:t>
      </w:r>
    </w:p>
    <w:p w:rsidR="5A759E79" w:rsidP="3DC7A50A" w:rsidRDefault="5A759E79" w14:paraId="7D5F1150" w14:textId="654932C2">
      <w:pPr>
        <w:pStyle w:val="Heading2"/>
        <w:rPr>
          <w:rFonts w:ascii="Arial" w:hAnsi="Arial" w:eastAsia="Arial" w:cs="Arial"/>
          <w:noProof w:val="0"/>
          <w:lang w:val="en-US"/>
        </w:rPr>
      </w:pPr>
      <w:bookmarkStart w:name="_Toc1037280874" w:id="2042069909"/>
      <w:r w:rsidRPr="3DC7A50A" w:rsidR="100DEED8">
        <w:rPr>
          <w:rFonts w:ascii="Arial" w:hAnsi="Arial" w:eastAsia="Arial" w:cs="Arial"/>
          <w:noProof w:val="0"/>
          <w:lang w:val="en-US"/>
        </w:rPr>
        <w:t>3.3 Search Strategy and Databases</w:t>
      </w:r>
      <w:bookmarkEnd w:id="2042069909"/>
    </w:p>
    <w:p w:rsidR="011F0E51" w:rsidP="3DC7A50A" w:rsidRDefault="011F0E51" w14:paraId="02139F3F" w14:textId="21F10B74">
      <w:pPr>
        <w:pStyle w:val="Normal"/>
        <w:rPr>
          <w:rFonts w:ascii="Arial" w:hAnsi="Arial" w:eastAsia="Arial" w:cs="Arial"/>
          <w:noProof w:val="0"/>
          <w:lang w:val="en-US"/>
        </w:rPr>
      </w:pPr>
      <w:r w:rsidRPr="3DC7A50A" w:rsidR="4279A835">
        <w:rPr>
          <w:rFonts w:ascii="Arial" w:hAnsi="Arial" w:eastAsia="Arial" w:cs="Arial"/>
          <w:noProof w:val="0"/>
          <w:lang w:val="en-US"/>
        </w:rPr>
        <w:t>A broad and sensitive search strategy was adopted to capture diverse evidence related to pharmacist-related dispensing errors and quality improvement in LMICs. Medication safety research is dispersed across pharmacy, public health, nursing, and health systems literature; therefore, reliance on a single database could result in incomplete retrieval (Booth et al., 2016).</w:t>
      </w:r>
    </w:p>
    <w:p w:rsidR="011F0E51" w:rsidP="3DC7A50A" w:rsidRDefault="011F0E51" w14:paraId="386038F5" w14:textId="6AF94DA6">
      <w:pPr>
        <w:pStyle w:val="Normal"/>
        <w:rPr>
          <w:rFonts w:ascii="Arial" w:hAnsi="Arial" w:eastAsia="Arial" w:cs="Arial"/>
          <w:noProof w:val="0"/>
          <w:lang w:val="en-US"/>
        </w:rPr>
      </w:pPr>
      <w:r w:rsidRPr="3DC7A50A" w:rsidR="41831090">
        <w:rPr>
          <w:rFonts w:ascii="Arial" w:hAnsi="Arial" w:eastAsia="Arial" w:cs="Arial"/>
          <w:noProof w:val="0"/>
          <w:lang w:val="en-US"/>
        </w:rPr>
        <w:t xml:space="preserve">Search terms were developed iteratively and </w:t>
      </w:r>
      <w:r w:rsidRPr="3DC7A50A" w:rsidR="4F7A9DA6">
        <w:rPr>
          <w:rFonts w:ascii="Arial" w:hAnsi="Arial" w:eastAsia="Arial" w:cs="Arial"/>
          <w:noProof w:val="0"/>
          <w:lang w:val="en-US"/>
        </w:rPr>
        <w:t>combined with</w:t>
      </w:r>
      <w:r w:rsidRPr="3DC7A50A" w:rsidR="41831090">
        <w:rPr>
          <w:rFonts w:ascii="Arial" w:hAnsi="Arial" w:eastAsia="Arial" w:cs="Arial"/>
          <w:noProof w:val="0"/>
          <w:lang w:val="en-US"/>
        </w:rPr>
        <w:t xml:space="preserve"> keywords related to dispensing errors, pharmacists, medication safety, quality improvement, and LMICs. Synonyms and alternative spellings were incorporated to </w:t>
      </w:r>
      <w:r w:rsidRPr="3DC7A50A" w:rsidR="41831090">
        <w:rPr>
          <w:rFonts w:ascii="Arial" w:hAnsi="Arial" w:eastAsia="Arial" w:cs="Arial"/>
          <w:noProof w:val="0"/>
          <w:lang w:val="en-US"/>
        </w:rPr>
        <w:t>maximise</w:t>
      </w:r>
      <w:r w:rsidRPr="3DC7A50A" w:rsidR="41831090">
        <w:rPr>
          <w:rFonts w:ascii="Arial" w:hAnsi="Arial" w:eastAsia="Arial" w:cs="Arial"/>
          <w:noProof w:val="0"/>
          <w:lang w:val="en-US"/>
        </w:rPr>
        <w:t xml:space="preserve"> sensitivity. This inclusive approach was essential given the variability in terminology used across countries and disciplines (Haddaway et al., 2020).</w:t>
      </w:r>
    </w:p>
    <w:p w:rsidR="5A759E79" w:rsidP="3DC7A50A" w:rsidRDefault="5A759E79" w14:paraId="385FCF8B" w14:textId="3CE9D4DD">
      <w:pPr>
        <w:pStyle w:val="Heading3"/>
        <w:rPr>
          <w:rFonts w:ascii="Arial" w:hAnsi="Arial" w:eastAsia="Arial" w:cs="Arial"/>
          <w:noProof w:val="0"/>
          <w:lang w:val="en-US"/>
        </w:rPr>
      </w:pPr>
      <w:bookmarkStart w:name="_Toc534325944" w:id="106626241"/>
      <w:r w:rsidRPr="3DC7A50A" w:rsidR="100DEED8">
        <w:rPr>
          <w:noProof w:val="0"/>
          <w:lang w:val="en-US"/>
        </w:rPr>
        <w:t>3.3.1 PICO Framework</w:t>
      </w:r>
      <w:bookmarkEnd w:id="106626241"/>
    </w:p>
    <w:p w:rsidR="5A759E79" w:rsidP="3DC7A50A" w:rsidRDefault="5A759E79" w14:paraId="07DA3035" w14:textId="02DC185A">
      <w:pPr>
        <w:spacing w:before="240" w:beforeAutospacing="off" w:after="240" w:afterAutospacing="off"/>
        <w:jc w:val="both"/>
        <w:rPr>
          <w:rFonts w:ascii="Arial" w:hAnsi="Arial" w:eastAsia="Arial" w:cs="Arial"/>
          <w:noProof w:val="0"/>
          <w:sz w:val="24"/>
          <w:szCs w:val="24"/>
          <w:lang w:val="en-US"/>
        </w:rPr>
      </w:pPr>
      <w:r w:rsidRPr="3DC7A50A" w:rsidR="031B0944">
        <w:rPr>
          <w:rFonts w:ascii="Arial" w:hAnsi="Arial" w:eastAsia="Arial" w:cs="Arial"/>
          <w:noProof w:val="0"/>
          <w:sz w:val="24"/>
          <w:szCs w:val="24"/>
          <w:lang w:val="en-US"/>
        </w:rPr>
        <w:t>To structure the search and enhance methodological rigor, the PICO framework was applied:</w:t>
      </w:r>
    </w:p>
    <w:tbl>
      <w:tblPr>
        <w:tblStyle w:val="TableGrid"/>
        <w:tblW w:w="0" w:type="auto"/>
        <w:tblLayout w:type="fixed"/>
        <w:tblLook w:val="06A0" w:firstRow="1" w:lastRow="0" w:firstColumn="1" w:lastColumn="0" w:noHBand="1" w:noVBand="1"/>
      </w:tblPr>
      <w:tblGrid>
        <w:gridCol w:w="4680"/>
        <w:gridCol w:w="4680"/>
      </w:tblGrid>
      <w:tr w:rsidR="722FFED0" w:rsidTr="3DC7A50A" w14:paraId="09147457">
        <w:trPr>
          <w:trHeight w:val="300"/>
        </w:trPr>
        <w:tc>
          <w:tcPr>
            <w:tcW w:w="4680" w:type="dxa"/>
            <w:tcMar/>
          </w:tcPr>
          <w:p w:rsidR="32DCCFA1" w:rsidP="3DC7A50A" w:rsidRDefault="32DCCFA1" w14:paraId="0D546D87" w14:textId="23E227F7">
            <w:pPr>
              <w:pStyle w:val="Normal"/>
              <w:jc w:val="both"/>
              <w:rPr>
                <w:rFonts w:ascii="Arial" w:hAnsi="Arial" w:eastAsia="Arial" w:cs="Arial"/>
                <w:noProof w:val="0"/>
                <w:sz w:val="24"/>
                <w:szCs w:val="24"/>
                <w:lang w:val="en-US"/>
              </w:rPr>
            </w:pPr>
            <w:r w:rsidRPr="3DC7A50A" w:rsidR="100FC474">
              <w:rPr>
                <w:rFonts w:ascii="Arial" w:hAnsi="Arial" w:eastAsia="Arial" w:cs="Arial"/>
                <w:noProof w:val="0"/>
                <w:sz w:val="24"/>
                <w:szCs w:val="24"/>
                <w:lang w:val="en-US"/>
              </w:rPr>
              <w:t>Population (P)</w:t>
            </w:r>
          </w:p>
        </w:tc>
        <w:tc>
          <w:tcPr>
            <w:tcW w:w="4680" w:type="dxa"/>
            <w:tcMar/>
          </w:tcPr>
          <w:p w:rsidR="32DCCFA1" w:rsidP="3DC7A50A" w:rsidRDefault="32DCCFA1" w14:paraId="14B7BEA5" w14:textId="6EEBEC1E">
            <w:pPr>
              <w:pStyle w:val="Normal"/>
              <w:jc w:val="both"/>
              <w:rPr>
                <w:rFonts w:ascii="Arial" w:hAnsi="Arial" w:eastAsia="Arial" w:cs="Arial"/>
                <w:noProof w:val="0"/>
                <w:sz w:val="24"/>
                <w:szCs w:val="24"/>
                <w:lang w:val="en-US"/>
              </w:rPr>
            </w:pPr>
            <w:r w:rsidRPr="3DC7A50A" w:rsidR="100FC474">
              <w:rPr>
                <w:rFonts w:ascii="Arial" w:hAnsi="Arial" w:eastAsia="Arial" w:cs="Arial"/>
                <w:noProof w:val="0"/>
                <w:sz w:val="24"/>
                <w:szCs w:val="24"/>
                <w:lang w:val="en-US"/>
              </w:rPr>
              <w:t>Pharmacists and dispensers working in LMIC healthcare or community pharmacy settings.</w:t>
            </w:r>
          </w:p>
        </w:tc>
      </w:tr>
      <w:tr w:rsidR="722FFED0" w:rsidTr="3DC7A50A" w14:paraId="3A36670C">
        <w:trPr>
          <w:trHeight w:val="300"/>
        </w:trPr>
        <w:tc>
          <w:tcPr>
            <w:tcW w:w="4680" w:type="dxa"/>
            <w:tcMar/>
          </w:tcPr>
          <w:p w:rsidR="32DCCFA1" w:rsidP="3DC7A50A" w:rsidRDefault="32DCCFA1" w14:paraId="554C7AFC" w14:textId="64DFC160">
            <w:pPr>
              <w:pStyle w:val="Normal"/>
              <w:jc w:val="both"/>
              <w:rPr>
                <w:rFonts w:ascii="Arial" w:hAnsi="Arial" w:eastAsia="Arial" w:cs="Arial"/>
                <w:noProof w:val="0"/>
                <w:sz w:val="24"/>
                <w:szCs w:val="24"/>
                <w:lang w:val="en-US"/>
              </w:rPr>
            </w:pPr>
            <w:r w:rsidRPr="3DC7A50A" w:rsidR="100FC474">
              <w:rPr>
                <w:rFonts w:ascii="Arial" w:hAnsi="Arial" w:eastAsia="Arial" w:cs="Arial"/>
                <w:noProof w:val="0"/>
                <w:sz w:val="24"/>
                <w:szCs w:val="24"/>
                <w:lang w:val="en-US"/>
              </w:rPr>
              <w:t>Intervention (I)</w:t>
            </w:r>
          </w:p>
        </w:tc>
        <w:tc>
          <w:tcPr>
            <w:tcW w:w="4680" w:type="dxa"/>
            <w:tcMar/>
          </w:tcPr>
          <w:p w:rsidR="32DCCFA1" w:rsidP="3DC7A50A" w:rsidRDefault="32DCCFA1" w14:paraId="3FDC2A10" w14:textId="7AD7B696">
            <w:pPr>
              <w:pStyle w:val="Normal"/>
              <w:jc w:val="both"/>
              <w:rPr>
                <w:rFonts w:ascii="Arial" w:hAnsi="Arial" w:eastAsia="Arial" w:cs="Arial"/>
                <w:noProof w:val="0"/>
                <w:sz w:val="24"/>
                <w:szCs w:val="24"/>
                <w:lang w:val="en-US"/>
              </w:rPr>
            </w:pPr>
            <w:r w:rsidRPr="3DC7A50A" w:rsidR="100FC474">
              <w:rPr>
                <w:rFonts w:ascii="Arial" w:hAnsi="Arial" w:eastAsia="Arial" w:cs="Arial"/>
                <w:noProof w:val="0"/>
                <w:sz w:val="24"/>
                <w:szCs w:val="24"/>
                <w:lang w:val="en-US"/>
              </w:rPr>
              <w:t>Quality improvement strategies targeting dispensing errors</w:t>
            </w:r>
          </w:p>
        </w:tc>
      </w:tr>
      <w:tr w:rsidR="722FFED0" w:rsidTr="3DC7A50A" w14:paraId="14B80750">
        <w:trPr>
          <w:trHeight w:val="300"/>
        </w:trPr>
        <w:tc>
          <w:tcPr>
            <w:tcW w:w="4680" w:type="dxa"/>
            <w:tcMar/>
          </w:tcPr>
          <w:p w:rsidR="32DCCFA1" w:rsidP="3DC7A50A" w:rsidRDefault="32DCCFA1" w14:paraId="67E62D1B" w14:textId="5D84DCF5">
            <w:pPr>
              <w:pStyle w:val="Normal"/>
              <w:jc w:val="both"/>
              <w:rPr>
                <w:rFonts w:ascii="Arial" w:hAnsi="Arial" w:eastAsia="Arial" w:cs="Arial"/>
                <w:noProof w:val="0"/>
                <w:sz w:val="24"/>
                <w:szCs w:val="24"/>
                <w:lang w:val="en-US"/>
              </w:rPr>
            </w:pPr>
            <w:r w:rsidRPr="3DC7A50A" w:rsidR="100FC474">
              <w:rPr>
                <w:rFonts w:ascii="Arial" w:hAnsi="Arial" w:eastAsia="Arial" w:cs="Arial"/>
                <w:noProof w:val="0"/>
                <w:sz w:val="24"/>
                <w:szCs w:val="24"/>
                <w:lang w:val="en-US"/>
              </w:rPr>
              <w:t>Comparison (C</w:t>
            </w:r>
          </w:p>
        </w:tc>
        <w:tc>
          <w:tcPr>
            <w:tcW w:w="4680" w:type="dxa"/>
            <w:tcMar/>
          </w:tcPr>
          <w:p w:rsidR="32DCCFA1" w:rsidP="3DC7A50A" w:rsidRDefault="32DCCFA1" w14:paraId="21866DF4" w14:textId="50309DF0">
            <w:pPr>
              <w:pStyle w:val="Normal"/>
              <w:jc w:val="both"/>
              <w:rPr>
                <w:rFonts w:ascii="Arial" w:hAnsi="Arial" w:eastAsia="Arial" w:cs="Arial"/>
                <w:noProof w:val="0"/>
                <w:sz w:val="24"/>
                <w:szCs w:val="24"/>
                <w:lang w:val="en-US"/>
              </w:rPr>
            </w:pPr>
            <w:r w:rsidRPr="3DC7A50A" w:rsidR="4EFA8FEA">
              <w:rPr>
                <w:rFonts w:ascii="Arial" w:hAnsi="Arial" w:eastAsia="Arial" w:cs="Arial"/>
                <w:noProof w:val="0"/>
                <w:sz w:val="24"/>
                <w:szCs w:val="24"/>
                <w:lang w:val="en-US"/>
              </w:rPr>
              <w:t>Standard practice or pre-intervention conditions without structured quality improvement interventions.</w:t>
            </w:r>
          </w:p>
        </w:tc>
      </w:tr>
      <w:tr w:rsidR="722FFED0" w:rsidTr="3DC7A50A" w14:paraId="5AD6B7E8">
        <w:trPr>
          <w:trHeight w:val="300"/>
        </w:trPr>
        <w:tc>
          <w:tcPr>
            <w:tcW w:w="4680" w:type="dxa"/>
            <w:tcMar/>
          </w:tcPr>
          <w:p w:rsidR="32DCCFA1" w:rsidP="3DC7A50A" w:rsidRDefault="32DCCFA1" w14:paraId="6CEF5455" w14:textId="07E32052">
            <w:pPr>
              <w:pStyle w:val="Normal"/>
              <w:jc w:val="both"/>
              <w:rPr>
                <w:rFonts w:ascii="Arial" w:hAnsi="Arial" w:eastAsia="Arial" w:cs="Arial"/>
                <w:noProof w:val="0"/>
                <w:sz w:val="24"/>
                <w:szCs w:val="24"/>
                <w:lang w:val="en-US"/>
              </w:rPr>
            </w:pPr>
            <w:r w:rsidRPr="3DC7A50A" w:rsidR="100FC474">
              <w:rPr>
                <w:rFonts w:ascii="Arial" w:hAnsi="Arial" w:eastAsia="Arial" w:cs="Arial"/>
                <w:noProof w:val="0"/>
                <w:sz w:val="24"/>
                <w:szCs w:val="24"/>
                <w:lang w:val="en-US"/>
              </w:rPr>
              <w:t>Outcome (O)</w:t>
            </w:r>
          </w:p>
        </w:tc>
        <w:tc>
          <w:tcPr>
            <w:tcW w:w="4680" w:type="dxa"/>
            <w:tcMar/>
          </w:tcPr>
          <w:p w:rsidR="32DCCFA1" w:rsidP="3DC7A50A" w:rsidRDefault="32DCCFA1" w14:paraId="49D5596C" w14:textId="58ADDBD3">
            <w:pPr>
              <w:spacing w:before="240" w:beforeAutospacing="off" w:after="240" w:afterAutospacing="off"/>
              <w:jc w:val="both"/>
              <w:rPr>
                <w:rFonts w:ascii="Arial" w:hAnsi="Arial" w:eastAsia="Arial" w:cs="Arial"/>
                <w:noProof w:val="0"/>
                <w:sz w:val="24"/>
                <w:szCs w:val="24"/>
                <w:lang w:val="en-US"/>
              </w:rPr>
            </w:pPr>
            <w:r w:rsidRPr="3DC7A50A" w:rsidR="58D4F0FB">
              <w:rPr>
                <w:rFonts w:ascii="Arial" w:hAnsi="Arial" w:eastAsia="Arial" w:cs="Arial"/>
                <w:noProof w:val="0"/>
                <w:sz w:val="24"/>
                <w:szCs w:val="24"/>
                <w:lang w:val="en-US"/>
              </w:rPr>
              <w:t xml:space="preserve">Reduction in dispensing errors, improved patient safety, increased reporting, enhanced pharmacist </w:t>
            </w:r>
            <w:r w:rsidRPr="3DC7A50A" w:rsidR="58D4F0FB">
              <w:rPr>
                <w:rFonts w:ascii="Arial" w:hAnsi="Arial" w:eastAsia="Arial" w:cs="Arial"/>
                <w:noProof w:val="0"/>
                <w:sz w:val="24"/>
                <w:szCs w:val="24"/>
                <w:lang w:val="en-US"/>
              </w:rPr>
              <w:t>knowledge</w:t>
            </w:r>
            <w:r w:rsidRPr="3DC7A50A" w:rsidR="58D4F0FB">
              <w:rPr>
                <w:rFonts w:ascii="Arial" w:hAnsi="Arial" w:eastAsia="Arial" w:cs="Arial"/>
                <w:noProof w:val="0"/>
                <w:sz w:val="24"/>
                <w:szCs w:val="24"/>
                <w:lang w:val="en-US"/>
              </w:rPr>
              <w:t xml:space="preserve"> and skills</w:t>
            </w:r>
          </w:p>
          <w:p w:rsidR="722FFED0" w:rsidP="407E75B8" w:rsidRDefault="722FFED0" w14:paraId="0A64268F" w14:textId="18C792B9">
            <w:pPr>
              <w:pStyle w:val="Normal"/>
              <w:jc w:val="both"/>
              <w:rPr>
                <w:rFonts w:ascii="Arial" w:hAnsi="Arial" w:eastAsia="Arial" w:cs="Arial"/>
                <w:noProof w:val="0"/>
                <w:sz w:val="24"/>
                <w:szCs w:val="24"/>
                <w:lang w:val="en-US"/>
              </w:rPr>
            </w:pPr>
          </w:p>
        </w:tc>
      </w:tr>
    </w:tbl>
    <w:p w:rsidR="5A759E79" w:rsidP="722FFED0" w:rsidRDefault="5A759E79" w14:paraId="526C3370" w14:textId="00F66F96">
      <w:pPr>
        <w:pStyle w:val="Normal"/>
        <w:suppressLineNumbers w:val="0"/>
        <w:bidi w:val="0"/>
        <w:spacing w:before="240" w:beforeAutospacing="off" w:after="240" w:afterAutospacing="off" w:line="279" w:lineRule="auto"/>
        <w:ind w:left="0" w:right="0"/>
        <w:jc w:val="both"/>
        <w:rPr>
          <w:rFonts w:ascii="Arial" w:hAnsi="Arial" w:eastAsia="Arial" w:cs="Arial"/>
          <w:noProof w:val="0"/>
          <w:sz w:val="24"/>
          <w:szCs w:val="24"/>
          <w:lang w:val="en-US"/>
        </w:rPr>
      </w:pPr>
      <w:r w:rsidRPr="3DC7A50A" w:rsidR="031B0944">
        <w:rPr>
          <w:rFonts w:ascii="Arial" w:hAnsi="Arial" w:eastAsia="Arial" w:cs="Arial"/>
          <w:noProof w:val="0"/>
          <w:sz w:val="24"/>
          <w:szCs w:val="24"/>
          <w:lang w:val="en-US"/>
        </w:rPr>
        <w:t>Although qualitative reviews sometimes use PEO or PIO frameworks, PICO was selected to allow the inclusion of comparative elements, ensuring evaluation of the effects of quality improvement interventions on dispensing outcomes (Schardt et al., 2019). This approach strengthened the relevance and coherence of the review for clinical and policy recommendations.</w:t>
      </w:r>
    </w:p>
    <w:p w:rsidR="66B4F37A" w:rsidP="3DC7A50A" w:rsidRDefault="66B4F37A" w14:paraId="73A886B0" w14:textId="31E2DFF8">
      <w:pPr>
        <w:pStyle w:val="Heading3"/>
        <w:rPr>
          <w:rFonts w:ascii="Arial" w:hAnsi="Arial" w:eastAsia="Arial" w:cs="Arial"/>
          <w:noProof w:val="0"/>
          <w:lang w:val="en-US"/>
        </w:rPr>
      </w:pPr>
      <w:bookmarkStart w:name="_Toc945611588" w:id="107487345"/>
      <w:r w:rsidRPr="3DC7A50A" w:rsidR="7BEF36D6">
        <w:rPr>
          <w:noProof w:val="0"/>
          <w:lang w:val="en-US"/>
        </w:rPr>
        <w:t>3.3.2 Databases Searched</w:t>
      </w:r>
      <w:bookmarkEnd w:id="107487345"/>
    </w:p>
    <w:p w:rsidR="18783137" w:rsidP="4369956E" w:rsidRDefault="18783137" w14:paraId="2A56BA03" w14:textId="4DCEF44A">
      <w:pPr>
        <w:pStyle w:val="ListParagraph"/>
        <w:bidi w:val="0"/>
        <w:spacing w:before="240" w:beforeAutospacing="off" w:after="240" w:afterAutospacing="off"/>
        <w:ind w:left="720"/>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The following databases were searched to ensure comprehensive coverage:</w:t>
      </w:r>
    </w:p>
    <w:p w:rsidR="18783137" w:rsidP="3DC7A50A" w:rsidRDefault="18783137" w14:paraId="5EBDB586" w14:textId="46F448FD">
      <w:pPr>
        <w:pStyle w:val="ListParagraph"/>
        <w:numPr>
          <w:ilvl w:val="0"/>
          <w:numId w:val="8"/>
        </w:numPr>
        <w:bidi w:val="0"/>
        <w:spacing w:before="240" w:beforeAutospacing="off" w:after="240" w:afterAutospacing="off"/>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PubMed/MEDLINE – selected for biomedical, pharmaceutical, and medication safety research</w:t>
      </w:r>
    </w:p>
    <w:p w:rsidR="18783137" w:rsidP="3DC7A50A" w:rsidRDefault="18783137" w14:paraId="18457F9D" w14:textId="0AA1EFDE">
      <w:pPr>
        <w:pStyle w:val="ListParagraph"/>
        <w:numPr>
          <w:ilvl w:val="0"/>
          <w:numId w:val="8"/>
        </w:numPr>
        <w:bidi w:val="0"/>
        <w:spacing w:before="240" w:beforeAutospacing="off" w:after="240" w:afterAutospacing="off"/>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CINAHL – included to capture professional practice and allied health literature</w:t>
      </w:r>
    </w:p>
    <w:p w:rsidR="18783137" w:rsidP="3DC7A50A" w:rsidRDefault="18783137" w14:paraId="39EE5456" w14:textId="16B404AC">
      <w:pPr>
        <w:pStyle w:val="ListParagraph"/>
        <w:numPr>
          <w:ilvl w:val="0"/>
          <w:numId w:val="8"/>
        </w:numPr>
        <w:bidi w:val="0"/>
        <w:spacing w:before="240" w:beforeAutospacing="off" w:after="240" w:afterAutospacing="off"/>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Scopus – used for interdisciplinary health systems and quality improvement studies</w:t>
      </w:r>
    </w:p>
    <w:p w:rsidR="18783137" w:rsidP="3DC7A50A" w:rsidRDefault="18783137" w14:paraId="2AEE5AEB" w14:textId="3B0B1434">
      <w:pPr>
        <w:pStyle w:val="ListParagraph"/>
        <w:numPr>
          <w:ilvl w:val="0"/>
          <w:numId w:val="8"/>
        </w:numPr>
        <w:bidi w:val="0"/>
        <w:spacing w:before="240" w:beforeAutospacing="off" w:after="240" w:afterAutospacing="off"/>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Web of Science – selected for high-quality international peer-reviewed research</w:t>
      </w:r>
    </w:p>
    <w:p w:rsidR="18783137" w:rsidP="3DC7A50A" w:rsidRDefault="18783137" w14:paraId="4965A2A7" w14:textId="3297B4D5">
      <w:pPr>
        <w:pStyle w:val="ListParagraph"/>
        <w:numPr>
          <w:ilvl w:val="0"/>
          <w:numId w:val="8"/>
        </w:numPr>
        <w:bidi w:val="0"/>
        <w:spacing w:before="240" w:beforeAutospacing="off" w:after="240" w:afterAutospacing="off"/>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 xml:space="preserve">Google Scholar – included to </w:t>
      </w:r>
      <w:r w:rsidRPr="3DC7A50A" w:rsidR="55F39821">
        <w:rPr>
          <w:rFonts w:ascii="Arial" w:hAnsi="Arial" w:eastAsia="Arial" w:cs="Arial"/>
          <w:noProof w:val="0"/>
          <w:sz w:val="24"/>
          <w:szCs w:val="24"/>
          <w:lang w:val="en-US"/>
        </w:rPr>
        <w:t>identify</w:t>
      </w:r>
      <w:r w:rsidRPr="3DC7A50A" w:rsidR="55F39821">
        <w:rPr>
          <w:rFonts w:ascii="Arial" w:hAnsi="Arial" w:eastAsia="Arial" w:cs="Arial"/>
          <w:noProof w:val="0"/>
          <w:sz w:val="24"/>
          <w:szCs w:val="24"/>
          <w:lang w:val="en-US"/>
        </w:rPr>
        <w:t xml:space="preserve"> LMIC-specific studies, dissertations, and grey literature often under-represented in indexed databases</w:t>
      </w:r>
    </w:p>
    <w:p w:rsidR="18783137" w:rsidP="3DC7A50A" w:rsidRDefault="18783137" w14:paraId="2445C833" w14:textId="5B180984">
      <w:pPr>
        <w:pStyle w:val="ListParagraph"/>
        <w:bidi w:val="0"/>
        <w:spacing w:before="240" w:beforeAutospacing="off" w:after="240" w:afterAutospacing="off"/>
        <w:ind w:left="720"/>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 xml:space="preserve">The inclusion of Google Scholar was particularly important because research from LMICs is </w:t>
      </w:r>
      <w:r w:rsidRPr="3DC7A50A" w:rsidR="55F39821">
        <w:rPr>
          <w:rFonts w:ascii="Arial" w:hAnsi="Arial" w:eastAsia="Arial" w:cs="Arial"/>
          <w:noProof w:val="0"/>
          <w:sz w:val="24"/>
          <w:szCs w:val="24"/>
          <w:lang w:val="en-US"/>
        </w:rPr>
        <w:t>frequently</w:t>
      </w:r>
      <w:r w:rsidRPr="3DC7A50A" w:rsidR="55F39821">
        <w:rPr>
          <w:rFonts w:ascii="Arial" w:hAnsi="Arial" w:eastAsia="Arial" w:cs="Arial"/>
          <w:noProof w:val="0"/>
          <w:sz w:val="24"/>
          <w:szCs w:val="24"/>
          <w:lang w:val="en-US"/>
        </w:rPr>
        <w:t xml:space="preserve"> published in regional journals or institutional repositories that are not consistently indexed elsewhere (Haddaway et al., 2020).</w:t>
      </w:r>
    </w:p>
    <w:p w:rsidR="18783137" w:rsidP="3DC7A50A" w:rsidRDefault="18783137" w14:paraId="6D863DE2" w14:textId="2EA5E7BF">
      <w:pPr>
        <w:pStyle w:val="Heading3"/>
        <w:rPr>
          <w:rFonts w:ascii="Arial" w:hAnsi="Arial" w:eastAsia="Arial" w:cs="Arial"/>
          <w:noProof w:val="0"/>
          <w:lang w:val="en-US"/>
        </w:rPr>
      </w:pPr>
      <w:bookmarkStart w:name="_Toc986876682" w:id="690067755"/>
      <w:r w:rsidRPr="3DC7A50A" w:rsidR="4C2F8080">
        <w:rPr>
          <w:noProof w:val="0"/>
          <w:lang w:val="en-US"/>
        </w:rPr>
        <w:t>3.3.</w:t>
      </w:r>
      <w:r w:rsidRPr="3DC7A50A" w:rsidR="58C27AAA">
        <w:rPr>
          <w:noProof w:val="0"/>
          <w:lang w:val="en-US"/>
        </w:rPr>
        <w:t>3</w:t>
      </w:r>
      <w:r w:rsidRPr="3DC7A50A" w:rsidR="4C2F8080">
        <w:rPr>
          <w:noProof w:val="0"/>
          <w:lang w:val="en-US"/>
        </w:rPr>
        <w:t xml:space="preserve"> Search limits and screening process</w:t>
      </w:r>
      <w:bookmarkEnd w:id="690067755"/>
    </w:p>
    <w:p w:rsidR="18783137" w:rsidP="3DC7A50A" w:rsidRDefault="18783137" w14:paraId="7E5B8061" w14:textId="561189E4">
      <w:pPr>
        <w:pStyle w:val="ListParagraph"/>
        <w:bidi w:val="0"/>
        <w:spacing w:before="240" w:beforeAutospacing="off" w:after="240" w:afterAutospacing="off"/>
        <w:ind w:left="720"/>
        <w:jc w:val="both"/>
        <w:rPr>
          <w:rFonts w:ascii="Arial" w:hAnsi="Arial" w:eastAsia="Arial" w:cs="Arial"/>
          <w:noProof w:val="0"/>
          <w:sz w:val="24"/>
          <w:szCs w:val="24"/>
          <w:lang w:val="en-US"/>
        </w:rPr>
      </w:pPr>
      <w:r w:rsidRPr="3DC7A50A" w:rsidR="4C2F8080">
        <w:rPr>
          <w:rFonts w:ascii="Arial" w:hAnsi="Arial" w:eastAsia="Arial" w:cs="Arial"/>
          <w:noProof w:val="0"/>
          <w:sz w:val="24"/>
          <w:szCs w:val="24"/>
          <w:lang w:val="en-US"/>
        </w:rPr>
        <w:t>Searches were limited to</w:t>
      </w:r>
      <w:r w:rsidRPr="3DC7A50A" w:rsidR="6D1996B2">
        <w:rPr>
          <w:rFonts w:ascii="Arial" w:hAnsi="Arial" w:eastAsia="Arial" w:cs="Arial"/>
          <w:noProof w:val="0"/>
          <w:lang w:val="en-US"/>
        </w:rPr>
        <w:t xml:space="preserve"> </w:t>
      </w:r>
      <w:r w:rsidRPr="3DC7A50A" w:rsidR="6D1996B2">
        <w:rPr>
          <w:rFonts w:ascii="Arial" w:hAnsi="Arial" w:eastAsia="Arial" w:cs="Arial"/>
          <w:noProof w:val="0"/>
          <w:lang w:val="en-US"/>
        </w:rPr>
        <w:t xml:space="preserve">English-language publications from 2015 to 2025 to reflect </w:t>
      </w:r>
      <w:r w:rsidRPr="3DC7A50A" w:rsidR="4C2F8080">
        <w:rPr>
          <w:rFonts w:ascii="Arial" w:hAnsi="Arial" w:eastAsia="Arial" w:cs="Arial"/>
          <w:noProof w:val="0"/>
          <w:sz w:val="24"/>
          <w:szCs w:val="24"/>
          <w:lang w:val="en-US"/>
        </w:rPr>
        <w:t>contemporary pharmacy practice and quality improvement initiatives. While this may exclude some regional studies, language restriction was necessary due to feasibility constraints and is common in systematic reviews (Booth et al., 2016).</w:t>
      </w:r>
    </w:p>
    <w:p w:rsidR="18783137" w:rsidP="3DC7A50A" w:rsidRDefault="18783137" w14:paraId="601041B9" w14:textId="60156278">
      <w:pPr>
        <w:pStyle w:val="ListParagraph"/>
        <w:bidi w:val="0"/>
        <w:spacing w:before="240" w:beforeAutospacing="off" w:after="240" w:afterAutospacing="off"/>
        <w:ind w:left="720"/>
        <w:jc w:val="both"/>
        <w:rPr>
          <w:rFonts w:ascii="Arial" w:hAnsi="Arial" w:eastAsia="Arial" w:cs="Arial"/>
          <w:noProof w:val="0"/>
          <w:sz w:val="24"/>
          <w:szCs w:val="24"/>
          <w:lang w:val="en-US"/>
        </w:rPr>
      </w:pPr>
      <w:r w:rsidRPr="3DC7A50A" w:rsidR="55F39821">
        <w:rPr>
          <w:rFonts w:ascii="Arial" w:hAnsi="Arial" w:eastAsia="Arial" w:cs="Arial"/>
          <w:noProof w:val="0"/>
          <w:sz w:val="24"/>
          <w:szCs w:val="24"/>
          <w:lang w:val="en-US"/>
        </w:rPr>
        <w:t>All retrieved records were exported to reference management software, where duplicates were removed. Titles and abstracts were screened against inclusion criteria, followed by full-text assessment. The selection process was documented using a PRISMA flow diagram, ensuring transparency and reproducibility.</w:t>
      </w:r>
    </w:p>
    <w:p w:rsidR="4369956E" w:rsidP="4369956E" w:rsidRDefault="4369956E" w14:paraId="50DCCDB8" w14:textId="0F7BDB3D">
      <w:pPr>
        <w:pStyle w:val="ListParagraph"/>
        <w:bidi w:val="0"/>
        <w:spacing w:before="240" w:beforeAutospacing="off" w:after="240" w:afterAutospacing="off"/>
        <w:ind w:left="720"/>
        <w:jc w:val="both"/>
        <w:rPr>
          <w:rFonts w:ascii="Arial" w:hAnsi="Arial" w:eastAsia="Arial" w:cs="Arial"/>
          <w:noProof w:val="0"/>
          <w:sz w:val="24"/>
          <w:szCs w:val="24"/>
          <w:lang w:val="en-US"/>
        </w:rPr>
      </w:pPr>
    </w:p>
    <w:p w:rsidR="2AA5DDC9" w:rsidP="722FFED0" w:rsidRDefault="2AA5DDC9" w14:paraId="407C0C2B" w14:textId="7AF79C03">
      <w:pPr>
        <w:pStyle w:val="ListParagraph"/>
        <w:numPr>
          <w:ilvl w:val="0"/>
          <w:numId w:val="4"/>
        </w:numPr>
        <w:bidi w:val="0"/>
        <w:spacing w:before="240" w:beforeAutospacing="off" w:after="240" w:afterAutospacing="off"/>
        <w:jc w:val="both"/>
        <w:rPr>
          <w:rFonts w:ascii="Arial" w:hAnsi="Arial" w:eastAsia="Arial" w:cs="Arial"/>
          <w:noProof w:val="0"/>
          <w:sz w:val="24"/>
          <w:szCs w:val="24"/>
          <w:lang w:val="en-US"/>
        </w:rPr>
      </w:pPr>
      <w:r w:rsidRPr="3DC7A50A" w:rsidR="1494CEEB">
        <w:rPr>
          <w:rFonts w:ascii="Arial" w:hAnsi="Arial" w:eastAsia="Arial" w:cs="Arial"/>
          <w:noProof w:val="0"/>
          <w:sz w:val="24"/>
          <w:szCs w:val="24"/>
          <w:lang w:val="en-US"/>
        </w:rPr>
        <w:t>PRISMA FLOW CHART</w:t>
      </w:r>
      <w:r w:rsidRPr="3DC7A50A" w:rsidR="0DF7A7AD">
        <w:rPr>
          <w:rFonts w:ascii="Arial" w:hAnsi="Arial" w:eastAsia="Arial" w:cs="Arial"/>
          <w:noProof w:val="0"/>
          <w:sz w:val="24"/>
          <w:szCs w:val="24"/>
          <w:lang w:val="en-US"/>
        </w:rPr>
        <w:t xml:space="preserve">      </w:t>
      </w:r>
    </w:p>
    <w:p w:rsidR="2AA5DDC9" w:rsidP="722FFED0" w:rsidRDefault="2AA5DDC9" w14:paraId="4FF84A2C" w14:textId="3B268953">
      <w:pPr>
        <w:pStyle w:val="ListParagraph"/>
        <w:numPr>
          <w:ilvl w:val="0"/>
          <w:numId w:val="4"/>
        </w:numPr>
        <w:bidi w:val="0"/>
        <w:spacing w:before="240" w:beforeAutospacing="off" w:after="240" w:afterAutospacing="off"/>
        <w:jc w:val="both"/>
        <w:rPr>
          <w:rFonts w:ascii="Arial" w:hAnsi="Arial" w:eastAsia="Arial" w:cs="Arial"/>
          <w:noProof w:val="0"/>
          <w:sz w:val="24"/>
          <w:szCs w:val="24"/>
          <w:lang w:val="en-US"/>
        </w:rPr>
      </w:pPr>
      <w:r w:rsidRPr="3DC7A50A" w:rsidR="69BFDBD6">
        <w:rPr>
          <w:rFonts w:ascii="Arial" w:hAnsi="Arial" w:eastAsia="Arial" w:cs="Arial"/>
          <w:noProof w:val="0"/>
          <w:sz w:val="24"/>
          <w:szCs w:val="24"/>
          <w:lang w:val="en-US"/>
        </w:rPr>
        <w:t>[table 2]</w:t>
      </w:r>
    </w:p>
    <w:p w:rsidR="5B971295" w:rsidP="5B971295" w:rsidRDefault="5B971295" w14:paraId="2663C036" w14:textId="61DA8B13">
      <w:pPr>
        <w:pStyle w:val="ListParagraph"/>
        <w:bidi w:val="0"/>
        <w:spacing w:before="240" w:beforeAutospacing="off" w:after="240" w:afterAutospacing="off"/>
        <w:ind w:left="1080"/>
        <w:jc w:val="both"/>
        <w:rPr>
          <w:rFonts w:ascii="Arial" w:hAnsi="Arial" w:eastAsia="Arial" w:cs="Arial"/>
          <w:noProof w:val="0"/>
          <w:sz w:val="24"/>
          <w:szCs w:val="24"/>
          <w:lang w:val="en-US"/>
        </w:rPr>
      </w:pPr>
    </w:p>
    <w:p w:rsidR="5B971295" w:rsidP="5B971295" w:rsidRDefault="5B971295" w14:paraId="1D613186" w14:textId="405FDF93">
      <w:pPr>
        <w:pStyle w:val="Normal"/>
        <w:bidi w:val="0"/>
        <w:spacing w:before="240" w:beforeAutospacing="off" w:after="240" w:afterAutospacing="off"/>
        <w:ind w:left="1080"/>
        <w:jc w:val="both"/>
        <w:rPr>
          <w:rFonts w:ascii="Arial" w:hAnsi="Arial" w:eastAsia="Arial" w:cs="Arial"/>
          <w:noProof w:val="0"/>
          <w:sz w:val="24"/>
          <w:szCs w:val="24"/>
          <w:lang w:val="en-US"/>
        </w:rPr>
      </w:pPr>
    </w:p>
    <w:p w:rsidR="2DF4C6A8" w:rsidP="3DC7A50A" w:rsidRDefault="2DF4C6A8" w14:paraId="3344482D" w14:textId="53CE6331">
      <w:pPr>
        <w:pStyle w:val="Heading2"/>
        <w:bidi w:val="0"/>
        <w:rPr>
          <w:rFonts w:ascii="Arial" w:hAnsi="Arial" w:eastAsia="Arial" w:cs="Arial"/>
          <w:noProof w:val="0"/>
          <w:lang w:val="en-US"/>
        </w:rPr>
      </w:pPr>
      <w:bookmarkStart w:name="_Toc1585039259" w:id="1597837137"/>
      <w:r w:rsidRPr="3DC7A50A" w:rsidR="69A57AF9">
        <w:rPr>
          <w:rFonts w:ascii="Arial" w:hAnsi="Arial" w:eastAsia="Arial" w:cs="Arial"/>
          <w:noProof w:val="0"/>
          <w:lang w:val="en-US"/>
        </w:rPr>
        <w:t>3.4 Study Selection Outcome</w:t>
      </w:r>
      <w:bookmarkEnd w:id="1597837137"/>
    </w:p>
    <w:p w:rsidR="3DC7A50A" w:rsidP="3DC7A50A" w:rsidRDefault="3DC7A50A" w14:paraId="6164675E" w14:textId="1AF4EAD2">
      <w:pPr>
        <w:pStyle w:val="Normal"/>
        <w:bidi w:val="0"/>
        <w:rPr>
          <w:noProof w:val="0"/>
          <w:lang w:val="en-US"/>
        </w:rPr>
      </w:pPr>
    </w:p>
    <w:p w:rsidR="34AC1651" w:rsidP="3DC7A50A" w:rsidRDefault="34AC1651" w14:paraId="04BB0156" w14:textId="7A590DB0">
      <w:pPr>
        <w:pStyle w:val="Heading3"/>
        <w:bidi w:val="0"/>
        <w:rPr>
          <w:b w:val="1"/>
          <w:bCs w:val="1"/>
          <w:noProof w:val="0"/>
          <w:lang w:val="en-US"/>
        </w:rPr>
      </w:pPr>
      <w:bookmarkStart w:name="_Toc222814232" w:id="701933048"/>
      <w:r w:rsidRPr="3DC7A50A" w:rsidR="34AC1651">
        <w:rPr>
          <w:b w:val="1"/>
          <w:bCs w:val="1"/>
          <w:noProof w:val="0"/>
          <w:lang w:val="en-US"/>
        </w:rPr>
        <w:t>PRISMA FLOW DIAGARAM (FIGURE 3.1)</w:t>
      </w:r>
      <w:bookmarkEnd w:id="701933048"/>
    </w:p>
    <w:p w:rsidR="5B971295" w:rsidP="3DC7A50A" w:rsidRDefault="5B971295" w14:paraId="0B2DA9C3" w14:textId="00400364">
      <w:pPr>
        <w:pStyle w:val="ListParagraph"/>
        <w:bidi w:val="0"/>
        <w:spacing w:before="240" w:beforeAutospacing="off" w:after="240" w:afterAutospacing="off"/>
        <w:ind w:left="720"/>
        <w:jc w:val="both"/>
        <w:rPr>
          <w:rFonts w:ascii="Arial" w:hAnsi="Arial" w:eastAsia="Arial" w:cs="Arial"/>
        </w:rPr>
      </w:pPr>
    </w:p>
    <w:p w:rsidR="0541A709" w:rsidP="3DC7A50A" w:rsidRDefault="0541A709" w14:paraId="197BA847" w14:textId="493BE22B">
      <w:pPr>
        <w:pStyle w:val="ListParagraph"/>
        <w:bidi w:val="0"/>
        <w:spacing w:before="240" w:beforeAutospacing="off" w:after="240" w:afterAutospacing="off"/>
        <w:ind w:left="720"/>
        <w:jc w:val="both"/>
        <w:rPr>
          <w:rFonts w:ascii="Arial" w:hAnsi="Arial" w:eastAsia="Arial" w:cs="Arial"/>
        </w:rPr>
      </w:pPr>
      <w:r w:rsidR="39B63811">
        <w:drawing>
          <wp:inline wp14:editId="48610E68" wp14:anchorId="17DEB6B1">
            <wp:extent cx="4838787" cy="4467304"/>
            <wp:effectExtent l="0" t="0" r="0" b="0"/>
            <wp:docPr id="3370376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037666" name="Picture 337037666"/>
                    <pic:cNvPicPr/>
                  </pic:nvPicPr>
                  <pic:blipFill>
                    <a:blip xmlns:r="http://schemas.openxmlformats.org/officeDocument/2006/relationships" r:embed="rId338477953">
                      <a:extLst>
                        <a:ext uri="{28A0092B-C50C-407E-A947-70E740481C1C}">
                          <a14:useLocalDpi xmlns:a14="http://schemas.microsoft.com/office/drawing/2010/main"/>
                        </a:ext>
                      </a:extLst>
                    </a:blip>
                    <a:srcRect l="18676" t="4326" r="20330" b="26442"/>
                    <a:stretch>
                      <a:fillRect/>
                    </a:stretch>
                  </pic:blipFill>
                  <pic:spPr>
                    <a:xfrm rot="0">
                      <a:off x="0" y="0"/>
                      <a:ext cx="4838787" cy="4467304"/>
                    </a:xfrm>
                    <a:prstGeom prst="rect">
                      <a:avLst/>
                    </a:prstGeom>
                  </pic:spPr>
                </pic:pic>
              </a:graphicData>
            </a:graphic>
          </wp:inline>
        </w:drawing>
      </w:r>
    </w:p>
    <w:p w:rsidR="15908AAD" w:rsidP="3DC7A50A" w:rsidRDefault="15908AAD" w14:paraId="575FF18A" w14:textId="2E0053D6">
      <w:pPr>
        <w:pStyle w:val="ListParagraph"/>
        <w:bidi w:val="0"/>
        <w:spacing w:before="240" w:beforeAutospacing="off" w:after="240" w:afterAutospacing="off"/>
        <w:ind w:left="720"/>
        <w:jc w:val="both"/>
        <w:rPr>
          <w:rFonts w:ascii="Arial" w:hAnsi="Arial" w:eastAsia="Arial" w:cs="Arial"/>
          <w:noProof w:val="0"/>
          <w:sz w:val="24"/>
          <w:szCs w:val="24"/>
          <w:lang w:val="en-US"/>
        </w:rPr>
      </w:pPr>
      <w:r w:rsidRPr="3DC7A50A" w:rsidR="07CDF85B">
        <w:rPr>
          <w:rFonts w:ascii="Arial" w:hAnsi="Arial" w:eastAsia="Arial" w:cs="Arial"/>
          <w:noProof w:val="0"/>
          <w:sz w:val="24"/>
          <w:szCs w:val="24"/>
          <w:lang w:val="en-US"/>
        </w:rPr>
        <w:t xml:space="preserve"> </w:t>
      </w:r>
    </w:p>
    <w:p w:rsidR="73D10ED1" w:rsidP="5B971295" w:rsidRDefault="73D10ED1" w14:paraId="229C3EB4" w14:textId="79809F5D">
      <w:pPr>
        <w:pStyle w:val="ListParagraph"/>
        <w:bidi w:val="0"/>
        <w:spacing w:before="240" w:beforeAutospacing="off" w:after="240" w:afterAutospacing="off"/>
        <w:ind w:left="720"/>
        <w:jc w:val="both"/>
        <w:rPr>
          <w:rFonts w:ascii="Arial" w:hAnsi="Arial" w:eastAsia="Arial" w:cs="Arial"/>
          <w:noProof w:val="0"/>
          <w:lang w:val="en-US"/>
        </w:rPr>
      </w:pPr>
      <w:r w:rsidRPr="3DC7A50A" w:rsidR="33FB9C33">
        <w:rPr>
          <w:rFonts w:ascii="Arial" w:hAnsi="Arial" w:eastAsia="Arial" w:cs="Arial"/>
          <w:noProof w:val="0"/>
          <w:lang w:val="en-US"/>
        </w:rPr>
        <w:t xml:space="preserve">From </w:t>
      </w:r>
      <w:r w:rsidRPr="3DC7A50A" w:rsidR="33FB9C33">
        <w:rPr>
          <w:rFonts w:ascii="Arial" w:hAnsi="Arial" w:eastAsia="Arial" w:cs="Arial"/>
          <w:noProof w:val="0"/>
          <w:lang w:val="en-US"/>
        </w:rPr>
        <w:t>an initial</w:t>
      </w:r>
      <w:r w:rsidRPr="3DC7A50A" w:rsidR="33FB9C33">
        <w:rPr>
          <w:rFonts w:ascii="Arial" w:hAnsi="Arial" w:eastAsia="Arial" w:cs="Arial"/>
          <w:noProof w:val="0"/>
          <w:lang w:val="en-US"/>
        </w:rPr>
        <w:t xml:space="preserve"> yield of </w:t>
      </w:r>
      <w:r w:rsidRPr="3DC7A50A" w:rsidR="33FB9C33">
        <w:rPr>
          <w:rFonts w:ascii="Arial" w:hAnsi="Arial" w:eastAsia="Arial" w:cs="Arial"/>
          <w:b w:val="0"/>
          <w:bCs w:val="0"/>
          <w:noProof w:val="0"/>
          <w:lang w:val="en-US"/>
        </w:rPr>
        <w:t>512 records</w:t>
      </w:r>
      <w:r w:rsidRPr="3DC7A50A" w:rsidR="33FB9C33">
        <w:rPr>
          <w:rFonts w:ascii="Arial" w:hAnsi="Arial" w:eastAsia="Arial" w:cs="Arial"/>
          <w:b w:val="0"/>
          <w:bCs w:val="0"/>
          <w:noProof w:val="0"/>
          <w:lang w:val="en-US"/>
        </w:rPr>
        <w:t xml:space="preserve">, </w:t>
      </w:r>
      <w:r w:rsidRPr="3DC7A50A" w:rsidR="33FB9C33">
        <w:rPr>
          <w:rFonts w:ascii="Arial" w:hAnsi="Arial" w:eastAsia="Arial" w:cs="Arial"/>
          <w:b w:val="0"/>
          <w:bCs w:val="0"/>
          <w:noProof w:val="0"/>
          <w:lang w:val="en-US"/>
        </w:rPr>
        <w:t>430 records</w:t>
      </w:r>
      <w:r w:rsidRPr="3DC7A50A" w:rsidR="33FB9C33">
        <w:rPr>
          <w:rFonts w:ascii="Arial" w:hAnsi="Arial" w:eastAsia="Arial" w:cs="Arial"/>
          <w:b w:val="0"/>
          <w:bCs w:val="0"/>
          <w:noProof w:val="0"/>
          <w:lang w:val="en-US"/>
        </w:rPr>
        <w:t xml:space="preserve"> remained after duplicate removal. Following title, abstract, and full-text screening, </w:t>
      </w:r>
      <w:r w:rsidRPr="3DC7A50A" w:rsidR="33FB9C33">
        <w:rPr>
          <w:rFonts w:ascii="Arial" w:hAnsi="Arial" w:eastAsia="Arial" w:cs="Arial"/>
          <w:b w:val="0"/>
          <w:bCs w:val="0"/>
          <w:noProof w:val="0"/>
          <w:lang w:val="en-US"/>
        </w:rPr>
        <w:t>12 primary qualitative studies</w:t>
      </w:r>
      <w:r w:rsidRPr="3DC7A50A" w:rsidR="33FB9C33">
        <w:rPr>
          <w:rFonts w:ascii="Arial" w:hAnsi="Arial" w:eastAsia="Arial" w:cs="Arial"/>
          <w:b w:val="0"/>
          <w:bCs w:val="0"/>
          <w:noProof w:val="0"/>
          <w:lang w:val="en-US"/>
        </w:rPr>
        <w:t xml:space="preserve"> met the inclusion criteria and were included</w:t>
      </w:r>
      <w:r w:rsidRPr="3DC7A50A" w:rsidR="33FB9C33">
        <w:rPr>
          <w:rFonts w:ascii="Arial" w:hAnsi="Arial" w:eastAsia="Arial" w:cs="Arial"/>
          <w:noProof w:val="0"/>
          <w:lang w:val="en-US"/>
        </w:rPr>
        <w:t xml:space="preserve"> in the final synthesis (Musoke et al., 2023; Saleem et al., 2021; Mbugua et al., 2020; Mekonnen et al., 2015; Atif et al., 2019; Roche et al., 2021; Crafford et al., 2024; </w:t>
      </w:r>
      <w:r w:rsidRPr="3DC7A50A" w:rsidR="33FB9C33">
        <w:rPr>
          <w:rFonts w:ascii="Arial" w:hAnsi="Arial" w:eastAsia="Arial" w:cs="Arial"/>
          <w:noProof w:val="0"/>
          <w:lang w:val="en-US"/>
        </w:rPr>
        <w:t>Gelayee</w:t>
      </w:r>
      <w:r w:rsidRPr="3DC7A50A" w:rsidR="33FB9C33">
        <w:rPr>
          <w:rFonts w:ascii="Arial" w:hAnsi="Arial" w:eastAsia="Arial" w:cs="Arial"/>
          <w:noProof w:val="0"/>
          <w:lang w:val="en-US"/>
        </w:rPr>
        <w:t xml:space="preserve">, 2017; </w:t>
      </w:r>
      <w:r w:rsidRPr="3DC7A50A" w:rsidR="33FB9C33">
        <w:rPr>
          <w:rFonts w:ascii="Arial" w:hAnsi="Arial" w:eastAsia="Arial" w:cs="Arial"/>
          <w:noProof w:val="0"/>
          <w:lang w:val="en-US"/>
        </w:rPr>
        <w:t>Kentab</w:t>
      </w:r>
      <w:r w:rsidRPr="3DC7A50A" w:rsidR="33FB9C33">
        <w:rPr>
          <w:rFonts w:ascii="Arial" w:hAnsi="Arial" w:eastAsia="Arial" w:cs="Arial"/>
          <w:noProof w:val="0"/>
          <w:lang w:val="en-US"/>
        </w:rPr>
        <w:t xml:space="preserve"> et al., 2024; Kamba et al., 2020; Tegegn, 2020; Adhikari et al., 2021).</w:t>
      </w:r>
    </w:p>
    <w:p w:rsidR="7B38CA83" w:rsidP="3DC7A50A" w:rsidRDefault="7B38CA83" w14:paraId="1723B87C" w14:textId="69C28513">
      <w:pPr>
        <w:pStyle w:val="Heading2"/>
        <w:rPr>
          <w:rFonts w:ascii="Arial" w:hAnsi="Arial" w:eastAsia="Arial" w:cs="Arial"/>
          <w:noProof w:val="0"/>
          <w:lang w:val="en-US"/>
        </w:rPr>
      </w:pPr>
      <w:bookmarkStart w:name="_Toc1859371924" w:id="100996226"/>
      <w:r w:rsidRPr="3DC7A50A" w:rsidR="32993E11">
        <w:rPr>
          <w:rFonts w:ascii="Arial" w:hAnsi="Arial" w:eastAsia="Arial" w:cs="Arial"/>
          <w:noProof w:val="0"/>
          <w:lang w:val="en-US"/>
        </w:rPr>
        <w:t>3.</w:t>
      </w:r>
      <w:r w:rsidRPr="3DC7A50A" w:rsidR="28809049">
        <w:rPr>
          <w:rFonts w:ascii="Arial" w:hAnsi="Arial" w:eastAsia="Arial" w:cs="Arial"/>
          <w:noProof w:val="0"/>
          <w:lang w:val="en-US"/>
        </w:rPr>
        <w:t>5</w:t>
      </w:r>
      <w:r w:rsidRPr="3DC7A50A" w:rsidR="32993E11">
        <w:rPr>
          <w:rFonts w:ascii="Arial" w:hAnsi="Arial" w:eastAsia="Arial" w:cs="Arial"/>
          <w:noProof w:val="0"/>
          <w:lang w:val="en-US"/>
        </w:rPr>
        <w:t>Inclusion and Exclusion Criteria</w:t>
      </w:r>
      <w:bookmarkEnd w:id="100996226"/>
    </w:p>
    <w:p w:rsidR="65F64AD0" w:rsidP="3DC7A50A" w:rsidRDefault="65F64AD0" w14:paraId="50AD8B0C" w14:textId="28B4DC8C">
      <w:pPr>
        <w:pStyle w:val="Heading3"/>
        <w:rPr>
          <w:noProof w:val="0"/>
          <w:lang w:val="en-US"/>
        </w:rPr>
      </w:pPr>
      <w:bookmarkStart w:name="_Toc814037937" w:id="994370844"/>
      <w:r w:rsidRPr="3DC7A50A" w:rsidR="65F64AD0">
        <w:rPr>
          <w:noProof w:val="0"/>
          <w:lang w:val="en-US"/>
        </w:rPr>
        <w:t>TABLE 3.1 (INCLUSION AND EXCLUSION)</w:t>
      </w:r>
      <w:bookmarkEnd w:id="994370844"/>
    </w:p>
    <w:p w:rsidR="5B971295" w:rsidP="3DC7A50A" w:rsidRDefault="5B971295" w14:paraId="785212C4" w14:textId="05E8FDA9">
      <w:pPr>
        <w:pStyle w:val="Normal"/>
        <w:rPr>
          <w:rFonts w:ascii="Arial" w:hAnsi="Arial" w:eastAsia="Arial" w:cs="Arial"/>
          <w:noProof w:val="0"/>
          <w:lang w:val="en-US"/>
        </w:rPr>
      </w:pPr>
    </w:p>
    <w:tbl>
      <w:tblPr>
        <w:tblStyle w:val="TableGrid"/>
        <w:bidiVisual w:val="0"/>
        <w:tblW w:w="0" w:type="auto"/>
        <w:tblLayout w:type="fixed"/>
        <w:tblLook w:val="06A0" w:firstRow="1" w:lastRow="0" w:firstColumn="1" w:lastColumn="0" w:noHBand="1" w:noVBand="1"/>
      </w:tblPr>
      <w:tblGrid>
        <w:gridCol w:w="4680"/>
        <w:gridCol w:w="4680"/>
      </w:tblGrid>
      <w:tr w:rsidR="6ACBE163" w:rsidTr="3DC7A50A" w14:paraId="5463F910">
        <w:trPr>
          <w:trHeight w:val="300"/>
        </w:trPr>
        <w:tc>
          <w:tcPr>
            <w:tcW w:w="4680" w:type="dxa"/>
            <w:tcBorders>
              <w:left w:val="single" w:color="000000" w:themeColor="text1" w:sz="12"/>
            </w:tcBorders>
            <w:tcMar/>
          </w:tcPr>
          <w:p w:rsidR="515AE018" w:rsidP="6ACBE163" w:rsidRDefault="515AE018" w14:paraId="3363A65A" w14:textId="41AACC12">
            <w:pPr>
              <w:pStyle w:val="ListParagraph"/>
              <w:bidi w:val="0"/>
              <w:jc w:val="both"/>
              <w:rPr>
                <w:rFonts w:ascii="Arial" w:hAnsi="Arial" w:eastAsia="Arial" w:cs="Arial"/>
                <w:b w:val="1"/>
                <w:bCs w:val="1"/>
                <w:noProof w:val="0"/>
                <w:sz w:val="24"/>
                <w:szCs w:val="24"/>
                <w:lang w:val="en-US"/>
              </w:rPr>
            </w:pPr>
            <w:r w:rsidRPr="3DC7A50A" w:rsidR="062A1613">
              <w:rPr>
                <w:rFonts w:ascii="Arial" w:hAnsi="Arial" w:eastAsia="Arial" w:cs="Arial"/>
                <w:b w:val="1"/>
                <w:bCs w:val="1"/>
                <w:noProof w:val="0"/>
                <w:sz w:val="24"/>
                <w:szCs w:val="24"/>
                <w:lang w:val="en-US"/>
              </w:rPr>
              <w:t xml:space="preserve">INCLUSION CRITERIA </w:t>
            </w:r>
          </w:p>
        </w:tc>
        <w:tc>
          <w:tcPr>
            <w:tcW w:w="4680" w:type="dxa"/>
            <w:tcMar/>
          </w:tcPr>
          <w:p w:rsidR="515AE018" w:rsidP="6ACBE163" w:rsidRDefault="515AE018" w14:paraId="48B0E72F" w14:textId="7AAA27BD">
            <w:pPr>
              <w:pStyle w:val="ListParagraph"/>
              <w:bidi w:val="0"/>
              <w:jc w:val="both"/>
              <w:rPr>
                <w:rFonts w:ascii="Arial" w:hAnsi="Arial" w:eastAsia="Arial" w:cs="Arial"/>
                <w:b w:val="1"/>
                <w:bCs w:val="1"/>
                <w:noProof w:val="0"/>
                <w:sz w:val="24"/>
                <w:szCs w:val="24"/>
                <w:lang w:val="en-US"/>
              </w:rPr>
            </w:pPr>
            <w:r w:rsidRPr="3DC7A50A" w:rsidR="062A1613">
              <w:rPr>
                <w:rFonts w:ascii="Arial" w:hAnsi="Arial" w:eastAsia="Arial" w:cs="Arial"/>
                <w:b w:val="1"/>
                <w:bCs w:val="1"/>
                <w:noProof w:val="0"/>
                <w:sz w:val="24"/>
                <w:szCs w:val="24"/>
                <w:lang w:val="en-US"/>
              </w:rPr>
              <w:t>EXCLUSION CRITERIA</w:t>
            </w:r>
          </w:p>
        </w:tc>
      </w:tr>
      <w:tr w:rsidR="722FFED0" w:rsidTr="3DC7A50A" w14:paraId="1247CEE8">
        <w:trPr>
          <w:trHeight w:val="300"/>
        </w:trPr>
        <w:tc>
          <w:tcPr>
            <w:tcW w:w="4680" w:type="dxa"/>
            <w:tcBorders>
              <w:left w:val="single" w:color="000000" w:themeColor="text1" w:sz="12"/>
            </w:tcBorders>
            <w:tcMar/>
          </w:tcPr>
          <w:p w:rsidR="037DF393" w:rsidP="407E75B8" w:rsidRDefault="037DF393" w14:paraId="7D8F09B6" w14:textId="2065160E">
            <w:pPr>
              <w:pStyle w:val="ListParagraph"/>
              <w:bidi w:val="0"/>
              <w:jc w:val="both"/>
              <w:rPr>
                <w:rFonts w:ascii="Arial" w:hAnsi="Arial" w:eastAsia="Arial" w:cs="Arial"/>
                <w:noProof w:val="0"/>
                <w:sz w:val="24"/>
                <w:szCs w:val="24"/>
                <w:lang w:val="en-US"/>
              </w:rPr>
            </w:pPr>
            <w:r w:rsidRPr="3DC7A50A" w:rsidR="6AB177D7">
              <w:rPr>
                <w:rFonts w:ascii="Arial" w:hAnsi="Arial" w:eastAsia="Arial" w:cs="Arial"/>
                <w:noProof w:val="0"/>
                <w:sz w:val="24"/>
                <w:szCs w:val="24"/>
                <w:lang w:val="en-US"/>
              </w:rPr>
              <w:t>Studies conducted in LMIC healthcare or community pharmacy settings</w:t>
            </w:r>
          </w:p>
        </w:tc>
        <w:tc>
          <w:tcPr>
            <w:tcW w:w="4680" w:type="dxa"/>
            <w:tcMar/>
          </w:tcPr>
          <w:p w:rsidR="4836EBAA" w:rsidP="407E75B8" w:rsidRDefault="4836EBAA" w14:paraId="2A5EBC68" w14:textId="3D6F7156">
            <w:pPr>
              <w:pStyle w:val="ListParagraph"/>
              <w:bidi w:val="0"/>
              <w:jc w:val="both"/>
              <w:rPr>
                <w:rFonts w:ascii="Arial" w:hAnsi="Arial" w:eastAsia="Arial" w:cs="Arial"/>
                <w:noProof w:val="0"/>
                <w:sz w:val="24"/>
                <w:szCs w:val="24"/>
                <w:lang w:val="en-US"/>
              </w:rPr>
            </w:pPr>
            <w:r w:rsidRPr="3DC7A50A" w:rsidR="6264C8D5">
              <w:rPr>
                <w:rFonts w:ascii="Arial" w:hAnsi="Arial" w:eastAsia="Arial" w:cs="Arial"/>
                <w:noProof w:val="0"/>
                <w:sz w:val="24"/>
                <w:szCs w:val="24"/>
                <w:lang w:val="en-US"/>
              </w:rPr>
              <w:t>Editorials, commentaries, conference abstracts, reviews</w:t>
            </w:r>
          </w:p>
        </w:tc>
      </w:tr>
      <w:tr w:rsidR="722FFED0" w:rsidTr="3DC7A50A" w14:paraId="4860AE04">
        <w:trPr>
          <w:trHeight w:val="300"/>
        </w:trPr>
        <w:tc>
          <w:tcPr>
            <w:tcW w:w="4680" w:type="dxa"/>
            <w:tcMar/>
          </w:tcPr>
          <w:p w:rsidR="037DF393" w:rsidP="407E75B8" w:rsidRDefault="037DF393" w14:paraId="38397459" w14:textId="774E3A29">
            <w:pPr>
              <w:pStyle w:val="ListParagraph"/>
              <w:bidi w:val="0"/>
              <w:jc w:val="both"/>
              <w:rPr>
                <w:rFonts w:ascii="Arial" w:hAnsi="Arial" w:eastAsia="Arial" w:cs="Arial"/>
                <w:noProof w:val="0"/>
                <w:sz w:val="24"/>
                <w:szCs w:val="24"/>
                <w:lang w:val="en-US"/>
              </w:rPr>
            </w:pPr>
            <w:r w:rsidRPr="3DC7A50A" w:rsidR="6AB177D7">
              <w:rPr>
                <w:rFonts w:ascii="Arial" w:hAnsi="Arial" w:eastAsia="Arial" w:cs="Arial"/>
                <w:noProof w:val="0"/>
                <w:sz w:val="24"/>
                <w:szCs w:val="24"/>
                <w:lang w:val="en-US"/>
              </w:rPr>
              <w:t>Focus on pharmacist- or dispenser-related medication dispensing errors</w:t>
            </w:r>
          </w:p>
        </w:tc>
        <w:tc>
          <w:tcPr>
            <w:tcW w:w="4680" w:type="dxa"/>
            <w:tcMar/>
          </w:tcPr>
          <w:p w:rsidR="478E8E46" w:rsidP="407E75B8" w:rsidRDefault="478E8E46" w14:paraId="72319135" w14:textId="023B1226">
            <w:pPr>
              <w:pStyle w:val="ListParagraph"/>
              <w:bidi w:val="0"/>
              <w:jc w:val="both"/>
              <w:rPr>
                <w:rFonts w:ascii="Arial" w:hAnsi="Arial" w:eastAsia="Arial" w:cs="Arial"/>
                <w:noProof w:val="0"/>
                <w:sz w:val="24"/>
                <w:szCs w:val="24"/>
                <w:lang w:val="en-US"/>
              </w:rPr>
            </w:pPr>
            <w:r w:rsidRPr="3DC7A50A" w:rsidR="32EF60AC">
              <w:rPr>
                <w:rFonts w:ascii="Arial" w:hAnsi="Arial" w:eastAsia="Arial" w:cs="Arial"/>
                <w:noProof w:val="0"/>
                <w:sz w:val="24"/>
                <w:szCs w:val="24"/>
                <w:lang w:val="en-US"/>
              </w:rPr>
              <w:t>Studies conducted in high-income countries</w:t>
            </w:r>
          </w:p>
        </w:tc>
      </w:tr>
      <w:tr w:rsidR="722FFED0" w:rsidTr="3DC7A50A" w14:paraId="5762A21A">
        <w:trPr>
          <w:trHeight w:val="300"/>
        </w:trPr>
        <w:tc>
          <w:tcPr>
            <w:tcW w:w="4680" w:type="dxa"/>
            <w:tcMar/>
          </w:tcPr>
          <w:p w:rsidR="037DF393" w:rsidP="407E75B8" w:rsidRDefault="037DF393" w14:paraId="442B2E1C" w14:textId="3A0C4EE0">
            <w:pPr>
              <w:pStyle w:val="ListParagraph"/>
              <w:bidi w:val="0"/>
              <w:jc w:val="both"/>
              <w:rPr>
                <w:rFonts w:ascii="Arial" w:hAnsi="Arial" w:eastAsia="Arial" w:cs="Arial"/>
                <w:noProof w:val="0"/>
                <w:sz w:val="24"/>
                <w:szCs w:val="24"/>
                <w:lang w:val="en-US"/>
              </w:rPr>
            </w:pPr>
            <w:r w:rsidRPr="3DC7A50A" w:rsidR="6AB177D7">
              <w:rPr>
                <w:rFonts w:ascii="Arial" w:hAnsi="Arial" w:eastAsia="Arial" w:cs="Arial"/>
                <w:noProof w:val="0"/>
                <w:sz w:val="24"/>
                <w:szCs w:val="24"/>
                <w:lang w:val="en-US"/>
              </w:rPr>
              <w:t>Primary qualitative research (interviews, focus groups)</w:t>
            </w:r>
          </w:p>
        </w:tc>
        <w:tc>
          <w:tcPr>
            <w:tcW w:w="4680" w:type="dxa"/>
            <w:tcMar/>
          </w:tcPr>
          <w:p w:rsidR="5B409AF8" w:rsidP="407E75B8" w:rsidRDefault="5B409AF8" w14:paraId="7ADB9511" w14:textId="64FA4985">
            <w:pPr>
              <w:pStyle w:val="ListParagraph"/>
              <w:bidi w:val="0"/>
              <w:jc w:val="both"/>
              <w:rPr>
                <w:rFonts w:ascii="Arial" w:hAnsi="Arial" w:eastAsia="Arial" w:cs="Arial"/>
                <w:noProof w:val="0"/>
                <w:sz w:val="24"/>
                <w:szCs w:val="24"/>
                <w:lang w:val="en-US"/>
              </w:rPr>
            </w:pPr>
            <w:r w:rsidRPr="3DC7A50A" w:rsidR="4B636B94">
              <w:rPr>
                <w:rFonts w:ascii="Arial" w:hAnsi="Arial" w:eastAsia="Arial" w:cs="Arial"/>
                <w:noProof w:val="0"/>
                <w:sz w:val="24"/>
                <w:szCs w:val="24"/>
                <w:lang w:val="en-US"/>
              </w:rPr>
              <w:t>Studies focusing solely on prescribing errors or nursing errors</w:t>
            </w:r>
          </w:p>
          <w:p w:rsidR="722FFED0" w:rsidP="407E75B8" w:rsidRDefault="722FFED0" w14:paraId="79F5009F" w14:textId="0298D6C1">
            <w:pPr>
              <w:pStyle w:val="ListParagraph"/>
              <w:bidi w:val="0"/>
              <w:jc w:val="both"/>
              <w:rPr>
                <w:rFonts w:ascii="Arial" w:hAnsi="Arial" w:eastAsia="Arial" w:cs="Arial"/>
                <w:noProof w:val="0"/>
                <w:sz w:val="24"/>
                <w:szCs w:val="24"/>
                <w:lang w:val="en-US"/>
              </w:rPr>
            </w:pPr>
          </w:p>
        </w:tc>
      </w:tr>
      <w:tr w:rsidR="722FFED0" w:rsidTr="3DC7A50A" w14:paraId="40DF95C0">
        <w:trPr>
          <w:trHeight w:val="300"/>
        </w:trPr>
        <w:tc>
          <w:tcPr>
            <w:tcW w:w="4680" w:type="dxa"/>
            <w:tcMar/>
          </w:tcPr>
          <w:p w:rsidR="037DF393" w:rsidP="407E75B8" w:rsidRDefault="037DF393" w14:paraId="4CFFEB47" w14:textId="227ABB9C">
            <w:pPr>
              <w:pStyle w:val="ListParagraph"/>
              <w:bidi w:val="0"/>
              <w:jc w:val="both"/>
              <w:rPr>
                <w:rFonts w:ascii="Arial" w:hAnsi="Arial" w:eastAsia="Arial" w:cs="Arial"/>
                <w:noProof w:val="0"/>
                <w:sz w:val="24"/>
                <w:szCs w:val="24"/>
                <w:lang w:val="en-US"/>
              </w:rPr>
            </w:pPr>
            <w:r w:rsidRPr="3DC7A50A" w:rsidR="6AB177D7">
              <w:rPr>
                <w:rFonts w:ascii="Arial" w:hAnsi="Arial" w:eastAsia="Arial" w:cs="Arial"/>
                <w:noProof w:val="0"/>
                <w:sz w:val="24"/>
                <w:szCs w:val="24"/>
                <w:lang w:val="en-US"/>
              </w:rPr>
              <w:t>Publications from 2015-2025</w:t>
            </w:r>
          </w:p>
          <w:p w:rsidR="722FFED0" w:rsidP="407E75B8" w:rsidRDefault="722FFED0" w14:paraId="3369661E" w14:textId="369BA05E">
            <w:pPr>
              <w:pStyle w:val="ListParagraph"/>
              <w:bidi w:val="0"/>
              <w:jc w:val="both"/>
              <w:rPr>
                <w:rFonts w:ascii="Arial" w:hAnsi="Arial" w:eastAsia="Arial" w:cs="Arial"/>
                <w:noProof w:val="0"/>
                <w:sz w:val="24"/>
                <w:szCs w:val="24"/>
                <w:lang w:val="en-US"/>
              </w:rPr>
            </w:pPr>
          </w:p>
        </w:tc>
        <w:tc>
          <w:tcPr>
            <w:tcW w:w="4680" w:type="dxa"/>
            <w:tcMar/>
          </w:tcPr>
          <w:p w:rsidR="7261C393" w:rsidP="407E75B8" w:rsidRDefault="7261C393" w14:paraId="2EC9327D" w14:textId="70A2B5AA">
            <w:pPr>
              <w:pStyle w:val="ListParagraph"/>
              <w:bidi w:val="0"/>
              <w:jc w:val="both"/>
              <w:rPr>
                <w:rFonts w:ascii="Arial" w:hAnsi="Arial" w:eastAsia="Arial" w:cs="Arial"/>
                <w:noProof w:val="0"/>
                <w:sz w:val="24"/>
                <w:szCs w:val="24"/>
                <w:lang w:val="en-US"/>
              </w:rPr>
            </w:pPr>
            <w:r w:rsidRPr="3DC7A50A" w:rsidR="2D77F7C3">
              <w:rPr>
                <w:rFonts w:ascii="Arial" w:hAnsi="Arial" w:eastAsia="Arial" w:cs="Arial"/>
                <w:noProof w:val="0"/>
                <w:sz w:val="24"/>
                <w:szCs w:val="24"/>
                <w:lang w:val="en-US"/>
              </w:rPr>
              <w:t>Quantitative-only studies, surveys, or secondary analyses</w:t>
            </w:r>
          </w:p>
          <w:p w:rsidR="722FFED0" w:rsidP="407E75B8" w:rsidRDefault="722FFED0" w14:paraId="20A50DD5" w14:textId="1AD9325E">
            <w:pPr>
              <w:pStyle w:val="ListParagraph"/>
              <w:bidi w:val="0"/>
              <w:jc w:val="both"/>
              <w:rPr>
                <w:rFonts w:ascii="Arial" w:hAnsi="Arial" w:eastAsia="Arial" w:cs="Arial"/>
                <w:noProof w:val="0"/>
                <w:sz w:val="24"/>
                <w:szCs w:val="24"/>
                <w:lang w:val="en-US"/>
              </w:rPr>
            </w:pPr>
          </w:p>
        </w:tc>
      </w:tr>
      <w:tr w:rsidR="722FFED0" w:rsidTr="3DC7A50A" w14:paraId="6C14ADF7">
        <w:trPr>
          <w:trHeight w:val="300"/>
        </w:trPr>
        <w:tc>
          <w:tcPr>
            <w:tcW w:w="4680" w:type="dxa"/>
            <w:tcMar/>
          </w:tcPr>
          <w:p w:rsidR="037DF393" w:rsidP="407E75B8" w:rsidRDefault="037DF393" w14:paraId="0EF8FD88" w14:textId="723A4B83">
            <w:pPr>
              <w:pStyle w:val="ListParagraph"/>
              <w:bidi w:val="0"/>
              <w:jc w:val="both"/>
              <w:rPr>
                <w:rFonts w:ascii="Arial" w:hAnsi="Arial" w:eastAsia="Arial" w:cs="Arial"/>
                <w:noProof w:val="0"/>
                <w:sz w:val="24"/>
                <w:szCs w:val="24"/>
                <w:lang w:val="en-US"/>
              </w:rPr>
            </w:pPr>
            <w:r w:rsidRPr="3DC7A50A" w:rsidR="6AB177D7">
              <w:rPr>
                <w:rFonts w:ascii="Arial" w:hAnsi="Arial" w:eastAsia="Arial" w:cs="Arial"/>
                <w:noProof w:val="0"/>
                <w:sz w:val="24"/>
                <w:szCs w:val="24"/>
                <w:lang w:val="en-US"/>
              </w:rPr>
              <w:t>English-language publications</w:t>
            </w:r>
          </w:p>
          <w:p w:rsidR="722FFED0" w:rsidP="407E75B8" w:rsidRDefault="722FFED0" w14:paraId="0050B228" w14:textId="276AA367">
            <w:pPr>
              <w:pStyle w:val="ListParagraph"/>
              <w:bidi w:val="0"/>
              <w:jc w:val="both"/>
              <w:rPr>
                <w:rFonts w:ascii="Arial" w:hAnsi="Arial" w:eastAsia="Arial" w:cs="Arial"/>
                <w:noProof w:val="0"/>
                <w:sz w:val="24"/>
                <w:szCs w:val="24"/>
                <w:lang w:val="en-US"/>
              </w:rPr>
            </w:pPr>
          </w:p>
        </w:tc>
        <w:tc>
          <w:tcPr>
            <w:tcW w:w="4680" w:type="dxa"/>
            <w:tcMar/>
          </w:tcPr>
          <w:p w:rsidR="4E3828A2" w:rsidP="407E75B8" w:rsidRDefault="4E3828A2" w14:paraId="7D5A45BB" w14:textId="0FD3506F">
            <w:pPr>
              <w:pStyle w:val="ListParagraph"/>
              <w:bidi w:val="0"/>
              <w:jc w:val="both"/>
              <w:rPr>
                <w:rFonts w:ascii="Arial" w:hAnsi="Arial" w:eastAsia="Arial" w:cs="Arial"/>
                <w:noProof w:val="0"/>
                <w:sz w:val="24"/>
                <w:szCs w:val="24"/>
                <w:lang w:val="en-US"/>
              </w:rPr>
            </w:pPr>
            <w:r w:rsidRPr="3DC7A50A" w:rsidR="4983F5A8">
              <w:rPr>
                <w:rFonts w:ascii="Arial" w:hAnsi="Arial" w:eastAsia="Arial" w:cs="Arial"/>
                <w:noProof w:val="0"/>
                <w:sz w:val="24"/>
                <w:szCs w:val="24"/>
                <w:lang w:val="en-US"/>
              </w:rPr>
              <w:t>Publications before 2015</w:t>
            </w:r>
          </w:p>
        </w:tc>
      </w:tr>
      <w:tr w:rsidR="722FFED0" w:rsidTr="3DC7A50A" w14:paraId="7367D1BF">
        <w:trPr>
          <w:trHeight w:val="300"/>
        </w:trPr>
        <w:tc>
          <w:tcPr>
            <w:tcW w:w="4680" w:type="dxa"/>
            <w:tcMar/>
          </w:tcPr>
          <w:p w:rsidR="037DF393" w:rsidP="407E75B8" w:rsidRDefault="037DF393" w14:paraId="766CBA16" w14:textId="4FCA9536">
            <w:pPr>
              <w:pStyle w:val="ListParagraph"/>
              <w:bidi w:val="0"/>
              <w:jc w:val="both"/>
              <w:rPr>
                <w:rFonts w:ascii="Arial" w:hAnsi="Arial" w:eastAsia="Arial" w:cs="Arial"/>
                <w:noProof w:val="0"/>
                <w:sz w:val="24"/>
                <w:szCs w:val="24"/>
                <w:lang w:val="en-US"/>
              </w:rPr>
            </w:pPr>
            <w:r w:rsidRPr="3DC7A50A" w:rsidR="6AB177D7">
              <w:rPr>
                <w:rFonts w:ascii="Arial" w:hAnsi="Arial" w:eastAsia="Arial" w:cs="Arial"/>
                <w:noProof w:val="0"/>
                <w:sz w:val="24"/>
                <w:szCs w:val="24"/>
                <w:lang w:val="en-US"/>
              </w:rPr>
              <w:t>Studies reporting quality improvement interventions</w:t>
            </w:r>
          </w:p>
        </w:tc>
        <w:tc>
          <w:tcPr>
            <w:tcW w:w="4680" w:type="dxa"/>
            <w:tcMar/>
          </w:tcPr>
          <w:p w:rsidR="21C0E970" w:rsidP="407E75B8" w:rsidRDefault="21C0E970" w14:paraId="39049789" w14:textId="7590A258">
            <w:pPr>
              <w:pStyle w:val="ListParagraph"/>
              <w:bidi w:val="0"/>
              <w:jc w:val="both"/>
              <w:rPr>
                <w:rFonts w:ascii="Arial" w:hAnsi="Arial" w:eastAsia="Arial" w:cs="Arial"/>
                <w:noProof w:val="0"/>
                <w:sz w:val="24"/>
                <w:szCs w:val="24"/>
                <w:lang w:val="en-US"/>
              </w:rPr>
            </w:pPr>
            <w:r w:rsidRPr="3DC7A50A" w:rsidR="1E5E2031">
              <w:rPr>
                <w:rFonts w:ascii="Arial" w:hAnsi="Arial" w:eastAsia="Arial" w:cs="Arial"/>
                <w:noProof w:val="0"/>
                <w:sz w:val="24"/>
                <w:szCs w:val="24"/>
                <w:lang w:val="en-US"/>
              </w:rPr>
              <w:t>Non-English publications</w:t>
            </w:r>
          </w:p>
          <w:p w:rsidR="722FFED0" w:rsidP="407E75B8" w:rsidRDefault="722FFED0" w14:paraId="40665E97" w14:textId="5AC288C9">
            <w:pPr>
              <w:pStyle w:val="ListParagraph"/>
              <w:bidi w:val="0"/>
              <w:jc w:val="both"/>
              <w:rPr>
                <w:rFonts w:ascii="Arial" w:hAnsi="Arial" w:eastAsia="Arial" w:cs="Arial"/>
                <w:noProof w:val="0"/>
                <w:sz w:val="24"/>
                <w:szCs w:val="24"/>
                <w:lang w:val="en-US"/>
              </w:rPr>
            </w:pPr>
          </w:p>
        </w:tc>
      </w:tr>
    </w:tbl>
    <w:p w:rsidR="722FFED0" w:rsidP="722FFED0" w:rsidRDefault="722FFED0" w14:paraId="3DB69959" w14:textId="5DCC5127">
      <w:pPr>
        <w:pStyle w:val="ListParagraph"/>
        <w:suppressLineNumbers w:val="0"/>
        <w:bidi w:val="0"/>
        <w:spacing w:before="240" w:beforeAutospacing="off" w:after="240" w:afterAutospacing="off" w:line="279" w:lineRule="auto"/>
        <w:ind w:left="720" w:right="0"/>
        <w:jc w:val="both"/>
        <w:rPr>
          <w:rFonts w:ascii="Arial" w:hAnsi="Arial" w:eastAsia="Arial" w:cs="Arial"/>
          <w:noProof w:val="0"/>
          <w:sz w:val="24"/>
          <w:szCs w:val="24"/>
          <w:lang w:val="en-US"/>
        </w:rPr>
      </w:pPr>
    </w:p>
    <w:p w:rsidR="19C5569C" w:rsidP="3DC7A50A" w:rsidRDefault="19C5569C" w14:paraId="7492FC3F" w14:textId="576C6A32">
      <w:pPr>
        <w:pStyle w:val="Heading2"/>
        <w:rPr>
          <w:rFonts w:ascii="Arial" w:hAnsi="Arial" w:eastAsia="Arial" w:cs="Arial"/>
          <w:noProof w:val="0"/>
          <w:lang w:val="en-US"/>
        </w:rPr>
      </w:pPr>
      <w:bookmarkStart w:name="_Toc239247115" w:id="500802130"/>
      <w:r w:rsidRPr="3DC7A50A" w:rsidR="3842CC5D">
        <w:rPr>
          <w:rFonts w:ascii="Arial" w:hAnsi="Arial" w:eastAsia="Arial" w:cs="Arial"/>
          <w:noProof w:val="0"/>
          <w:lang w:val="en-US"/>
        </w:rPr>
        <w:t>3.</w:t>
      </w:r>
      <w:r w:rsidRPr="3DC7A50A" w:rsidR="79B82A44">
        <w:rPr>
          <w:rFonts w:ascii="Arial" w:hAnsi="Arial" w:eastAsia="Arial" w:cs="Arial"/>
          <w:noProof w:val="0"/>
          <w:lang w:val="en-US"/>
        </w:rPr>
        <w:t xml:space="preserve">6 </w:t>
      </w:r>
      <w:r w:rsidRPr="3DC7A50A" w:rsidR="3842CC5D">
        <w:rPr>
          <w:rFonts w:ascii="Arial" w:hAnsi="Arial" w:eastAsia="Arial" w:cs="Arial"/>
          <w:noProof w:val="0"/>
          <w:lang w:val="en-US"/>
        </w:rPr>
        <w:t>Quality Assessment (CASP Tool)</w:t>
      </w:r>
      <w:bookmarkEnd w:id="500802130"/>
    </w:p>
    <w:p w:rsidR="19C5569C" w:rsidP="3DC7A50A" w:rsidRDefault="19C5569C" w14:paraId="4772EFEC" w14:textId="06A24395">
      <w:pPr>
        <w:bidi w:val="0"/>
        <w:spacing w:before="240" w:beforeAutospacing="off" w:after="240" w:afterAutospacing="off"/>
        <w:jc w:val="both"/>
        <w:rPr>
          <w:rFonts w:ascii="Arial" w:hAnsi="Arial" w:eastAsia="Arial" w:cs="Arial"/>
          <w:noProof w:val="0"/>
          <w:sz w:val="24"/>
          <w:szCs w:val="24"/>
          <w:lang w:val="en-US"/>
        </w:rPr>
      </w:pPr>
      <w:r w:rsidRPr="3DC7A50A" w:rsidR="3BE50517">
        <w:rPr>
          <w:rFonts w:ascii="Arial" w:hAnsi="Arial" w:eastAsia="Arial" w:cs="Arial"/>
          <w:noProof w:val="0"/>
          <w:sz w:val="24"/>
          <w:szCs w:val="24"/>
          <w:lang w:val="en-US"/>
        </w:rPr>
        <w:t xml:space="preserve">The Critical Appraisal Skills </w:t>
      </w:r>
      <w:r w:rsidRPr="3DC7A50A" w:rsidR="3BE50517">
        <w:rPr>
          <w:rFonts w:ascii="Arial" w:hAnsi="Arial" w:eastAsia="Arial" w:cs="Arial"/>
          <w:noProof w:val="0"/>
          <w:sz w:val="24"/>
          <w:szCs w:val="24"/>
          <w:lang w:val="en-US"/>
        </w:rPr>
        <w:t>Programme</w:t>
      </w:r>
      <w:r w:rsidRPr="3DC7A50A" w:rsidR="3BE50517">
        <w:rPr>
          <w:rFonts w:ascii="Arial" w:hAnsi="Arial" w:eastAsia="Arial" w:cs="Arial"/>
          <w:noProof w:val="0"/>
          <w:sz w:val="24"/>
          <w:szCs w:val="24"/>
          <w:lang w:val="en-US"/>
        </w:rPr>
        <w:t xml:space="preserve"> (CASP) qualitative checklist was used to evaluate the methodological rigor of included studies. CASP assesses clarity of aims, appropriateness of </w:t>
      </w:r>
      <w:r w:rsidRPr="3DC7A50A" w:rsidR="3BE50517">
        <w:rPr>
          <w:rFonts w:ascii="Arial" w:hAnsi="Arial" w:eastAsia="Arial" w:cs="Arial"/>
          <w:noProof w:val="0"/>
          <w:sz w:val="24"/>
          <w:szCs w:val="24"/>
          <w:lang w:val="en-US"/>
        </w:rPr>
        <w:t>methodology</w:t>
      </w:r>
      <w:r w:rsidRPr="3DC7A50A" w:rsidR="3BE50517">
        <w:rPr>
          <w:rFonts w:ascii="Arial" w:hAnsi="Arial" w:eastAsia="Arial" w:cs="Arial"/>
          <w:noProof w:val="0"/>
          <w:sz w:val="24"/>
          <w:szCs w:val="24"/>
          <w:lang w:val="en-US"/>
        </w:rPr>
        <w:t>, data collection and analysis, ethical considerations, researcher reflexivity, and relevance of findings (Singh et al., 2021).</w:t>
      </w:r>
    </w:p>
    <w:p w:rsidR="19C5569C" w:rsidP="3DC7A50A" w:rsidRDefault="19C5569C" w14:paraId="1A53009F" w14:textId="2BA60E70">
      <w:pPr>
        <w:bidi w:val="0"/>
        <w:spacing w:before="240" w:beforeAutospacing="off" w:after="240" w:afterAutospacing="off"/>
        <w:jc w:val="both"/>
        <w:rPr>
          <w:rFonts w:ascii="Arial" w:hAnsi="Arial" w:eastAsia="Arial" w:cs="Arial"/>
          <w:noProof w:val="0"/>
          <w:sz w:val="24"/>
          <w:szCs w:val="24"/>
          <w:lang w:val="en-US"/>
        </w:rPr>
      </w:pPr>
      <w:r w:rsidRPr="3DC7A50A" w:rsidR="147258D8">
        <w:rPr>
          <w:rFonts w:ascii="Arial" w:hAnsi="Arial" w:eastAsia="Arial" w:cs="Arial"/>
          <w:noProof w:val="0"/>
          <w:sz w:val="24"/>
          <w:szCs w:val="24"/>
          <w:lang w:val="en-US"/>
        </w:rPr>
        <w:t xml:space="preserve">CASP was preferred over JBI or MMAT because it is specifically tailored for qualitative studies, </w:t>
      </w:r>
      <w:r w:rsidRPr="3DC7A50A" w:rsidR="147258D8">
        <w:rPr>
          <w:rFonts w:ascii="Arial" w:hAnsi="Arial" w:eastAsia="Arial" w:cs="Arial"/>
          <w:noProof w:val="0"/>
          <w:sz w:val="24"/>
          <w:szCs w:val="24"/>
          <w:lang w:val="en-US"/>
        </w:rPr>
        <w:t>emphasising</w:t>
      </w:r>
      <w:r w:rsidRPr="3DC7A50A" w:rsidR="147258D8">
        <w:rPr>
          <w:rFonts w:ascii="Arial" w:hAnsi="Arial" w:eastAsia="Arial" w:cs="Arial"/>
          <w:noProof w:val="0"/>
          <w:sz w:val="24"/>
          <w:szCs w:val="24"/>
          <w:lang w:val="en-US"/>
        </w:rPr>
        <w:t xml:space="preserve"> interpretive depth and context, which are crucial for understanding dispensing errors and intervention effectiveness in LMIC settings (Buccheri &amp; Sharifi, 2017). All </w:t>
      </w:r>
      <w:r w:rsidRPr="3DC7A50A" w:rsidR="213EAD87">
        <w:rPr>
          <w:rFonts w:ascii="Arial" w:hAnsi="Arial" w:eastAsia="Arial" w:cs="Arial"/>
          <w:noProof w:val="0"/>
          <w:sz w:val="24"/>
          <w:szCs w:val="24"/>
          <w:lang w:val="en-US"/>
        </w:rPr>
        <w:t>12</w:t>
      </w:r>
      <w:r w:rsidRPr="3DC7A50A" w:rsidR="147258D8">
        <w:rPr>
          <w:rFonts w:ascii="Arial" w:hAnsi="Arial" w:eastAsia="Arial" w:cs="Arial"/>
          <w:noProof w:val="0"/>
          <w:sz w:val="24"/>
          <w:szCs w:val="24"/>
          <w:lang w:val="en-US"/>
        </w:rPr>
        <w:t xml:space="preserve"> studies were critically appraised: 11 were rated high quality, and 4 moderate </w:t>
      </w:r>
      <w:r w:rsidRPr="3DC7A50A" w:rsidR="147258D8">
        <w:rPr>
          <w:rFonts w:ascii="Arial" w:hAnsi="Arial" w:eastAsia="Arial" w:cs="Arial"/>
          <w:noProof w:val="0"/>
          <w:sz w:val="24"/>
          <w:szCs w:val="24"/>
          <w:lang w:val="en-US"/>
        </w:rPr>
        <w:t>quality</w:t>
      </w:r>
      <w:r w:rsidRPr="3DC7A50A" w:rsidR="147258D8">
        <w:rPr>
          <w:rFonts w:ascii="Arial" w:hAnsi="Arial" w:eastAsia="Arial" w:cs="Arial"/>
          <w:noProof w:val="0"/>
          <w:sz w:val="24"/>
          <w:szCs w:val="24"/>
          <w:lang w:val="en-US"/>
        </w:rPr>
        <w:t>. Appraisal results informed interpretation of findings and identification of recurring themes such as inadequate training, systemic workflow challenges, and the effectiveness of structured interventions (Roche et al., 2021; Crafford et al., 2024).</w:t>
      </w:r>
      <w:r w:rsidRPr="3DC7A50A" w:rsidR="52BB7064">
        <w:rPr>
          <w:rFonts w:ascii="Arial" w:hAnsi="Arial" w:eastAsia="Arial" w:cs="Arial"/>
          <w:noProof w:val="0"/>
          <w:sz w:val="24"/>
          <w:szCs w:val="24"/>
          <w:lang w:val="en-US"/>
        </w:rPr>
        <w:t xml:space="preserve"> </w:t>
      </w:r>
    </w:p>
    <w:p w:rsidR="645303FE" w:rsidP="3DC7A50A" w:rsidRDefault="645303FE" w14:paraId="42D7DBCB" w14:textId="2B99A0FE">
      <w:pPr>
        <w:pStyle w:val="Heading3"/>
        <w:bidi w:val="0"/>
        <w:rPr>
          <w:rFonts w:ascii="Arial" w:hAnsi="Arial" w:eastAsia="Arial" w:cs="Arial"/>
        </w:rPr>
      </w:pPr>
      <w:bookmarkStart w:name="_Toc869122625" w:id="1914035896"/>
      <w:r w:rsidR="2ECBCC45">
        <w:rPr/>
        <w:t>TABLE 3.2 CASP</w:t>
      </w:r>
      <w:bookmarkEnd w:id="1914035896"/>
    </w:p>
    <w:p w:rsidR="645303FE" w:rsidP="3DC7A50A" w:rsidRDefault="645303FE" w14:paraId="30E6F57F" w14:textId="24146B90">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6FD03103">
        <w:rPr>
          <w:rFonts w:ascii="Arial" w:hAnsi="Arial" w:eastAsia="Arial" w:cs="Arial"/>
          <w:b w:val="1"/>
          <w:bCs w:val="1"/>
          <w:noProof w:val="0"/>
          <w:sz w:val="24"/>
          <w:szCs w:val="24"/>
          <w:lang w:val="en-US"/>
        </w:rPr>
        <w:t>Comparison of Qualitative Appraisal Tools and Rationale for CASP Selection</w:t>
      </w:r>
    </w:p>
    <w:tbl>
      <w:tblPr>
        <w:tblStyle w:val="TableGrid"/>
        <w:bidiVisual w:val="0"/>
        <w:tblW w:w="0" w:type="auto"/>
        <w:tblLook w:val="06A0" w:firstRow="1" w:lastRow="0" w:firstColumn="1" w:lastColumn="0" w:noHBand="1" w:noVBand="1"/>
      </w:tblPr>
      <w:tblGrid>
        <w:gridCol w:w="1872"/>
        <w:gridCol w:w="1872"/>
        <w:gridCol w:w="1872"/>
        <w:gridCol w:w="1872"/>
        <w:gridCol w:w="1872"/>
      </w:tblGrid>
      <w:tr w:rsidR="4369956E" w:rsidTr="3DC7A50A" w14:paraId="1D4318CF">
        <w:trPr>
          <w:trHeight w:val="300"/>
        </w:trPr>
        <w:tc>
          <w:tcPr>
            <w:tcW w:w="1872" w:type="dxa"/>
            <w:tcMar/>
          </w:tcPr>
          <w:p w:rsidR="4258168E" w:rsidP="4369956E" w:rsidRDefault="4258168E" w14:paraId="04328CC2" w14:textId="11D42DBC">
            <w:pPr>
              <w:pStyle w:val="Normal"/>
              <w:bidi w:val="0"/>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Appraisal Tool</w:t>
            </w:r>
          </w:p>
          <w:p w:rsidR="4369956E" w:rsidP="4369956E" w:rsidRDefault="4369956E" w14:paraId="7BC221DE" w14:textId="52B4277F">
            <w:pPr>
              <w:pStyle w:val="Normal"/>
              <w:bidi w:val="0"/>
              <w:rPr>
                <w:rFonts w:ascii="Arial" w:hAnsi="Arial" w:eastAsia="Arial" w:cs="Arial"/>
                <w:b w:val="1"/>
                <w:bCs w:val="1"/>
                <w:noProof w:val="0"/>
                <w:sz w:val="24"/>
                <w:szCs w:val="24"/>
                <w:lang w:val="en-US"/>
              </w:rPr>
            </w:pPr>
          </w:p>
        </w:tc>
        <w:tc>
          <w:tcPr>
            <w:tcW w:w="1872" w:type="dxa"/>
            <w:tcMar/>
          </w:tcPr>
          <w:p w:rsidR="4258168E" w:rsidP="3DC7A50A" w:rsidRDefault="4258168E" w14:paraId="75ED89FA" w14:textId="3C186174">
            <w:pPr>
              <w:pStyle w:val="Normal"/>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Study Types</w:t>
            </w:r>
          </w:p>
          <w:p w:rsidR="4369956E" w:rsidP="4369956E" w:rsidRDefault="4369956E" w14:paraId="609D6D86" w14:textId="3005E839">
            <w:pPr>
              <w:pStyle w:val="Normal"/>
              <w:bidi w:val="0"/>
              <w:rPr>
                <w:rFonts w:ascii="Arial" w:hAnsi="Arial" w:eastAsia="Arial" w:cs="Arial"/>
                <w:b w:val="1"/>
                <w:bCs w:val="1"/>
                <w:noProof w:val="0"/>
                <w:sz w:val="24"/>
                <w:szCs w:val="24"/>
                <w:lang w:val="en-US"/>
              </w:rPr>
            </w:pPr>
          </w:p>
        </w:tc>
        <w:tc>
          <w:tcPr>
            <w:tcW w:w="1872" w:type="dxa"/>
            <w:tcMar/>
          </w:tcPr>
          <w:p w:rsidR="4258168E" w:rsidP="3DC7A50A" w:rsidRDefault="4258168E" w14:paraId="4FA6AC75" w14:textId="10774B4D">
            <w:pPr>
              <w:pStyle w:val="Normal"/>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Strengths</w:t>
            </w:r>
          </w:p>
        </w:tc>
        <w:tc>
          <w:tcPr>
            <w:tcW w:w="1872" w:type="dxa"/>
            <w:tcMar/>
          </w:tcPr>
          <w:p w:rsidR="4258168E" w:rsidP="3DC7A50A" w:rsidRDefault="4258168E" w14:paraId="7F0C15C7" w14:textId="0C80DA9D">
            <w:pPr>
              <w:pStyle w:val="Normal"/>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Limitations</w:t>
            </w:r>
          </w:p>
          <w:p w:rsidR="4369956E" w:rsidP="4369956E" w:rsidRDefault="4369956E" w14:paraId="29A5AA10" w14:textId="1CA8BC13">
            <w:pPr>
              <w:pStyle w:val="Normal"/>
              <w:bidi w:val="0"/>
              <w:rPr>
                <w:rFonts w:ascii="Arial" w:hAnsi="Arial" w:eastAsia="Arial" w:cs="Arial"/>
                <w:b w:val="1"/>
                <w:bCs w:val="1"/>
                <w:noProof w:val="0"/>
                <w:sz w:val="24"/>
                <w:szCs w:val="24"/>
                <w:lang w:val="en-US"/>
              </w:rPr>
            </w:pPr>
          </w:p>
        </w:tc>
        <w:tc>
          <w:tcPr>
            <w:tcW w:w="1872" w:type="dxa"/>
            <w:tcMar/>
          </w:tcPr>
          <w:p w:rsidR="4258168E" w:rsidP="3DC7A50A" w:rsidRDefault="4258168E" w14:paraId="796AC43E" w14:textId="3CDE3D8F">
            <w:pPr>
              <w:pStyle w:val="Normal"/>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Rationale</w:t>
            </w:r>
          </w:p>
        </w:tc>
      </w:tr>
      <w:tr w:rsidR="4369956E" w:rsidTr="3DC7A50A" w14:paraId="26821AD8">
        <w:trPr>
          <w:trHeight w:val="300"/>
        </w:trPr>
        <w:tc>
          <w:tcPr>
            <w:tcW w:w="1872" w:type="dxa"/>
            <w:tcMar/>
          </w:tcPr>
          <w:p w:rsidR="4258168E" w:rsidP="4369956E" w:rsidRDefault="4258168E" w14:paraId="3DA995DB" w14:textId="0FB18036">
            <w:pPr>
              <w:pStyle w:val="Normal"/>
              <w:bidi w:val="0"/>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CASP</w:t>
            </w:r>
          </w:p>
        </w:tc>
        <w:tc>
          <w:tcPr>
            <w:tcW w:w="1872" w:type="dxa"/>
            <w:tcMar/>
          </w:tcPr>
          <w:p w:rsidR="4258168E" w:rsidP="4369956E" w:rsidRDefault="4258168E" w14:paraId="6B68C15F" w14:textId="1500F3B2">
            <w:pPr>
              <w:pStyle w:val="Normal"/>
              <w:bidi w:val="0"/>
              <w:rPr>
                <w:rFonts w:ascii="Arial" w:hAnsi="Arial" w:eastAsia="Arial" w:cs="Arial"/>
                <w:b w:val="0"/>
                <w:bCs w:val="0"/>
                <w:noProof w:val="0"/>
                <w:sz w:val="24"/>
                <w:szCs w:val="24"/>
                <w:lang w:val="en-US"/>
              </w:rPr>
            </w:pPr>
            <w:r w:rsidRPr="3DC7A50A" w:rsidR="58C16C47">
              <w:rPr>
                <w:rFonts w:ascii="Arial" w:hAnsi="Arial" w:eastAsia="Arial" w:cs="Arial"/>
                <w:b w:val="0"/>
                <w:bCs w:val="0"/>
                <w:noProof w:val="0"/>
                <w:sz w:val="24"/>
                <w:szCs w:val="24"/>
                <w:lang w:val="en-US"/>
              </w:rPr>
              <w:t>Qualitative</w:t>
            </w:r>
          </w:p>
        </w:tc>
        <w:tc>
          <w:tcPr>
            <w:tcW w:w="1872" w:type="dxa"/>
            <w:tcMar/>
          </w:tcPr>
          <w:p w:rsidR="3788F3BF" w:rsidP="4369956E" w:rsidRDefault="3788F3BF" w14:paraId="60CFF96C" w14:textId="2F1FB58A">
            <w:pPr>
              <w:pStyle w:val="Normal"/>
              <w:bidi w:val="0"/>
              <w:rPr>
                <w:rFonts w:ascii="Arial" w:hAnsi="Arial" w:eastAsia="Arial" w:cs="Arial"/>
                <w:b w:val="0"/>
                <w:bCs w:val="0"/>
                <w:noProof w:val="0"/>
                <w:sz w:val="24"/>
                <w:szCs w:val="24"/>
                <w:lang w:val="en-US"/>
              </w:rPr>
            </w:pPr>
            <w:r w:rsidRPr="3DC7A50A" w:rsidR="2F74C18B">
              <w:rPr>
                <w:rFonts w:ascii="Arial" w:hAnsi="Arial" w:eastAsia="Arial" w:cs="Arial"/>
                <w:b w:val="0"/>
                <w:bCs w:val="0"/>
                <w:noProof w:val="0"/>
                <w:sz w:val="24"/>
                <w:szCs w:val="24"/>
                <w:lang w:val="en-US"/>
              </w:rPr>
              <w:t>Emphasises</w:t>
            </w:r>
            <w:r w:rsidRPr="3DC7A50A" w:rsidR="2F74C18B">
              <w:rPr>
                <w:rFonts w:ascii="Arial" w:hAnsi="Arial" w:eastAsia="Arial" w:cs="Arial"/>
                <w:b w:val="0"/>
                <w:bCs w:val="0"/>
                <w:noProof w:val="0"/>
                <w:sz w:val="24"/>
                <w:szCs w:val="24"/>
                <w:lang w:val="en-US"/>
              </w:rPr>
              <w:t xml:space="preserve"> </w:t>
            </w:r>
            <w:r w:rsidRPr="3DC7A50A" w:rsidR="2F74C18B">
              <w:rPr>
                <w:rFonts w:ascii="Arial" w:hAnsi="Arial" w:eastAsia="Arial" w:cs="Arial"/>
                <w:b w:val="0"/>
                <w:bCs w:val="0"/>
                <w:noProof w:val="0"/>
                <w:sz w:val="24"/>
                <w:szCs w:val="24"/>
                <w:lang w:val="en-US"/>
              </w:rPr>
              <w:t>rigour</w:t>
            </w:r>
            <w:r w:rsidRPr="3DC7A50A" w:rsidR="2F74C18B">
              <w:rPr>
                <w:rFonts w:ascii="Arial" w:hAnsi="Arial" w:eastAsia="Arial" w:cs="Arial"/>
                <w:b w:val="0"/>
                <w:bCs w:val="0"/>
                <w:noProof w:val="0"/>
                <w:sz w:val="24"/>
                <w:szCs w:val="24"/>
                <w:lang w:val="en-US"/>
              </w:rPr>
              <w:t>, reflexivity, ethics, and context</w:t>
            </w:r>
          </w:p>
        </w:tc>
        <w:tc>
          <w:tcPr>
            <w:tcW w:w="1872" w:type="dxa"/>
            <w:tcMar/>
          </w:tcPr>
          <w:p w:rsidR="3788F3BF" w:rsidP="4369956E" w:rsidRDefault="3788F3BF" w14:paraId="5EC448AB" w14:textId="4DAC318D">
            <w:pPr>
              <w:pStyle w:val="Normal"/>
              <w:bidi w:val="0"/>
              <w:rPr>
                <w:rFonts w:ascii="Arial" w:hAnsi="Arial" w:eastAsia="Arial" w:cs="Arial"/>
                <w:b w:val="0"/>
                <w:bCs w:val="0"/>
                <w:noProof w:val="0"/>
                <w:sz w:val="24"/>
                <w:szCs w:val="24"/>
                <w:lang w:val="en-US"/>
              </w:rPr>
            </w:pPr>
            <w:r w:rsidRPr="3DC7A50A" w:rsidR="2F74C18B">
              <w:rPr>
                <w:rFonts w:ascii="Arial" w:hAnsi="Arial" w:eastAsia="Arial" w:cs="Arial"/>
                <w:b w:val="0"/>
                <w:bCs w:val="0"/>
                <w:noProof w:val="0"/>
                <w:sz w:val="24"/>
                <w:szCs w:val="24"/>
                <w:lang w:val="en-US"/>
              </w:rPr>
              <w:t>Less statistical focus</w:t>
            </w:r>
          </w:p>
        </w:tc>
        <w:tc>
          <w:tcPr>
            <w:tcW w:w="1872" w:type="dxa"/>
            <w:tcMar/>
          </w:tcPr>
          <w:p w:rsidR="3788F3BF" w:rsidP="4369956E" w:rsidRDefault="3788F3BF" w14:paraId="29AB212F" w14:textId="098C5A9F">
            <w:pPr>
              <w:pStyle w:val="Normal"/>
              <w:bidi w:val="0"/>
              <w:rPr>
                <w:rFonts w:ascii="Arial" w:hAnsi="Arial" w:eastAsia="Arial" w:cs="Arial"/>
                <w:b w:val="0"/>
                <w:bCs w:val="0"/>
                <w:noProof w:val="0"/>
                <w:sz w:val="24"/>
                <w:szCs w:val="24"/>
                <w:lang w:val="en-US"/>
              </w:rPr>
            </w:pPr>
            <w:r w:rsidRPr="3DC7A50A" w:rsidR="2F74C18B">
              <w:rPr>
                <w:rFonts w:ascii="Arial" w:hAnsi="Arial" w:eastAsia="Arial" w:cs="Arial"/>
                <w:b w:val="0"/>
                <w:bCs w:val="0"/>
                <w:noProof w:val="0"/>
                <w:sz w:val="24"/>
                <w:szCs w:val="24"/>
                <w:lang w:val="en-US"/>
              </w:rPr>
              <w:t>Selected – best suited for qualitative synthesis</w:t>
            </w:r>
          </w:p>
        </w:tc>
      </w:tr>
      <w:tr w:rsidR="4369956E" w:rsidTr="3DC7A50A" w14:paraId="59E852C4">
        <w:trPr>
          <w:trHeight w:val="300"/>
        </w:trPr>
        <w:tc>
          <w:tcPr>
            <w:tcW w:w="1872" w:type="dxa"/>
            <w:tcMar/>
          </w:tcPr>
          <w:p w:rsidR="4258168E" w:rsidP="4369956E" w:rsidRDefault="4258168E" w14:paraId="25D3E2A6" w14:textId="4C4E32C1">
            <w:pPr>
              <w:pStyle w:val="Normal"/>
              <w:bidi w:val="0"/>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JBI</w:t>
            </w:r>
          </w:p>
        </w:tc>
        <w:tc>
          <w:tcPr>
            <w:tcW w:w="1872" w:type="dxa"/>
            <w:tcMar/>
          </w:tcPr>
          <w:p w:rsidR="4258168E" w:rsidP="4369956E" w:rsidRDefault="4258168E" w14:paraId="2F13A947" w14:textId="203F53AE">
            <w:pPr>
              <w:pStyle w:val="Normal"/>
              <w:bidi w:val="0"/>
              <w:rPr>
                <w:rFonts w:ascii="Arial" w:hAnsi="Arial" w:eastAsia="Arial" w:cs="Arial"/>
                <w:b w:val="0"/>
                <w:bCs w:val="0"/>
                <w:noProof w:val="0"/>
                <w:sz w:val="24"/>
                <w:szCs w:val="24"/>
                <w:lang w:val="en-US"/>
              </w:rPr>
            </w:pPr>
            <w:r w:rsidRPr="3DC7A50A" w:rsidR="58C16C47">
              <w:rPr>
                <w:rFonts w:ascii="Arial" w:hAnsi="Arial" w:eastAsia="Arial" w:cs="Arial"/>
                <w:b w:val="0"/>
                <w:bCs w:val="0"/>
                <w:noProof w:val="0"/>
                <w:sz w:val="24"/>
                <w:szCs w:val="24"/>
                <w:lang w:val="en-US"/>
              </w:rPr>
              <w:t xml:space="preserve">Qualitative &amp; mixed </w:t>
            </w:r>
          </w:p>
        </w:tc>
        <w:tc>
          <w:tcPr>
            <w:tcW w:w="1872" w:type="dxa"/>
            <w:tcMar/>
          </w:tcPr>
          <w:p w:rsidR="4A6F1FE0" w:rsidP="4369956E" w:rsidRDefault="4A6F1FE0" w14:paraId="616B05D7" w14:textId="091E59FD">
            <w:pPr>
              <w:pStyle w:val="Normal"/>
              <w:bidi w:val="0"/>
              <w:rPr>
                <w:rFonts w:ascii="Arial" w:hAnsi="Arial" w:eastAsia="Arial" w:cs="Arial"/>
                <w:b w:val="0"/>
                <w:bCs w:val="0"/>
                <w:noProof w:val="0"/>
                <w:sz w:val="24"/>
                <w:szCs w:val="24"/>
                <w:lang w:val="en-US"/>
              </w:rPr>
            </w:pPr>
            <w:r w:rsidRPr="3DC7A50A" w:rsidR="5FC68338">
              <w:rPr>
                <w:rFonts w:ascii="Arial" w:hAnsi="Arial" w:eastAsia="Arial" w:cs="Arial"/>
                <w:b w:val="0"/>
                <w:bCs w:val="0"/>
                <w:noProof w:val="0"/>
                <w:sz w:val="24"/>
                <w:szCs w:val="24"/>
                <w:lang w:val="en-US"/>
              </w:rPr>
              <w:t>Structured and comprehensive</w:t>
            </w:r>
          </w:p>
        </w:tc>
        <w:tc>
          <w:tcPr>
            <w:tcW w:w="1872" w:type="dxa"/>
            <w:tcMar/>
          </w:tcPr>
          <w:p w:rsidR="4BF5A5B5" w:rsidP="4369956E" w:rsidRDefault="4BF5A5B5" w14:paraId="2959C1CE" w14:textId="223A0C10">
            <w:pPr>
              <w:pStyle w:val="Normal"/>
              <w:bidi w:val="0"/>
              <w:rPr>
                <w:rFonts w:ascii="Arial" w:hAnsi="Arial" w:eastAsia="Arial" w:cs="Arial"/>
                <w:b w:val="0"/>
                <w:bCs w:val="0"/>
                <w:noProof w:val="0"/>
                <w:sz w:val="24"/>
                <w:szCs w:val="24"/>
                <w:lang w:val="en-US"/>
              </w:rPr>
            </w:pPr>
            <w:r w:rsidRPr="3DC7A50A" w:rsidR="5E32ED57">
              <w:rPr>
                <w:rFonts w:ascii="Arial" w:hAnsi="Arial" w:eastAsia="Arial" w:cs="Arial"/>
                <w:b w:val="0"/>
                <w:bCs w:val="0"/>
                <w:noProof w:val="0"/>
                <w:sz w:val="24"/>
                <w:szCs w:val="24"/>
                <w:lang w:val="en-US"/>
              </w:rPr>
              <w:t>More checklist-driven, less interpretive</w:t>
            </w:r>
          </w:p>
        </w:tc>
        <w:tc>
          <w:tcPr>
            <w:tcW w:w="1872" w:type="dxa"/>
            <w:tcMar/>
          </w:tcPr>
          <w:p w:rsidR="4BF5A5B5" w:rsidP="4369956E" w:rsidRDefault="4BF5A5B5" w14:paraId="05E2BB9C" w14:textId="00D24771">
            <w:pPr>
              <w:pStyle w:val="Normal"/>
              <w:bidi w:val="0"/>
              <w:rPr>
                <w:rFonts w:ascii="Arial" w:hAnsi="Arial" w:eastAsia="Arial" w:cs="Arial"/>
                <w:b w:val="0"/>
                <w:bCs w:val="0"/>
                <w:noProof w:val="0"/>
                <w:sz w:val="24"/>
                <w:szCs w:val="24"/>
                <w:lang w:val="en-US"/>
              </w:rPr>
            </w:pPr>
            <w:r w:rsidRPr="3DC7A50A" w:rsidR="5E32ED57">
              <w:rPr>
                <w:rFonts w:ascii="Arial" w:hAnsi="Arial" w:eastAsia="Arial" w:cs="Arial"/>
                <w:b w:val="0"/>
                <w:bCs w:val="0"/>
                <w:noProof w:val="0"/>
                <w:sz w:val="24"/>
                <w:szCs w:val="24"/>
                <w:lang w:val="en-US"/>
              </w:rPr>
              <w:t>Not selected</w:t>
            </w:r>
          </w:p>
        </w:tc>
      </w:tr>
      <w:tr w:rsidR="4369956E" w:rsidTr="3DC7A50A" w14:paraId="4F874562">
        <w:trPr>
          <w:trHeight w:val="300"/>
        </w:trPr>
        <w:tc>
          <w:tcPr>
            <w:tcW w:w="1872" w:type="dxa"/>
            <w:tcMar/>
          </w:tcPr>
          <w:p w:rsidR="4258168E" w:rsidP="4369956E" w:rsidRDefault="4258168E" w14:paraId="412188DB" w14:textId="2C48EC49">
            <w:pPr>
              <w:pStyle w:val="Normal"/>
              <w:bidi w:val="0"/>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MMAT</w:t>
            </w:r>
          </w:p>
        </w:tc>
        <w:tc>
          <w:tcPr>
            <w:tcW w:w="1872" w:type="dxa"/>
            <w:tcMar/>
          </w:tcPr>
          <w:p w:rsidR="4258168E" w:rsidP="4369956E" w:rsidRDefault="4258168E" w14:paraId="5AAFD33D" w14:textId="44030322">
            <w:pPr>
              <w:pStyle w:val="Normal"/>
              <w:bidi w:val="0"/>
              <w:rPr>
                <w:rFonts w:ascii="Arial" w:hAnsi="Arial" w:eastAsia="Arial" w:cs="Arial"/>
                <w:b w:val="0"/>
                <w:bCs w:val="0"/>
                <w:noProof w:val="0"/>
                <w:sz w:val="24"/>
                <w:szCs w:val="24"/>
                <w:lang w:val="en-US"/>
              </w:rPr>
            </w:pPr>
            <w:r w:rsidRPr="3DC7A50A" w:rsidR="58C16C47">
              <w:rPr>
                <w:rFonts w:ascii="Arial" w:hAnsi="Arial" w:eastAsia="Arial" w:cs="Arial"/>
                <w:b w:val="0"/>
                <w:bCs w:val="0"/>
                <w:noProof w:val="0"/>
                <w:sz w:val="24"/>
                <w:szCs w:val="24"/>
                <w:lang w:val="en-US"/>
              </w:rPr>
              <w:t>Mixed methods</w:t>
            </w:r>
          </w:p>
        </w:tc>
        <w:tc>
          <w:tcPr>
            <w:tcW w:w="1872" w:type="dxa"/>
            <w:tcMar/>
          </w:tcPr>
          <w:p w:rsidR="5AEBA52F" w:rsidP="4369956E" w:rsidRDefault="5AEBA52F" w14:paraId="112B6716" w14:textId="00034E32">
            <w:pPr>
              <w:pStyle w:val="Normal"/>
              <w:bidi w:val="0"/>
              <w:rPr>
                <w:rFonts w:ascii="Arial" w:hAnsi="Arial" w:eastAsia="Arial" w:cs="Arial"/>
                <w:b w:val="0"/>
                <w:bCs w:val="0"/>
                <w:noProof w:val="0"/>
                <w:sz w:val="24"/>
                <w:szCs w:val="24"/>
                <w:lang w:val="en-US"/>
              </w:rPr>
            </w:pPr>
            <w:r w:rsidRPr="3DC7A50A" w:rsidR="395AB0CD">
              <w:rPr>
                <w:rFonts w:ascii="Arial" w:hAnsi="Arial" w:eastAsia="Arial" w:cs="Arial"/>
                <w:b w:val="0"/>
                <w:bCs w:val="0"/>
                <w:noProof w:val="0"/>
                <w:sz w:val="24"/>
                <w:szCs w:val="24"/>
                <w:lang w:val="en-US"/>
              </w:rPr>
              <w:t>Allows cross-design appraisal</w:t>
            </w:r>
          </w:p>
        </w:tc>
        <w:tc>
          <w:tcPr>
            <w:tcW w:w="1872" w:type="dxa"/>
            <w:tcMar/>
          </w:tcPr>
          <w:p w:rsidR="5AEBA52F" w:rsidP="4369956E" w:rsidRDefault="5AEBA52F" w14:paraId="005E8FCD" w14:textId="4A447F66">
            <w:pPr>
              <w:pStyle w:val="Normal"/>
              <w:bidi w:val="0"/>
              <w:rPr>
                <w:rFonts w:ascii="Arial" w:hAnsi="Arial" w:eastAsia="Arial" w:cs="Arial"/>
                <w:b w:val="0"/>
                <w:bCs w:val="0"/>
                <w:noProof w:val="0"/>
                <w:sz w:val="24"/>
                <w:szCs w:val="24"/>
                <w:lang w:val="en-US"/>
              </w:rPr>
            </w:pPr>
            <w:r w:rsidRPr="3DC7A50A" w:rsidR="395AB0CD">
              <w:rPr>
                <w:rFonts w:ascii="Arial" w:hAnsi="Arial" w:eastAsia="Arial" w:cs="Arial"/>
                <w:b w:val="0"/>
                <w:bCs w:val="0"/>
                <w:noProof w:val="0"/>
                <w:sz w:val="24"/>
                <w:szCs w:val="24"/>
                <w:lang w:val="en-US"/>
              </w:rPr>
              <w:t>Limited qualitative depth</w:t>
            </w:r>
          </w:p>
          <w:p w:rsidR="4369956E" w:rsidP="4369956E" w:rsidRDefault="4369956E" w14:paraId="2874B5C8" w14:textId="154CFB9B">
            <w:pPr>
              <w:pStyle w:val="Normal"/>
              <w:bidi w:val="0"/>
              <w:rPr>
                <w:rFonts w:ascii="Arial" w:hAnsi="Arial" w:eastAsia="Arial" w:cs="Arial"/>
                <w:b w:val="0"/>
                <w:bCs w:val="0"/>
                <w:noProof w:val="0"/>
                <w:sz w:val="24"/>
                <w:szCs w:val="24"/>
                <w:lang w:val="en-US"/>
              </w:rPr>
            </w:pPr>
          </w:p>
        </w:tc>
        <w:tc>
          <w:tcPr>
            <w:tcW w:w="1872" w:type="dxa"/>
            <w:tcMar/>
          </w:tcPr>
          <w:p w:rsidR="5AEBA52F" w:rsidP="4369956E" w:rsidRDefault="5AEBA52F" w14:paraId="3125F011" w14:textId="4ECE5747">
            <w:pPr>
              <w:pStyle w:val="Normal"/>
              <w:bidi w:val="0"/>
              <w:rPr>
                <w:rFonts w:ascii="Arial" w:hAnsi="Arial" w:eastAsia="Arial" w:cs="Arial"/>
                <w:b w:val="0"/>
                <w:bCs w:val="0"/>
                <w:noProof w:val="0"/>
                <w:sz w:val="24"/>
                <w:szCs w:val="24"/>
                <w:lang w:val="en-US"/>
              </w:rPr>
            </w:pPr>
            <w:r w:rsidRPr="3DC7A50A" w:rsidR="395AB0CD">
              <w:rPr>
                <w:rFonts w:ascii="Arial" w:hAnsi="Arial" w:eastAsia="Arial" w:cs="Arial"/>
                <w:b w:val="0"/>
                <w:bCs w:val="0"/>
                <w:noProof w:val="0"/>
                <w:sz w:val="24"/>
                <w:szCs w:val="24"/>
                <w:lang w:val="en-US"/>
              </w:rPr>
              <w:t>Not selected</w:t>
            </w:r>
          </w:p>
        </w:tc>
      </w:tr>
      <w:tr w:rsidR="4369956E" w:rsidTr="3DC7A50A" w14:paraId="4EDCEBB1">
        <w:trPr>
          <w:trHeight w:val="300"/>
        </w:trPr>
        <w:tc>
          <w:tcPr>
            <w:tcW w:w="1872" w:type="dxa"/>
            <w:tcMar/>
          </w:tcPr>
          <w:p w:rsidR="4258168E" w:rsidP="4369956E" w:rsidRDefault="4258168E" w14:paraId="797631C0" w14:textId="705E6313">
            <w:pPr>
              <w:pStyle w:val="Normal"/>
              <w:bidi w:val="0"/>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AMSTAR-2</w:t>
            </w:r>
          </w:p>
        </w:tc>
        <w:tc>
          <w:tcPr>
            <w:tcW w:w="1872" w:type="dxa"/>
            <w:tcMar/>
          </w:tcPr>
          <w:p w:rsidR="4258168E" w:rsidP="4369956E" w:rsidRDefault="4258168E" w14:paraId="2F6A1CCF" w14:textId="2719B16C">
            <w:pPr>
              <w:pStyle w:val="Normal"/>
              <w:bidi w:val="0"/>
              <w:rPr>
                <w:rFonts w:ascii="Arial" w:hAnsi="Arial" w:eastAsia="Arial" w:cs="Arial"/>
                <w:b w:val="0"/>
                <w:bCs w:val="0"/>
                <w:noProof w:val="0"/>
                <w:sz w:val="24"/>
                <w:szCs w:val="24"/>
                <w:lang w:val="en-US"/>
              </w:rPr>
            </w:pPr>
            <w:r w:rsidRPr="3DC7A50A" w:rsidR="58C16C47">
              <w:rPr>
                <w:rFonts w:ascii="Arial" w:hAnsi="Arial" w:eastAsia="Arial" w:cs="Arial"/>
                <w:b w:val="0"/>
                <w:bCs w:val="0"/>
                <w:noProof w:val="0"/>
                <w:sz w:val="24"/>
                <w:szCs w:val="24"/>
                <w:lang w:val="en-US"/>
              </w:rPr>
              <w:t xml:space="preserve">Systematic </w:t>
            </w:r>
            <w:r w:rsidRPr="3DC7A50A" w:rsidR="58C16C47">
              <w:rPr>
                <w:rFonts w:ascii="Arial" w:hAnsi="Arial" w:eastAsia="Arial" w:cs="Arial"/>
                <w:b w:val="0"/>
                <w:bCs w:val="0"/>
                <w:noProof w:val="0"/>
                <w:sz w:val="24"/>
                <w:szCs w:val="24"/>
                <w:lang w:val="en-US"/>
              </w:rPr>
              <w:t>revi</w:t>
            </w:r>
            <w:r w:rsidRPr="3DC7A50A" w:rsidR="58C16C47">
              <w:rPr>
                <w:rFonts w:ascii="Arial" w:hAnsi="Arial" w:eastAsia="Arial" w:cs="Arial"/>
                <w:b w:val="0"/>
                <w:bCs w:val="0"/>
                <w:noProof w:val="0"/>
                <w:sz w:val="24"/>
                <w:szCs w:val="24"/>
                <w:lang w:val="en-US"/>
              </w:rPr>
              <w:t>ews</w:t>
            </w:r>
          </w:p>
        </w:tc>
        <w:tc>
          <w:tcPr>
            <w:tcW w:w="1872" w:type="dxa"/>
            <w:tcMar/>
          </w:tcPr>
          <w:p w:rsidR="5A86FC4B" w:rsidP="4369956E" w:rsidRDefault="5A86FC4B" w14:paraId="4BF9C28B" w14:textId="3A2C50DD">
            <w:pPr>
              <w:pStyle w:val="Normal"/>
              <w:bidi w:val="0"/>
              <w:rPr>
                <w:rFonts w:ascii="Arial" w:hAnsi="Arial" w:eastAsia="Arial" w:cs="Arial"/>
                <w:b w:val="0"/>
                <w:bCs w:val="0"/>
                <w:noProof w:val="0"/>
                <w:sz w:val="24"/>
                <w:szCs w:val="24"/>
                <w:lang w:val="en-US"/>
              </w:rPr>
            </w:pPr>
            <w:r w:rsidRPr="3DC7A50A" w:rsidR="4959AEFF">
              <w:rPr>
                <w:rFonts w:ascii="Arial" w:hAnsi="Arial" w:eastAsia="Arial" w:cs="Arial"/>
                <w:b w:val="0"/>
                <w:bCs w:val="0"/>
                <w:noProof w:val="0"/>
                <w:sz w:val="24"/>
                <w:szCs w:val="24"/>
                <w:lang w:val="en-US"/>
              </w:rPr>
              <w:t>Strong for review-level appraisal</w:t>
            </w:r>
          </w:p>
          <w:p w:rsidR="4369956E" w:rsidP="4369956E" w:rsidRDefault="4369956E" w14:paraId="2EF1C6F2" w14:textId="5833DE43">
            <w:pPr>
              <w:pStyle w:val="Normal"/>
              <w:bidi w:val="0"/>
              <w:rPr>
                <w:rFonts w:ascii="Arial" w:hAnsi="Arial" w:eastAsia="Arial" w:cs="Arial"/>
                <w:b w:val="0"/>
                <w:bCs w:val="0"/>
                <w:noProof w:val="0"/>
                <w:sz w:val="24"/>
                <w:szCs w:val="24"/>
                <w:lang w:val="en-US"/>
              </w:rPr>
            </w:pPr>
          </w:p>
        </w:tc>
        <w:tc>
          <w:tcPr>
            <w:tcW w:w="1872" w:type="dxa"/>
            <w:tcMar/>
          </w:tcPr>
          <w:p w:rsidR="5A86FC4B" w:rsidP="4369956E" w:rsidRDefault="5A86FC4B" w14:paraId="352B537A" w14:textId="69A874E6">
            <w:pPr>
              <w:pStyle w:val="Normal"/>
              <w:bidi w:val="0"/>
              <w:rPr>
                <w:rFonts w:ascii="Arial" w:hAnsi="Arial" w:eastAsia="Arial" w:cs="Arial"/>
                <w:b w:val="0"/>
                <w:bCs w:val="0"/>
                <w:noProof w:val="0"/>
                <w:sz w:val="24"/>
                <w:szCs w:val="24"/>
                <w:lang w:val="en-US"/>
              </w:rPr>
            </w:pPr>
            <w:r w:rsidRPr="3DC7A50A" w:rsidR="4959AEFF">
              <w:rPr>
                <w:rFonts w:ascii="Arial" w:hAnsi="Arial" w:eastAsia="Arial" w:cs="Arial"/>
                <w:b w:val="0"/>
                <w:bCs w:val="0"/>
                <w:noProof w:val="0"/>
                <w:sz w:val="24"/>
                <w:szCs w:val="24"/>
                <w:lang w:val="en-US"/>
              </w:rPr>
              <w:t>Not for primary studies</w:t>
            </w:r>
          </w:p>
          <w:p w:rsidR="4369956E" w:rsidP="4369956E" w:rsidRDefault="4369956E" w14:paraId="44F9858B" w14:textId="7A584C5F">
            <w:pPr>
              <w:pStyle w:val="Normal"/>
              <w:bidi w:val="0"/>
              <w:rPr>
                <w:rFonts w:ascii="Arial" w:hAnsi="Arial" w:eastAsia="Arial" w:cs="Arial"/>
                <w:b w:val="0"/>
                <w:bCs w:val="0"/>
                <w:noProof w:val="0"/>
                <w:sz w:val="24"/>
                <w:szCs w:val="24"/>
                <w:lang w:val="en-US"/>
              </w:rPr>
            </w:pPr>
          </w:p>
        </w:tc>
        <w:tc>
          <w:tcPr>
            <w:tcW w:w="1872" w:type="dxa"/>
            <w:tcMar/>
          </w:tcPr>
          <w:p w:rsidR="5A86FC4B" w:rsidP="4369956E" w:rsidRDefault="5A86FC4B" w14:paraId="026542D1" w14:textId="7AB80F3E">
            <w:pPr>
              <w:pStyle w:val="Normal"/>
              <w:bidi w:val="0"/>
              <w:rPr>
                <w:rFonts w:ascii="Arial" w:hAnsi="Arial" w:eastAsia="Arial" w:cs="Arial"/>
                <w:b w:val="0"/>
                <w:bCs w:val="0"/>
                <w:noProof w:val="0"/>
                <w:sz w:val="24"/>
                <w:szCs w:val="24"/>
                <w:lang w:val="en-US"/>
              </w:rPr>
            </w:pPr>
            <w:r w:rsidRPr="3DC7A50A" w:rsidR="4959AEFF">
              <w:rPr>
                <w:rFonts w:ascii="Arial" w:hAnsi="Arial" w:eastAsia="Arial" w:cs="Arial"/>
                <w:b w:val="0"/>
                <w:bCs w:val="0"/>
                <w:noProof w:val="0"/>
                <w:sz w:val="24"/>
                <w:szCs w:val="24"/>
                <w:lang w:val="en-US"/>
              </w:rPr>
              <w:t>Excluded</w:t>
            </w:r>
          </w:p>
        </w:tc>
      </w:tr>
      <w:tr w:rsidR="4369956E" w:rsidTr="3DC7A50A" w14:paraId="2192ED42">
        <w:trPr>
          <w:trHeight w:val="300"/>
        </w:trPr>
        <w:tc>
          <w:tcPr>
            <w:tcW w:w="1872" w:type="dxa"/>
            <w:tcMar/>
          </w:tcPr>
          <w:p w:rsidR="4258168E" w:rsidP="4369956E" w:rsidRDefault="4258168E" w14:paraId="19A4C2BF" w14:textId="1BF08948">
            <w:pPr>
              <w:pStyle w:val="Normal"/>
              <w:bidi w:val="0"/>
              <w:rPr>
                <w:rFonts w:ascii="Arial" w:hAnsi="Arial" w:eastAsia="Arial" w:cs="Arial"/>
                <w:b w:val="1"/>
                <w:bCs w:val="1"/>
                <w:noProof w:val="0"/>
                <w:sz w:val="24"/>
                <w:szCs w:val="24"/>
                <w:lang w:val="en-US"/>
              </w:rPr>
            </w:pPr>
            <w:r w:rsidRPr="3DC7A50A" w:rsidR="58C16C47">
              <w:rPr>
                <w:rFonts w:ascii="Arial" w:hAnsi="Arial" w:eastAsia="Arial" w:cs="Arial"/>
                <w:b w:val="1"/>
                <w:bCs w:val="1"/>
                <w:noProof w:val="0"/>
                <w:sz w:val="24"/>
                <w:szCs w:val="24"/>
                <w:lang w:val="en-US"/>
              </w:rPr>
              <w:t>ROBINS-I</w:t>
            </w:r>
          </w:p>
        </w:tc>
        <w:tc>
          <w:tcPr>
            <w:tcW w:w="1872" w:type="dxa"/>
            <w:tcMar/>
          </w:tcPr>
          <w:p w:rsidR="4258168E" w:rsidP="4369956E" w:rsidRDefault="4258168E" w14:paraId="7EBC85CA" w14:textId="2C408CA3">
            <w:pPr>
              <w:pStyle w:val="Normal"/>
              <w:bidi w:val="0"/>
              <w:rPr>
                <w:rFonts w:ascii="Arial" w:hAnsi="Arial" w:eastAsia="Arial" w:cs="Arial"/>
                <w:b w:val="0"/>
                <w:bCs w:val="0"/>
                <w:noProof w:val="0"/>
                <w:sz w:val="24"/>
                <w:szCs w:val="24"/>
                <w:lang w:val="en-US"/>
              </w:rPr>
            </w:pPr>
            <w:r w:rsidRPr="3DC7A50A" w:rsidR="58C16C47">
              <w:rPr>
                <w:rFonts w:ascii="Arial" w:hAnsi="Arial" w:eastAsia="Arial" w:cs="Arial"/>
                <w:b w:val="0"/>
                <w:bCs w:val="0"/>
                <w:noProof w:val="0"/>
                <w:sz w:val="24"/>
                <w:szCs w:val="24"/>
                <w:lang w:val="en-US"/>
              </w:rPr>
              <w:t>Quantitative</w:t>
            </w:r>
          </w:p>
        </w:tc>
        <w:tc>
          <w:tcPr>
            <w:tcW w:w="1872" w:type="dxa"/>
            <w:tcMar/>
          </w:tcPr>
          <w:p w:rsidR="5010DA30" w:rsidP="4369956E" w:rsidRDefault="5010DA30" w14:paraId="285B3F6E" w14:textId="0D82CC51">
            <w:pPr>
              <w:pStyle w:val="Normal"/>
              <w:bidi w:val="0"/>
              <w:rPr>
                <w:rFonts w:ascii="Arial" w:hAnsi="Arial" w:eastAsia="Arial" w:cs="Arial"/>
                <w:b w:val="0"/>
                <w:bCs w:val="0"/>
                <w:noProof w:val="0"/>
                <w:sz w:val="24"/>
                <w:szCs w:val="24"/>
                <w:lang w:val="en-US"/>
              </w:rPr>
            </w:pPr>
            <w:r w:rsidRPr="3DC7A50A" w:rsidR="2DDEEBB4">
              <w:rPr>
                <w:rFonts w:ascii="Arial" w:hAnsi="Arial" w:eastAsia="Arial" w:cs="Arial"/>
                <w:b w:val="0"/>
                <w:bCs w:val="0"/>
                <w:noProof w:val="0"/>
                <w:sz w:val="24"/>
                <w:szCs w:val="24"/>
                <w:lang w:val="en-US"/>
              </w:rPr>
              <w:t>Bias-focused</w:t>
            </w:r>
          </w:p>
          <w:p w:rsidR="4369956E" w:rsidP="4369956E" w:rsidRDefault="4369956E" w14:paraId="5FE4B372" w14:textId="6829F3C6">
            <w:pPr>
              <w:pStyle w:val="Normal"/>
              <w:bidi w:val="0"/>
              <w:rPr>
                <w:rFonts w:ascii="Arial" w:hAnsi="Arial" w:eastAsia="Arial" w:cs="Arial"/>
                <w:b w:val="0"/>
                <w:bCs w:val="0"/>
                <w:noProof w:val="0"/>
                <w:sz w:val="24"/>
                <w:szCs w:val="24"/>
                <w:lang w:val="en-US"/>
              </w:rPr>
            </w:pPr>
          </w:p>
        </w:tc>
        <w:tc>
          <w:tcPr>
            <w:tcW w:w="1872" w:type="dxa"/>
            <w:tcMar/>
          </w:tcPr>
          <w:p w:rsidR="5010DA30" w:rsidP="4369956E" w:rsidRDefault="5010DA30" w14:paraId="0234B5E8" w14:textId="278F8CBC">
            <w:pPr>
              <w:pStyle w:val="Normal"/>
              <w:bidi w:val="0"/>
              <w:rPr>
                <w:rFonts w:ascii="Arial" w:hAnsi="Arial" w:eastAsia="Arial" w:cs="Arial"/>
                <w:b w:val="0"/>
                <w:bCs w:val="0"/>
                <w:noProof w:val="0"/>
                <w:sz w:val="24"/>
                <w:szCs w:val="24"/>
                <w:lang w:val="en-US"/>
              </w:rPr>
            </w:pPr>
            <w:r w:rsidRPr="3DC7A50A" w:rsidR="2DDEEBB4">
              <w:rPr>
                <w:rFonts w:ascii="Arial" w:hAnsi="Arial" w:eastAsia="Arial" w:cs="Arial"/>
                <w:b w:val="0"/>
                <w:bCs w:val="0"/>
                <w:noProof w:val="0"/>
                <w:sz w:val="24"/>
                <w:szCs w:val="24"/>
                <w:lang w:val="en-US"/>
              </w:rPr>
              <w:t>Complex and unsuitable</w:t>
            </w:r>
          </w:p>
          <w:p w:rsidR="4369956E" w:rsidP="4369956E" w:rsidRDefault="4369956E" w14:paraId="6109BF80" w14:textId="244B5539">
            <w:pPr>
              <w:pStyle w:val="Normal"/>
              <w:bidi w:val="0"/>
              <w:rPr>
                <w:rFonts w:ascii="Arial" w:hAnsi="Arial" w:eastAsia="Arial" w:cs="Arial"/>
                <w:b w:val="0"/>
                <w:bCs w:val="0"/>
                <w:noProof w:val="0"/>
                <w:sz w:val="24"/>
                <w:szCs w:val="24"/>
                <w:lang w:val="en-US"/>
              </w:rPr>
            </w:pPr>
          </w:p>
        </w:tc>
        <w:tc>
          <w:tcPr>
            <w:tcW w:w="1872" w:type="dxa"/>
            <w:tcMar/>
          </w:tcPr>
          <w:p w:rsidR="5010DA30" w:rsidP="4369956E" w:rsidRDefault="5010DA30" w14:paraId="705A3D9D" w14:textId="48EE0ED5">
            <w:pPr>
              <w:pStyle w:val="Normal"/>
              <w:bidi w:val="0"/>
              <w:rPr>
                <w:rFonts w:ascii="Arial" w:hAnsi="Arial" w:eastAsia="Arial" w:cs="Arial"/>
                <w:b w:val="0"/>
                <w:bCs w:val="0"/>
                <w:noProof w:val="0"/>
                <w:sz w:val="24"/>
                <w:szCs w:val="24"/>
                <w:lang w:val="en-US"/>
              </w:rPr>
            </w:pPr>
            <w:r w:rsidRPr="3DC7A50A" w:rsidR="2DDEEBB4">
              <w:rPr>
                <w:rFonts w:ascii="Arial" w:hAnsi="Arial" w:eastAsia="Arial" w:cs="Arial"/>
                <w:b w:val="0"/>
                <w:bCs w:val="0"/>
                <w:noProof w:val="0"/>
                <w:sz w:val="24"/>
                <w:szCs w:val="24"/>
                <w:lang w:val="en-US"/>
              </w:rPr>
              <w:t>Excluded</w:t>
            </w:r>
          </w:p>
        </w:tc>
      </w:tr>
    </w:tbl>
    <w:p w:rsidR="3DC7A50A" w:rsidP="3DC7A50A" w:rsidRDefault="3DC7A50A" w14:paraId="726C575F" w14:textId="2240BD90">
      <w:pPr>
        <w:pStyle w:val="Normal"/>
        <w:jc w:val="both"/>
        <w:rPr>
          <w:rFonts w:ascii="Arial" w:hAnsi="Arial" w:eastAsia="Arial" w:cs="Arial"/>
        </w:rPr>
      </w:pPr>
    </w:p>
    <w:p w:rsidR="19C5569C" w:rsidP="3DC7A50A" w:rsidRDefault="19C5569C" w14:paraId="284807DB" w14:textId="0F1CBD80">
      <w:pPr>
        <w:pStyle w:val="Heading2"/>
        <w:rPr>
          <w:rFonts w:ascii="Arial" w:hAnsi="Arial" w:eastAsia="Arial" w:cs="Arial"/>
          <w:noProof w:val="0"/>
          <w:lang w:val="en-US"/>
        </w:rPr>
      </w:pPr>
      <w:bookmarkStart w:name="_Toc392944302" w:id="1771620633"/>
      <w:r w:rsidRPr="3DC7A50A" w:rsidR="3842CC5D">
        <w:rPr>
          <w:rFonts w:ascii="Arial" w:hAnsi="Arial" w:eastAsia="Arial" w:cs="Arial"/>
          <w:noProof w:val="0"/>
          <w:lang w:val="en-US"/>
        </w:rPr>
        <w:t>3.</w:t>
      </w:r>
      <w:r w:rsidRPr="3DC7A50A" w:rsidR="5C162770">
        <w:rPr>
          <w:rFonts w:ascii="Arial" w:hAnsi="Arial" w:eastAsia="Arial" w:cs="Arial"/>
          <w:noProof w:val="0"/>
          <w:lang w:val="en-US"/>
        </w:rPr>
        <w:t xml:space="preserve">7 </w:t>
      </w:r>
      <w:r w:rsidRPr="3DC7A50A" w:rsidR="3842CC5D">
        <w:rPr>
          <w:rFonts w:ascii="Arial" w:hAnsi="Arial" w:eastAsia="Arial" w:cs="Arial"/>
          <w:noProof w:val="0"/>
          <w:lang w:val="en-US"/>
        </w:rPr>
        <w:t>Ethical Considerations</w:t>
      </w:r>
      <w:bookmarkEnd w:id="1771620633"/>
    </w:p>
    <w:p w:rsidR="19C5569C" w:rsidP="3DC7A50A" w:rsidRDefault="19C5569C" w14:paraId="0092B0F1" w14:textId="488A9062">
      <w:pPr>
        <w:bidi w:val="0"/>
        <w:spacing w:before="240" w:beforeAutospacing="off" w:after="240" w:afterAutospacing="off"/>
        <w:jc w:val="both"/>
        <w:rPr>
          <w:rFonts w:ascii="Arial" w:hAnsi="Arial" w:eastAsia="Arial" w:cs="Arial"/>
          <w:noProof w:val="0"/>
          <w:sz w:val="24"/>
          <w:szCs w:val="24"/>
          <w:lang w:val="en-US"/>
        </w:rPr>
      </w:pPr>
      <w:r w:rsidRPr="3DC7A50A" w:rsidR="3BE50517">
        <w:rPr>
          <w:rFonts w:ascii="Arial" w:hAnsi="Arial" w:eastAsia="Arial" w:cs="Arial"/>
          <w:noProof w:val="0"/>
          <w:sz w:val="24"/>
          <w:szCs w:val="24"/>
          <w:lang w:val="en-US"/>
        </w:rPr>
        <w:t xml:space="preserve">This review </w:t>
      </w:r>
      <w:r w:rsidRPr="3DC7A50A" w:rsidR="3BE50517">
        <w:rPr>
          <w:rFonts w:ascii="Arial" w:hAnsi="Arial" w:eastAsia="Arial" w:cs="Arial"/>
          <w:noProof w:val="0"/>
          <w:sz w:val="24"/>
          <w:szCs w:val="24"/>
          <w:lang w:val="en-US"/>
        </w:rPr>
        <w:t>synthesised</w:t>
      </w:r>
      <w:r w:rsidRPr="3DC7A50A" w:rsidR="3BE50517">
        <w:rPr>
          <w:rFonts w:ascii="Arial" w:hAnsi="Arial" w:eastAsia="Arial" w:cs="Arial"/>
          <w:noProof w:val="0"/>
          <w:sz w:val="24"/>
          <w:szCs w:val="24"/>
          <w:lang w:val="en-US"/>
        </w:rPr>
        <w:t xml:space="preserve"> secondary data from published studies; therefore, formal ethical approval was not </w:t>
      </w:r>
      <w:r w:rsidRPr="3DC7A50A" w:rsidR="3BE50517">
        <w:rPr>
          <w:rFonts w:ascii="Arial" w:hAnsi="Arial" w:eastAsia="Arial" w:cs="Arial"/>
          <w:noProof w:val="0"/>
          <w:sz w:val="24"/>
          <w:szCs w:val="24"/>
          <w:lang w:val="en-US"/>
        </w:rPr>
        <w:t>required</w:t>
      </w:r>
      <w:r w:rsidRPr="3DC7A50A" w:rsidR="3BE50517">
        <w:rPr>
          <w:rFonts w:ascii="Arial" w:hAnsi="Arial" w:eastAsia="Arial" w:cs="Arial"/>
          <w:noProof w:val="0"/>
          <w:sz w:val="24"/>
          <w:szCs w:val="24"/>
          <w:lang w:val="en-US"/>
        </w:rPr>
        <w:t xml:space="preserve">. Ethical principles were </w:t>
      </w:r>
      <w:r w:rsidRPr="3DC7A50A" w:rsidR="3BE50517">
        <w:rPr>
          <w:rFonts w:ascii="Arial" w:hAnsi="Arial" w:eastAsia="Arial" w:cs="Arial"/>
          <w:noProof w:val="0"/>
          <w:sz w:val="24"/>
          <w:szCs w:val="24"/>
          <w:lang w:val="en-US"/>
        </w:rPr>
        <w:t>maintained</w:t>
      </w:r>
      <w:r w:rsidRPr="3DC7A50A" w:rsidR="3BE50517">
        <w:rPr>
          <w:rFonts w:ascii="Arial" w:hAnsi="Arial" w:eastAsia="Arial" w:cs="Arial"/>
          <w:noProof w:val="0"/>
          <w:sz w:val="24"/>
          <w:szCs w:val="24"/>
          <w:lang w:val="en-US"/>
        </w:rPr>
        <w:t xml:space="preserve"> by:</w:t>
      </w:r>
    </w:p>
    <w:p w:rsidR="19C5569C" w:rsidP="3DC7A50A" w:rsidRDefault="19C5569C" w14:paraId="6EED3623" w14:textId="3F1D7399">
      <w:pPr>
        <w:bidi w:val="0"/>
        <w:spacing w:before="240" w:beforeAutospacing="off" w:after="240" w:afterAutospacing="off"/>
        <w:jc w:val="both"/>
        <w:rPr>
          <w:rFonts w:ascii="Arial" w:hAnsi="Arial" w:eastAsia="Arial" w:cs="Arial"/>
          <w:noProof w:val="0"/>
          <w:sz w:val="24"/>
          <w:szCs w:val="24"/>
          <w:lang w:val="en-US"/>
        </w:rPr>
      </w:pPr>
      <w:r w:rsidRPr="3DC7A50A" w:rsidR="3BE50517">
        <w:rPr>
          <w:rFonts w:ascii="Arial" w:hAnsi="Arial" w:eastAsia="Arial" w:cs="Arial"/>
          <w:noProof w:val="0"/>
          <w:sz w:val="24"/>
          <w:szCs w:val="24"/>
          <w:lang w:val="en-US"/>
        </w:rPr>
        <w:t xml:space="preserve">Accurately </w:t>
      </w:r>
      <w:r w:rsidRPr="3DC7A50A" w:rsidR="3BE50517">
        <w:rPr>
          <w:rFonts w:ascii="Arial" w:hAnsi="Arial" w:eastAsia="Arial" w:cs="Arial"/>
          <w:noProof w:val="0"/>
          <w:sz w:val="24"/>
          <w:szCs w:val="24"/>
          <w:lang w:val="en-US"/>
        </w:rPr>
        <w:t>representing</w:t>
      </w:r>
      <w:r w:rsidRPr="3DC7A50A" w:rsidR="3BE50517">
        <w:rPr>
          <w:rFonts w:ascii="Arial" w:hAnsi="Arial" w:eastAsia="Arial" w:cs="Arial"/>
          <w:noProof w:val="0"/>
          <w:sz w:val="24"/>
          <w:szCs w:val="24"/>
          <w:lang w:val="en-US"/>
        </w:rPr>
        <w:t xml:space="preserve"> study findings without misinterpretation</w:t>
      </w:r>
    </w:p>
    <w:p w:rsidR="19C5569C" w:rsidP="3DC7A50A" w:rsidRDefault="19C5569C" w14:paraId="1D173FB3" w14:textId="2A999117">
      <w:pPr>
        <w:bidi w:val="0"/>
        <w:spacing w:before="240" w:beforeAutospacing="off" w:after="240" w:afterAutospacing="off"/>
        <w:jc w:val="both"/>
        <w:rPr>
          <w:rFonts w:ascii="Arial" w:hAnsi="Arial" w:eastAsia="Arial" w:cs="Arial"/>
          <w:noProof w:val="0"/>
          <w:sz w:val="24"/>
          <w:szCs w:val="24"/>
          <w:lang w:val="en-US"/>
        </w:rPr>
      </w:pPr>
      <w:r w:rsidRPr="3DC7A50A" w:rsidR="3BE50517">
        <w:rPr>
          <w:rFonts w:ascii="Arial" w:hAnsi="Arial" w:eastAsia="Arial" w:cs="Arial"/>
          <w:noProof w:val="0"/>
          <w:sz w:val="24"/>
          <w:szCs w:val="24"/>
          <w:lang w:val="en-US"/>
        </w:rPr>
        <w:t>Providing full attribution to original authors</w:t>
      </w:r>
    </w:p>
    <w:p w:rsidR="07DECA0B" w:rsidP="3DC7A50A" w:rsidRDefault="07DECA0B" w14:paraId="7BC9A401" w14:textId="168991AC">
      <w:pPr>
        <w:spacing w:before="240" w:beforeAutospacing="off" w:after="240" w:afterAutospacing="off"/>
        <w:jc w:val="both"/>
        <w:rPr>
          <w:rFonts w:ascii="Arial" w:hAnsi="Arial" w:eastAsia="Arial" w:cs="Arial"/>
          <w:noProof w:val="0"/>
          <w:sz w:val="24"/>
          <w:szCs w:val="24"/>
          <w:lang w:val="en-US"/>
        </w:rPr>
      </w:pPr>
      <w:r w:rsidRPr="3DC7A50A" w:rsidR="2DC190DD">
        <w:rPr>
          <w:rFonts w:ascii="Arial" w:hAnsi="Arial" w:eastAsia="Arial" w:cs="Arial"/>
          <w:noProof w:val="0"/>
          <w:sz w:val="24"/>
          <w:szCs w:val="24"/>
          <w:lang w:val="en-US"/>
        </w:rPr>
        <w:t>Respecting the integrity of participants’ perspectives reported in the studies</w:t>
      </w:r>
    </w:p>
    <w:p w:rsidR="19C5569C" w:rsidP="3DC7A50A" w:rsidRDefault="19C5569C" w14:paraId="289F4450" w14:textId="3360B114">
      <w:pPr>
        <w:bidi w:val="0"/>
        <w:spacing w:before="240" w:beforeAutospacing="off" w:after="240" w:afterAutospacing="off"/>
        <w:jc w:val="both"/>
        <w:rPr>
          <w:rFonts w:ascii="Arial" w:hAnsi="Arial" w:eastAsia="Arial" w:cs="Arial"/>
          <w:noProof w:val="0"/>
          <w:sz w:val="24"/>
          <w:szCs w:val="24"/>
          <w:lang w:val="en-US"/>
        </w:rPr>
      </w:pPr>
      <w:r w:rsidRPr="3DC7A50A" w:rsidR="3BE50517">
        <w:rPr>
          <w:rFonts w:ascii="Arial" w:hAnsi="Arial" w:eastAsia="Arial" w:cs="Arial"/>
          <w:noProof w:val="0"/>
          <w:sz w:val="24"/>
          <w:szCs w:val="24"/>
          <w:lang w:val="en-US"/>
        </w:rPr>
        <w:t xml:space="preserve">Furthermore, appraisal of methodological rigor ensured recognition of primary research ethics, such as informed consent and participant confidentiality (Musoke et al., 2023; </w:t>
      </w:r>
      <w:r w:rsidRPr="3DC7A50A" w:rsidR="3BE50517">
        <w:rPr>
          <w:rFonts w:ascii="Arial" w:hAnsi="Arial" w:eastAsia="Arial" w:cs="Arial"/>
          <w:noProof w:val="0"/>
          <w:sz w:val="24"/>
          <w:szCs w:val="24"/>
          <w:lang w:val="en-US"/>
        </w:rPr>
        <w:t>Gelayee</w:t>
      </w:r>
      <w:r w:rsidRPr="3DC7A50A" w:rsidR="3BE50517">
        <w:rPr>
          <w:rFonts w:ascii="Arial" w:hAnsi="Arial" w:eastAsia="Arial" w:cs="Arial"/>
          <w:noProof w:val="0"/>
          <w:sz w:val="24"/>
          <w:szCs w:val="24"/>
          <w:lang w:val="en-US"/>
        </w:rPr>
        <w:t>, 2017).</w:t>
      </w:r>
    </w:p>
    <w:p w:rsidR="722FFED0" w:rsidP="3DC7A50A" w:rsidRDefault="722FFED0" w14:paraId="4D2378DB" w14:textId="6DC4C91D">
      <w:pPr>
        <w:bidi w:val="0"/>
        <w:jc w:val="both"/>
        <w:rPr>
          <w:rFonts w:ascii="Arial" w:hAnsi="Arial" w:eastAsia="Arial" w:cs="Arial"/>
        </w:rPr>
      </w:pPr>
    </w:p>
    <w:p w:rsidR="19C5569C" w:rsidP="3DC7A50A" w:rsidRDefault="19C5569C" w14:paraId="37A2DADC" w14:textId="62D2398F">
      <w:pPr>
        <w:pStyle w:val="Heading2"/>
        <w:rPr>
          <w:rStyle w:val="Heading3Char"/>
          <w:rFonts w:ascii="Arial" w:hAnsi="Arial" w:eastAsia="Arial" w:cs="Arial"/>
          <w:noProof w:val="0"/>
          <w:lang w:val="en-US"/>
        </w:rPr>
      </w:pPr>
      <w:bookmarkStart w:name="_Toc1712511281" w:id="1585789858"/>
      <w:r w:rsidRPr="3DC7A50A" w:rsidR="3842CC5D">
        <w:rPr>
          <w:rFonts w:ascii="Arial" w:hAnsi="Arial" w:eastAsia="Arial" w:cs="Arial"/>
          <w:noProof w:val="0"/>
          <w:lang w:val="en-US"/>
        </w:rPr>
        <w:t>3.</w:t>
      </w:r>
      <w:r w:rsidRPr="3DC7A50A" w:rsidR="590DDB68">
        <w:rPr>
          <w:rFonts w:ascii="Arial" w:hAnsi="Arial" w:eastAsia="Arial" w:cs="Arial"/>
          <w:noProof w:val="0"/>
          <w:lang w:val="en-US"/>
        </w:rPr>
        <w:t xml:space="preserve">8 </w:t>
      </w:r>
      <w:r w:rsidRPr="3DC7A50A" w:rsidR="3842CC5D">
        <w:rPr>
          <w:rFonts w:ascii="Arial" w:hAnsi="Arial" w:eastAsia="Arial" w:cs="Arial"/>
          <w:noProof w:val="0"/>
          <w:lang w:val="en-US"/>
        </w:rPr>
        <w:t>Chapter Summary</w:t>
      </w:r>
      <w:bookmarkEnd w:id="1585789858"/>
    </w:p>
    <w:p w:rsidR="19C5569C" w:rsidP="3DC7A50A" w:rsidRDefault="19C5569C" w14:paraId="7D71A9EC" w14:textId="1C5AF504">
      <w:pPr>
        <w:bidi w:val="0"/>
        <w:spacing w:before="240" w:beforeAutospacing="off" w:after="240" w:afterAutospacing="off"/>
        <w:jc w:val="both"/>
        <w:rPr>
          <w:rFonts w:ascii="Arial" w:hAnsi="Arial" w:eastAsia="Arial" w:cs="Arial"/>
          <w:noProof w:val="0"/>
          <w:sz w:val="24"/>
          <w:szCs w:val="24"/>
          <w:lang w:val="en-US"/>
        </w:rPr>
      </w:pPr>
      <w:r w:rsidRPr="3DC7A50A" w:rsidR="604017D3">
        <w:rPr>
          <w:rFonts w:ascii="Arial" w:hAnsi="Arial" w:eastAsia="Arial" w:cs="Arial"/>
          <w:noProof w:val="0"/>
          <w:sz w:val="24"/>
          <w:szCs w:val="24"/>
          <w:lang w:val="en-US"/>
        </w:rPr>
        <w:t>This chapter has outlined the methodological framework for reviewing pharmacist-related dispensing errors in LMICs. Following PRISMA 2020 guidelines and structured by the PICO framework, a systematic search, screening, and appraisal process was conducted. A total of 1</w:t>
      </w:r>
      <w:r w:rsidRPr="3DC7A50A" w:rsidR="76D054D8">
        <w:rPr>
          <w:rFonts w:ascii="Arial" w:hAnsi="Arial" w:eastAsia="Arial" w:cs="Arial"/>
          <w:noProof w:val="0"/>
          <w:sz w:val="24"/>
          <w:szCs w:val="24"/>
          <w:lang w:val="en-US"/>
        </w:rPr>
        <w:t>2</w:t>
      </w:r>
      <w:r w:rsidRPr="3DC7A50A" w:rsidR="604017D3">
        <w:rPr>
          <w:rFonts w:ascii="Arial" w:hAnsi="Arial" w:eastAsia="Arial" w:cs="Arial"/>
          <w:noProof w:val="0"/>
          <w:sz w:val="24"/>
          <w:szCs w:val="24"/>
          <w:lang w:val="en-US"/>
        </w:rPr>
        <w:t xml:space="preserve"> primary qualitative </w:t>
      </w:r>
      <w:r w:rsidRPr="3DC7A50A" w:rsidR="604017D3">
        <w:rPr>
          <w:rFonts w:ascii="Arial" w:hAnsi="Arial" w:eastAsia="Arial" w:cs="Arial"/>
          <w:noProof w:val="0"/>
          <w:sz w:val="24"/>
          <w:szCs w:val="24"/>
          <w:lang w:val="en-US"/>
        </w:rPr>
        <w:t>studies</w:t>
      </w:r>
      <w:r w:rsidRPr="3DC7A50A" w:rsidR="604017D3">
        <w:rPr>
          <w:rFonts w:ascii="Arial" w:hAnsi="Arial" w:eastAsia="Arial" w:cs="Arial"/>
          <w:noProof w:val="0"/>
          <w:sz w:val="24"/>
          <w:szCs w:val="24"/>
          <w:lang w:val="en-US"/>
        </w:rPr>
        <w:t xml:space="preserve"> (2015–2025) were included, exploring pharmacists’ </w:t>
      </w:r>
      <w:r w:rsidRPr="3DC7A50A" w:rsidR="604017D3">
        <w:rPr>
          <w:rFonts w:ascii="Arial" w:hAnsi="Arial" w:eastAsia="Arial" w:cs="Arial"/>
          <w:noProof w:val="0"/>
          <w:sz w:val="24"/>
          <w:szCs w:val="24"/>
          <w:lang w:val="en-US"/>
        </w:rPr>
        <w:t>perceptions</w:t>
      </w:r>
      <w:r w:rsidRPr="3DC7A50A" w:rsidR="604017D3">
        <w:rPr>
          <w:rFonts w:ascii="Arial" w:hAnsi="Arial" w:eastAsia="Arial" w:cs="Arial"/>
          <w:noProof w:val="0"/>
          <w:sz w:val="24"/>
          <w:szCs w:val="24"/>
          <w:lang w:val="en-US"/>
        </w:rPr>
        <w:t>, systemic barriers, and interventions.</w:t>
      </w:r>
    </w:p>
    <w:p w:rsidR="19C5569C" w:rsidP="3DC7A50A" w:rsidRDefault="19C5569C" w14:paraId="5A1C15BB" w14:textId="3EC13C5C">
      <w:pPr>
        <w:bidi w:val="0"/>
        <w:spacing w:before="240" w:beforeAutospacing="off" w:after="240" w:afterAutospacing="off"/>
        <w:jc w:val="both"/>
        <w:rPr>
          <w:rFonts w:ascii="Arial" w:hAnsi="Arial" w:eastAsia="Arial" w:cs="Arial"/>
          <w:noProof w:val="0"/>
          <w:sz w:val="24"/>
          <w:szCs w:val="24"/>
          <w:lang w:val="en-US"/>
        </w:rPr>
      </w:pPr>
      <w:r w:rsidRPr="3DC7A50A" w:rsidR="3BE50517">
        <w:rPr>
          <w:rFonts w:ascii="Arial" w:hAnsi="Arial" w:eastAsia="Arial" w:cs="Arial"/>
          <w:noProof w:val="0"/>
          <w:sz w:val="24"/>
          <w:szCs w:val="24"/>
          <w:lang w:val="en-US"/>
        </w:rPr>
        <w:t xml:space="preserve">Using the CASP tool, the review ensured high methodological quality, supporting the validity of evidence-based conclusions. This rigorous approach provides a foundation for </w:t>
      </w:r>
      <w:r w:rsidRPr="3DC7A50A" w:rsidR="3BE50517">
        <w:rPr>
          <w:rFonts w:ascii="Arial" w:hAnsi="Arial" w:eastAsia="Arial" w:cs="Arial"/>
          <w:noProof w:val="0"/>
          <w:sz w:val="24"/>
          <w:szCs w:val="24"/>
          <w:lang w:val="en-US"/>
        </w:rPr>
        <w:t>analysing</w:t>
      </w:r>
      <w:r w:rsidRPr="3DC7A50A" w:rsidR="3BE50517">
        <w:rPr>
          <w:rFonts w:ascii="Arial" w:hAnsi="Arial" w:eastAsia="Arial" w:cs="Arial"/>
          <w:noProof w:val="0"/>
          <w:sz w:val="24"/>
          <w:szCs w:val="24"/>
          <w:lang w:val="en-US"/>
        </w:rPr>
        <w:t xml:space="preserve"> dispensing errors and </w:t>
      </w:r>
      <w:r w:rsidRPr="3DC7A50A" w:rsidR="3BE50517">
        <w:rPr>
          <w:rFonts w:ascii="Arial" w:hAnsi="Arial" w:eastAsia="Arial" w:cs="Arial"/>
          <w:noProof w:val="0"/>
          <w:sz w:val="24"/>
          <w:szCs w:val="24"/>
          <w:lang w:val="en-US"/>
        </w:rPr>
        <w:t>identifying</w:t>
      </w:r>
      <w:r w:rsidRPr="3DC7A50A" w:rsidR="3BE50517">
        <w:rPr>
          <w:rFonts w:ascii="Arial" w:hAnsi="Arial" w:eastAsia="Arial" w:cs="Arial"/>
          <w:noProof w:val="0"/>
          <w:sz w:val="24"/>
          <w:szCs w:val="24"/>
          <w:lang w:val="en-US"/>
        </w:rPr>
        <w:t xml:space="preserve"> quality improvement strategies tailored to LMIC pharmacy settings.</w:t>
      </w:r>
    </w:p>
    <w:p w:rsidR="3DC7A50A" w:rsidP="3DC7A50A" w:rsidRDefault="3DC7A50A" w14:paraId="0A3228BB" w14:textId="760E7C63">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1544A980" w14:textId="42D0BB61">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5DFA8CB7" w14:textId="0A112955">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348B03B6" w14:textId="46FD78C2">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5646BFE2" w14:textId="4D0A9A45">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5CF42E77" w14:textId="20BA9FCA">
      <w:pPr>
        <w:bidi w:val="0"/>
        <w:spacing w:before="240" w:beforeAutospacing="off" w:after="240" w:afterAutospacing="off"/>
        <w:jc w:val="both"/>
        <w:rPr>
          <w:rFonts w:ascii="Arial" w:hAnsi="Arial" w:eastAsia="Arial" w:cs="Arial"/>
          <w:noProof w:val="0"/>
          <w:sz w:val="24"/>
          <w:szCs w:val="24"/>
          <w:lang w:val="en-US"/>
        </w:rPr>
      </w:pPr>
    </w:p>
    <w:p w:rsidR="60CA6FC1" w:rsidP="3DC7A50A" w:rsidRDefault="60CA6FC1" w14:paraId="09FD3EBC" w14:textId="15B9EDFF">
      <w:pPr>
        <w:pStyle w:val="Heading1"/>
        <w:jc w:val="both"/>
        <w:rPr>
          <w:rFonts w:ascii="Arial" w:hAnsi="Arial" w:eastAsia="Arial" w:cs="Arial"/>
          <w:noProof w:val="0"/>
          <w:color w:val="auto"/>
          <w:sz w:val="40"/>
          <w:szCs w:val="40"/>
          <w:lang w:val="en-US"/>
        </w:rPr>
      </w:pPr>
      <w:bookmarkStart w:name="_Toc1292358635" w:id="944667736"/>
      <w:r w:rsidRPr="3DC7A50A" w:rsidR="21D6AB21">
        <w:rPr>
          <w:rFonts w:ascii="Arial" w:hAnsi="Arial" w:eastAsia="Arial" w:cs="Arial"/>
          <w:noProof w:val="0"/>
          <w:color w:val="auto"/>
          <w:sz w:val="40"/>
          <w:szCs w:val="40"/>
          <w:lang w:val="en-US"/>
        </w:rPr>
        <w:t>Chapter 4: Data Extraction and Evaluation</w:t>
      </w:r>
      <w:bookmarkEnd w:id="944667736"/>
    </w:p>
    <w:p w:rsidR="60CA6FC1" w:rsidP="3DC7A50A" w:rsidRDefault="60CA6FC1" w14:paraId="204677E8" w14:textId="32A3659B">
      <w:pPr>
        <w:pStyle w:val="Normal"/>
        <w:bidi w:val="0"/>
        <w:spacing w:before="240" w:beforeAutospacing="off" w:after="240" w:afterAutospacing="off"/>
        <w:jc w:val="both"/>
        <w:rPr>
          <w:rStyle w:val="Heading2Char"/>
          <w:rFonts w:ascii="Arial" w:hAnsi="Arial" w:eastAsia="Arial" w:cs="Arial"/>
          <w:noProof w:val="0"/>
          <w:lang w:val="en-US"/>
        </w:rPr>
      </w:pPr>
      <w:r w:rsidRPr="3DC7A50A" w:rsidR="21D6AB21">
        <w:rPr>
          <w:rFonts w:ascii="Arial" w:hAnsi="Arial" w:eastAsia="Arial" w:cs="Arial"/>
          <w:noProof w:val="0"/>
          <w:sz w:val="24"/>
          <w:szCs w:val="24"/>
          <w:lang w:val="en-US"/>
        </w:rPr>
        <w:t xml:space="preserve"> </w:t>
      </w:r>
      <w:r w:rsidRPr="3DC7A50A" w:rsidR="21D6AB21">
        <w:rPr>
          <w:rStyle w:val="Heading2Char"/>
          <w:rFonts w:ascii="Arial" w:hAnsi="Arial" w:eastAsia="Arial" w:cs="Arial"/>
          <w:noProof w:val="0"/>
          <w:lang w:val="en-US"/>
        </w:rPr>
        <w:t xml:space="preserve">4.1 Introduction </w:t>
      </w:r>
    </w:p>
    <w:p w:rsidR="60CA6FC1" w:rsidP="3DC7A50A" w:rsidRDefault="60CA6FC1" w14:paraId="0745CB83" w14:textId="4A5802E1">
      <w:pPr>
        <w:pStyle w:val="Normal"/>
        <w:bidi w:val="0"/>
        <w:spacing w:before="240" w:beforeAutospacing="off" w:after="240" w:afterAutospacing="off"/>
        <w:jc w:val="both"/>
        <w:rPr>
          <w:rFonts w:ascii="Arial" w:hAnsi="Arial" w:eastAsia="Arial" w:cs="Arial"/>
          <w:b w:val="0"/>
          <w:bCs w:val="0"/>
          <w:noProof w:val="0"/>
          <w:sz w:val="24"/>
          <w:szCs w:val="24"/>
          <w:lang w:val="en-US"/>
        </w:rPr>
      </w:pPr>
      <w:r w:rsidRPr="3DC7A50A" w:rsidR="01913AA5">
        <w:rPr>
          <w:rFonts w:ascii="Arial" w:hAnsi="Arial" w:eastAsia="Arial" w:cs="Arial"/>
          <w:noProof w:val="0"/>
          <w:sz w:val="24"/>
          <w:szCs w:val="24"/>
          <w:lang w:val="en-US"/>
        </w:rPr>
        <w:t>This chapter presents the data extracted from the 12 primary qualitative studies included in the systematic review on pharmacist-related dispensing errors in</w:t>
      </w:r>
      <w:r w:rsidRPr="3DC7A50A" w:rsidR="2CCED2DB">
        <w:rPr>
          <w:rFonts w:ascii="Arial" w:hAnsi="Arial" w:eastAsia="Arial" w:cs="Arial"/>
          <w:b w:val="1"/>
          <w:bCs w:val="1"/>
          <w:noProof w:val="0"/>
          <w:sz w:val="24"/>
          <w:szCs w:val="24"/>
          <w:lang w:val="en-US"/>
        </w:rPr>
        <w:t xml:space="preserve"> </w:t>
      </w:r>
      <w:r w:rsidRPr="3DC7A50A" w:rsidR="2CCED2DB">
        <w:rPr>
          <w:rFonts w:ascii="Arial" w:hAnsi="Arial" w:eastAsia="Arial" w:cs="Arial"/>
          <w:b w:val="0"/>
          <w:bCs w:val="0"/>
          <w:noProof w:val="0"/>
          <w:sz w:val="24"/>
          <w:szCs w:val="24"/>
          <w:lang w:val="en-US"/>
        </w:rPr>
        <w:t>low and middle-income countries (LMICs).</w:t>
      </w:r>
      <w:r w:rsidRPr="3DC7A50A" w:rsidR="01913AA5">
        <w:rPr>
          <w:rFonts w:ascii="Arial" w:hAnsi="Arial" w:eastAsia="Arial" w:cs="Arial"/>
          <w:b w:val="0"/>
          <w:bCs w:val="0"/>
          <w:noProof w:val="0"/>
          <w:sz w:val="24"/>
          <w:szCs w:val="24"/>
          <w:lang w:val="en-US"/>
        </w:rPr>
        <w:t xml:space="preserve"> The aim is to </w:t>
      </w:r>
      <w:r w:rsidRPr="3DC7A50A" w:rsidR="01913AA5">
        <w:rPr>
          <w:rFonts w:ascii="Arial" w:hAnsi="Arial" w:eastAsia="Arial" w:cs="Arial"/>
          <w:b w:val="0"/>
          <w:bCs w:val="0"/>
          <w:noProof w:val="0"/>
          <w:sz w:val="24"/>
          <w:szCs w:val="24"/>
          <w:lang w:val="en-US"/>
        </w:rPr>
        <w:t>synthesi</w:t>
      </w:r>
      <w:r w:rsidRPr="3DC7A50A" w:rsidR="6B280F68">
        <w:rPr>
          <w:rFonts w:ascii="Arial" w:hAnsi="Arial" w:eastAsia="Arial" w:cs="Arial"/>
          <w:b w:val="0"/>
          <w:bCs w:val="0"/>
          <w:noProof w:val="0"/>
          <w:sz w:val="24"/>
          <w:szCs w:val="24"/>
          <w:lang w:val="en-US"/>
        </w:rPr>
        <w:t>s</w:t>
      </w:r>
      <w:r w:rsidRPr="3DC7A50A" w:rsidR="01913AA5">
        <w:rPr>
          <w:rFonts w:ascii="Arial" w:hAnsi="Arial" w:eastAsia="Arial" w:cs="Arial"/>
          <w:b w:val="0"/>
          <w:bCs w:val="0"/>
          <w:noProof w:val="0"/>
          <w:sz w:val="24"/>
          <w:szCs w:val="24"/>
          <w:lang w:val="en-US"/>
        </w:rPr>
        <w:t>e</w:t>
      </w:r>
      <w:r w:rsidRPr="3DC7A50A" w:rsidR="01913AA5">
        <w:rPr>
          <w:rFonts w:ascii="Arial" w:hAnsi="Arial" w:eastAsia="Arial" w:cs="Arial"/>
          <w:b w:val="0"/>
          <w:bCs w:val="0"/>
          <w:noProof w:val="0"/>
          <w:sz w:val="24"/>
          <w:szCs w:val="24"/>
          <w:lang w:val="en-US"/>
        </w:rPr>
        <w:t xml:space="preserve"> evidence on human, </w:t>
      </w:r>
      <w:r w:rsidRPr="3DC7A50A" w:rsidR="01913AA5">
        <w:rPr>
          <w:rFonts w:ascii="Arial" w:hAnsi="Arial" w:eastAsia="Arial" w:cs="Arial"/>
          <w:b w:val="0"/>
          <w:bCs w:val="0"/>
          <w:noProof w:val="0"/>
          <w:sz w:val="24"/>
          <w:szCs w:val="24"/>
          <w:lang w:val="en-US"/>
        </w:rPr>
        <w:t>organi</w:t>
      </w:r>
      <w:r w:rsidRPr="3DC7A50A" w:rsidR="0BFA71BB">
        <w:rPr>
          <w:rFonts w:ascii="Arial" w:hAnsi="Arial" w:eastAsia="Arial" w:cs="Arial"/>
          <w:b w:val="0"/>
          <w:bCs w:val="0"/>
          <w:noProof w:val="0"/>
          <w:sz w:val="24"/>
          <w:szCs w:val="24"/>
          <w:lang w:val="en-US"/>
        </w:rPr>
        <w:t>s</w:t>
      </w:r>
      <w:r w:rsidRPr="3DC7A50A" w:rsidR="01913AA5">
        <w:rPr>
          <w:rFonts w:ascii="Arial" w:hAnsi="Arial" w:eastAsia="Arial" w:cs="Arial"/>
          <w:b w:val="0"/>
          <w:bCs w:val="0"/>
          <w:noProof w:val="0"/>
          <w:sz w:val="24"/>
          <w:szCs w:val="24"/>
          <w:lang w:val="en-US"/>
        </w:rPr>
        <w:t>ational</w:t>
      </w:r>
      <w:r w:rsidRPr="3DC7A50A" w:rsidR="01913AA5">
        <w:rPr>
          <w:rFonts w:ascii="Arial" w:hAnsi="Arial" w:eastAsia="Arial" w:cs="Arial"/>
          <w:b w:val="0"/>
          <w:bCs w:val="0"/>
          <w:noProof w:val="0"/>
          <w:sz w:val="24"/>
          <w:szCs w:val="24"/>
          <w:lang w:val="en-US"/>
        </w:rPr>
        <w:t xml:space="preserve">, and systemic factors contributing to dispensing errors and evaluate quality improvement strategies applied. An evidence table (Appendix A) </w:t>
      </w:r>
      <w:r w:rsidRPr="3DC7A50A" w:rsidR="01913AA5">
        <w:rPr>
          <w:rFonts w:ascii="Arial" w:hAnsi="Arial" w:eastAsia="Arial" w:cs="Arial"/>
          <w:b w:val="0"/>
          <w:bCs w:val="0"/>
          <w:noProof w:val="0"/>
          <w:sz w:val="24"/>
          <w:szCs w:val="24"/>
          <w:lang w:val="en-US"/>
        </w:rPr>
        <w:t>summari</w:t>
      </w:r>
      <w:r w:rsidRPr="3DC7A50A" w:rsidR="3138EAC3">
        <w:rPr>
          <w:rFonts w:ascii="Arial" w:hAnsi="Arial" w:eastAsia="Arial" w:cs="Arial"/>
          <w:b w:val="0"/>
          <w:bCs w:val="0"/>
          <w:noProof w:val="0"/>
          <w:sz w:val="24"/>
          <w:szCs w:val="24"/>
          <w:lang w:val="en-US"/>
        </w:rPr>
        <w:t>s</w:t>
      </w:r>
      <w:r w:rsidRPr="3DC7A50A" w:rsidR="01913AA5">
        <w:rPr>
          <w:rFonts w:ascii="Arial" w:hAnsi="Arial" w:eastAsia="Arial" w:cs="Arial"/>
          <w:b w:val="0"/>
          <w:bCs w:val="0"/>
          <w:noProof w:val="0"/>
          <w:sz w:val="24"/>
          <w:szCs w:val="24"/>
          <w:lang w:val="en-US"/>
        </w:rPr>
        <w:t>es</w:t>
      </w:r>
      <w:r w:rsidRPr="3DC7A50A" w:rsidR="01913AA5">
        <w:rPr>
          <w:rFonts w:ascii="Arial" w:hAnsi="Arial" w:eastAsia="Arial" w:cs="Arial"/>
          <w:b w:val="0"/>
          <w:bCs w:val="0"/>
          <w:noProof w:val="0"/>
          <w:sz w:val="24"/>
          <w:szCs w:val="24"/>
          <w:lang w:val="en-US"/>
        </w:rPr>
        <w:t xml:space="preserve"> study characteristics, methods, participants, interventions, and outcomes, while a summary table highlights key themes and implications for pharmacy practice.</w:t>
      </w:r>
    </w:p>
    <w:p w:rsidR="60CA6FC1" w:rsidP="5B971295" w:rsidRDefault="60CA6FC1" w14:paraId="14655F62" w14:textId="57EF0C64">
      <w:pPr>
        <w:pStyle w:val="Normal"/>
        <w:bidi w:val="0"/>
        <w:spacing w:before="240" w:beforeAutospacing="off" w:after="240" w:afterAutospacing="off"/>
        <w:jc w:val="both"/>
        <w:rPr>
          <w:rFonts w:ascii="Arial" w:hAnsi="Arial" w:eastAsia="Arial" w:cs="Arial"/>
          <w:b w:val="0"/>
          <w:bCs w:val="0"/>
          <w:noProof w:val="0"/>
          <w:sz w:val="24"/>
          <w:szCs w:val="24"/>
          <w:lang w:val="en-US"/>
        </w:rPr>
      </w:pPr>
      <w:r w:rsidRPr="3DC7A50A" w:rsidR="78863AC5">
        <w:rPr>
          <w:rFonts w:ascii="Arial" w:hAnsi="Arial" w:eastAsia="Arial" w:cs="Arial"/>
          <w:noProof w:val="0"/>
          <w:sz w:val="24"/>
          <w:szCs w:val="24"/>
          <w:lang w:val="en-US"/>
        </w:rPr>
        <w:t>Critical appraisal using the</w:t>
      </w:r>
      <w:r w:rsidRPr="3DC7A50A" w:rsidR="0B35CD4A">
        <w:rPr>
          <w:rFonts w:ascii="Arial" w:hAnsi="Arial" w:eastAsia="Arial" w:cs="Arial"/>
          <w:noProof w:val="0"/>
          <w:sz w:val="24"/>
          <w:szCs w:val="24"/>
          <w:lang w:val="en-US"/>
        </w:rPr>
        <w:t xml:space="preserve"> Critical Appraisal Skills </w:t>
      </w:r>
      <w:r w:rsidRPr="3DC7A50A" w:rsidR="0B35CD4A">
        <w:rPr>
          <w:rFonts w:ascii="Arial" w:hAnsi="Arial" w:eastAsia="Arial" w:cs="Arial"/>
          <w:noProof w:val="0"/>
          <w:sz w:val="24"/>
          <w:szCs w:val="24"/>
          <w:lang w:val="en-US"/>
        </w:rPr>
        <w:t>Programme</w:t>
      </w:r>
      <w:r w:rsidRPr="3DC7A50A" w:rsidR="08930320">
        <w:rPr>
          <w:rFonts w:ascii="Arial" w:hAnsi="Arial" w:eastAsia="Arial" w:cs="Arial"/>
          <w:noProof w:val="0"/>
          <w:sz w:val="24"/>
          <w:szCs w:val="24"/>
          <w:lang w:val="en-US"/>
        </w:rPr>
        <w:t xml:space="preserve"> (</w:t>
      </w:r>
      <w:r w:rsidRPr="3DC7A50A" w:rsidR="78863AC5">
        <w:rPr>
          <w:rFonts w:ascii="Arial" w:hAnsi="Arial" w:eastAsia="Arial" w:cs="Arial"/>
          <w:noProof w:val="0"/>
          <w:sz w:val="24"/>
          <w:szCs w:val="24"/>
          <w:lang w:val="en-US"/>
        </w:rPr>
        <w:t>CASP</w:t>
      </w:r>
      <w:r w:rsidRPr="3DC7A50A" w:rsidR="6C6FC3F9">
        <w:rPr>
          <w:rFonts w:ascii="Arial" w:hAnsi="Arial" w:eastAsia="Arial" w:cs="Arial"/>
          <w:noProof w:val="0"/>
          <w:sz w:val="24"/>
          <w:szCs w:val="24"/>
          <w:lang w:val="en-US"/>
        </w:rPr>
        <w:t xml:space="preserve">) </w:t>
      </w:r>
      <w:r w:rsidRPr="3DC7A50A" w:rsidR="78863AC5">
        <w:rPr>
          <w:rFonts w:ascii="Arial" w:hAnsi="Arial" w:eastAsia="Arial" w:cs="Arial"/>
          <w:noProof w:val="0"/>
          <w:sz w:val="24"/>
          <w:szCs w:val="24"/>
          <w:lang w:val="en-US"/>
        </w:rPr>
        <w:t xml:space="preserve">qualitative checklist is employed to assess the methodological rigor of the included studies and ensure the validity, reliability, and trustworthiness of the evidence. This chapter also </w:t>
      </w:r>
      <w:r w:rsidRPr="3DC7A50A" w:rsidR="78863AC5">
        <w:rPr>
          <w:rFonts w:ascii="Arial" w:hAnsi="Arial" w:eastAsia="Arial" w:cs="Arial"/>
          <w:noProof w:val="0"/>
          <w:sz w:val="24"/>
          <w:szCs w:val="24"/>
          <w:lang w:val="en-US"/>
        </w:rPr>
        <w:t>identifies</w:t>
      </w:r>
      <w:r w:rsidRPr="3DC7A50A" w:rsidR="78863AC5">
        <w:rPr>
          <w:rFonts w:ascii="Arial" w:hAnsi="Arial" w:eastAsia="Arial" w:cs="Arial"/>
          <w:noProof w:val="0"/>
          <w:sz w:val="24"/>
          <w:szCs w:val="24"/>
          <w:lang w:val="en-US"/>
        </w:rPr>
        <w:t xml:space="preserve"> recurring barriers, facilitators, and strategies that </w:t>
      </w:r>
      <w:r w:rsidRPr="3DC7A50A" w:rsidR="78863AC5">
        <w:rPr>
          <w:rFonts w:ascii="Arial" w:hAnsi="Arial" w:eastAsia="Arial" w:cs="Arial"/>
          <w:noProof w:val="0"/>
          <w:sz w:val="24"/>
          <w:szCs w:val="24"/>
          <w:lang w:val="en-US"/>
        </w:rPr>
        <w:t>impact</w:t>
      </w:r>
      <w:r w:rsidRPr="3DC7A50A" w:rsidR="78863AC5">
        <w:rPr>
          <w:rFonts w:ascii="Arial" w:hAnsi="Arial" w:eastAsia="Arial" w:cs="Arial"/>
          <w:noProof w:val="0"/>
          <w:sz w:val="24"/>
          <w:szCs w:val="24"/>
          <w:lang w:val="en-US"/>
        </w:rPr>
        <w:t xml:space="preserve"> medication safety in </w:t>
      </w:r>
      <w:r w:rsidRPr="3DC7A50A" w:rsidR="1653005E">
        <w:rPr>
          <w:rFonts w:ascii="Arial" w:hAnsi="Arial" w:eastAsia="Arial" w:cs="Arial"/>
          <w:b w:val="0"/>
          <w:bCs w:val="0"/>
          <w:noProof w:val="0"/>
          <w:sz w:val="24"/>
          <w:szCs w:val="24"/>
          <w:lang w:val="en-US"/>
        </w:rPr>
        <w:t>LMIC settings</w:t>
      </w:r>
      <w:r w:rsidRPr="3DC7A50A" w:rsidR="1653005E">
        <w:rPr>
          <w:rFonts w:ascii="Arial" w:hAnsi="Arial" w:eastAsia="Arial" w:cs="Arial"/>
          <w:b w:val="0"/>
          <w:bCs w:val="0"/>
          <w:noProof w:val="0"/>
          <w:sz w:val="24"/>
          <w:szCs w:val="24"/>
          <w:lang w:val="en-US"/>
        </w:rPr>
        <w:t>.</w:t>
      </w:r>
    </w:p>
    <w:p w:rsidR="0A1694EB" w:rsidP="3DC7A50A" w:rsidRDefault="0A1694EB" w14:paraId="3AD9A773" w14:textId="2833C4B4">
      <w:pPr>
        <w:bidi w:val="0"/>
        <w:spacing w:before="240" w:beforeAutospacing="off" w:after="240" w:afterAutospacing="off"/>
        <w:jc w:val="both"/>
        <w:rPr>
          <w:rFonts w:ascii="Arial" w:hAnsi="Arial" w:eastAsia="Arial" w:cs="Arial"/>
          <w:noProof w:val="0"/>
          <w:sz w:val="24"/>
          <w:szCs w:val="24"/>
          <w:lang w:val="en-US"/>
        </w:rPr>
      </w:pPr>
      <w:bookmarkStart w:name="_Toc51671021" w:id="165462373"/>
      <w:r w:rsidRPr="3DC7A50A" w:rsidR="04AAEBA2">
        <w:rPr>
          <w:rStyle w:val="Heading2Char"/>
          <w:rFonts w:ascii="Arial" w:hAnsi="Arial" w:eastAsia="Arial" w:cs="Arial"/>
          <w:noProof w:val="0"/>
          <w:lang w:val="en-US"/>
        </w:rPr>
        <w:t>4.2 Data Extraction</w:t>
      </w:r>
      <w:bookmarkEnd w:id="165462373"/>
      <w:r w:rsidRPr="3DC7A50A" w:rsidR="04AAEBA2">
        <w:rPr>
          <w:rFonts w:ascii="Arial" w:hAnsi="Arial" w:eastAsia="Arial" w:cs="Arial"/>
          <w:noProof w:val="0"/>
          <w:sz w:val="24"/>
          <w:szCs w:val="24"/>
          <w:lang w:val="en-US"/>
        </w:rPr>
        <w:t xml:space="preserve"> </w:t>
      </w:r>
    </w:p>
    <w:p w:rsidR="0A1694EB" w:rsidP="4369956E" w:rsidRDefault="0A1694EB" w14:paraId="2242EE05" w14:textId="7842A876">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Data extraction was conducted systematically for all included studies to ensure consistency, transparency, and comparability across the evidence base. A structured data extraction framework was developed prior to analysis and applied uniformly to each study. The following characteristics were captured for every included article:</w:t>
      </w:r>
    </w:p>
    <w:p w:rsidR="0A1694EB" w:rsidP="4369956E" w:rsidRDefault="0A1694EB" w14:paraId="00B44294" w14:textId="5D9B7C9F">
      <w:pPr>
        <w:bidi w:val="0"/>
        <w:spacing w:before="240" w:beforeAutospacing="off" w:after="240" w:afterAutospacing="off"/>
        <w:jc w:val="both"/>
        <w:rPr>
          <w:rFonts w:ascii="Arial" w:hAnsi="Arial" w:eastAsia="Arial" w:cs="Arial"/>
          <w:noProof w:val="0"/>
          <w:sz w:val="24"/>
          <w:szCs w:val="24"/>
          <w:lang w:val="en-US"/>
        </w:rPr>
      </w:pPr>
    </w:p>
    <w:p w:rsidR="0A1694EB" w:rsidP="4369956E" w:rsidRDefault="0A1694EB" w14:paraId="40F2B1AA" w14:textId="31D1433B">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Author(s) and year of publicatio</w:t>
      </w:r>
      <w:r w:rsidRPr="3DC7A50A" w:rsidR="20DD7C2E">
        <w:rPr>
          <w:rFonts w:ascii="Arial" w:hAnsi="Arial" w:eastAsia="Arial" w:cs="Arial"/>
          <w:noProof w:val="0"/>
          <w:sz w:val="24"/>
          <w:szCs w:val="24"/>
          <w:lang w:val="en-US"/>
        </w:rPr>
        <w:t>n</w:t>
      </w:r>
    </w:p>
    <w:p w:rsidR="0A1694EB" w:rsidP="4369956E" w:rsidRDefault="0A1694EB" w14:paraId="7CF46431" w14:textId="73FAD33E">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Country and pharmacy setting (community, hospital, or mixed)</w:t>
      </w:r>
      <w:r w:rsidRPr="3DC7A50A" w:rsidR="56F39539">
        <w:rPr>
          <w:rFonts w:ascii="Arial" w:hAnsi="Arial" w:eastAsia="Arial" w:cs="Arial"/>
          <w:noProof w:val="0"/>
          <w:sz w:val="24"/>
          <w:szCs w:val="24"/>
          <w:lang w:val="en-US"/>
        </w:rPr>
        <w:t xml:space="preserve"> </w:t>
      </w:r>
    </w:p>
    <w:p w:rsidR="0A1694EB" w:rsidP="4369956E" w:rsidRDefault="0A1694EB" w14:paraId="4ED02F99" w14:textId="34B04C3E">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Study </w:t>
      </w:r>
      <w:r w:rsidRPr="3DC7A50A" w:rsidR="04AAEBA2">
        <w:rPr>
          <w:rFonts w:ascii="Arial" w:hAnsi="Arial" w:eastAsia="Arial" w:cs="Arial"/>
          <w:noProof w:val="0"/>
          <w:sz w:val="24"/>
          <w:szCs w:val="24"/>
          <w:lang w:val="en-US"/>
        </w:rPr>
        <w:t>aim</w:t>
      </w:r>
      <w:r w:rsidRPr="3DC7A50A" w:rsidR="04AAEBA2">
        <w:rPr>
          <w:rFonts w:ascii="Arial" w:hAnsi="Arial" w:eastAsia="Arial" w:cs="Arial"/>
          <w:noProof w:val="0"/>
          <w:sz w:val="24"/>
          <w:szCs w:val="24"/>
          <w:lang w:val="en-US"/>
        </w:rPr>
        <w:t xml:space="preserve"> and research objectives</w:t>
      </w:r>
    </w:p>
    <w:p w:rsidR="0A1694EB" w:rsidP="4369956E" w:rsidRDefault="0A1694EB" w14:paraId="18CE3B9C" w14:textId="1DBE3AD6">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Participant characteristics (pharmacists, dispensers, patients, or other healthcare staff) </w:t>
      </w:r>
    </w:p>
    <w:p w:rsidR="0A1694EB" w:rsidP="4369956E" w:rsidRDefault="0A1694EB" w14:paraId="396DF51B" w14:textId="6F8582BA">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Qualitative </w:t>
      </w:r>
      <w:r w:rsidRPr="3DC7A50A" w:rsidR="04AAEBA2">
        <w:rPr>
          <w:rFonts w:ascii="Arial" w:hAnsi="Arial" w:eastAsia="Arial" w:cs="Arial"/>
          <w:noProof w:val="0"/>
          <w:sz w:val="24"/>
          <w:szCs w:val="24"/>
          <w:lang w:val="en-US"/>
        </w:rPr>
        <w:t>methodology</w:t>
      </w:r>
      <w:r w:rsidRPr="3DC7A50A" w:rsidR="04AAEBA2">
        <w:rPr>
          <w:rFonts w:ascii="Arial" w:hAnsi="Arial" w:eastAsia="Arial" w:cs="Arial"/>
          <w:noProof w:val="0"/>
          <w:sz w:val="24"/>
          <w:szCs w:val="24"/>
          <w:lang w:val="en-US"/>
        </w:rPr>
        <w:t xml:space="preserve"> (</w:t>
      </w:r>
      <w:r w:rsidRPr="3DC7A50A" w:rsidR="04AAEBA2">
        <w:rPr>
          <w:rFonts w:ascii="Arial" w:hAnsi="Arial" w:eastAsia="Arial" w:cs="Arial"/>
          <w:noProof w:val="0"/>
          <w:sz w:val="24"/>
          <w:szCs w:val="24"/>
          <w:lang w:val="en-US"/>
        </w:rPr>
        <w:t>e.g.</w:t>
      </w:r>
      <w:r w:rsidRPr="3DC7A50A" w:rsidR="04AAEBA2">
        <w:rPr>
          <w:rFonts w:ascii="Arial" w:hAnsi="Arial" w:eastAsia="Arial" w:cs="Arial"/>
          <w:noProof w:val="0"/>
          <w:sz w:val="24"/>
          <w:szCs w:val="24"/>
          <w:lang w:val="en-US"/>
        </w:rPr>
        <w:t xml:space="preserve"> interviews, focus groups, observations, or mixed qualitative approaches) </w:t>
      </w:r>
    </w:p>
    <w:p w:rsidR="0A1694EB" w:rsidP="4369956E" w:rsidRDefault="0A1694EB" w14:paraId="737BF436" w14:textId="209862EC">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Quality improvement interventions or safety initiatives (where reported)</w:t>
      </w:r>
    </w:p>
    <w:p w:rsidR="0A1694EB" w:rsidP="4369956E" w:rsidRDefault="0A1694EB" w14:paraId="23782116" w14:textId="3B055E3A">
      <w:pPr>
        <w:pStyle w:val="ListParagraph"/>
        <w:numPr>
          <w:ilvl w:val="0"/>
          <w:numId w:val="15"/>
        </w:numPr>
        <w:bidi w:val="0"/>
        <w:spacing w:before="240" w:beforeAutospacing="off" w:after="240" w:afterAutospacing="off"/>
        <w:jc w:val="both"/>
        <w:rPr>
          <w:rFonts w:ascii="Arial" w:hAnsi="Arial" w:eastAsia="Arial" w:cs="Arial"/>
          <w:noProof w:val="0"/>
          <w:sz w:val="24"/>
          <w:szCs w:val="24"/>
          <w:lang w:val="en-US"/>
        </w:rPr>
      </w:pPr>
      <w:r w:rsidRPr="3DC7A50A" w:rsidR="16021E3D">
        <w:rPr>
          <w:rFonts w:ascii="Arial" w:hAnsi="Arial" w:eastAsia="Arial" w:cs="Arial"/>
          <w:noProof w:val="0"/>
          <w:sz w:val="24"/>
          <w:szCs w:val="24"/>
          <w:lang w:val="en-US"/>
        </w:rPr>
        <w:t xml:space="preserve"> Key findings and emergent themes related to dispensing errors and medication safety </w:t>
      </w:r>
    </w:p>
    <w:p w:rsidR="0A1694EB" w:rsidP="4369956E" w:rsidRDefault="0A1694EB" w14:paraId="46FE6B12" w14:textId="64EDF5AA">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This structured approach enabled systematic engagement with each study and reduced the risk of selective reporting or interpretive bias (Haddaway et al., 2020). By extracting comparable categories across studies, it was possible to </w:t>
      </w:r>
      <w:r w:rsidRPr="3DC7A50A" w:rsidR="04AAEBA2">
        <w:rPr>
          <w:rFonts w:ascii="Arial" w:hAnsi="Arial" w:eastAsia="Arial" w:cs="Arial"/>
          <w:noProof w:val="0"/>
          <w:sz w:val="24"/>
          <w:szCs w:val="24"/>
          <w:lang w:val="en-US"/>
        </w:rPr>
        <w:t>identify</w:t>
      </w:r>
      <w:r w:rsidRPr="3DC7A50A" w:rsidR="04AAEBA2">
        <w:rPr>
          <w:rFonts w:ascii="Arial" w:hAnsi="Arial" w:eastAsia="Arial" w:cs="Arial"/>
          <w:noProof w:val="0"/>
          <w:sz w:val="24"/>
          <w:szCs w:val="24"/>
          <w:lang w:val="en-US"/>
        </w:rPr>
        <w:t xml:space="preserve"> recurring patterns related to workforce challenges, regulatory gaps, patient pressure, communication barriers, and </w:t>
      </w:r>
      <w:r w:rsidRPr="3DC7A50A" w:rsidR="04AAEBA2">
        <w:rPr>
          <w:rFonts w:ascii="Arial" w:hAnsi="Arial" w:eastAsia="Arial" w:cs="Arial"/>
          <w:noProof w:val="0"/>
          <w:sz w:val="24"/>
          <w:szCs w:val="24"/>
          <w:lang w:val="en-US"/>
        </w:rPr>
        <w:t>organisational</w:t>
      </w:r>
      <w:r w:rsidRPr="3DC7A50A" w:rsidR="04AAEBA2">
        <w:rPr>
          <w:rFonts w:ascii="Arial" w:hAnsi="Arial" w:eastAsia="Arial" w:cs="Arial"/>
          <w:noProof w:val="0"/>
          <w:sz w:val="24"/>
          <w:szCs w:val="24"/>
          <w:lang w:val="en-US"/>
        </w:rPr>
        <w:t xml:space="preserve"> culture influencing dispensing safety in LMIC pharmacy settings (WHO, 2017; Bigdeli et al., 2019).</w:t>
      </w:r>
    </w:p>
    <w:p w:rsidR="0A1694EB" w:rsidP="4369956E" w:rsidRDefault="0A1694EB" w14:paraId="1B7A37D1" w14:textId="30B5FCE8">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 Data extraction also </w:t>
      </w:r>
      <w:r w:rsidRPr="3DC7A50A" w:rsidR="04AAEBA2">
        <w:rPr>
          <w:rFonts w:ascii="Arial" w:hAnsi="Arial" w:eastAsia="Arial" w:cs="Arial"/>
          <w:noProof w:val="0"/>
          <w:sz w:val="24"/>
          <w:szCs w:val="24"/>
          <w:lang w:val="en-US"/>
        </w:rPr>
        <w:t>facilitated</w:t>
      </w:r>
      <w:r w:rsidRPr="3DC7A50A" w:rsidR="04AAEBA2">
        <w:rPr>
          <w:rFonts w:ascii="Arial" w:hAnsi="Arial" w:eastAsia="Arial" w:cs="Arial"/>
          <w:noProof w:val="0"/>
          <w:sz w:val="24"/>
          <w:szCs w:val="24"/>
          <w:lang w:val="en-US"/>
        </w:rPr>
        <w:t xml:space="preserve"> identification of quality improvement strategies reported within the literature, including training initiatives, regulatory enforcement mechanisms, workflow </w:t>
      </w:r>
      <w:r w:rsidRPr="3DC7A50A" w:rsidR="04AAEBA2">
        <w:rPr>
          <w:rFonts w:ascii="Arial" w:hAnsi="Arial" w:eastAsia="Arial" w:cs="Arial"/>
          <w:noProof w:val="0"/>
          <w:sz w:val="24"/>
          <w:szCs w:val="24"/>
          <w:lang w:val="en-US"/>
        </w:rPr>
        <w:t>standardisation</w:t>
      </w:r>
      <w:r w:rsidRPr="3DC7A50A" w:rsidR="04AAEBA2">
        <w:rPr>
          <w:rFonts w:ascii="Arial" w:hAnsi="Arial" w:eastAsia="Arial" w:cs="Arial"/>
          <w:noProof w:val="0"/>
          <w:sz w:val="24"/>
          <w:szCs w:val="24"/>
          <w:lang w:val="en-US"/>
        </w:rPr>
        <w:t>, and patient education approaches. Capturing these elements allowed the review to move beyond problem identification towards understanding potential solutions relevant to LMIC contexts.</w:t>
      </w:r>
    </w:p>
    <w:p w:rsidR="0A1694EB" w:rsidP="4369956E" w:rsidRDefault="0A1694EB" w14:paraId="3088B0B2" w14:textId="3EB7D7EA">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 </w:t>
      </w:r>
      <w:r w:rsidRPr="3DC7A50A" w:rsidR="04AAEBA2">
        <w:rPr>
          <w:rFonts w:ascii="Arial" w:hAnsi="Arial" w:eastAsia="Arial" w:cs="Arial"/>
          <w:noProof w:val="0"/>
          <w:sz w:val="24"/>
          <w:szCs w:val="24"/>
          <w:lang w:val="en-US"/>
        </w:rPr>
        <w:t>Standardising</w:t>
      </w:r>
      <w:r w:rsidRPr="3DC7A50A" w:rsidR="04AAEBA2">
        <w:rPr>
          <w:rFonts w:ascii="Arial" w:hAnsi="Arial" w:eastAsia="Arial" w:cs="Arial"/>
          <w:noProof w:val="0"/>
          <w:sz w:val="24"/>
          <w:szCs w:val="24"/>
          <w:lang w:val="en-US"/>
        </w:rPr>
        <w:t xml:space="preserve"> the extraction process enhanced the interpretability of findings across diverse geographical and </w:t>
      </w:r>
      <w:r w:rsidRPr="3DC7A50A" w:rsidR="04AAEBA2">
        <w:rPr>
          <w:rFonts w:ascii="Arial" w:hAnsi="Arial" w:eastAsia="Arial" w:cs="Arial"/>
          <w:noProof w:val="0"/>
          <w:sz w:val="24"/>
          <w:szCs w:val="24"/>
          <w:lang w:val="en-US"/>
        </w:rPr>
        <w:t>organisational</w:t>
      </w:r>
      <w:r w:rsidRPr="3DC7A50A" w:rsidR="04AAEBA2">
        <w:rPr>
          <w:rFonts w:ascii="Arial" w:hAnsi="Arial" w:eastAsia="Arial" w:cs="Arial"/>
          <w:noProof w:val="0"/>
          <w:sz w:val="24"/>
          <w:szCs w:val="24"/>
          <w:lang w:val="en-US"/>
        </w:rPr>
        <w:t xml:space="preserve"> settings and supported meaningful synthesis during thematic analysis (Schmidt, 2021). To </w:t>
      </w:r>
      <w:r w:rsidRPr="3DC7A50A" w:rsidR="04AAEBA2">
        <w:rPr>
          <w:rFonts w:ascii="Arial" w:hAnsi="Arial" w:eastAsia="Arial" w:cs="Arial"/>
          <w:noProof w:val="0"/>
          <w:sz w:val="24"/>
          <w:szCs w:val="24"/>
          <w:lang w:val="en-US"/>
        </w:rPr>
        <w:t>maintain</w:t>
      </w:r>
      <w:r w:rsidRPr="3DC7A50A" w:rsidR="04AAEBA2">
        <w:rPr>
          <w:rFonts w:ascii="Arial" w:hAnsi="Arial" w:eastAsia="Arial" w:cs="Arial"/>
          <w:noProof w:val="0"/>
          <w:sz w:val="24"/>
          <w:szCs w:val="24"/>
          <w:lang w:val="en-US"/>
        </w:rPr>
        <w:t xml:space="preserve"> transparency and auditability, a detailed data extraction table </w:t>
      </w:r>
      <w:r w:rsidRPr="3DC7A50A" w:rsidR="04AAEBA2">
        <w:rPr>
          <w:rFonts w:ascii="Arial" w:hAnsi="Arial" w:eastAsia="Arial" w:cs="Arial"/>
          <w:noProof w:val="0"/>
          <w:sz w:val="24"/>
          <w:szCs w:val="24"/>
          <w:lang w:val="en-US"/>
        </w:rPr>
        <w:t>summarising</w:t>
      </w:r>
      <w:r w:rsidRPr="3DC7A50A" w:rsidR="04AAEBA2">
        <w:rPr>
          <w:rFonts w:ascii="Arial" w:hAnsi="Arial" w:eastAsia="Arial" w:cs="Arial"/>
          <w:noProof w:val="0"/>
          <w:sz w:val="24"/>
          <w:szCs w:val="24"/>
          <w:lang w:val="en-US"/>
        </w:rPr>
        <w:t xml:space="preserve"> the characteristics of all included studies is provided in Appendix A.</w:t>
      </w:r>
    </w:p>
    <w:p w:rsidR="0A1694EB" w:rsidP="4369956E" w:rsidRDefault="0A1694EB" w14:paraId="7152F5DF" w14:textId="357831FA">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 </w:t>
      </w:r>
      <w:r w:rsidRPr="3DC7A50A" w:rsidR="04AAEBA2">
        <w:rPr>
          <w:rStyle w:val="Heading2Char"/>
          <w:noProof w:val="0"/>
          <w:lang w:val="en-US"/>
        </w:rPr>
        <w:t>4.3 Critical Appraisal and Paper Quality Assessment</w:t>
      </w:r>
    </w:p>
    <w:p w:rsidR="0A1694EB" w:rsidP="4369956E" w:rsidRDefault="0A1694EB" w14:paraId="6B477176" w14:textId="608C66A0">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Critical appraisal is a core </w:t>
      </w:r>
      <w:r w:rsidRPr="3DC7A50A" w:rsidR="04AAEBA2">
        <w:rPr>
          <w:rFonts w:ascii="Arial" w:hAnsi="Arial" w:eastAsia="Arial" w:cs="Arial"/>
          <w:noProof w:val="0"/>
          <w:sz w:val="24"/>
          <w:szCs w:val="24"/>
          <w:lang w:val="en-US"/>
        </w:rPr>
        <w:t>component</w:t>
      </w:r>
      <w:r w:rsidRPr="3DC7A50A" w:rsidR="04AAEBA2">
        <w:rPr>
          <w:rFonts w:ascii="Arial" w:hAnsi="Arial" w:eastAsia="Arial" w:cs="Arial"/>
          <w:noProof w:val="0"/>
          <w:sz w:val="24"/>
          <w:szCs w:val="24"/>
          <w:lang w:val="en-US"/>
        </w:rPr>
        <w:t xml:space="preserve"> of systematic reviews, as it enables assessment of the methodological quality, credibility, and relevance of included studies prior to synthesis (Tod, Booth, and Smith, 2022). In qualitative </w:t>
      </w:r>
      <w:r w:rsidRPr="3DC7A50A" w:rsidR="04AAEBA2">
        <w:rPr>
          <w:rFonts w:ascii="Arial" w:hAnsi="Arial" w:eastAsia="Arial" w:cs="Arial"/>
          <w:noProof w:val="0"/>
          <w:sz w:val="24"/>
          <w:szCs w:val="24"/>
          <w:lang w:val="en-US"/>
        </w:rPr>
        <w:t>evidence</w:t>
      </w:r>
      <w:r w:rsidRPr="3DC7A50A" w:rsidR="04AAEBA2">
        <w:rPr>
          <w:rFonts w:ascii="Arial" w:hAnsi="Arial" w:eastAsia="Arial" w:cs="Arial"/>
          <w:noProof w:val="0"/>
          <w:sz w:val="24"/>
          <w:szCs w:val="24"/>
          <w:lang w:val="en-US"/>
        </w:rPr>
        <w:t xml:space="preserve"> synthesis, appraisal is particularly important because study quality can influence the trustworthiness of interpretations drawn from subjective experiences and contextual data (Polit and Beck, 2020). </w:t>
      </w:r>
    </w:p>
    <w:p w:rsidR="0A1694EB" w:rsidP="4369956E" w:rsidRDefault="0A1694EB" w14:paraId="6AB8FC1D" w14:textId="7C87B608">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For this review, the Critical Appraisal Skills </w:t>
      </w:r>
      <w:r w:rsidRPr="3DC7A50A" w:rsidR="04AAEBA2">
        <w:rPr>
          <w:rFonts w:ascii="Arial" w:hAnsi="Arial" w:eastAsia="Arial" w:cs="Arial"/>
          <w:noProof w:val="0"/>
          <w:sz w:val="24"/>
          <w:szCs w:val="24"/>
          <w:lang w:val="en-US"/>
        </w:rPr>
        <w:t>Programme</w:t>
      </w:r>
      <w:r w:rsidRPr="3DC7A50A" w:rsidR="04AAEBA2">
        <w:rPr>
          <w:rFonts w:ascii="Arial" w:hAnsi="Arial" w:eastAsia="Arial" w:cs="Arial"/>
          <w:noProof w:val="0"/>
          <w:sz w:val="24"/>
          <w:szCs w:val="24"/>
          <w:lang w:val="en-US"/>
        </w:rPr>
        <w:t xml:space="preserve"> (CASP) qualitative checklist was selected as the primary appraisal tool. CASP is specifically designed for qualitative research and provides a structured yet flexible framework for evaluating key methodological domains, including clarity of research aims, appropriateness of qualitative </w:t>
      </w:r>
      <w:r w:rsidRPr="3DC7A50A" w:rsidR="04AAEBA2">
        <w:rPr>
          <w:rFonts w:ascii="Arial" w:hAnsi="Arial" w:eastAsia="Arial" w:cs="Arial"/>
          <w:noProof w:val="0"/>
          <w:sz w:val="24"/>
          <w:szCs w:val="24"/>
          <w:lang w:val="en-US"/>
        </w:rPr>
        <w:t>methodology</w:t>
      </w:r>
      <w:r w:rsidRPr="3DC7A50A" w:rsidR="04AAEBA2">
        <w:rPr>
          <w:rFonts w:ascii="Arial" w:hAnsi="Arial" w:eastAsia="Arial" w:cs="Arial"/>
          <w:noProof w:val="0"/>
          <w:sz w:val="24"/>
          <w:szCs w:val="24"/>
          <w:lang w:val="en-US"/>
        </w:rPr>
        <w:t xml:space="preserve"> and design, </w:t>
      </w:r>
      <w:r w:rsidRPr="3DC7A50A" w:rsidR="04AAEBA2">
        <w:rPr>
          <w:rFonts w:ascii="Arial" w:hAnsi="Arial" w:eastAsia="Arial" w:cs="Arial"/>
          <w:noProof w:val="0"/>
          <w:sz w:val="24"/>
          <w:szCs w:val="24"/>
          <w:lang w:val="en-US"/>
        </w:rPr>
        <w:t>rigour</w:t>
      </w:r>
      <w:r w:rsidRPr="3DC7A50A" w:rsidR="04AAEBA2">
        <w:rPr>
          <w:rFonts w:ascii="Arial" w:hAnsi="Arial" w:eastAsia="Arial" w:cs="Arial"/>
          <w:noProof w:val="0"/>
          <w:sz w:val="24"/>
          <w:szCs w:val="24"/>
          <w:lang w:val="en-US"/>
        </w:rPr>
        <w:t xml:space="preserve"> of data collection and analysis, ethical considerations, reflexivity of researchers, and the credibility and relevance of findings (CASP, 2018). </w:t>
      </w:r>
    </w:p>
    <w:p w:rsidR="0A1694EB" w:rsidP="4369956E" w:rsidRDefault="0A1694EB" w14:paraId="3002B508" w14:textId="3D96BEDE">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Each included study was assessed against the ten CASP checklist criteria. Rather than excluding studies solely </w:t>
      </w:r>
      <w:r w:rsidRPr="3DC7A50A" w:rsidR="04AAEBA2">
        <w:rPr>
          <w:rFonts w:ascii="Arial" w:hAnsi="Arial" w:eastAsia="Arial" w:cs="Arial"/>
          <w:noProof w:val="0"/>
          <w:sz w:val="24"/>
          <w:szCs w:val="24"/>
          <w:lang w:val="en-US"/>
        </w:rPr>
        <w:t>on the basis of</w:t>
      </w:r>
      <w:r w:rsidRPr="3DC7A50A" w:rsidR="04AAEBA2">
        <w:rPr>
          <w:rFonts w:ascii="Arial" w:hAnsi="Arial" w:eastAsia="Arial" w:cs="Arial"/>
          <w:noProof w:val="0"/>
          <w:sz w:val="24"/>
          <w:szCs w:val="24"/>
          <w:lang w:val="en-US"/>
        </w:rPr>
        <w:t xml:space="preserve"> appraisal scores, studies were </w:t>
      </w:r>
      <w:r w:rsidRPr="3DC7A50A" w:rsidR="04AAEBA2">
        <w:rPr>
          <w:rFonts w:ascii="Arial" w:hAnsi="Arial" w:eastAsia="Arial" w:cs="Arial"/>
          <w:noProof w:val="0"/>
          <w:sz w:val="24"/>
          <w:szCs w:val="24"/>
          <w:lang w:val="en-US"/>
        </w:rPr>
        <w:t>categorised</w:t>
      </w:r>
      <w:r w:rsidRPr="3DC7A50A" w:rsidR="04AAEBA2">
        <w:rPr>
          <w:rFonts w:ascii="Arial" w:hAnsi="Arial" w:eastAsia="Arial" w:cs="Arial"/>
          <w:noProof w:val="0"/>
          <w:sz w:val="24"/>
          <w:szCs w:val="24"/>
          <w:lang w:val="en-US"/>
        </w:rPr>
        <w:t xml:space="preserve"> as high, moderate, or low quality to inform interpretation of findings. High-quality studies typically </w:t>
      </w:r>
      <w:r w:rsidRPr="3DC7A50A" w:rsidR="04AAEBA2">
        <w:rPr>
          <w:rFonts w:ascii="Arial" w:hAnsi="Arial" w:eastAsia="Arial" w:cs="Arial"/>
          <w:noProof w:val="0"/>
          <w:sz w:val="24"/>
          <w:szCs w:val="24"/>
          <w:lang w:val="en-US"/>
        </w:rPr>
        <w:t>demonstrated</w:t>
      </w:r>
      <w:r w:rsidRPr="3DC7A50A" w:rsidR="04AAEBA2">
        <w:rPr>
          <w:rFonts w:ascii="Arial" w:hAnsi="Arial" w:eastAsia="Arial" w:cs="Arial"/>
          <w:noProof w:val="0"/>
          <w:sz w:val="24"/>
          <w:szCs w:val="24"/>
          <w:lang w:val="en-US"/>
        </w:rPr>
        <w:t xml:space="preserve"> clearly articulated aims, coherent qualitative designs, transparent thematic analysis, and robust ethical reporting. Moderate-quality studies often showed strong alignment between aims and methods but provided limited reflexive discussion or insufficient detail on analytical processes. Low-quality studies, where present, were </w:t>
      </w:r>
      <w:r w:rsidRPr="3DC7A50A" w:rsidR="04AAEBA2">
        <w:rPr>
          <w:rFonts w:ascii="Arial" w:hAnsi="Arial" w:eastAsia="Arial" w:cs="Arial"/>
          <w:noProof w:val="0"/>
          <w:sz w:val="24"/>
          <w:szCs w:val="24"/>
          <w:lang w:val="en-US"/>
        </w:rPr>
        <w:t>characterised</w:t>
      </w:r>
      <w:r w:rsidRPr="3DC7A50A" w:rsidR="04AAEBA2">
        <w:rPr>
          <w:rFonts w:ascii="Arial" w:hAnsi="Arial" w:eastAsia="Arial" w:cs="Arial"/>
          <w:noProof w:val="0"/>
          <w:sz w:val="24"/>
          <w:szCs w:val="24"/>
          <w:lang w:val="en-US"/>
        </w:rPr>
        <w:t xml:space="preserve"> by unclear </w:t>
      </w:r>
      <w:r w:rsidRPr="3DC7A50A" w:rsidR="04AAEBA2">
        <w:rPr>
          <w:rFonts w:ascii="Arial" w:hAnsi="Arial" w:eastAsia="Arial" w:cs="Arial"/>
          <w:noProof w:val="0"/>
          <w:sz w:val="24"/>
          <w:szCs w:val="24"/>
          <w:lang w:val="en-US"/>
        </w:rPr>
        <w:t>methodology</w:t>
      </w:r>
      <w:r w:rsidRPr="3DC7A50A" w:rsidR="04AAEBA2">
        <w:rPr>
          <w:rFonts w:ascii="Arial" w:hAnsi="Arial" w:eastAsia="Arial" w:cs="Arial"/>
          <w:noProof w:val="0"/>
          <w:sz w:val="24"/>
          <w:szCs w:val="24"/>
          <w:lang w:val="en-US"/>
        </w:rPr>
        <w:t xml:space="preserve"> or limited transparency; however, their findings were still considered cautiously within the broader synthesis. </w:t>
      </w:r>
    </w:p>
    <w:p w:rsidR="0A1694EB" w:rsidP="4369956E" w:rsidRDefault="0A1694EB" w14:paraId="446D86BD" w14:textId="247BB263">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CASP was selected over alternative appraisal tools such as the Joanna Briggs Institute (JBI) checklist or the Mixed Methods Appraisal Tool (MMAT) because of its strong emphasis on interpretive depth, contextual understanding, and reflexivity—elements that are particularly important when examining dispensing errors within complex LMIC pharmacy environments (Buccheri and Sharifi, 2017). Unlike MMAT, which offers limited qualitative depth, CASP allows for nuanced judgement of methodological strengths and weaknesses, supporting richer synthesis of experiential evidence (Quigley et al., 2019).</w:t>
      </w:r>
    </w:p>
    <w:p w:rsidR="0A1694EB" w:rsidP="4369956E" w:rsidRDefault="0A1694EB" w14:paraId="4E482C7D" w14:textId="5717761B">
      <w:pPr>
        <w:bidi w:val="0"/>
        <w:spacing w:before="240" w:beforeAutospacing="off" w:after="240" w:afterAutospacing="off"/>
        <w:jc w:val="both"/>
        <w:rPr>
          <w:rFonts w:ascii="Arial" w:hAnsi="Arial" w:eastAsia="Arial" w:cs="Arial"/>
          <w:noProof w:val="0"/>
          <w:sz w:val="24"/>
          <w:szCs w:val="24"/>
          <w:lang w:val="en-US"/>
        </w:rPr>
      </w:pPr>
      <w:r w:rsidRPr="3DC7A50A" w:rsidR="04AAEBA2">
        <w:rPr>
          <w:rFonts w:ascii="Arial" w:hAnsi="Arial" w:eastAsia="Arial" w:cs="Arial"/>
          <w:noProof w:val="0"/>
          <w:sz w:val="24"/>
          <w:szCs w:val="24"/>
          <w:lang w:val="en-US"/>
        </w:rPr>
        <w:t xml:space="preserve">Overall, the use of CASP strengthened the methodological </w:t>
      </w:r>
      <w:r w:rsidRPr="3DC7A50A" w:rsidR="04AAEBA2">
        <w:rPr>
          <w:rFonts w:ascii="Arial" w:hAnsi="Arial" w:eastAsia="Arial" w:cs="Arial"/>
          <w:noProof w:val="0"/>
          <w:sz w:val="24"/>
          <w:szCs w:val="24"/>
          <w:lang w:val="en-US"/>
        </w:rPr>
        <w:t>rigour</w:t>
      </w:r>
      <w:r w:rsidRPr="3DC7A50A" w:rsidR="04AAEBA2">
        <w:rPr>
          <w:rFonts w:ascii="Arial" w:hAnsi="Arial" w:eastAsia="Arial" w:cs="Arial"/>
          <w:noProof w:val="0"/>
          <w:sz w:val="24"/>
          <w:szCs w:val="24"/>
          <w:lang w:val="en-US"/>
        </w:rPr>
        <w:t xml:space="preserve"> of this review by ensuring that findings were interpreted </w:t>
      </w:r>
      <w:r w:rsidRPr="3DC7A50A" w:rsidR="04AAEBA2">
        <w:rPr>
          <w:rFonts w:ascii="Arial" w:hAnsi="Arial" w:eastAsia="Arial" w:cs="Arial"/>
          <w:noProof w:val="0"/>
          <w:sz w:val="24"/>
          <w:szCs w:val="24"/>
          <w:lang w:val="en-US"/>
        </w:rPr>
        <w:t>in light of</w:t>
      </w:r>
      <w:r w:rsidRPr="3DC7A50A" w:rsidR="04AAEBA2">
        <w:rPr>
          <w:rFonts w:ascii="Arial" w:hAnsi="Arial" w:eastAsia="Arial" w:cs="Arial"/>
          <w:noProof w:val="0"/>
          <w:sz w:val="24"/>
          <w:szCs w:val="24"/>
          <w:lang w:val="en-US"/>
        </w:rPr>
        <w:t xml:space="preserve"> study quality, ethical integrity, and contextual relevance. This appraisal process provides a robust foundation for the thematic analysis presented in the following chapter.</w:t>
      </w:r>
    </w:p>
    <w:p w:rsidR="0A1694EB" w:rsidP="3DC7A50A" w:rsidRDefault="0A1694EB" w14:paraId="47290CAE" w14:textId="601D3E78">
      <w:pPr>
        <w:pStyle w:val="Heading2"/>
        <w:rPr>
          <w:rFonts w:ascii="Arial" w:hAnsi="Arial" w:eastAsia="Arial" w:cs="Arial"/>
          <w:noProof w:val="0"/>
          <w:lang w:val="en-US"/>
        </w:rPr>
      </w:pPr>
      <w:bookmarkStart w:name="_Toc1566367151" w:id="1951388481"/>
      <w:r w:rsidRPr="3DC7A50A" w:rsidR="6500F15D">
        <w:rPr>
          <w:noProof w:val="0"/>
          <w:lang w:val="en-US"/>
        </w:rPr>
        <w:t>4.4 Critical Appraisal Tool</w:t>
      </w:r>
      <w:bookmarkEnd w:id="1951388481"/>
    </w:p>
    <w:p w:rsidR="0A1694EB" w:rsidP="3DC7A50A" w:rsidRDefault="0A1694EB" w14:paraId="5443BFF5" w14:textId="5CA25095">
      <w:pPr>
        <w:bidi w:val="0"/>
        <w:spacing w:before="240" w:beforeAutospacing="off" w:after="240" w:afterAutospacing="off"/>
        <w:jc w:val="both"/>
        <w:rPr>
          <w:rFonts w:ascii="Arial" w:hAnsi="Arial" w:eastAsia="Arial" w:cs="Arial"/>
          <w:noProof w:val="0"/>
          <w:sz w:val="24"/>
          <w:szCs w:val="24"/>
          <w:lang w:val="en-US"/>
        </w:rPr>
      </w:pPr>
      <w:r w:rsidRPr="3DC7A50A" w:rsidR="572D5A52">
        <w:rPr>
          <w:rFonts w:ascii="Arial" w:hAnsi="Arial" w:eastAsia="Arial" w:cs="Arial"/>
          <w:noProof w:val="0"/>
          <w:sz w:val="24"/>
          <w:szCs w:val="24"/>
          <w:lang w:val="en-US"/>
        </w:rPr>
        <w:t>A critical appraisal tool is a structured framework designed to systematically assess the quality, reliability, and relevance of research evidence (Schmidt, 2021). For pharmacy studies, such tools are essential to evaluate methodological rigor, clarity of research aims, appropriateness of data collection, and robustness of analysis (Crowe &amp; Sheppard, 2011). Various appraisal tools exist depending on study design, including ROBINS-I, Cochrane Risk of Bias Tool, GRADE, and AMSTAR 2, each tailored for quantitative, qualitative, or mixed-methods research (Tod et al., 2022).</w:t>
      </w:r>
    </w:p>
    <w:p w:rsidR="0A1694EB" w:rsidP="3DC7A50A" w:rsidRDefault="0A1694EB" w14:paraId="5B1F04CB" w14:textId="12983F78">
      <w:pPr>
        <w:bidi w:val="0"/>
        <w:spacing w:before="240" w:beforeAutospacing="off" w:after="240" w:afterAutospacing="off"/>
        <w:jc w:val="both"/>
        <w:rPr>
          <w:rFonts w:ascii="Arial" w:hAnsi="Arial" w:eastAsia="Arial" w:cs="Arial"/>
          <w:noProof w:val="0"/>
          <w:sz w:val="24"/>
          <w:szCs w:val="24"/>
          <w:lang w:val="en-US"/>
        </w:rPr>
      </w:pPr>
      <w:r w:rsidRPr="3DC7A50A" w:rsidR="572D5A52">
        <w:rPr>
          <w:rFonts w:ascii="Arial" w:hAnsi="Arial" w:eastAsia="Arial" w:cs="Arial"/>
          <w:noProof w:val="0"/>
          <w:sz w:val="24"/>
          <w:szCs w:val="24"/>
          <w:lang w:val="en-US"/>
        </w:rPr>
        <w:t xml:space="preserve">For qualitative pharmacy research, selecting the </w:t>
      </w:r>
      <w:r w:rsidRPr="3DC7A50A" w:rsidR="572D5A52">
        <w:rPr>
          <w:rFonts w:ascii="Arial" w:hAnsi="Arial" w:eastAsia="Arial" w:cs="Arial"/>
          <w:noProof w:val="0"/>
          <w:sz w:val="24"/>
          <w:szCs w:val="24"/>
          <w:lang w:val="en-US"/>
        </w:rPr>
        <w:t>appropriate tool</w:t>
      </w:r>
      <w:r w:rsidRPr="3DC7A50A" w:rsidR="572D5A52">
        <w:rPr>
          <w:rFonts w:ascii="Arial" w:hAnsi="Arial" w:eastAsia="Arial" w:cs="Arial"/>
          <w:noProof w:val="0"/>
          <w:sz w:val="24"/>
          <w:szCs w:val="24"/>
          <w:lang w:val="en-US"/>
        </w:rPr>
        <w:t xml:space="preserve"> ensures that studies are trustworthy and </w:t>
      </w:r>
      <w:r w:rsidRPr="3DC7A50A" w:rsidR="572D5A52">
        <w:rPr>
          <w:rFonts w:ascii="Arial" w:hAnsi="Arial" w:eastAsia="Arial" w:cs="Arial"/>
          <w:noProof w:val="0"/>
          <w:sz w:val="24"/>
          <w:szCs w:val="24"/>
          <w:lang w:val="en-US"/>
        </w:rPr>
        <w:t>practically relevant</w:t>
      </w:r>
      <w:r w:rsidRPr="3DC7A50A" w:rsidR="572D5A52">
        <w:rPr>
          <w:rFonts w:ascii="Arial" w:hAnsi="Arial" w:eastAsia="Arial" w:cs="Arial"/>
          <w:noProof w:val="0"/>
          <w:sz w:val="24"/>
          <w:szCs w:val="24"/>
          <w:lang w:val="en-US"/>
        </w:rPr>
        <w:t xml:space="preserve">, </w:t>
      </w:r>
      <w:r w:rsidRPr="3DC7A50A" w:rsidR="572D5A52">
        <w:rPr>
          <w:rFonts w:ascii="Arial" w:hAnsi="Arial" w:eastAsia="Arial" w:cs="Arial"/>
          <w:noProof w:val="0"/>
          <w:sz w:val="24"/>
          <w:szCs w:val="24"/>
          <w:lang w:val="en-US"/>
        </w:rPr>
        <w:t>identifies</w:t>
      </w:r>
      <w:r w:rsidRPr="3DC7A50A" w:rsidR="572D5A52">
        <w:rPr>
          <w:rFonts w:ascii="Arial" w:hAnsi="Arial" w:eastAsia="Arial" w:cs="Arial"/>
          <w:noProof w:val="0"/>
          <w:sz w:val="24"/>
          <w:szCs w:val="24"/>
          <w:lang w:val="en-US"/>
        </w:rPr>
        <w:t xml:space="preserve"> potential biases, and assesses whether conclusions can be translated into interventions for patient safety and dispensing quality (Long et al., 2020; Maeda et al., 2023). The CASP (Critical Appraisal Skills </w:t>
      </w:r>
      <w:r w:rsidRPr="3DC7A50A" w:rsidR="572D5A52">
        <w:rPr>
          <w:rFonts w:ascii="Arial" w:hAnsi="Arial" w:eastAsia="Arial" w:cs="Arial"/>
          <w:noProof w:val="0"/>
          <w:sz w:val="24"/>
          <w:szCs w:val="24"/>
          <w:lang w:val="en-US"/>
        </w:rPr>
        <w:t>Programme</w:t>
      </w:r>
      <w:r w:rsidRPr="3DC7A50A" w:rsidR="572D5A52">
        <w:rPr>
          <w:rFonts w:ascii="Arial" w:hAnsi="Arial" w:eastAsia="Arial" w:cs="Arial"/>
          <w:noProof w:val="0"/>
          <w:sz w:val="24"/>
          <w:szCs w:val="24"/>
          <w:lang w:val="en-US"/>
        </w:rPr>
        <w:t xml:space="preserve">) qualitative checklist was chosen for this review due to its specific focus on qualitative research. It evaluates clarity of research aims, appropriateness of qualitative design, transparency in data collection and analysis, credibility of findings, and ethical considerations (Buccheri &amp; Sharifi, 2017). Although CASP is comprehensive, a potential limitation is that it may overemphasize methodological detail at the expense of practical applicability (Young &amp; Solomon, 2009). Nevertheless, it </w:t>
      </w:r>
      <w:r w:rsidRPr="3DC7A50A" w:rsidR="572D5A52">
        <w:rPr>
          <w:rFonts w:ascii="Arial" w:hAnsi="Arial" w:eastAsia="Arial" w:cs="Arial"/>
          <w:noProof w:val="0"/>
          <w:sz w:val="24"/>
          <w:szCs w:val="24"/>
          <w:lang w:val="en-US"/>
        </w:rPr>
        <w:t>remains</w:t>
      </w:r>
      <w:r w:rsidRPr="3DC7A50A" w:rsidR="572D5A52">
        <w:rPr>
          <w:rFonts w:ascii="Arial" w:hAnsi="Arial" w:eastAsia="Arial" w:cs="Arial"/>
          <w:noProof w:val="0"/>
          <w:sz w:val="24"/>
          <w:szCs w:val="24"/>
          <w:lang w:val="en-US"/>
        </w:rPr>
        <w:t xml:space="preserve"> a widely recognized and structured framework for evaluating qualitative evidence in healthcare research.</w:t>
      </w:r>
    </w:p>
    <w:p w:rsidR="722FFED0" w:rsidP="3DC7A50A" w:rsidRDefault="722FFED0" w14:paraId="600769E4" w14:textId="01BB65E7">
      <w:pPr>
        <w:bidi w:val="0"/>
        <w:jc w:val="both"/>
        <w:rPr>
          <w:rFonts w:ascii="Arial" w:hAnsi="Arial" w:eastAsia="Arial" w:cs="Arial"/>
        </w:rPr>
      </w:pPr>
    </w:p>
    <w:p w:rsidR="0A1694EB" w:rsidP="3DC7A50A" w:rsidRDefault="0A1694EB" w14:paraId="132A9A97" w14:textId="7FC7662D">
      <w:pPr>
        <w:pStyle w:val="Heading2"/>
        <w:bidi w:val="0"/>
        <w:spacing w:before="299" w:beforeAutospacing="off" w:after="299" w:afterAutospacing="off"/>
        <w:jc w:val="both"/>
        <w:rPr>
          <w:rFonts w:ascii="Arial" w:hAnsi="Arial" w:eastAsia="Arial" w:cs="Arial"/>
          <w:b w:val="0"/>
          <w:bCs w:val="0"/>
          <w:noProof w:val="0"/>
          <w:sz w:val="24"/>
          <w:szCs w:val="24"/>
          <w:lang w:val="en-US"/>
        </w:rPr>
      </w:pPr>
      <w:bookmarkStart w:name="_Toc721849604" w:id="1377921051"/>
      <w:r w:rsidRPr="3DC7A50A" w:rsidR="4A6D3432">
        <w:rPr>
          <w:rFonts w:ascii="Arial" w:hAnsi="Arial" w:eastAsia="Arial" w:cs="Arial"/>
          <w:b w:val="0"/>
          <w:bCs w:val="0"/>
          <w:noProof w:val="0"/>
          <w:sz w:val="36"/>
          <w:szCs w:val="36"/>
          <w:lang w:val="en-US"/>
        </w:rPr>
        <w:t>4.5 Critical Appraisal of Included Qualitative Studies Using CASP</w:t>
      </w:r>
      <w:bookmarkEnd w:id="1377921051"/>
      <w:r w:rsidRPr="3DC7A50A" w:rsidR="4A6D3432">
        <w:rPr>
          <w:rFonts w:ascii="Arial" w:hAnsi="Arial" w:eastAsia="Arial" w:cs="Arial"/>
          <w:b w:val="0"/>
          <w:bCs w:val="0"/>
          <w:noProof w:val="0"/>
          <w:sz w:val="24"/>
          <w:szCs w:val="24"/>
          <w:lang w:val="en-US"/>
        </w:rPr>
        <w:t xml:space="preserve"> </w:t>
      </w:r>
    </w:p>
    <w:p w:rsidR="0A1694EB" w:rsidP="3DC7A50A" w:rsidRDefault="0A1694EB" w14:paraId="5EC6ECB4" w14:textId="7C68566F">
      <w:pPr>
        <w:bidi w:val="0"/>
        <w:spacing w:before="240" w:beforeAutospacing="off" w:after="240" w:afterAutospacing="off"/>
        <w:jc w:val="both"/>
        <w:rPr>
          <w:rFonts w:ascii="Arial" w:hAnsi="Arial" w:eastAsia="Arial" w:cs="Arial"/>
          <w:noProof w:val="0"/>
          <w:sz w:val="24"/>
          <w:szCs w:val="24"/>
          <w:lang w:val="en-US"/>
        </w:rPr>
      </w:pPr>
      <w:r w:rsidRPr="3DC7A50A" w:rsidR="572D5A52">
        <w:rPr>
          <w:rFonts w:ascii="Arial" w:hAnsi="Arial" w:eastAsia="Arial" w:cs="Arial"/>
          <w:noProof w:val="0"/>
          <w:sz w:val="24"/>
          <w:szCs w:val="24"/>
          <w:lang w:val="en-US"/>
        </w:rPr>
        <w:t>The CASP qualitative checklist consists of 10 questions that systematically assess the rigor, transparency, credibility, and relevance of qualitative studies (Long et al., 2020). For this review, each of the 12 included studies on pharmacist-related dispensing errors was critically appraised using one CASP question per study, with two questions repeated for Articles 11 and 12 to accommodate the full set.</w:t>
      </w:r>
    </w:p>
    <w:p w:rsidR="0A1694EB" w:rsidP="3DC7A50A" w:rsidRDefault="0A1694EB" w14:paraId="49182DC4" w14:textId="0203F35E">
      <w:pPr>
        <w:bidi w:val="0"/>
        <w:spacing w:before="240" w:beforeAutospacing="off" w:after="240" w:afterAutospacing="off"/>
        <w:jc w:val="both"/>
        <w:rPr>
          <w:rFonts w:ascii="Arial" w:hAnsi="Arial" w:eastAsia="Arial" w:cs="Arial"/>
          <w:noProof w:val="0"/>
          <w:sz w:val="24"/>
          <w:szCs w:val="24"/>
          <w:lang w:val="en-US"/>
        </w:rPr>
      </w:pPr>
      <w:r w:rsidRPr="3DC7A50A" w:rsidR="3E2E1D5E">
        <w:rPr>
          <w:rFonts w:ascii="Arial" w:hAnsi="Arial" w:eastAsia="Arial" w:cs="Arial"/>
          <w:noProof w:val="0"/>
          <w:sz w:val="24"/>
          <w:szCs w:val="24"/>
          <w:lang w:val="en-US"/>
        </w:rPr>
        <w:t xml:space="preserve">Each study is evaluated below with a focus on strengths, limitations, and practical implications, integrating critical thinking on methodological and contextual relevance. This approach ensures that the review </w:t>
      </w:r>
      <w:r w:rsidRPr="3DC7A50A" w:rsidR="3E2E1D5E">
        <w:rPr>
          <w:rFonts w:ascii="Arial" w:hAnsi="Arial" w:eastAsia="Arial" w:cs="Arial"/>
          <w:noProof w:val="0"/>
          <w:sz w:val="24"/>
          <w:szCs w:val="24"/>
          <w:lang w:val="en-US"/>
        </w:rPr>
        <w:t>identifies</w:t>
      </w:r>
      <w:r w:rsidRPr="3DC7A50A" w:rsidR="3E2E1D5E">
        <w:rPr>
          <w:rFonts w:ascii="Arial" w:hAnsi="Arial" w:eastAsia="Arial" w:cs="Arial"/>
          <w:noProof w:val="0"/>
          <w:sz w:val="24"/>
          <w:szCs w:val="24"/>
          <w:lang w:val="en-US"/>
        </w:rPr>
        <w:t xml:space="preserve"> robust evidence to inform interventions aimed at reducing dispensing errors in LMIC pharmacy settings.</w:t>
      </w:r>
    </w:p>
    <w:p w:rsidR="722FFED0" w:rsidP="3DC7A50A" w:rsidRDefault="722FFED0" w14:paraId="2A23C681" w14:textId="0E7411A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077664882" w:id="1438033807"/>
      <w:r w:rsidRPr="3DC7A50A" w:rsidR="6182356A">
        <w:rPr>
          <w:rFonts w:ascii="Arial" w:hAnsi="Arial" w:eastAsia="Arial" w:cs="Arial"/>
          <w:b w:val="1"/>
          <w:bCs w:val="1"/>
          <w:noProof w:val="0"/>
          <w:sz w:val="28"/>
          <w:szCs w:val="28"/>
          <w:lang w:val="en-US"/>
        </w:rPr>
        <w:t>4.5.1 Article 1: Musoke D, et al. (Uganda)</w:t>
      </w:r>
      <w:bookmarkEnd w:id="1438033807"/>
    </w:p>
    <w:p w:rsidR="722FFED0" w:rsidP="3DC7A50A" w:rsidRDefault="722FFED0" w14:paraId="561A1445" w14:textId="1B8B17A8">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qualitative study explored antimicrobial stewardship practices in private pharmacies using in-depth interviews with dispensers. The CASP criterion applied was </w:t>
      </w:r>
      <w:r w:rsidRPr="3DC7A50A" w:rsidR="6182356A">
        <w:rPr>
          <w:rFonts w:ascii="Arial" w:hAnsi="Arial" w:eastAsia="Arial" w:cs="Arial"/>
          <w:b w:val="1"/>
          <w:bCs w:val="1"/>
          <w:noProof w:val="0"/>
          <w:sz w:val="24"/>
          <w:szCs w:val="24"/>
          <w:lang w:val="en-US"/>
        </w:rPr>
        <w:t>“Clear statement of aims.”</w:t>
      </w:r>
      <w:r w:rsidRPr="3DC7A50A" w:rsidR="6182356A">
        <w:rPr>
          <w:rFonts w:ascii="Arial" w:hAnsi="Arial" w:eastAsia="Arial" w:cs="Arial"/>
          <w:noProof w:val="0"/>
          <w:sz w:val="24"/>
          <w:szCs w:val="24"/>
          <w:lang w:val="en-US"/>
        </w:rPr>
        <w:t xml:space="preserve"> The study explicitly aimed to explore factors influencing </w:t>
      </w:r>
      <w:r w:rsidRPr="3DC7A50A" w:rsidR="6182356A">
        <w:rPr>
          <w:rFonts w:ascii="Arial" w:hAnsi="Arial" w:eastAsia="Arial" w:cs="Arial"/>
          <w:noProof w:val="0"/>
          <w:sz w:val="24"/>
          <w:szCs w:val="24"/>
          <w:lang w:val="en-US"/>
        </w:rPr>
        <w:t>appropriate antimicrobial</w:t>
      </w:r>
      <w:r w:rsidRPr="3DC7A50A" w:rsidR="6182356A">
        <w:rPr>
          <w:rFonts w:ascii="Arial" w:hAnsi="Arial" w:eastAsia="Arial" w:cs="Arial"/>
          <w:noProof w:val="0"/>
          <w:sz w:val="24"/>
          <w:szCs w:val="24"/>
          <w:lang w:val="en-US"/>
        </w:rPr>
        <w:t xml:space="preserve"> use, and this clarity effectively guided the choice of qualitative </w:t>
      </w:r>
      <w:r w:rsidRPr="3DC7A50A" w:rsidR="6182356A">
        <w:rPr>
          <w:rFonts w:ascii="Arial" w:hAnsi="Arial" w:eastAsia="Arial" w:cs="Arial"/>
          <w:noProof w:val="0"/>
          <w:sz w:val="24"/>
          <w:szCs w:val="24"/>
          <w:lang w:val="en-US"/>
        </w:rPr>
        <w:t>methodology</w:t>
      </w:r>
      <w:r w:rsidRPr="3DC7A50A" w:rsidR="6182356A">
        <w:rPr>
          <w:rFonts w:ascii="Arial" w:hAnsi="Arial" w:eastAsia="Arial" w:cs="Arial"/>
          <w:noProof w:val="0"/>
          <w:sz w:val="24"/>
          <w:szCs w:val="24"/>
          <w:lang w:val="en-US"/>
        </w:rPr>
        <w:t xml:space="preserve"> and data collection strategy. The focused aim ensured that interviews captured real-world dispensing practices, professional judgement, and contextual pressures faced by dispensers in private pharmacy settings.</w:t>
      </w:r>
    </w:p>
    <w:p w:rsidR="722FFED0" w:rsidP="3DC7A50A" w:rsidRDefault="722FFED0" w14:paraId="4FC329B4" w14:textId="5043D8CC">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Critically, while the study’s </w:t>
      </w:r>
      <w:r w:rsidRPr="3DC7A50A" w:rsidR="6182356A">
        <w:rPr>
          <w:rFonts w:ascii="Arial" w:hAnsi="Arial" w:eastAsia="Arial" w:cs="Arial"/>
          <w:noProof w:val="0"/>
          <w:sz w:val="24"/>
          <w:szCs w:val="24"/>
          <w:lang w:val="en-US"/>
        </w:rPr>
        <w:t>objectives</w:t>
      </w:r>
      <w:r w:rsidRPr="3DC7A50A" w:rsidR="6182356A">
        <w:rPr>
          <w:rFonts w:ascii="Arial" w:hAnsi="Arial" w:eastAsia="Arial" w:cs="Arial"/>
          <w:noProof w:val="0"/>
          <w:sz w:val="24"/>
          <w:szCs w:val="24"/>
          <w:lang w:val="en-US"/>
        </w:rPr>
        <w:t xml:space="preserve"> were clearly articulated, stronger linkage to patient safety outcomes—such as infection-related complications or antimicrobial resistance indicators—could have enhanced the applied relevance of findings. Nevertheless, the qualitative emphasis on dispenser </w:t>
      </w:r>
      <w:r w:rsidRPr="3DC7A50A" w:rsidR="6182356A">
        <w:rPr>
          <w:rFonts w:ascii="Arial" w:hAnsi="Arial" w:eastAsia="Arial" w:cs="Arial"/>
          <w:noProof w:val="0"/>
          <w:sz w:val="24"/>
          <w:szCs w:val="24"/>
          <w:lang w:val="en-US"/>
        </w:rPr>
        <w:t>perceptions</w:t>
      </w:r>
      <w:r w:rsidRPr="3DC7A50A" w:rsidR="6182356A">
        <w:rPr>
          <w:rFonts w:ascii="Arial" w:hAnsi="Arial" w:eastAsia="Arial" w:cs="Arial"/>
          <w:noProof w:val="0"/>
          <w:sz w:val="24"/>
          <w:szCs w:val="24"/>
          <w:lang w:val="en-US"/>
        </w:rPr>
        <w:t xml:space="preserve"> enabled nuanced insights into day-to-day decision-making, revealing systemic challenges including weak regulatory oversight, poor enforcement of prescription-only legislation, and persistent patient pressure to dispense antibiotics inappropriately. Participants reported that financial survival and competitive pharmacy markets often superseded adherence to antimicrobial stewardship guidelines.</w:t>
      </w:r>
    </w:p>
    <w:p w:rsidR="722FFED0" w:rsidP="3DC7A50A" w:rsidRDefault="722FFED0" w14:paraId="709FD2FE" w14:textId="7A2439C6">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Ethical considerations were adequately addressed through voluntary participation and </w:t>
      </w:r>
      <w:r w:rsidRPr="3DC7A50A" w:rsidR="6182356A">
        <w:rPr>
          <w:rFonts w:ascii="Arial" w:hAnsi="Arial" w:eastAsia="Arial" w:cs="Arial"/>
          <w:noProof w:val="0"/>
          <w:sz w:val="24"/>
          <w:szCs w:val="24"/>
          <w:lang w:val="en-US"/>
        </w:rPr>
        <w:t>anonymisation</w:t>
      </w:r>
      <w:r w:rsidRPr="3DC7A50A" w:rsidR="6182356A">
        <w:rPr>
          <w:rFonts w:ascii="Arial" w:hAnsi="Arial" w:eastAsia="Arial" w:cs="Arial"/>
          <w:noProof w:val="0"/>
          <w:sz w:val="24"/>
          <w:szCs w:val="24"/>
          <w:lang w:val="en-US"/>
        </w:rPr>
        <w:t>. However, the study did not sufficiently explore potential interviewer bias, particularly where prior relationships with pharmacy staff may have influenced participant openness or response framing. Despite this limitation, the study provides valuable context-specific evidence illustrating how system-level weaknesses undermine antimicrobial stewardship in private pharmacy settings within LMICs.</w:t>
      </w:r>
    </w:p>
    <w:p w:rsidR="722FFED0" w:rsidP="3DC7A50A" w:rsidRDefault="722FFED0" w14:paraId="597A6748" w14:textId="21E97A06">
      <w:pPr>
        <w:bidi w:val="0"/>
        <w:spacing w:before="240" w:beforeAutospacing="off" w:after="240" w:afterAutospacing="off"/>
        <w:jc w:val="both"/>
        <w:rPr>
          <w:rFonts w:ascii="Arial" w:hAnsi="Arial" w:eastAsia="Arial" w:cs="Arial"/>
        </w:rPr>
      </w:pPr>
    </w:p>
    <w:p w:rsidR="722FFED0" w:rsidP="3DC7A50A" w:rsidRDefault="722FFED0" w14:paraId="673CC2DD" w14:textId="3B693A95">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606179684" w:id="2058571030"/>
      <w:r w:rsidRPr="3DC7A50A" w:rsidR="6182356A">
        <w:rPr>
          <w:rFonts w:ascii="Arial" w:hAnsi="Arial" w:eastAsia="Arial" w:cs="Arial"/>
          <w:b w:val="1"/>
          <w:bCs w:val="1"/>
          <w:noProof w:val="0"/>
          <w:sz w:val="28"/>
          <w:szCs w:val="28"/>
          <w:lang w:val="en-US"/>
        </w:rPr>
        <w:t>4.5.2 Article 2: Saleem Z, et al. (Pakistan)</w:t>
      </w:r>
      <w:bookmarkEnd w:id="2058571030"/>
    </w:p>
    <w:p w:rsidR="722FFED0" w:rsidP="3DC7A50A" w:rsidRDefault="722FFED0" w14:paraId="444BE4F1" w14:textId="06E2152E">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study investigated drivers of over-the-counter antibiotic </w:t>
      </w:r>
      <w:r w:rsidRPr="3DC7A50A" w:rsidR="6182356A">
        <w:rPr>
          <w:rFonts w:ascii="Arial" w:hAnsi="Arial" w:eastAsia="Arial" w:cs="Arial"/>
          <w:noProof w:val="0"/>
          <w:sz w:val="24"/>
          <w:szCs w:val="24"/>
          <w:lang w:val="en-US"/>
        </w:rPr>
        <w:t>purchasing</w:t>
      </w:r>
      <w:r w:rsidRPr="3DC7A50A" w:rsidR="6182356A">
        <w:rPr>
          <w:rFonts w:ascii="Arial" w:hAnsi="Arial" w:eastAsia="Arial" w:cs="Arial"/>
          <w:noProof w:val="0"/>
          <w:sz w:val="24"/>
          <w:szCs w:val="24"/>
          <w:lang w:val="en-US"/>
        </w:rPr>
        <w:t xml:space="preserve"> through qualitative interviews with patients, dispensers, and clinicians. The CASP criterion applied was </w:t>
      </w:r>
      <w:r w:rsidRPr="3DC7A50A" w:rsidR="6182356A">
        <w:rPr>
          <w:rFonts w:ascii="Arial" w:hAnsi="Arial" w:eastAsia="Arial" w:cs="Arial"/>
          <w:b w:val="1"/>
          <w:bCs w:val="1"/>
          <w:noProof w:val="0"/>
          <w:sz w:val="24"/>
          <w:szCs w:val="24"/>
          <w:lang w:val="en-US"/>
        </w:rPr>
        <w:t>“Qualitative methodology appropriate.”</w:t>
      </w:r>
      <w:r w:rsidRPr="3DC7A50A" w:rsidR="6182356A">
        <w:rPr>
          <w:rFonts w:ascii="Arial" w:hAnsi="Arial" w:eastAsia="Arial" w:cs="Arial"/>
          <w:noProof w:val="0"/>
          <w:sz w:val="24"/>
          <w:szCs w:val="24"/>
          <w:lang w:val="en-US"/>
        </w:rPr>
        <w:t xml:space="preserve"> A qualitative approach was well suited to capturing complex social, cultural, and economic factors underpinning self-medication practices, which would be difficult to explore fully using quantitative methods.</w:t>
      </w:r>
    </w:p>
    <w:p w:rsidR="722FFED0" w:rsidP="3DC7A50A" w:rsidRDefault="722FFED0" w14:paraId="55FAC9FE" w14:textId="3DFC16EB">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The inclusion of multiple stakeholder perspectives strengthened the depth and credibility of findings by illuminating both supply- and demand-side influences on antibiotic misuse. The study revealed important contextual drivers, including limited healthcare access, cultural norms </w:t>
      </w:r>
      <w:r w:rsidRPr="3DC7A50A" w:rsidR="6182356A">
        <w:rPr>
          <w:rFonts w:ascii="Arial" w:hAnsi="Arial" w:eastAsia="Arial" w:cs="Arial"/>
          <w:noProof w:val="0"/>
          <w:sz w:val="24"/>
          <w:szCs w:val="24"/>
          <w:lang w:val="en-US"/>
        </w:rPr>
        <w:t>favouring</w:t>
      </w:r>
      <w:r w:rsidRPr="3DC7A50A" w:rsidR="6182356A">
        <w:rPr>
          <w:rFonts w:ascii="Arial" w:hAnsi="Arial" w:eastAsia="Arial" w:cs="Arial"/>
          <w:noProof w:val="0"/>
          <w:sz w:val="24"/>
          <w:szCs w:val="24"/>
          <w:lang w:val="en-US"/>
        </w:rPr>
        <w:t xml:space="preserve"> self-treatment, and high trust in pharmacists as informal primary care providers. However, triangulation with observational data could have strengthened methodological </w:t>
      </w:r>
      <w:r w:rsidRPr="3DC7A50A" w:rsidR="6182356A">
        <w:rPr>
          <w:rFonts w:ascii="Arial" w:hAnsi="Arial" w:eastAsia="Arial" w:cs="Arial"/>
          <w:noProof w:val="0"/>
          <w:sz w:val="24"/>
          <w:szCs w:val="24"/>
          <w:lang w:val="en-US"/>
        </w:rPr>
        <w:t>rigour</w:t>
      </w:r>
      <w:r w:rsidRPr="3DC7A50A" w:rsidR="6182356A">
        <w:rPr>
          <w:rFonts w:ascii="Arial" w:hAnsi="Arial" w:eastAsia="Arial" w:cs="Arial"/>
          <w:noProof w:val="0"/>
          <w:sz w:val="24"/>
          <w:szCs w:val="24"/>
          <w:lang w:val="en-US"/>
        </w:rPr>
        <w:t xml:space="preserve"> and reduced reliance on self-reported </w:t>
      </w:r>
      <w:r w:rsidRPr="3DC7A50A" w:rsidR="6182356A">
        <w:rPr>
          <w:rFonts w:ascii="Arial" w:hAnsi="Arial" w:eastAsia="Arial" w:cs="Arial"/>
          <w:noProof w:val="0"/>
          <w:sz w:val="24"/>
          <w:szCs w:val="24"/>
          <w:lang w:val="en-US"/>
        </w:rPr>
        <w:t>behaviours</w:t>
      </w:r>
      <w:r w:rsidRPr="3DC7A50A" w:rsidR="6182356A">
        <w:rPr>
          <w:rFonts w:ascii="Arial" w:hAnsi="Arial" w:eastAsia="Arial" w:cs="Arial"/>
          <w:noProof w:val="0"/>
          <w:sz w:val="24"/>
          <w:szCs w:val="24"/>
          <w:lang w:val="en-US"/>
        </w:rPr>
        <w:t>.</w:t>
      </w:r>
    </w:p>
    <w:p w:rsidR="722FFED0" w:rsidP="3DC7A50A" w:rsidRDefault="722FFED0" w14:paraId="7992A4BC" w14:textId="5E837A9F">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Participants discussed illegal dispensing practices openly, highlighting ethical tensions between professional responsibility and patient expectations. While this openness suggests methodological strength, it also raises the possibility of social desirability bias. Furthermore, the sampling strategy </w:t>
      </w:r>
      <w:r w:rsidRPr="3DC7A50A" w:rsidR="6182356A">
        <w:rPr>
          <w:rFonts w:ascii="Arial" w:hAnsi="Arial" w:eastAsia="Arial" w:cs="Arial"/>
          <w:noProof w:val="0"/>
          <w:sz w:val="24"/>
          <w:szCs w:val="24"/>
          <w:lang w:val="en-US"/>
        </w:rPr>
        <w:t>appeared to underrepresent</w:t>
      </w:r>
      <w:r w:rsidRPr="3DC7A50A" w:rsidR="6182356A">
        <w:rPr>
          <w:rFonts w:ascii="Arial" w:hAnsi="Arial" w:eastAsia="Arial" w:cs="Arial"/>
          <w:noProof w:val="0"/>
          <w:sz w:val="24"/>
          <w:szCs w:val="24"/>
          <w:lang w:val="en-US"/>
        </w:rPr>
        <w:t xml:space="preserve"> rural populations, where healthcare access barriers differ significantly, limiting transferability across Pakistan. Overall, the study offers valuable insight into why regulatory enforcement alone may be insufficient to curb inappropriate antibiotic use.</w:t>
      </w:r>
    </w:p>
    <w:p w:rsidR="722FFED0" w:rsidP="3DC7A50A" w:rsidRDefault="722FFED0" w14:paraId="7BCD3EC4" w14:textId="23CB8F0D">
      <w:pPr>
        <w:bidi w:val="0"/>
        <w:spacing w:before="240" w:beforeAutospacing="off" w:after="240" w:afterAutospacing="off"/>
        <w:jc w:val="both"/>
        <w:rPr>
          <w:rFonts w:ascii="Arial" w:hAnsi="Arial" w:eastAsia="Arial" w:cs="Arial"/>
        </w:rPr>
      </w:pPr>
    </w:p>
    <w:p w:rsidR="722FFED0" w:rsidP="3DC7A50A" w:rsidRDefault="722FFED0" w14:paraId="4E0B7B70" w14:textId="28625A4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2088866116" w:id="323197227"/>
      <w:r w:rsidRPr="3DC7A50A" w:rsidR="6182356A">
        <w:rPr>
          <w:rFonts w:ascii="Arial" w:hAnsi="Arial" w:eastAsia="Arial" w:cs="Arial"/>
          <w:b w:val="1"/>
          <w:bCs w:val="1"/>
          <w:noProof w:val="0"/>
          <w:sz w:val="28"/>
          <w:szCs w:val="28"/>
          <w:lang w:val="en-US"/>
        </w:rPr>
        <w:t>4.5.3 Article 3: Mbugua S.M., et al. (Kenya)</w:t>
      </w:r>
      <w:bookmarkEnd w:id="323197227"/>
    </w:p>
    <w:p w:rsidR="722FFED0" w:rsidP="3DC7A50A" w:rsidRDefault="722FFED0" w14:paraId="309980E7" w14:textId="488F45E4">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study used key-informant interviews with hospital pharmacists to explore perspectives on antimicrobial stewardship. The CASP criterion applied was </w:t>
      </w:r>
      <w:r w:rsidRPr="3DC7A50A" w:rsidR="6182356A">
        <w:rPr>
          <w:rFonts w:ascii="Arial" w:hAnsi="Arial" w:eastAsia="Arial" w:cs="Arial"/>
          <w:b w:val="1"/>
          <w:bCs w:val="1"/>
          <w:noProof w:val="0"/>
          <w:sz w:val="24"/>
          <w:szCs w:val="24"/>
          <w:lang w:val="en-US"/>
        </w:rPr>
        <w:t>“Research design appropriate to address aims.”</w:t>
      </w:r>
      <w:r w:rsidRPr="3DC7A50A" w:rsidR="6182356A">
        <w:rPr>
          <w:rFonts w:ascii="Arial" w:hAnsi="Arial" w:eastAsia="Arial" w:cs="Arial"/>
          <w:noProof w:val="0"/>
          <w:sz w:val="24"/>
          <w:szCs w:val="24"/>
          <w:lang w:val="en-US"/>
        </w:rPr>
        <w:t xml:space="preserve"> The use of in-depth interviews aligned well with the study’s </w:t>
      </w:r>
      <w:r w:rsidRPr="3DC7A50A" w:rsidR="6182356A">
        <w:rPr>
          <w:rFonts w:ascii="Arial" w:hAnsi="Arial" w:eastAsia="Arial" w:cs="Arial"/>
          <w:noProof w:val="0"/>
          <w:sz w:val="24"/>
          <w:szCs w:val="24"/>
          <w:lang w:val="en-US"/>
        </w:rPr>
        <w:t>objective</w:t>
      </w:r>
      <w:r w:rsidRPr="3DC7A50A" w:rsidR="6182356A">
        <w:rPr>
          <w:rFonts w:ascii="Arial" w:hAnsi="Arial" w:eastAsia="Arial" w:cs="Arial"/>
          <w:noProof w:val="0"/>
          <w:sz w:val="24"/>
          <w:szCs w:val="24"/>
          <w:lang w:val="en-US"/>
        </w:rPr>
        <w:t>, allowing exploration of institutional dynamics, professional hierarchies, and pharmacists’ stewardship roles within hospital settings.</w:t>
      </w:r>
    </w:p>
    <w:p w:rsidR="722FFED0" w:rsidP="3DC7A50A" w:rsidRDefault="722FFED0" w14:paraId="56BC061D" w14:textId="1A901C34">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The design successfully </w:t>
      </w:r>
      <w:r w:rsidRPr="3DC7A50A" w:rsidR="6182356A">
        <w:rPr>
          <w:rFonts w:ascii="Arial" w:hAnsi="Arial" w:eastAsia="Arial" w:cs="Arial"/>
          <w:noProof w:val="0"/>
          <w:sz w:val="24"/>
          <w:szCs w:val="24"/>
          <w:lang w:val="en-US"/>
        </w:rPr>
        <w:t>identified</w:t>
      </w:r>
      <w:r w:rsidRPr="3DC7A50A" w:rsidR="6182356A">
        <w:rPr>
          <w:rFonts w:ascii="Arial" w:hAnsi="Arial" w:eastAsia="Arial" w:cs="Arial"/>
          <w:noProof w:val="0"/>
          <w:sz w:val="24"/>
          <w:szCs w:val="24"/>
          <w:lang w:val="en-US"/>
        </w:rPr>
        <w:t xml:space="preserve"> systemic barriers such as medicine stock shortages, limited pharmacist authority, and hierarchical prescribing structures. However, incorporating focus groups could have enriched understanding of interprofessional collaboration and team-based stewardship practices. Pharmacists reported difficulties influencing prescribing decisions, highlighting structural constraints that limit effective stewardship implementation.</w:t>
      </w:r>
    </w:p>
    <w:p w:rsidR="722FFED0" w:rsidP="3DC7A50A" w:rsidRDefault="722FFED0" w14:paraId="3C8279FC" w14:textId="6945BF70">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The study acknowledged researcher reflexivity by </w:t>
      </w:r>
      <w:r w:rsidRPr="3DC7A50A" w:rsidR="6182356A">
        <w:rPr>
          <w:rFonts w:ascii="Arial" w:hAnsi="Arial" w:eastAsia="Arial" w:cs="Arial"/>
          <w:noProof w:val="0"/>
          <w:sz w:val="24"/>
          <w:szCs w:val="24"/>
          <w:lang w:val="en-US"/>
        </w:rPr>
        <w:t>recognising</w:t>
      </w:r>
      <w:r w:rsidRPr="3DC7A50A" w:rsidR="6182356A">
        <w:rPr>
          <w:rFonts w:ascii="Arial" w:hAnsi="Arial" w:eastAsia="Arial" w:cs="Arial"/>
          <w:noProof w:val="0"/>
          <w:sz w:val="24"/>
          <w:szCs w:val="24"/>
          <w:lang w:val="en-US"/>
        </w:rPr>
        <w:t xml:space="preserve"> professional backgrounds, although reporting on data saturation was limited, potentially affecting dependability. Despite this, the research </w:t>
      </w:r>
      <w:r w:rsidRPr="3DC7A50A" w:rsidR="6182356A">
        <w:rPr>
          <w:rFonts w:ascii="Arial" w:hAnsi="Arial" w:eastAsia="Arial" w:cs="Arial"/>
          <w:noProof w:val="0"/>
          <w:sz w:val="24"/>
          <w:szCs w:val="24"/>
          <w:lang w:val="en-US"/>
        </w:rPr>
        <w:t>provides</w:t>
      </w:r>
      <w:r w:rsidRPr="3DC7A50A" w:rsidR="6182356A">
        <w:rPr>
          <w:rFonts w:ascii="Arial" w:hAnsi="Arial" w:eastAsia="Arial" w:cs="Arial"/>
          <w:noProof w:val="0"/>
          <w:sz w:val="24"/>
          <w:szCs w:val="24"/>
          <w:lang w:val="en-US"/>
        </w:rPr>
        <w:t xml:space="preserve"> important </w:t>
      </w:r>
      <w:r w:rsidRPr="3DC7A50A" w:rsidR="6182356A">
        <w:rPr>
          <w:rFonts w:ascii="Arial" w:hAnsi="Arial" w:eastAsia="Arial" w:cs="Arial"/>
          <w:noProof w:val="0"/>
          <w:sz w:val="24"/>
          <w:szCs w:val="24"/>
          <w:lang w:val="en-US"/>
        </w:rPr>
        <w:t>organisational</w:t>
      </w:r>
      <w:r w:rsidRPr="3DC7A50A" w:rsidR="6182356A">
        <w:rPr>
          <w:rFonts w:ascii="Arial" w:hAnsi="Arial" w:eastAsia="Arial" w:cs="Arial"/>
          <w:noProof w:val="0"/>
          <w:sz w:val="24"/>
          <w:szCs w:val="24"/>
          <w:lang w:val="en-US"/>
        </w:rPr>
        <w:t>-level insight into how institutional structures shape antimicrobial stewardship in LMIC hospital environments.</w:t>
      </w:r>
    </w:p>
    <w:p w:rsidR="722FFED0" w:rsidP="3DC7A50A" w:rsidRDefault="722FFED0" w14:paraId="2B74976D" w14:textId="42CF8B02">
      <w:pPr>
        <w:bidi w:val="0"/>
        <w:spacing w:before="240" w:beforeAutospacing="off" w:after="240" w:afterAutospacing="off"/>
        <w:jc w:val="both"/>
        <w:rPr>
          <w:rFonts w:ascii="Arial" w:hAnsi="Arial" w:eastAsia="Arial" w:cs="Arial"/>
        </w:rPr>
      </w:pPr>
    </w:p>
    <w:p w:rsidR="722FFED0" w:rsidP="3DC7A50A" w:rsidRDefault="722FFED0" w14:paraId="44688F5F" w14:textId="58D5613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435773557" w:id="757665496"/>
      <w:r w:rsidRPr="3DC7A50A" w:rsidR="6182356A">
        <w:rPr>
          <w:rFonts w:ascii="Arial" w:hAnsi="Arial" w:eastAsia="Arial" w:cs="Arial"/>
          <w:b w:val="1"/>
          <w:bCs w:val="1"/>
          <w:noProof w:val="0"/>
          <w:sz w:val="28"/>
          <w:szCs w:val="28"/>
          <w:lang w:val="en-US"/>
        </w:rPr>
        <w:t>4.5.4 Article 4: Mekonnen A.B., et al. (Ethiopia)</w:t>
      </w:r>
      <w:bookmarkEnd w:id="757665496"/>
    </w:p>
    <w:p w:rsidR="722FFED0" w:rsidP="3DC7A50A" w:rsidRDefault="722FFED0" w14:paraId="74463FFD" w14:textId="54520575">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qualitative study explored pharmacists’ transition toward clinical pharmacy roles through interviews. The CASP criterion applied was </w:t>
      </w:r>
      <w:r w:rsidRPr="3DC7A50A" w:rsidR="6182356A">
        <w:rPr>
          <w:rFonts w:ascii="Arial" w:hAnsi="Arial" w:eastAsia="Arial" w:cs="Arial"/>
          <w:b w:val="0"/>
          <w:bCs w:val="0"/>
          <w:noProof w:val="0"/>
          <w:sz w:val="24"/>
          <w:szCs w:val="24"/>
          <w:lang w:val="en-US"/>
        </w:rPr>
        <w:t>“Recruitment strategy appropriate.”</w:t>
      </w:r>
      <w:r w:rsidRPr="3DC7A50A" w:rsidR="6182356A">
        <w:rPr>
          <w:rFonts w:ascii="Arial" w:hAnsi="Arial" w:eastAsia="Arial" w:cs="Arial"/>
          <w:b w:val="0"/>
          <w:bCs w:val="0"/>
          <w:noProof w:val="0"/>
          <w:sz w:val="24"/>
          <w:szCs w:val="24"/>
          <w:lang w:val="en-US"/>
        </w:rPr>
        <w:t xml:space="preserve"> Purposive recruitment of pharmacists with varying levels of ex</w:t>
      </w:r>
      <w:r w:rsidRPr="3DC7A50A" w:rsidR="6182356A">
        <w:rPr>
          <w:rFonts w:ascii="Arial" w:hAnsi="Arial" w:eastAsia="Arial" w:cs="Arial"/>
          <w:noProof w:val="0"/>
          <w:sz w:val="24"/>
          <w:szCs w:val="24"/>
          <w:lang w:val="en-US"/>
        </w:rPr>
        <w:t>perience enhanced the richness and relevance of findings by capturing both early-career and senior perspectives.</w:t>
      </w:r>
    </w:p>
    <w:p w:rsidR="722FFED0" w:rsidP="3DC7A50A" w:rsidRDefault="722FFED0" w14:paraId="4D8A7582" w14:textId="74EA3054">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Critically, the heavy representation of urban hospital pharmacists may limit transferability, as rural pharmacists often face distinct </w:t>
      </w:r>
      <w:r w:rsidRPr="3DC7A50A" w:rsidR="6182356A">
        <w:rPr>
          <w:rFonts w:ascii="Arial" w:hAnsi="Arial" w:eastAsia="Arial" w:cs="Arial"/>
          <w:noProof w:val="0"/>
          <w:sz w:val="24"/>
          <w:szCs w:val="24"/>
          <w:lang w:val="en-US"/>
        </w:rPr>
        <w:t>infrastructural</w:t>
      </w:r>
      <w:r w:rsidRPr="3DC7A50A" w:rsidR="6182356A">
        <w:rPr>
          <w:rFonts w:ascii="Arial" w:hAnsi="Arial" w:eastAsia="Arial" w:cs="Arial"/>
          <w:noProof w:val="0"/>
          <w:sz w:val="24"/>
          <w:szCs w:val="24"/>
          <w:lang w:val="en-US"/>
        </w:rPr>
        <w:t xml:space="preserve">, staffing, and training challenges. Participants </w:t>
      </w:r>
      <w:r w:rsidRPr="3DC7A50A" w:rsidR="6182356A">
        <w:rPr>
          <w:rFonts w:ascii="Arial" w:hAnsi="Arial" w:eastAsia="Arial" w:cs="Arial"/>
          <w:noProof w:val="0"/>
          <w:sz w:val="24"/>
          <w:szCs w:val="24"/>
          <w:lang w:val="en-US"/>
        </w:rPr>
        <w:t>identified</w:t>
      </w:r>
      <w:r w:rsidRPr="3DC7A50A" w:rsidR="6182356A">
        <w:rPr>
          <w:rFonts w:ascii="Arial" w:hAnsi="Arial" w:eastAsia="Arial" w:cs="Arial"/>
          <w:noProof w:val="0"/>
          <w:sz w:val="24"/>
          <w:szCs w:val="24"/>
          <w:lang w:val="en-US"/>
        </w:rPr>
        <w:t xml:space="preserve"> systemic barriers such as limited access to continuous professional development, unclear role definitions, and insufficient institutional support for clinical services. These constraints have clear implications for patient safety, as restricted clinical engagement may increase the likelihood of medication-related errors.</w:t>
      </w:r>
    </w:p>
    <w:p w:rsidR="722FFED0" w:rsidP="3DC7A50A" w:rsidRDefault="722FFED0" w14:paraId="0996FFCE" w14:textId="28D91542">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Ethical standards were upheld through informed consent and confidentiality. Overall, the study </w:t>
      </w:r>
      <w:r w:rsidRPr="3DC7A50A" w:rsidR="6182356A">
        <w:rPr>
          <w:rFonts w:ascii="Arial" w:hAnsi="Arial" w:eastAsia="Arial" w:cs="Arial"/>
          <w:noProof w:val="0"/>
          <w:sz w:val="24"/>
          <w:szCs w:val="24"/>
          <w:lang w:val="en-US"/>
        </w:rPr>
        <w:t>provides</w:t>
      </w:r>
      <w:r w:rsidRPr="3DC7A50A" w:rsidR="6182356A">
        <w:rPr>
          <w:rFonts w:ascii="Arial" w:hAnsi="Arial" w:eastAsia="Arial" w:cs="Arial"/>
          <w:noProof w:val="0"/>
          <w:sz w:val="24"/>
          <w:szCs w:val="24"/>
          <w:lang w:val="en-US"/>
        </w:rPr>
        <w:t xml:space="preserve"> valuable workforce-related insight into structural barriers affecting medication safety and professional practice development in LMICs.</w:t>
      </w:r>
    </w:p>
    <w:p w:rsidR="722FFED0" w:rsidP="3DC7A50A" w:rsidRDefault="722FFED0" w14:paraId="13DBC796" w14:textId="5D39C6CC">
      <w:pPr>
        <w:bidi w:val="0"/>
        <w:spacing w:before="240" w:beforeAutospacing="off" w:after="240" w:afterAutospacing="off"/>
        <w:jc w:val="both"/>
        <w:rPr>
          <w:rFonts w:ascii="Arial" w:hAnsi="Arial" w:eastAsia="Arial" w:cs="Arial"/>
        </w:rPr>
      </w:pPr>
    </w:p>
    <w:p w:rsidR="722FFED0" w:rsidP="3DC7A50A" w:rsidRDefault="722FFED0" w14:paraId="3CDC969D" w14:textId="6734C377">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942698369" w:id="1286224563"/>
      <w:r w:rsidRPr="3DC7A50A" w:rsidR="6182356A">
        <w:rPr>
          <w:rFonts w:ascii="Arial" w:hAnsi="Arial" w:eastAsia="Arial" w:cs="Arial"/>
          <w:b w:val="1"/>
          <w:bCs w:val="1"/>
          <w:noProof w:val="0"/>
          <w:sz w:val="28"/>
          <w:szCs w:val="28"/>
          <w:lang w:val="en-US"/>
        </w:rPr>
        <w:t>4.5.5 Article 5: Saleem N.H., et al. (Pakistan)</w:t>
      </w:r>
      <w:bookmarkEnd w:id="1286224563"/>
    </w:p>
    <w:p w:rsidR="722FFED0" w:rsidP="3DC7A50A" w:rsidRDefault="722FFED0" w14:paraId="3D7B1354" w14:textId="0E8D1DE5">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study examined determinants of antimicrobial dispensing in community pharmacies using semi-structured interviews. The CASP criterion applied was </w:t>
      </w:r>
      <w:r w:rsidRPr="3DC7A50A" w:rsidR="6182356A">
        <w:rPr>
          <w:rFonts w:ascii="Arial" w:hAnsi="Arial" w:eastAsia="Arial" w:cs="Arial"/>
          <w:b w:val="1"/>
          <w:bCs w:val="1"/>
          <w:noProof w:val="0"/>
          <w:sz w:val="24"/>
          <w:szCs w:val="24"/>
          <w:lang w:val="en-US"/>
        </w:rPr>
        <w:t>“Data collection addressed the research issue.”</w:t>
      </w:r>
      <w:r w:rsidRPr="3DC7A50A" w:rsidR="6182356A">
        <w:rPr>
          <w:rFonts w:ascii="Arial" w:hAnsi="Arial" w:eastAsia="Arial" w:cs="Arial"/>
          <w:noProof w:val="0"/>
          <w:sz w:val="24"/>
          <w:szCs w:val="24"/>
          <w:lang w:val="en-US"/>
        </w:rPr>
        <w:t xml:space="preserve"> The chosen method was effective in exploring dispenser motivations, including financial incentives, patient demand, and regulatory weaknesses.</w:t>
      </w:r>
    </w:p>
    <w:p w:rsidR="722FFED0" w:rsidP="3DC7A50A" w:rsidRDefault="722FFED0" w14:paraId="18F689A6" w14:textId="723D5201">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While the data </w:t>
      </w:r>
      <w:r w:rsidRPr="3DC7A50A" w:rsidR="6182356A">
        <w:rPr>
          <w:rFonts w:ascii="Arial" w:hAnsi="Arial" w:eastAsia="Arial" w:cs="Arial"/>
          <w:noProof w:val="0"/>
          <w:sz w:val="24"/>
          <w:szCs w:val="24"/>
          <w:lang w:val="en-US"/>
        </w:rPr>
        <w:t>provided</w:t>
      </w:r>
      <w:r w:rsidRPr="3DC7A50A" w:rsidR="6182356A">
        <w:rPr>
          <w:rFonts w:ascii="Arial" w:hAnsi="Arial" w:eastAsia="Arial" w:cs="Arial"/>
          <w:noProof w:val="0"/>
          <w:sz w:val="24"/>
          <w:szCs w:val="24"/>
          <w:lang w:val="en-US"/>
        </w:rPr>
        <w:t xml:space="preserve"> rich insight into perceived practices and decision-making processes, the absence of observational validation limits confirmation of self-reported </w:t>
      </w:r>
      <w:r w:rsidRPr="3DC7A50A" w:rsidR="6182356A">
        <w:rPr>
          <w:rFonts w:ascii="Arial" w:hAnsi="Arial" w:eastAsia="Arial" w:cs="Arial"/>
          <w:noProof w:val="0"/>
          <w:sz w:val="24"/>
          <w:szCs w:val="24"/>
          <w:lang w:val="en-US"/>
        </w:rPr>
        <w:t>behaviours</w:t>
      </w:r>
      <w:r w:rsidRPr="3DC7A50A" w:rsidR="6182356A">
        <w:rPr>
          <w:rFonts w:ascii="Arial" w:hAnsi="Arial" w:eastAsia="Arial" w:cs="Arial"/>
          <w:noProof w:val="0"/>
          <w:sz w:val="24"/>
          <w:szCs w:val="24"/>
          <w:lang w:val="en-US"/>
        </w:rPr>
        <w:t xml:space="preserve">. Cultural norms supporting self-medication were identified as key influences, reinforcing the need for context-specific interventions rather than uniform regulatory approaches. Ethical considerations were addressed; however, reluctance to </w:t>
      </w:r>
      <w:r w:rsidRPr="3DC7A50A" w:rsidR="6182356A">
        <w:rPr>
          <w:rFonts w:ascii="Arial" w:hAnsi="Arial" w:eastAsia="Arial" w:cs="Arial"/>
          <w:noProof w:val="0"/>
          <w:sz w:val="24"/>
          <w:szCs w:val="24"/>
          <w:lang w:val="en-US"/>
        </w:rPr>
        <w:t>disclose</w:t>
      </w:r>
      <w:r w:rsidRPr="3DC7A50A" w:rsidR="6182356A">
        <w:rPr>
          <w:rFonts w:ascii="Arial" w:hAnsi="Arial" w:eastAsia="Arial" w:cs="Arial"/>
          <w:noProof w:val="0"/>
          <w:sz w:val="24"/>
          <w:szCs w:val="24"/>
          <w:lang w:val="en-US"/>
        </w:rPr>
        <w:t xml:space="preserve"> inappropriate practices may have influenced findings. Despite this, the study contributes meaningful evidence on </w:t>
      </w:r>
      <w:r w:rsidRPr="3DC7A50A" w:rsidR="6182356A">
        <w:rPr>
          <w:rFonts w:ascii="Arial" w:hAnsi="Arial" w:eastAsia="Arial" w:cs="Arial"/>
          <w:noProof w:val="0"/>
          <w:sz w:val="24"/>
          <w:szCs w:val="24"/>
          <w:lang w:val="en-US"/>
        </w:rPr>
        <w:t>behavioural</w:t>
      </w:r>
      <w:r w:rsidRPr="3DC7A50A" w:rsidR="6182356A">
        <w:rPr>
          <w:rFonts w:ascii="Arial" w:hAnsi="Arial" w:eastAsia="Arial" w:cs="Arial"/>
          <w:noProof w:val="0"/>
          <w:sz w:val="24"/>
          <w:szCs w:val="24"/>
          <w:lang w:val="en-US"/>
        </w:rPr>
        <w:t xml:space="preserve"> and cultural drivers of unsafe dispensing.</w:t>
      </w:r>
    </w:p>
    <w:p w:rsidR="722FFED0" w:rsidP="3DC7A50A" w:rsidRDefault="722FFED0" w14:paraId="3A7FEBF4" w14:textId="547DD538">
      <w:pPr>
        <w:bidi w:val="0"/>
        <w:spacing w:before="240" w:beforeAutospacing="off" w:after="240" w:afterAutospacing="off"/>
        <w:jc w:val="both"/>
        <w:rPr>
          <w:rFonts w:ascii="Arial" w:hAnsi="Arial" w:eastAsia="Arial" w:cs="Arial"/>
        </w:rPr>
      </w:pPr>
    </w:p>
    <w:p w:rsidR="722FFED0" w:rsidP="3DC7A50A" w:rsidRDefault="722FFED0" w14:paraId="0F85F6EE" w14:textId="3D73BC1C">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843959091" w:id="129779790"/>
      <w:r w:rsidRPr="3DC7A50A" w:rsidR="6182356A">
        <w:rPr>
          <w:rFonts w:ascii="Arial" w:hAnsi="Arial" w:eastAsia="Arial" w:cs="Arial"/>
          <w:b w:val="1"/>
          <w:bCs w:val="1"/>
          <w:noProof w:val="0"/>
          <w:sz w:val="28"/>
          <w:szCs w:val="28"/>
          <w:lang w:val="en-US"/>
        </w:rPr>
        <w:t>4.5.6 Article 6: Atif M., et al. (Pakistan)</w:t>
      </w:r>
      <w:bookmarkEnd w:id="129779790"/>
    </w:p>
    <w:p w:rsidR="722FFED0" w:rsidP="3DC7A50A" w:rsidRDefault="722FFED0" w14:paraId="1871EAE6" w14:textId="077E591E">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qualitative study explored antibiotic use practices in community pharmacies. The CASP criterion applied was </w:t>
      </w:r>
      <w:r w:rsidRPr="3DC7A50A" w:rsidR="6182356A">
        <w:rPr>
          <w:rFonts w:ascii="Arial" w:hAnsi="Arial" w:eastAsia="Arial" w:cs="Arial"/>
          <w:b w:val="1"/>
          <w:bCs w:val="1"/>
          <w:noProof w:val="0"/>
          <w:sz w:val="24"/>
          <w:szCs w:val="24"/>
          <w:lang w:val="en-US"/>
        </w:rPr>
        <w:t>“Relationship between researcher and participants considered.”</w:t>
      </w:r>
      <w:r w:rsidRPr="3DC7A50A" w:rsidR="6182356A">
        <w:rPr>
          <w:rFonts w:ascii="Arial" w:hAnsi="Arial" w:eastAsia="Arial" w:cs="Arial"/>
          <w:noProof w:val="0"/>
          <w:sz w:val="24"/>
          <w:szCs w:val="24"/>
          <w:lang w:val="en-US"/>
        </w:rPr>
        <w:t xml:space="preserve"> The authors acknowledged the potential influence of interviewer presence on participant responses, </w:t>
      </w:r>
      <w:r w:rsidRPr="3DC7A50A" w:rsidR="6182356A">
        <w:rPr>
          <w:rFonts w:ascii="Arial" w:hAnsi="Arial" w:eastAsia="Arial" w:cs="Arial"/>
          <w:noProof w:val="0"/>
          <w:sz w:val="24"/>
          <w:szCs w:val="24"/>
          <w:lang w:val="en-US"/>
        </w:rPr>
        <w:t>recognising</w:t>
      </w:r>
      <w:r w:rsidRPr="3DC7A50A" w:rsidR="6182356A">
        <w:rPr>
          <w:rFonts w:ascii="Arial" w:hAnsi="Arial" w:eastAsia="Arial" w:cs="Arial"/>
          <w:noProof w:val="0"/>
          <w:sz w:val="24"/>
          <w:szCs w:val="24"/>
          <w:lang w:val="en-US"/>
        </w:rPr>
        <w:t xml:space="preserve"> the risk of socially desirable reporting.</w:t>
      </w:r>
    </w:p>
    <w:p w:rsidR="722FFED0" w:rsidP="3DC7A50A" w:rsidRDefault="722FFED0" w14:paraId="282B5FE4" w14:textId="5BB8ED59">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However, reflexivity could have been strengthened by detailing strategies used to </w:t>
      </w:r>
      <w:r w:rsidRPr="3DC7A50A" w:rsidR="6182356A">
        <w:rPr>
          <w:rFonts w:ascii="Arial" w:hAnsi="Arial" w:eastAsia="Arial" w:cs="Arial"/>
          <w:noProof w:val="0"/>
          <w:sz w:val="24"/>
          <w:szCs w:val="24"/>
          <w:lang w:val="en-US"/>
        </w:rPr>
        <w:t>minimise</w:t>
      </w:r>
      <w:r w:rsidRPr="3DC7A50A" w:rsidR="6182356A">
        <w:rPr>
          <w:rFonts w:ascii="Arial" w:hAnsi="Arial" w:eastAsia="Arial" w:cs="Arial"/>
          <w:noProof w:val="0"/>
          <w:sz w:val="24"/>
          <w:szCs w:val="24"/>
          <w:lang w:val="en-US"/>
        </w:rPr>
        <w:t xml:space="preserve"> such bias during data collection and analysis. Findings highlighted systemic drivers of antibiotic over-dispensing, including low patient awareness, commercial pressures, and weak regulatory enforcement. Ethical standards were upheld through voluntary participation and confidentiality, enhancing credibility. The study offers valuable insight into </w:t>
      </w:r>
      <w:r w:rsidRPr="3DC7A50A" w:rsidR="6182356A">
        <w:rPr>
          <w:rFonts w:ascii="Arial" w:hAnsi="Arial" w:eastAsia="Arial" w:cs="Arial"/>
          <w:noProof w:val="0"/>
          <w:sz w:val="24"/>
          <w:szCs w:val="24"/>
          <w:lang w:val="en-US"/>
        </w:rPr>
        <w:t>behavioural</w:t>
      </w:r>
      <w:r w:rsidRPr="3DC7A50A" w:rsidR="6182356A">
        <w:rPr>
          <w:rFonts w:ascii="Arial" w:hAnsi="Arial" w:eastAsia="Arial" w:cs="Arial"/>
          <w:noProof w:val="0"/>
          <w:sz w:val="24"/>
          <w:szCs w:val="24"/>
          <w:lang w:val="en-US"/>
        </w:rPr>
        <w:t xml:space="preserve"> and systemic contributors to antibiotic misuse in LMIC pharmacy settings.</w:t>
      </w:r>
    </w:p>
    <w:p w:rsidR="722FFED0" w:rsidP="3DC7A50A" w:rsidRDefault="722FFED0" w14:paraId="668C2409" w14:textId="49480FE9">
      <w:pPr>
        <w:bidi w:val="0"/>
        <w:spacing w:before="240" w:beforeAutospacing="off" w:after="240" w:afterAutospacing="off"/>
        <w:jc w:val="both"/>
        <w:rPr>
          <w:rFonts w:ascii="Arial" w:hAnsi="Arial" w:eastAsia="Arial" w:cs="Arial"/>
        </w:rPr>
      </w:pPr>
    </w:p>
    <w:p w:rsidR="722FFED0" w:rsidP="3DC7A50A" w:rsidRDefault="722FFED0" w14:paraId="348CBFE1" w14:textId="0FBFC648">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086404949" w:id="2065350264"/>
      <w:r w:rsidRPr="3DC7A50A" w:rsidR="6182356A">
        <w:rPr>
          <w:rFonts w:ascii="Arial" w:hAnsi="Arial" w:eastAsia="Arial" w:cs="Arial"/>
          <w:b w:val="1"/>
          <w:bCs w:val="1"/>
          <w:noProof w:val="0"/>
          <w:sz w:val="28"/>
          <w:szCs w:val="28"/>
          <w:lang w:val="en-US"/>
        </w:rPr>
        <w:t>4.5.7 Article 7: Roche S.D., et al. (Kenya)</w:t>
      </w:r>
      <w:bookmarkEnd w:id="2065350264"/>
    </w:p>
    <w:p w:rsidR="722FFED0" w:rsidP="3DC7A50A" w:rsidRDefault="722FFED0" w14:paraId="2964C212" w14:textId="5DE2D6F7">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formative study assessed the feasibility and acceptability of pharmacy-based delivery interventions. The CASP criterion applied was </w:t>
      </w:r>
      <w:r w:rsidRPr="3DC7A50A" w:rsidR="6182356A">
        <w:rPr>
          <w:rFonts w:ascii="Arial" w:hAnsi="Arial" w:eastAsia="Arial" w:cs="Arial"/>
          <w:b w:val="1"/>
          <w:bCs w:val="1"/>
          <w:noProof w:val="0"/>
          <w:sz w:val="24"/>
          <w:szCs w:val="24"/>
          <w:lang w:val="en-US"/>
        </w:rPr>
        <w:t>“Ethical issues considered.”</w:t>
      </w:r>
      <w:r w:rsidRPr="3DC7A50A" w:rsidR="6182356A">
        <w:rPr>
          <w:rFonts w:ascii="Arial" w:hAnsi="Arial" w:eastAsia="Arial" w:cs="Arial"/>
          <w:noProof w:val="0"/>
          <w:sz w:val="24"/>
          <w:szCs w:val="24"/>
          <w:lang w:val="en-US"/>
        </w:rPr>
        <w:t xml:space="preserve"> The study </w:t>
      </w:r>
      <w:r w:rsidRPr="3DC7A50A" w:rsidR="6182356A">
        <w:rPr>
          <w:rFonts w:ascii="Arial" w:hAnsi="Arial" w:eastAsia="Arial" w:cs="Arial"/>
          <w:noProof w:val="0"/>
          <w:sz w:val="24"/>
          <w:szCs w:val="24"/>
          <w:lang w:val="en-US"/>
        </w:rPr>
        <w:t>demonstrated</w:t>
      </w:r>
      <w:r w:rsidRPr="3DC7A50A" w:rsidR="6182356A">
        <w:rPr>
          <w:rFonts w:ascii="Arial" w:hAnsi="Arial" w:eastAsia="Arial" w:cs="Arial"/>
          <w:noProof w:val="0"/>
          <w:sz w:val="24"/>
          <w:szCs w:val="24"/>
          <w:lang w:val="en-US"/>
        </w:rPr>
        <w:t xml:space="preserve"> strong ethical rigor through informed consent and voluntary participation.</w:t>
      </w:r>
    </w:p>
    <w:p w:rsidR="722FFED0" w:rsidP="3DC7A50A" w:rsidRDefault="722FFED0" w14:paraId="00B0721D" w14:textId="4A35B8A4">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Critically, potential conflicts of interest between pharmacists’ commercial motivations and patient care </w:t>
      </w:r>
      <w:r w:rsidRPr="3DC7A50A" w:rsidR="6182356A">
        <w:rPr>
          <w:rFonts w:ascii="Arial" w:hAnsi="Arial" w:eastAsia="Arial" w:cs="Arial"/>
          <w:noProof w:val="0"/>
          <w:sz w:val="24"/>
          <w:szCs w:val="24"/>
          <w:lang w:val="en-US"/>
        </w:rPr>
        <w:t>objectives</w:t>
      </w:r>
      <w:r w:rsidRPr="3DC7A50A" w:rsidR="6182356A">
        <w:rPr>
          <w:rFonts w:ascii="Arial" w:hAnsi="Arial" w:eastAsia="Arial" w:cs="Arial"/>
          <w:noProof w:val="0"/>
          <w:sz w:val="24"/>
          <w:szCs w:val="24"/>
          <w:lang w:val="en-US"/>
        </w:rPr>
        <w:t xml:space="preserve"> were not fully explored. Findings highlighted the importance of trust-building with clients for successful intervention delivery, underscoring both interpersonal and systemic challenges. Although data analysis was transparent, the influence of </w:t>
      </w:r>
      <w:r w:rsidRPr="3DC7A50A" w:rsidR="6182356A">
        <w:rPr>
          <w:rFonts w:ascii="Arial" w:hAnsi="Arial" w:eastAsia="Arial" w:cs="Arial"/>
          <w:noProof w:val="0"/>
          <w:sz w:val="24"/>
          <w:szCs w:val="24"/>
          <w:lang w:val="en-US"/>
        </w:rPr>
        <w:t>researcher</w:t>
      </w:r>
      <w:r w:rsidRPr="3DC7A50A" w:rsidR="6182356A">
        <w:rPr>
          <w:rFonts w:ascii="Arial" w:hAnsi="Arial" w:eastAsia="Arial" w:cs="Arial"/>
          <w:noProof w:val="0"/>
          <w:sz w:val="24"/>
          <w:szCs w:val="24"/>
          <w:lang w:val="en-US"/>
        </w:rPr>
        <w:t xml:space="preserve"> expectations on participant responses was insufficiently examined. Nonetheless, the study </w:t>
      </w:r>
      <w:r w:rsidRPr="3DC7A50A" w:rsidR="6182356A">
        <w:rPr>
          <w:rFonts w:ascii="Arial" w:hAnsi="Arial" w:eastAsia="Arial" w:cs="Arial"/>
          <w:noProof w:val="0"/>
          <w:sz w:val="24"/>
          <w:szCs w:val="24"/>
          <w:lang w:val="en-US"/>
        </w:rPr>
        <w:t>provides</w:t>
      </w:r>
      <w:r w:rsidRPr="3DC7A50A" w:rsidR="6182356A">
        <w:rPr>
          <w:rFonts w:ascii="Arial" w:hAnsi="Arial" w:eastAsia="Arial" w:cs="Arial"/>
          <w:noProof w:val="0"/>
          <w:sz w:val="24"/>
          <w:szCs w:val="24"/>
          <w:lang w:val="en-US"/>
        </w:rPr>
        <w:t xml:space="preserve"> useful implementation-level insights relevant to quality improvement initiatives.</w:t>
      </w:r>
    </w:p>
    <w:p w:rsidR="722FFED0" w:rsidP="3DC7A50A" w:rsidRDefault="722FFED0" w14:paraId="7EF4B101" w14:textId="1B3EFC60">
      <w:pPr>
        <w:bidi w:val="0"/>
        <w:spacing w:before="240" w:beforeAutospacing="off" w:after="240" w:afterAutospacing="off"/>
        <w:jc w:val="both"/>
        <w:rPr>
          <w:rFonts w:ascii="Arial" w:hAnsi="Arial" w:eastAsia="Arial" w:cs="Arial"/>
        </w:rPr>
      </w:pPr>
    </w:p>
    <w:p w:rsidR="722FFED0" w:rsidP="3DC7A50A" w:rsidRDefault="722FFED0" w14:paraId="7763995F" w14:textId="351D34A0">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55436902" w:id="1188234601"/>
      <w:r w:rsidRPr="3DC7A50A" w:rsidR="6182356A">
        <w:rPr>
          <w:rFonts w:ascii="Arial" w:hAnsi="Arial" w:eastAsia="Arial" w:cs="Arial"/>
          <w:b w:val="1"/>
          <w:bCs w:val="1"/>
          <w:noProof w:val="0"/>
          <w:sz w:val="28"/>
          <w:szCs w:val="28"/>
          <w:lang w:val="en-US"/>
        </w:rPr>
        <w:t>4.5.8 Article 8: Crafford L., et al. (South Africa)</w:t>
      </w:r>
      <w:bookmarkEnd w:id="1188234601"/>
    </w:p>
    <w:p w:rsidR="722FFED0" w:rsidP="3DC7A50A" w:rsidRDefault="722FFED0" w14:paraId="24B0FBCB" w14:textId="617AABA2">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qualitative study explored barriers to integrating clinical pharmacists into hospital settings. The CASP criterion applied was </w:t>
      </w:r>
      <w:r w:rsidRPr="3DC7A50A" w:rsidR="6182356A">
        <w:rPr>
          <w:rFonts w:ascii="Arial" w:hAnsi="Arial" w:eastAsia="Arial" w:cs="Arial"/>
          <w:b w:val="1"/>
          <w:bCs w:val="1"/>
          <w:noProof w:val="0"/>
          <w:sz w:val="24"/>
          <w:szCs w:val="24"/>
          <w:lang w:val="en-US"/>
        </w:rPr>
        <w:t>“Data analysis sufficiently rigorous.”</w:t>
      </w:r>
      <w:r w:rsidRPr="3DC7A50A" w:rsidR="6182356A">
        <w:rPr>
          <w:rFonts w:ascii="Arial" w:hAnsi="Arial" w:eastAsia="Arial" w:cs="Arial"/>
          <w:noProof w:val="0"/>
          <w:sz w:val="24"/>
          <w:szCs w:val="24"/>
          <w:lang w:val="en-US"/>
        </w:rPr>
        <w:t xml:space="preserve"> Thematic analysis was conducted systematically, with clear coding procedures and structured theme development.</w:t>
      </w:r>
    </w:p>
    <w:p w:rsidR="722FFED0" w:rsidP="3DC7A50A" w:rsidRDefault="722FFED0" w14:paraId="52FB8941" w14:textId="71E81593">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While analytic </w:t>
      </w:r>
      <w:r w:rsidRPr="3DC7A50A" w:rsidR="6182356A">
        <w:rPr>
          <w:rFonts w:ascii="Arial" w:hAnsi="Arial" w:eastAsia="Arial" w:cs="Arial"/>
          <w:noProof w:val="0"/>
          <w:sz w:val="24"/>
          <w:szCs w:val="24"/>
          <w:lang w:val="en-US"/>
        </w:rPr>
        <w:t>rigour</w:t>
      </w:r>
      <w:r w:rsidRPr="3DC7A50A" w:rsidR="6182356A">
        <w:rPr>
          <w:rFonts w:ascii="Arial" w:hAnsi="Arial" w:eastAsia="Arial" w:cs="Arial"/>
          <w:noProof w:val="0"/>
          <w:sz w:val="24"/>
          <w:szCs w:val="24"/>
          <w:lang w:val="en-US"/>
        </w:rPr>
        <w:t xml:space="preserve"> was strong, reporting inter-coder reliability could have further enhanced confirmability. The study </w:t>
      </w:r>
      <w:r w:rsidRPr="3DC7A50A" w:rsidR="6182356A">
        <w:rPr>
          <w:rFonts w:ascii="Arial" w:hAnsi="Arial" w:eastAsia="Arial" w:cs="Arial"/>
          <w:noProof w:val="0"/>
          <w:sz w:val="24"/>
          <w:szCs w:val="24"/>
          <w:lang w:val="en-US"/>
        </w:rPr>
        <w:t>identified</w:t>
      </w:r>
      <w:r w:rsidRPr="3DC7A50A" w:rsidR="6182356A">
        <w:rPr>
          <w:rFonts w:ascii="Arial" w:hAnsi="Arial" w:eastAsia="Arial" w:cs="Arial"/>
          <w:noProof w:val="0"/>
          <w:sz w:val="24"/>
          <w:szCs w:val="24"/>
          <w:lang w:val="en-US"/>
        </w:rPr>
        <w:t xml:space="preserve"> </w:t>
      </w:r>
      <w:r w:rsidRPr="3DC7A50A" w:rsidR="6182356A">
        <w:rPr>
          <w:rFonts w:ascii="Arial" w:hAnsi="Arial" w:eastAsia="Arial" w:cs="Arial"/>
          <w:noProof w:val="0"/>
          <w:sz w:val="24"/>
          <w:szCs w:val="24"/>
          <w:lang w:val="en-US"/>
        </w:rPr>
        <w:t>organisational</w:t>
      </w:r>
      <w:r w:rsidRPr="3DC7A50A" w:rsidR="6182356A">
        <w:rPr>
          <w:rFonts w:ascii="Arial" w:hAnsi="Arial" w:eastAsia="Arial" w:cs="Arial"/>
          <w:noProof w:val="0"/>
          <w:sz w:val="24"/>
          <w:szCs w:val="24"/>
          <w:lang w:val="en-US"/>
        </w:rPr>
        <w:t xml:space="preserve"> and hierarchical barriers, including limited managerial support and resistance to role expansion. Ethical considerations were appropriately addressed through </w:t>
      </w:r>
      <w:r w:rsidRPr="3DC7A50A" w:rsidR="6182356A">
        <w:rPr>
          <w:rFonts w:ascii="Arial" w:hAnsi="Arial" w:eastAsia="Arial" w:cs="Arial"/>
          <w:noProof w:val="0"/>
          <w:sz w:val="24"/>
          <w:szCs w:val="24"/>
          <w:lang w:val="en-US"/>
        </w:rPr>
        <w:t>anonymisation</w:t>
      </w:r>
      <w:r w:rsidRPr="3DC7A50A" w:rsidR="6182356A">
        <w:rPr>
          <w:rFonts w:ascii="Arial" w:hAnsi="Arial" w:eastAsia="Arial" w:cs="Arial"/>
          <w:noProof w:val="0"/>
          <w:sz w:val="24"/>
          <w:szCs w:val="24"/>
          <w:lang w:val="en-US"/>
        </w:rPr>
        <w:t xml:space="preserve">. Overall, the study offers robust </w:t>
      </w:r>
      <w:r w:rsidRPr="3DC7A50A" w:rsidR="6182356A">
        <w:rPr>
          <w:rFonts w:ascii="Arial" w:hAnsi="Arial" w:eastAsia="Arial" w:cs="Arial"/>
          <w:noProof w:val="0"/>
          <w:sz w:val="24"/>
          <w:szCs w:val="24"/>
          <w:lang w:val="en-US"/>
        </w:rPr>
        <w:t>organisational</w:t>
      </w:r>
      <w:r w:rsidRPr="3DC7A50A" w:rsidR="6182356A">
        <w:rPr>
          <w:rFonts w:ascii="Arial" w:hAnsi="Arial" w:eastAsia="Arial" w:cs="Arial"/>
          <w:noProof w:val="0"/>
          <w:sz w:val="24"/>
          <w:szCs w:val="24"/>
          <w:lang w:val="en-US"/>
        </w:rPr>
        <w:t xml:space="preserve"> insight into barriers affecting medication safety and service improvement.</w:t>
      </w:r>
    </w:p>
    <w:p w:rsidR="722FFED0" w:rsidP="3DC7A50A" w:rsidRDefault="722FFED0" w14:paraId="60376BE8" w14:textId="70E1FCC2">
      <w:pPr>
        <w:bidi w:val="0"/>
        <w:spacing w:before="240" w:beforeAutospacing="off" w:after="240" w:afterAutospacing="off"/>
        <w:jc w:val="both"/>
        <w:rPr>
          <w:rFonts w:ascii="Arial" w:hAnsi="Arial" w:eastAsia="Arial" w:cs="Arial"/>
        </w:rPr>
      </w:pPr>
    </w:p>
    <w:p w:rsidR="722FFED0" w:rsidP="3DC7A50A" w:rsidRDefault="722FFED0" w14:paraId="6F97FA80" w14:textId="3E582435">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062332642" w:id="654013887"/>
      <w:r w:rsidRPr="3DC7A50A" w:rsidR="6182356A">
        <w:rPr>
          <w:rFonts w:ascii="Arial" w:hAnsi="Arial" w:eastAsia="Arial" w:cs="Arial"/>
          <w:b w:val="1"/>
          <w:bCs w:val="1"/>
          <w:noProof w:val="0"/>
          <w:sz w:val="28"/>
          <w:szCs w:val="28"/>
          <w:lang w:val="en-US"/>
        </w:rPr>
        <w:t xml:space="preserve">4.5.9 Article 9: </w:t>
      </w:r>
      <w:r w:rsidRPr="3DC7A50A" w:rsidR="6182356A">
        <w:rPr>
          <w:rFonts w:ascii="Arial" w:hAnsi="Arial" w:eastAsia="Arial" w:cs="Arial"/>
          <w:b w:val="1"/>
          <w:bCs w:val="1"/>
          <w:noProof w:val="0"/>
          <w:sz w:val="28"/>
          <w:szCs w:val="28"/>
          <w:lang w:val="en-US"/>
        </w:rPr>
        <w:t>Gelayee</w:t>
      </w:r>
      <w:r w:rsidRPr="3DC7A50A" w:rsidR="6182356A">
        <w:rPr>
          <w:rFonts w:ascii="Arial" w:hAnsi="Arial" w:eastAsia="Arial" w:cs="Arial"/>
          <w:b w:val="1"/>
          <w:bCs w:val="1"/>
          <w:noProof w:val="0"/>
          <w:sz w:val="28"/>
          <w:szCs w:val="28"/>
          <w:lang w:val="en-US"/>
        </w:rPr>
        <w:t xml:space="preserve"> D.A., et al. (Ethiopia)</w:t>
      </w:r>
      <w:bookmarkEnd w:id="654013887"/>
    </w:p>
    <w:p w:rsidR="722FFED0" w:rsidP="3DC7A50A" w:rsidRDefault="722FFED0" w14:paraId="623FB2D8" w14:textId="6E2802DC">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study explored community pharmacists’ </w:t>
      </w:r>
      <w:r w:rsidRPr="3DC7A50A" w:rsidR="6182356A">
        <w:rPr>
          <w:rFonts w:ascii="Arial" w:hAnsi="Arial" w:eastAsia="Arial" w:cs="Arial"/>
          <w:noProof w:val="0"/>
          <w:sz w:val="24"/>
          <w:szCs w:val="24"/>
          <w:lang w:val="en-US"/>
        </w:rPr>
        <w:t>perceptions</w:t>
      </w:r>
      <w:r w:rsidRPr="3DC7A50A" w:rsidR="6182356A">
        <w:rPr>
          <w:rFonts w:ascii="Arial" w:hAnsi="Arial" w:eastAsia="Arial" w:cs="Arial"/>
          <w:noProof w:val="0"/>
          <w:sz w:val="24"/>
          <w:szCs w:val="24"/>
          <w:lang w:val="en-US"/>
        </w:rPr>
        <w:t xml:space="preserve"> of dispensing errors. The CASP criterion applied was </w:t>
      </w:r>
      <w:r w:rsidRPr="3DC7A50A" w:rsidR="6182356A">
        <w:rPr>
          <w:rFonts w:ascii="Arial" w:hAnsi="Arial" w:eastAsia="Arial" w:cs="Arial"/>
          <w:b w:val="1"/>
          <w:bCs w:val="1"/>
          <w:noProof w:val="0"/>
          <w:sz w:val="24"/>
          <w:szCs w:val="24"/>
          <w:lang w:val="en-US"/>
        </w:rPr>
        <w:t>“Findings clearly stated.”</w:t>
      </w:r>
      <w:r w:rsidRPr="3DC7A50A" w:rsidR="6182356A">
        <w:rPr>
          <w:rFonts w:ascii="Arial" w:hAnsi="Arial" w:eastAsia="Arial" w:cs="Arial"/>
          <w:noProof w:val="0"/>
          <w:sz w:val="24"/>
          <w:szCs w:val="24"/>
          <w:lang w:val="en-US"/>
        </w:rPr>
        <w:t xml:space="preserve"> Results were presented clearly, with well-</w:t>
      </w:r>
      <w:r w:rsidRPr="3DC7A50A" w:rsidR="6182356A">
        <w:rPr>
          <w:rFonts w:ascii="Arial" w:hAnsi="Arial" w:eastAsia="Arial" w:cs="Arial"/>
          <w:noProof w:val="0"/>
          <w:sz w:val="24"/>
          <w:szCs w:val="24"/>
          <w:lang w:val="en-US"/>
        </w:rPr>
        <w:t>organised</w:t>
      </w:r>
      <w:r w:rsidRPr="3DC7A50A" w:rsidR="6182356A">
        <w:rPr>
          <w:rFonts w:ascii="Arial" w:hAnsi="Arial" w:eastAsia="Arial" w:cs="Arial"/>
          <w:noProof w:val="0"/>
          <w:sz w:val="24"/>
          <w:szCs w:val="24"/>
          <w:lang w:val="en-US"/>
        </w:rPr>
        <w:t xml:space="preserve"> thematic categories.</w:t>
      </w:r>
    </w:p>
    <w:p w:rsidR="722FFED0" w:rsidP="3DC7A50A" w:rsidRDefault="722FFED0" w14:paraId="2CE04F06" w14:textId="5073D535">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While descriptive clarity was strong, deeper analysis linking findings to practical interventions could have improved applicability. </w:t>
      </w:r>
      <w:r w:rsidRPr="3DC7A50A" w:rsidR="6182356A">
        <w:rPr>
          <w:rFonts w:ascii="Arial" w:hAnsi="Arial" w:eastAsia="Arial" w:cs="Arial"/>
          <w:noProof w:val="0"/>
          <w:sz w:val="24"/>
          <w:szCs w:val="24"/>
          <w:lang w:val="en-US"/>
        </w:rPr>
        <w:t>Identified</w:t>
      </w:r>
      <w:r w:rsidRPr="3DC7A50A" w:rsidR="6182356A">
        <w:rPr>
          <w:rFonts w:ascii="Arial" w:hAnsi="Arial" w:eastAsia="Arial" w:cs="Arial"/>
          <w:noProof w:val="0"/>
          <w:sz w:val="24"/>
          <w:szCs w:val="24"/>
          <w:lang w:val="en-US"/>
        </w:rPr>
        <w:t xml:space="preserve"> contributors to dispensing errors included knowledge gaps, workload pressures, and systemic constraints. Ethical safeguards were </w:t>
      </w:r>
      <w:r w:rsidRPr="3DC7A50A" w:rsidR="6182356A">
        <w:rPr>
          <w:rFonts w:ascii="Arial" w:hAnsi="Arial" w:eastAsia="Arial" w:cs="Arial"/>
          <w:noProof w:val="0"/>
          <w:sz w:val="24"/>
          <w:szCs w:val="24"/>
          <w:lang w:val="en-US"/>
        </w:rPr>
        <w:t>maintained</w:t>
      </w:r>
      <w:r w:rsidRPr="3DC7A50A" w:rsidR="6182356A">
        <w:rPr>
          <w:rFonts w:ascii="Arial" w:hAnsi="Arial" w:eastAsia="Arial" w:cs="Arial"/>
          <w:noProof w:val="0"/>
          <w:sz w:val="24"/>
          <w:szCs w:val="24"/>
          <w:lang w:val="en-US"/>
        </w:rPr>
        <w:t xml:space="preserve">, although social desirability bias </w:t>
      </w:r>
      <w:r w:rsidRPr="3DC7A50A" w:rsidR="6182356A">
        <w:rPr>
          <w:rFonts w:ascii="Arial" w:hAnsi="Arial" w:eastAsia="Arial" w:cs="Arial"/>
          <w:noProof w:val="0"/>
          <w:sz w:val="24"/>
          <w:szCs w:val="24"/>
          <w:lang w:val="en-US"/>
        </w:rPr>
        <w:t>remains</w:t>
      </w:r>
      <w:r w:rsidRPr="3DC7A50A" w:rsidR="6182356A">
        <w:rPr>
          <w:rFonts w:ascii="Arial" w:hAnsi="Arial" w:eastAsia="Arial" w:cs="Arial"/>
          <w:noProof w:val="0"/>
          <w:sz w:val="24"/>
          <w:szCs w:val="24"/>
          <w:lang w:val="en-US"/>
        </w:rPr>
        <w:t xml:space="preserve"> a consideration. The study </w:t>
      </w:r>
      <w:r w:rsidRPr="3DC7A50A" w:rsidR="6182356A">
        <w:rPr>
          <w:rFonts w:ascii="Arial" w:hAnsi="Arial" w:eastAsia="Arial" w:cs="Arial"/>
          <w:noProof w:val="0"/>
          <w:sz w:val="24"/>
          <w:szCs w:val="24"/>
          <w:lang w:val="en-US"/>
        </w:rPr>
        <w:t>provides</w:t>
      </w:r>
      <w:r w:rsidRPr="3DC7A50A" w:rsidR="6182356A">
        <w:rPr>
          <w:rFonts w:ascii="Arial" w:hAnsi="Arial" w:eastAsia="Arial" w:cs="Arial"/>
          <w:noProof w:val="0"/>
          <w:sz w:val="24"/>
          <w:szCs w:val="24"/>
          <w:lang w:val="en-US"/>
        </w:rPr>
        <w:t xml:space="preserve"> foundational insight into mechanisms underlying dispensing errors.</w:t>
      </w:r>
    </w:p>
    <w:p w:rsidR="722FFED0" w:rsidP="3DC7A50A" w:rsidRDefault="722FFED0" w14:paraId="560D9F46" w14:textId="1566D627">
      <w:pPr>
        <w:bidi w:val="0"/>
        <w:spacing w:before="240" w:beforeAutospacing="off" w:after="240" w:afterAutospacing="off"/>
        <w:jc w:val="both"/>
        <w:rPr>
          <w:rFonts w:ascii="Arial" w:hAnsi="Arial" w:eastAsia="Arial" w:cs="Arial"/>
        </w:rPr>
      </w:pPr>
    </w:p>
    <w:p w:rsidR="722FFED0" w:rsidP="3DC7A50A" w:rsidRDefault="722FFED0" w14:paraId="7775B133" w14:textId="6922AA61">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355694106" w:id="268584520"/>
      <w:r w:rsidRPr="3DC7A50A" w:rsidR="6182356A">
        <w:rPr>
          <w:rFonts w:ascii="Arial" w:hAnsi="Arial" w:eastAsia="Arial" w:cs="Arial"/>
          <w:b w:val="1"/>
          <w:bCs w:val="1"/>
          <w:noProof w:val="0"/>
          <w:sz w:val="28"/>
          <w:szCs w:val="28"/>
          <w:lang w:val="en-US"/>
        </w:rPr>
        <w:t xml:space="preserve">4.5.10 Article 10: </w:t>
      </w:r>
      <w:r w:rsidRPr="3DC7A50A" w:rsidR="6182356A">
        <w:rPr>
          <w:rFonts w:ascii="Arial" w:hAnsi="Arial" w:eastAsia="Arial" w:cs="Arial"/>
          <w:b w:val="1"/>
          <w:bCs w:val="1"/>
          <w:noProof w:val="0"/>
          <w:sz w:val="28"/>
          <w:szCs w:val="28"/>
          <w:lang w:val="en-US"/>
        </w:rPr>
        <w:t>Kentab</w:t>
      </w:r>
      <w:r w:rsidRPr="3DC7A50A" w:rsidR="6182356A">
        <w:rPr>
          <w:rFonts w:ascii="Arial" w:hAnsi="Arial" w:eastAsia="Arial" w:cs="Arial"/>
          <w:b w:val="1"/>
          <w:bCs w:val="1"/>
          <w:noProof w:val="0"/>
          <w:sz w:val="28"/>
          <w:szCs w:val="28"/>
          <w:lang w:val="en-US"/>
        </w:rPr>
        <w:t xml:space="preserve"> B.Y., et al. (Global)</w:t>
      </w:r>
      <w:bookmarkEnd w:id="268584520"/>
    </w:p>
    <w:p w:rsidR="722FFED0" w:rsidP="3DC7A50A" w:rsidRDefault="722FFED0" w14:paraId="22AEFCCC" w14:textId="383EAFDF">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qualitative study examined medication dispensing and counselling for patients with visual impairment. The CASP criterion applied was </w:t>
      </w:r>
      <w:r w:rsidRPr="3DC7A50A" w:rsidR="6182356A">
        <w:rPr>
          <w:rFonts w:ascii="Arial" w:hAnsi="Arial" w:eastAsia="Arial" w:cs="Arial"/>
          <w:b w:val="1"/>
          <w:bCs w:val="1"/>
          <w:noProof w:val="0"/>
          <w:sz w:val="24"/>
          <w:szCs w:val="24"/>
          <w:lang w:val="en-US"/>
        </w:rPr>
        <w:t>“Research value and contribution.”</w:t>
      </w:r>
      <w:r w:rsidRPr="3DC7A50A" w:rsidR="6182356A">
        <w:rPr>
          <w:rFonts w:ascii="Arial" w:hAnsi="Arial" w:eastAsia="Arial" w:cs="Arial"/>
          <w:noProof w:val="0"/>
          <w:sz w:val="24"/>
          <w:szCs w:val="24"/>
          <w:lang w:val="en-US"/>
        </w:rPr>
        <w:t xml:space="preserve"> The study makes a significant contribution to patient-</w:t>
      </w:r>
      <w:r w:rsidRPr="3DC7A50A" w:rsidR="6182356A">
        <w:rPr>
          <w:rFonts w:ascii="Arial" w:hAnsi="Arial" w:eastAsia="Arial" w:cs="Arial"/>
          <w:noProof w:val="0"/>
          <w:sz w:val="24"/>
          <w:szCs w:val="24"/>
          <w:lang w:val="en-US"/>
        </w:rPr>
        <w:t>centred</w:t>
      </w:r>
      <w:r w:rsidRPr="3DC7A50A" w:rsidR="6182356A">
        <w:rPr>
          <w:rFonts w:ascii="Arial" w:hAnsi="Arial" w:eastAsia="Arial" w:cs="Arial"/>
          <w:noProof w:val="0"/>
          <w:sz w:val="24"/>
          <w:szCs w:val="24"/>
          <w:lang w:val="en-US"/>
        </w:rPr>
        <w:t xml:space="preserve"> pharmacy practice by addressing an underexplored population.</w:t>
      </w:r>
    </w:p>
    <w:p w:rsidR="722FFED0" w:rsidP="3DC7A50A" w:rsidRDefault="722FFED0" w14:paraId="11699CF7" w14:textId="1DD2FBC4">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Although findings offer valuable insights, </w:t>
      </w:r>
      <w:r w:rsidRPr="3DC7A50A" w:rsidR="6182356A">
        <w:rPr>
          <w:rFonts w:ascii="Arial" w:hAnsi="Arial" w:eastAsia="Arial" w:cs="Arial"/>
          <w:noProof w:val="0"/>
          <w:sz w:val="24"/>
          <w:szCs w:val="24"/>
          <w:lang w:val="en-US"/>
        </w:rPr>
        <w:t>generalisability</w:t>
      </w:r>
      <w:r w:rsidRPr="3DC7A50A" w:rsidR="6182356A">
        <w:rPr>
          <w:rFonts w:ascii="Arial" w:hAnsi="Arial" w:eastAsia="Arial" w:cs="Arial"/>
          <w:noProof w:val="0"/>
          <w:sz w:val="24"/>
          <w:szCs w:val="24"/>
          <w:lang w:val="en-US"/>
        </w:rPr>
        <w:t xml:space="preserve"> is limited due to sample size and geographic scope. Ethical protocols were rigorously followed, and the results have clear implications for designing inclusive pharmacy services.</w:t>
      </w:r>
    </w:p>
    <w:p w:rsidR="722FFED0" w:rsidP="3DC7A50A" w:rsidRDefault="722FFED0" w14:paraId="2734BDA2" w14:textId="699BEEA7">
      <w:pPr>
        <w:bidi w:val="0"/>
        <w:spacing w:before="240" w:beforeAutospacing="off" w:after="240" w:afterAutospacing="off"/>
        <w:jc w:val="both"/>
        <w:rPr>
          <w:rFonts w:ascii="Arial" w:hAnsi="Arial" w:eastAsia="Arial" w:cs="Arial"/>
        </w:rPr>
      </w:pPr>
    </w:p>
    <w:p w:rsidR="722FFED0" w:rsidP="3DC7A50A" w:rsidRDefault="722FFED0" w14:paraId="478D4F0F" w14:textId="0A853043">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73502751" w:id="2012813275"/>
      <w:r w:rsidRPr="3DC7A50A" w:rsidR="6182356A">
        <w:rPr>
          <w:rFonts w:ascii="Arial" w:hAnsi="Arial" w:eastAsia="Arial" w:cs="Arial"/>
          <w:b w:val="1"/>
          <w:bCs w:val="1"/>
          <w:noProof w:val="0"/>
          <w:sz w:val="28"/>
          <w:szCs w:val="28"/>
          <w:lang w:val="en-US"/>
        </w:rPr>
        <w:t>4.5.11 Article 11: Atif M., et al. (South Asia)</w:t>
      </w:r>
      <w:bookmarkEnd w:id="2012813275"/>
    </w:p>
    <w:p w:rsidR="722FFED0" w:rsidP="3DC7A50A" w:rsidRDefault="722FFED0" w14:paraId="43EE02A6" w14:textId="793391FE">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study investigated antibiotic dispensing practices using qualitative interviews. The CASP criterion applied was </w:t>
      </w:r>
      <w:r w:rsidRPr="3DC7A50A" w:rsidR="6182356A">
        <w:rPr>
          <w:rFonts w:ascii="Arial" w:hAnsi="Arial" w:eastAsia="Arial" w:cs="Arial"/>
          <w:b w:val="1"/>
          <w:bCs w:val="1"/>
          <w:noProof w:val="0"/>
          <w:sz w:val="24"/>
          <w:szCs w:val="24"/>
          <w:lang w:val="en-US"/>
        </w:rPr>
        <w:t>“Qualitative methodology appropriate.”</w:t>
      </w:r>
      <w:r w:rsidRPr="3DC7A50A" w:rsidR="6182356A">
        <w:rPr>
          <w:rFonts w:ascii="Arial" w:hAnsi="Arial" w:eastAsia="Arial" w:cs="Arial"/>
          <w:noProof w:val="0"/>
          <w:sz w:val="24"/>
          <w:szCs w:val="24"/>
          <w:lang w:val="en-US"/>
        </w:rPr>
        <w:t xml:space="preserve"> The approach was suitable for capturing contextual factors influencing over-the-counter antibiotic use.</w:t>
      </w:r>
    </w:p>
    <w:p w:rsidR="722FFED0" w:rsidP="3DC7A50A" w:rsidRDefault="722FFED0" w14:paraId="794DEC86" w14:textId="21F6DA54">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While the </w:t>
      </w:r>
      <w:r w:rsidRPr="3DC7A50A" w:rsidR="6182356A">
        <w:rPr>
          <w:rFonts w:ascii="Arial" w:hAnsi="Arial" w:eastAsia="Arial" w:cs="Arial"/>
          <w:noProof w:val="0"/>
          <w:sz w:val="24"/>
          <w:szCs w:val="24"/>
          <w:lang w:val="en-US"/>
        </w:rPr>
        <w:t>methodology</w:t>
      </w:r>
      <w:r w:rsidRPr="3DC7A50A" w:rsidR="6182356A">
        <w:rPr>
          <w:rFonts w:ascii="Arial" w:hAnsi="Arial" w:eastAsia="Arial" w:cs="Arial"/>
          <w:noProof w:val="0"/>
          <w:sz w:val="24"/>
          <w:szCs w:val="24"/>
          <w:lang w:val="en-US"/>
        </w:rPr>
        <w:t xml:space="preserve"> aligned with the research aims, integrating observational methods could have strengthened validity. Systemic drivers such as regulatory gaps and economic incentives were consistently highlighted. Ethical standards were </w:t>
      </w:r>
      <w:r w:rsidRPr="3DC7A50A" w:rsidR="6182356A">
        <w:rPr>
          <w:rFonts w:ascii="Arial" w:hAnsi="Arial" w:eastAsia="Arial" w:cs="Arial"/>
          <w:noProof w:val="0"/>
          <w:sz w:val="24"/>
          <w:szCs w:val="24"/>
          <w:lang w:val="en-US"/>
        </w:rPr>
        <w:t>maintained</w:t>
      </w:r>
      <w:r w:rsidRPr="3DC7A50A" w:rsidR="6182356A">
        <w:rPr>
          <w:rFonts w:ascii="Arial" w:hAnsi="Arial" w:eastAsia="Arial" w:cs="Arial"/>
          <w:noProof w:val="0"/>
          <w:sz w:val="24"/>
          <w:szCs w:val="24"/>
          <w:lang w:val="en-US"/>
        </w:rPr>
        <w:t>, enhancing study credibility.</w:t>
      </w:r>
    </w:p>
    <w:p w:rsidR="722FFED0" w:rsidP="3DC7A50A" w:rsidRDefault="722FFED0" w14:paraId="6CF0B185" w14:textId="701D5F7A">
      <w:pPr>
        <w:bidi w:val="0"/>
        <w:spacing w:before="240" w:beforeAutospacing="off" w:after="240" w:afterAutospacing="off"/>
        <w:jc w:val="both"/>
        <w:rPr>
          <w:rFonts w:ascii="Arial" w:hAnsi="Arial" w:eastAsia="Arial" w:cs="Arial"/>
        </w:rPr>
      </w:pPr>
    </w:p>
    <w:p w:rsidR="722FFED0" w:rsidP="3DC7A50A" w:rsidRDefault="722FFED0" w14:paraId="58C0F955" w14:textId="59C58054">
      <w:pPr>
        <w:pStyle w:val="Heading3"/>
        <w:bidi w:val="0"/>
        <w:spacing w:before="281" w:beforeAutospacing="off" w:after="281" w:afterAutospacing="off"/>
        <w:jc w:val="both"/>
        <w:rPr>
          <w:rFonts w:ascii="Arial" w:hAnsi="Arial" w:eastAsia="Arial" w:cs="Arial"/>
          <w:b w:val="1"/>
          <w:bCs w:val="1"/>
          <w:noProof w:val="0"/>
          <w:sz w:val="28"/>
          <w:szCs w:val="28"/>
          <w:lang w:val="en-US"/>
        </w:rPr>
      </w:pPr>
      <w:bookmarkStart w:name="_Toc1410733907" w:id="1277889503"/>
      <w:r w:rsidRPr="3DC7A50A" w:rsidR="6182356A">
        <w:rPr>
          <w:rFonts w:ascii="Arial" w:hAnsi="Arial" w:eastAsia="Arial" w:cs="Arial"/>
          <w:b w:val="1"/>
          <w:bCs w:val="1"/>
          <w:noProof w:val="0"/>
          <w:sz w:val="28"/>
          <w:szCs w:val="28"/>
          <w:lang w:val="en-US"/>
        </w:rPr>
        <w:t>4.5.12 Article 12: Kamba P.F., et al. (Uganda)</w:t>
      </w:r>
      <w:bookmarkEnd w:id="1277889503"/>
    </w:p>
    <w:p w:rsidR="722FFED0" w:rsidP="3DC7A50A" w:rsidRDefault="722FFED0" w14:paraId="7C9EE086" w14:textId="5B059AB1">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 xml:space="preserve">This study assessed regulatory compliance in private pharmacies using interviews and simulated client methods. The CASP criterion applied was </w:t>
      </w:r>
      <w:r w:rsidRPr="3DC7A50A" w:rsidR="6182356A">
        <w:rPr>
          <w:rFonts w:ascii="Arial" w:hAnsi="Arial" w:eastAsia="Arial" w:cs="Arial"/>
          <w:b w:val="1"/>
          <w:bCs w:val="1"/>
          <w:noProof w:val="0"/>
          <w:sz w:val="24"/>
          <w:szCs w:val="24"/>
          <w:lang w:val="en-US"/>
        </w:rPr>
        <w:t>“Data collection addressed the research issue.”</w:t>
      </w:r>
      <w:r w:rsidRPr="3DC7A50A" w:rsidR="6182356A">
        <w:rPr>
          <w:rFonts w:ascii="Arial" w:hAnsi="Arial" w:eastAsia="Arial" w:cs="Arial"/>
          <w:noProof w:val="0"/>
          <w:sz w:val="24"/>
          <w:szCs w:val="24"/>
          <w:lang w:val="en-US"/>
        </w:rPr>
        <w:t xml:space="preserve"> Combining interviews with simulated client visits strengthened methodological robustness by capturing both reported and </w:t>
      </w:r>
      <w:r w:rsidRPr="3DC7A50A" w:rsidR="6182356A">
        <w:rPr>
          <w:rFonts w:ascii="Arial" w:hAnsi="Arial" w:eastAsia="Arial" w:cs="Arial"/>
          <w:noProof w:val="0"/>
          <w:sz w:val="24"/>
          <w:szCs w:val="24"/>
          <w:lang w:val="en-US"/>
        </w:rPr>
        <w:t>observed</w:t>
      </w:r>
      <w:r w:rsidRPr="3DC7A50A" w:rsidR="6182356A">
        <w:rPr>
          <w:rFonts w:ascii="Arial" w:hAnsi="Arial" w:eastAsia="Arial" w:cs="Arial"/>
          <w:noProof w:val="0"/>
          <w:sz w:val="24"/>
          <w:szCs w:val="24"/>
          <w:lang w:val="en-US"/>
        </w:rPr>
        <w:t xml:space="preserve"> </w:t>
      </w:r>
      <w:r w:rsidRPr="3DC7A50A" w:rsidR="6182356A">
        <w:rPr>
          <w:rFonts w:ascii="Arial" w:hAnsi="Arial" w:eastAsia="Arial" w:cs="Arial"/>
          <w:noProof w:val="0"/>
          <w:sz w:val="24"/>
          <w:szCs w:val="24"/>
          <w:lang w:val="en-US"/>
        </w:rPr>
        <w:t>behaviours</w:t>
      </w:r>
      <w:r w:rsidRPr="3DC7A50A" w:rsidR="6182356A">
        <w:rPr>
          <w:rFonts w:ascii="Arial" w:hAnsi="Arial" w:eastAsia="Arial" w:cs="Arial"/>
          <w:noProof w:val="0"/>
          <w:sz w:val="24"/>
          <w:szCs w:val="24"/>
          <w:lang w:val="en-US"/>
        </w:rPr>
        <w:t>.</w:t>
      </w:r>
    </w:p>
    <w:p w:rsidR="722FFED0" w:rsidP="3DC7A50A" w:rsidRDefault="722FFED0" w14:paraId="1C74EA48" w14:textId="1C98FEB5">
      <w:pPr>
        <w:bidi w:val="0"/>
        <w:spacing w:before="240" w:beforeAutospacing="off" w:after="240" w:afterAutospacing="off"/>
        <w:jc w:val="both"/>
        <w:rPr>
          <w:rFonts w:ascii="Arial" w:hAnsi="Arial" w:eastAsia="Arial" w:cs="Arial"/>
          <w:noProof w:val="0"/>
          <w:sz w:val="24"/>
          <w:szCs w:val="24"/>
          <w:lang w:val="en-US"/>
        </w:rPr>
      </w:pPr>
      <w:r w:rsidRPr="3DC7A50A" w:rsidR="6182356A">
        <w:rPr>
          <w:rFonts w:ascii="Arial" w:hAnsi="Arial" w:eastAsia="Arial" w:cs="Arial"/>
          <w:noProof w:val="0"/>
          <w:sz w:val="24"/>
          <w:szCs w:val="24"/>
          <w:lang w:val="en-US"/>
        </w:rPr>
        <w:t>However, simulated client approaches may introduce performance bias, and self-reported data may underrepresent regulatory violations. Despite these limitations, the study effectively highlighted systemic and human factors affecting compliance. Ethical safeguards were clearly reported, ensuring participant protection.</w:t>
      </w:r>
    </w:p>
    <w:p w:rsidR="722FFED0" w:rsidP="722FFED0" w:rsidRDefault="722FFED0" w14:paraId="032437ED" w14:textId="35C7BC02">
      <w:pPr>
        <w:pStyle w:val="Normal"/>
        <w:bidi w:val="0"/>
        <w:spacing w:before="240" w:beforeAutospacing="off" w:after="240" w:afterAutospacing="off"/>
        <w:jc w:val="both"/>
        <w:rPr>
          <w:rFonts w:ascii="Arial" w:hAnsi="Arial" w:eastAsia="Arial" w:cs="Arial"/>
          <w:noProof w:val="0"/>
          <w:sz w:val="24"/>
          <w:szCs w:val="24"/>
          <w:lang w:val="en-US"/>
        </w:rPr>
      </w:pPr>
    </w:p>
    <w:p w:rsidR="20DFD881" w:rsidP="3DC7A50A" w:rsidRDefault="20DFD881" w14:paraId="0D7DFE78" w14:textId="473D1C2E">
      <w:pPr>
        <w:pStyle w:val="Heading2"/>
        <w:rPr>
          <w:rFonts w:ascii="Arial" w:hAnsi="Arial" w:eastAsia="Arial" w:cs="Arial"/>
          <w:b w:val="1"/>
          <w:bCs w:val="1"/>
          <w:noProof w:val="0"/>
          <w:lang w:val="en-US"/>
        </w:rPr>
      </w:pPr>
      <w:bookmarkStart w:name="_Toc1051739213" w:id="1913791489"/>
      <w:r w:rsidRPr="3DC7A50A" w:rsidR="2B5E2189">
        <w:rPr>
          <w:noProof w:val="0"/>
          <w:lang w:val="en-US"/>
        </w:rPr>
        <w:t>4.6 Chapter Summary</w:t>
      </w:r>
      <w:bookmarkEnd w:id="1913791489"/>
    </w:p>
    <w:p w:rsidR="20DFD881" w:rsidP="3DC7A50A" w:rsidRDefault="20DFD881" w14:paraId="2E630821" w14:textId="65F6A428">
      <w:pPr>
        <w:bidi w:val="0"/>
        <w:spacing w:before="240" w:beforeAutospacing="off" w:after="240" w:afterAutospacing="off"/>
        <w:jc w:val="both"/>
        <w:rPr>
          <w:rFonts w:ascii="Arial" w:hAnsi="Arial" w:eastAsia="Arial" w:cs="Arial"/>
          <w:noProof w:val="0"/>
          <w:sz w:val="24"/>
          <w:szCs w:val="24"/>
          <w:lang w:val="en-US"/>
        </w:rPr>
      </w:pPr>
      <w:r w:rsidRPr="3DC7A50A" w:rsidR="02F4DEED">
        <w:rPr>
          <w:rFonts w:ascii="Arial" w:hAnsi="Arial" w:eastAsia="Arial" w:cs="Arial"/>
          <w:noProof w:val="0"/>
          <w:sz w:val="24"/>
          <w:szCs w:val="24"/>
          <w:lang w:val="en-US"/>
        </w:rPr>
        <w:t xml:space="preserve">This chapter critically appraised twelve qualitative studies on pharmacist-related dispensing errors in LMICs using the CASP tool to evaluate their validity, reliability, and relevance. The appraisal revealed that most studies clearly </w:t>
      </w:r>
      <w:r w:rsidRPr="3DC7A50A" w:rsidR="02F4DEED">
        <w:rPr>
          <w:rFonts w:ascii="Arial" w:hAnsi="Arial" w:eastAsia="Arial" w:cs="Arial"/>
          <w:noProof w:val="0"/>
          <w:sz w:val="24"/>
          <w:szCs w:val="24"/>
          <w:lang w:val="en-US"/>
        </w:rPr>
        <w:t>stated</w:t>
      </w:r>
      <w:r w:rsidRPr="3DC7A50A" w:rsidR="02F4DEED">
        <w:rPr>
          <w:rFonts w:ascii="Arial" w:hAnsi="Arial" w:eastAsia="Arial" w:cs="Arial"/>
          <w:noProof w:val="0"/>
          <w:sz w:val="24"/>
          <w:szCs w:val="24"/>
          <w:lang w:val="en-US"/>
        </w:rPr>
        <w:t xml:space="preserve"> their aims, applied suitable qualitative designs, and followed ethical procedures. However, issues such as limited reflexivity, small sample sizes, and insufficient analytical transparency were common.</w:t>
      </w:r>
    </w:p>
    <w:p w:rsidR="3B7BAD25" w:rsidP="5B971295" w:rsidRDefault="3B7BAD25" w14:paraId="27EB427F" w14:textId="2B46E481">
      <w:pPr>
        <w:spacing w:before="240" w:beforeAutospacing="off" w:after="240" w:afterAutospacing="off"/>
        <w:jc w:val="both"/>
        <w:rPr>
          <w:rFonts w:ascii="Arial" w:hAnsi="Arial" w:eastAsia="Arial" w:cs="Arial"/>
          <w:b w:val="1"/>
          <w:bCs w:val="1"/>
          <w:noProof w:val="0"/>
          <w:sz w:val="24"/>
          <w:szCs w:val="24"/>
          <w:lang w:val="en-US"/>
        </w:rPr>
      </w:pPr>
      <w:r w:rsidRPr="3DC7A50A" w:rsidR="23618F03">
        <w:rPr>
          <w:rFonts w:ascii="Arial" w:hAnsi="Arial" w:eastAsia="Arial" w:cs="Arial"/>
          <w:noProof w:val="0"/>
          <w:sz w:val="24"/>
          <w:szCs w:val="24"/>
          <w:lang w:val="en-US"/>
        </w:rPr>
        <w:t xml:space="preserve">Findings across studies highlighted key factors influencing dispensing errors, including workload pressure, inadequate supervision, financial incentives, and weak regulation. Despite methodological limitations, the studies </w:t>
      </w:r>
      <w:r w:rsidRPr="3DC7A50A" w:rsidR="23618F03">
        <w:rPr>
          <w:rFonts w:ascii="Arial" w:hAnsi="Arial" w:eastAsia="Arial" w:cs="Arial"/>
          <w:noProof w:val="0"/>
          <w:sz w:val="24"/>
          <w:szCs w:val="24"/>
          <w:lang w:val="en-US"/>
        </w:rPr>
        <w:t>provided</w:t>
      </w:r>
      <w:r w:rsidRPr="3DC7A50A" w:rsidR="23618F03">
        <w:rPr>
          <w:rFonts w:ascii="Arial" w:hAnsi="Arial" w:eastAsia="Arial" w:cs="Arial"/>
          <w:noProof w:val="0"/>
          <w:sz w:val="24"/>
          <w:szCs w:val="24"/>
          <w:lang w:val="en-US"/>
        </w:rPr>
        <w:t xml:space="preserve"> meaningful insights into improving pharmacy practices, training, and patient safety. Overall, the CASP-based evaluation strengthened the credibility of this review by ensuring that only methodologically sound and contextually relevant studies were included.</w:t>
      </w:r>
    </w:p>
    <w:p w:rsidR="3DC7A50A" w:rsidP="3DC7A50A" w:rsidRDefault="3DC7A50A" w14:paraId="453E3E0B" w14:textId="224E4864">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44A9ED57" w14:textId="68E9A0BD">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77387948" w14:textId="7873EB7B">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619DE2F0" w14:textId="69175CEE">
      <w:pPr>
        <w:spacing w:before="240" w:beforeAutospacing="off" w:after="240" w:afterAutospacing="off"/>
        <w:jc w:val="both"/>
        <w:rPr>
          <w:rFonts w:ascii="Arial" w:hAnsi="Arial" w:eastAsia="Arial" w:cs="Arial"/>
          <w:noProof w:val="0"/>
          <w:sz w:val="24"/>
          <w:szCs w:val="24"/>
          <w:lang w:val="en-US"/>
        </w:rPr>
      </w:pPr>
    </w:p>
    <w:p w:rsidR="3DC7A50A" w:rsidP="3DC7A50A" w:rsidRDefault="3DC7A50A" w14:paraId="3DD7C4E9" w14:textId="04378C9F">
      <w:pPr>
        <w:spacing w:before="240" w:beforeAutospacing="off" w:after="240" w:afterAutospacing="off"/>
        <w:jc w:val="both"/>
        <w:rPr>
          <w:rFonts w:ascii="Arial" w:hAnsi="Arial" w:eastAsia="Arial" w:cs="Arial"/>
          <w:noProof w:val="0"/>
          <w:sz w:val="24"/>
          <w:szCs w:val="24"/>
          <w:lang w:val="en-US"/>
        </w:rPr>
      </w:pPr>
    </w:p>
    <w:p w:rsidR="3B7BAD25" w:rsidP="3DC7A50A" w:rsidRDefault="3B7BAD25" w14:paraId="180233BC" w14:textId="34172F0E">
      <w:pPr>
        <w:pStyle w:val="Heading1"/>
        <w:keepNext w:val="1"/>
        <w:keepLines w:val="1"/>
        <w:bidi w:val="0"/>
        <w:spacing w:before="360" w:after="80"/>
        <w:rPr>
          <w:b w:val="1"/>
          <w:bCs w:val="1"/>
          <w:noProof w:val="0"/>
          <w:color w:val="auto"/>
          <w:lang w:val="en-US"/>
        </w:rPr>
      </w:pPr>
      <w:bookmarkStart w:name="_Toc1069044539" w:id="2003026599"/>
      <w:r w:rsidRPr="3DC7A50A" w:rsidR="55646C9D">
        <w:rPr>
          <w:rFonts w:ascii="Arial" w:hAnsi="Arial" w:eastAsia="Arial" w:cs="Arial"/>
          <w:b w:val="1"/>
          <w:bCs w:val="1"/>
          <w:noProof w:val="0"/>
          <w:color w:val="auto"/>
          <w:lang w:val="en-US"/>
        </w:rPr>
        <w:t>CHAPTER 5:</w:t>
      </w:r>
      <w:r w:rsidRPr="3DC7A50A" w:rsidR="55646C9D">
        <w:rPr>
          <w:rFonts w:ascii="Arial" w:hAnsi="Arial" w:eastAsia="Arial" w:cs="Arial"/>
          <w:b w:val="1"/>
          <w:bCs w:val="1"/>
          <w:noProof w:val="0"/>
          <w:color w:val="auto"/>
          <w:lang w:val="en-US"/>
        </w:rPr>
        <w:t xml:space="preserve"> </w:t>
      </w:r>
      <w:r w:rsidRPr="3DC7A50A" w:rsidR="2F00C84D">
        <w:rPr>
          <w:rFonts w:ascii="Arial" w:hAnsi="Arial" w:eastAsia="Arial" w:cs="Arial"/>
          <w:b w:val="1"/>
          <w:bCs w:val="1"/>
          <w:i w:val="0"/>
          <w:iCs w:val="0"/>
          <w:caps w:val="0"/>
          <w:smallCaps w:val="0"/>
          <w:noProof w:val="0"/>
          <w:color w:val="auto"/>
          <w:sz w:val="40"/>
          <w:szCs w:val="40"/>
          <w:lang w:val="en-US"/>
        </w:rPr>
        <w:t>Data Analysis and Thematic Synthesis</w:t>
      </w:r>
      <w:bookmarkEnd w:id="2003026599"/>
    </w:p>
    <w:p w:rsidR="3B7BAD25" w:rsidP="3DC7A50A" w:rsidRDefault="3B7BAD25" w14:paraId="348E87D2" w14:textId="7EC62F98">
      <w:pPr>
        <w:pStyle w:val="Normal"/>
        <w:bidi w:val="0"/>
        <w:rPr>
          <w:noProof w:val="0"/>
          <w:lang w:val="en-US"/>
        </w:rPr>
      </w:pPr>
    </w:p>
    <w:p w:rsidR="3B7BAD25" w:rsidP="407E75B8" w:rsidRDefault="3B7BAD25" w14:paraId="5ABB4C04" w14:textId="0CF97E66">
      <w:pPr>
        <w:pStyle w:val="Heading2"/>
        <w:jc w:val="both"/>
        <w:rPr>
          <w:rFonts w:ascii="Arial" w:hAnsi="Arial" w:eastAsia="Arial" w:cs="Arial"/>
          <w:b w:val="1"/>
          <w:bCs w:val="1"/>
          <w:noProof w:val="0"/>
          <w:sz w:val="24"/>
          <w:szCs w:val="24"/>
          <w:lang w:val="en-US"/>
        </w:rPr>
      </w:pPr>
      <w:bookmarkStart w:name="_Toc941602274" w:id="1656810331"/>
      <w:r w:rsidRPr="3DC7A50A" w:rsidR="68146830">
        <w:rPr>
          <w:rFonts w:ascii="Arial" w:hAnsi="Arial" w:eastAsia="Arial" w:cs="Arial"/>
          <w:noProof w:val="0"/>
          <w:lang w:val="en-US"/>
        </w:rPr>
        <w:t>5.1 Introduction</w:t>
      </w:r>
      <w:bookmarkEnd w:id="1656810331"/>
    </w:p>
    <w:p w:rsidR="3B7BAD25" w:rsidP="3DC7A50A" w:rsidRDefault="3B7BAD25" w14:paraId="69D3E48D" w14:textId="1F06220B">
      <w:pPr>
        <w:pStyle w:val="Normal"/>
        <w:bidi w:val="0"/>
        <w:spacing w:before="240" w:beforeAutospacing="off" w:after="240" w:afterAutospacing="off"/>
        <w:jc w:val="both"/>
        <w:rPr>
          <w:rFonts w:ascii="Arial" w:hAnsi="Arial" w:eastAsia="Arial" w:cs="Arial"/>
          <w:noProof w:val="0"/>
          <w:sz w:val="24"/>
          <w:szCs w:val="24"/>
          <w:lang w:val="en-US"/>
        </w:rPr>
      </w:pPr>
      <w:r w:rsidRPr="3DC7A50A" w:rsidR="21644B75">
        <w:rPr>
          <w:rFonts w:ascii="Arial" w:hAnsi="Arial" w:eastAsia="Arial" w:cs="Arial"/>
          <w:noProof w:val="0"/>
          <w:sz w:val="24"/>
          <w:szCs w:val="24"/>
          <w:lang w:val="en-US"/>
        </w:rPr>
        <w:t xml:space="preserve">This chapter presents the findings derived from twelve qualitative studies included in this systematic review on “Addressing Pharmacist-Related Dispensing Errors in Low- and Middle-Income Countries (LMICs): A Quality Improvement Approach.” The purpose of this chapter is to interpret and discuss the evidence in alignment with the research </w:t>
      </w:r>
      <w:r w:rsidRPr="3DC7A50A" w:rsidR="21644B75">
        <w:rPr>
          <w:rFonts w:ascii="Arial" w:hAnsi="Arial" w:eastAsia="Arial" w:cs="Arial"/>
          <w:noProof w:val="0"/>
          <w:sz w:val="24"/>
          <w:szCs w:val="24"/>
          <w:lang w:val="en-US"/>
        </w:rPr>
        <w:t>objectives</w:t>
      </w:r>
      <w:r w:rsidRPr="3DC7A50A" w:rsidR="21644B75">
        <w:rPr>
          <w:rFonts w:ascii="Arial" w:hAnsi="Arial" w:eastAsia="Arial" w:cs="Arial"/>
          <w:noProof w:val="0"/>
          <w:sz w:val="24"/>
          <w:szCs w:val="24"/>
          <w:lang w:val="en-US"/>
        </w:rPr>
        <w:t>, highlighting key patterns, variations, and contextual factors influencing medication safety practices within LMIC pharmacy settings.</w:t>
      </w:r>
    </w:p>
    <w:p w:rsidR="3B7BAD25" w:rsidP="3DC7A50A" w:rsidRDefault="3B7BAD25" w14:paraId="39AFBF4B" w14:textId="4E73B83A">
      <w:pPr>
        <w:pStyle w:val="Normal"/>
        <w:bidi w:val="0"/>
        <w:spacing w:before="240" w:beforeAutospacing="off" w:after="240" w:afterAutospacing="off"/>
        <w:jc w:val="both"/>
        <w:rPr>
          <w:rFonts w:ascii="Arial" w:hAnsi="Arial" w:eastAsia="Arial" w:cs="Arial"/>
          <w:noProof w:val="0"/>
          <w:sz w:val="24"/>
          <w:szCs w:val="24"/>
          <w:lang w:val="en-US"/>
        </w:rPr>
      </w:pPr>
      <w:r w:rsidRPr="3DC7A50A" w:rsidR="6FCFD29F">
        <w:rPr>
          <w:rFonts w:ascii="Arial" w:hAnsi="Arial" w:eastAsia="Arial" w:cs="Arial"/>
          <w:noProof w:val="0"/>
          <w:sz w:val="24"/>
          <w:szCs w:val="24"/>
          <w:lang w:val="en-US"/>
        </w:rPr>
        <w:t xml:space="preserve">Following the approach used by Nazia Khan (2022), thematic analysis was undertaken to </w:t>
      </w:r>
      <w:r w:rsidRPr="3DC7A50A" w:rsidR="6FCFD29F">
        <w:rPr>
          <w:rFonts w:ascii="Arial" w:hAnsi="Arial" w:eastAsia="Arial" w:cs="Arial"/>
          <w:noProof w:val="0"/>
          <w:sz w:val="24"/>
          <w:szCs w:val="24"/>
          <w:lang w:val="en-US"/>
        </w:rPr>
        <w:t>synthesise</w:t>
      </w:r>
      <w:r w:rsidRPr="3DC7A50A" w:rsidR="6FCFD29F">
        <w:rPr>
          <w:rFonts w:ascii="Arial" w:hAnsi="Arial" w:eastAsia="Arial" w:cs="Arial"/>
          <w:noProof w:val="0"/>
          <w:sz w:val="24"/>
          <w:szCs w:val="24"/>
          <w:lang w:val="en-US"/>
        </w:rPr>
        <w:t xml:space="preserve"> the qualitative findings, and emerging themes were </w:t>
      </w:r>
      <w:r w:rsidRPr="3DC7A50A" w:rsidR="6FCFD29F">
        <w:rPr>
          <w:rFonts w:ascii="Arial" w:hAnsi="Arial" w:eastAsia="Arial" w:cs="Arial"/>
          <w:noProof w:val="0"/>
          <w:sz w:val="24"/>
          <w:szCs w:val="24"/>
          <w:lang w:val="en-US"/>
        </w:rPr>
        <w:t>identified</w:t>
      </w:r>
      <w:r w:rsidRPr="3DC7A50A" w:rsidR="6FCFD29F">
        <w:rPr>
          <w:rFonts w:ascii="Arial" w:hAnsi="Arial" w:eastAsia="Arial" w:cs="Arial"/>
          <w:noProof w:val="0"/>
          <w:sz w:val="24"/>
          <w:szCs w:val="24"/>
          <w:lang w:val="en-US"/>
        </w:rPr>
        <w:t xml:space="preserve"> through a comparative review of the studies. The discussion integrates both descriptive and interpretive insights to critically </w:t>
      </w:r>
      <w:r w:rsidRPr="3DC7A50A" w:rsidR="6FCFD29F">
        <w:rPr>
          <w:rFonts w:ascii="Arial" w:hAnsi="Arial" w:eastAsia="Arial" w:cs="Arial"/>
          <w:noProof w:val="0"/>
          <w:sz w:val="24"/>
          <w:szCs w:val="24"/>
          <w:lang w:val="en-US"/>
        </w:rPr>
        <w:t>analyse</w:t>
      </w:r>
      <w:r w:rsidRPr="3DC7A50A" w:rsidR="6FCFD29F">
        <w:rPr>
          <w:rFonts w:ascii="Arial" w:hAnsi="Arial" w:eastAsia="Arial" w:cs="Arial"/>
          <w:noProof w:val="0"/>
          <w:sz w:val="24"/>
          <w:szCs w:val="24"/>
          <w:lang w:val="en-US"/>
        </w:rPr>
        <w:t xml:space="preserve"> how individual, institutional, and systemic factors contribute to pharmacist-related dispensing errors.</w:t>
      </w:r>
    </w:p>
    <w:p w:rsidR="3B7BAD25" w:rsidP="3DC7A50A" w:rsidRDefault="3B7BAD25" w14:paraId="0EBA97D9" w14:textId="06D5F014">
      <w:pPr>
        <w:pStyle w:val="Normal"/>
        <w:bidi w:val="0"/>
        <w:spacing w:before="240" w:beforeAutospacing="off" w:after="240" w:afterAutospacing="off"/>
        <w:jc w:val="both"/>
        <w:rPr>
          <w:rFonts w:ascii="Arial" w:hAnsi="Arial" w:eastAsia="Arial" w:cs="Arial"/>
          <w:noProof w:val="0"/>
          <w:sz w:val="24"/>
          <w:szCs w:val="24"/>
          <w:lang w:val="en-US"/>
        </w:rPr>
      </w:pPr>
      <w:r w:rsidRPr="3DC7A50A" w:rsidR="6FCFD29F">
        <w:rPr>
          <w:rFonts w:ascii="Arial" w:hAnsi="Arial" w:eastAsia="Arial" w:cs="Arial"/>
          <w:noProof w:val="0"/>
          <w:sz w:val="24"/>
          <w:szCs w:val="24"/>
          <w:lang w:val="en-US"/>
        </w:rPr>
        <w:t xml:space="preserve"> </w:t>
      </w:r>
    </w:p>
    <w:p w:rsidR="3B7BAD25" w:rsidP="057AE503" w:rsidRDefault="3B7BAD25" w14:paraId="23167381" w14:textId="2A2799B1">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55646C9D">
        <w:rPr>
          <w:rFonts w:ascii="Arial" w:hAnsi="Arial" w:eastAsia="Arial" w:cs="Arial"/>
          <w:noProof w:val="0"/>
          <w:sz w:val="24"/>
          <w:szCs w:val="24"/>
          <w:lang w:val="en-US"/>
        </w:rPr>
        <w:t xml:space="preserve"> </w:t>
      </w:r>
      <w:r w:rsidRPr="3DC7A50A" w:rsidR="55646C9D">
        <w:rPr>
          <w:rStyle w:val="Heading2Char"/>
          <w:rFonts w:ascii="Arial" w:hAnsi="Arial" w:eastAsia="Arial" w:cs="Arial"/>
          <w:noProof w:val="0"/>
          <w:lang w:val="en-US"/>
        </w:rPr>
        <w:t>5.2 Data Analysis Tool</w:t>
      </w:r>
    </w:p>
    <w:p w:rsidR="3B7BAD25" w:rsidP="5B971295" w:rsidRDefault="3B7BAD25" w14:paraId="32E209BE" w14:textId="5EB74CCA">
      <w:pPr>
        <w:bidi w:val="0"/>
        <w:spacing w:before="240" w:beforeAutospacing="off" w:after="240" w:afterAutospacing="off"/>
        <w:jc w:val="both"/>
        <w:rPr>
          <w:rFonts w:ascii="Arial" w:hAnsi="Arial" w:eastAsia="Arial" w:cs="Arial"/>
          <w:noProof w:val="0"/>
          <w:sz w:val="24"/>
          <w:szCs w:val="24"/>
          <w:lang w:val="en-US"/>
        </w:rPr>
      </w:pPr>
      <w:r w:rsidRPr="3DC7A50A" w:rsidR="6D9BAAC0">
        <w:rPr>
          <w:rFonts w:ascii="Arial" w:hAnsi="Arial" w:eastAsia="Arial" w:cs="Arial"/>
          <w:noProof w:val="0"/>
          <w:sz w:val="24"/>
          <w:szCs w:val="24"/>
          <w:lang w:val="en-US"/>
        </w:rPr>
        <w:t>For the purpose of</w:t>
      </w:r>
      <w:r w:rsidRPr="3DC7A50A" w:rsidR="6D9BAAC0">
        <w:rPr>
          <w:rFonts w:ascii="Arial" w:hAnsi="Arial" w:eastAsia="Arial" w:cs="Arial"/>
          <w:noProof w:val="0"/>
          <w:sz w:val="24"/>
          <w:szCs w:val="24"/>
          <w:lang w:val="en-US"/>
        </w:rPr>
        <w:t xml:space="preserve"> this review, thematic analysis was employed as the primary method for </w:t>
      </w:r>
      <w:r w:rsidRPr="3DC7A50A" w:rsidR="6D9BAAC0">
        <w:rPr>
          <w:rFonts w:ascii="Arial" w:hAnsi="Arial" w:eastAsia="Arial" w:cs="Arial"/>
          <w:noProof w:val="0"/>
          <w:sz w:val="24"/>
          <w:szCs w:val="24"/>
          <w:lang w:val="en-US"/>
        </w:rPr>
        <w:t>synthesising</w:t>
      </w:r>
      <w:r w:rsidRPr="3DC7A50A" w:rsidR="6D9BAAC0">
        <w:rPr>
          <w:rFonts w:ascii="Arial" w:hAnsi="Arial" w:eastAsia="Arial" w:cs="Arial"/>
          <w:noProof w:val="0"/>
          <w:sz w:val="24"/>
          <w:szCs w:val="24"/>
          <w:lang w:val="en-US"/>
        </w:rPr>
        <w:t xml:space="preserve"> qualitative evidence, in line with Braun and Clarke’s (2006) six-step framework. This process involved data </w:t>
      </w:r>
      <w:r w:rsidRPr="3DC7A50A" w:rsidR="6D9BAAC0">
        <w:rPr>
          <w:rFonts w:ascii="Arial" w:hAnsi="Arial" w:eastAsia="Arial" w:cs="Arial"/>
          <w:noProof w:val="0"/>
          <w:sz w:val="24"/>
          <w:szCs w:val="24"/>
          <w:lang w:val="en-US"/>
        </w:rPr>
        <w:t>familiarisation</w:t>
      </w:r>
      <w:r w:rsidRPr="3DC7A50A" w:rsidR="6D9BAAC0">
        <w:rPr>
          <w:rFonts w:ascii="Arial" w:hAnsi="Arial" w:eastAsia="Arial" w:cs="Arial"/>
          <w:noProof w:val="0"/>
          <w:sz w:val="24"/>
          <w:szCs w:val="24"/>
          <w:lang w:val="en-US"/>
        </w:rPr>
        <w:t>, initial coding, theme identification, theme review, theme definition, and reporting of findings. Thematic analysis was selected because it allows identification of recurrent patterns, meanings, and variations across diverse study contexts while preserving depth and contextual sensitivity.</w:t>
      </w:r>
    </w:p>
    <w:p w:rsidR="3B7BAD25" w:rsidP="5B971295" w:rsidRDefault="3B7BAD25" w14:paraId="06836840" w14:textId="167C290E">
      <w:pPr>
        <w:bidi w:val="0"/>
        <w:spacing w:before="240" w:beforeAutospacing="off" w:after="240" w:afterAutospacing="off"/>
        <w:jc w:val="both"/>
        <w:rPr>
          <w:rFonts w:ascii="Arial" w:hAnsi="Arial" w:eastAsia="Arial" w:cs="Arial"/>
          <w:noProof w:val="0"/>
          <w:sz w:val="24"/>
          <w:szCs w:val="24"/>
          <w:lang w:val="en-US"/>
        </w:rPr>
      </w:pPr>
      <w:r w:rsidRPr="3DC7A50A" w:rsidR="6D9BAAC0">
        <w:rPr>
          <w:rFonts w:ascii="Arial" w:hAnsi="Arial" w:eastAsia="Arial" w:cs="Arial"/>
          <w:b w:val="0"/>
          <w:bCs w:val="0"/>
          <w:noProof w:val="0"/>
          <w:sz w:val="24"/>
          <w:szCs w:val="24"/>
          <w:lang w:val="en-US"/>
        </w:rPr>
        <w:t xml:space="preserve">Each of the </w:t>
      </w:r>
      <w:r w:rsidRPr="3DC7A50A" w:rsidR="6D9BAAC0">
        <w:rPr>
          <w:rFonts w:ascii="Arial" w:hAnsi="Arial" w:eastAsia="Arial" w:cs="Arial"/>
          <w:b w:val="0"/>
          <w:bCs w:val="0"/>
          <w:noProof w:val="0"/>
          <w:sz w:val="24"/>
          <w:szCs w:val="24"/>
          <w:lang w:val="en-US"/>
        </w:rPr>
        <w:t>twelve</w:t>
      </w:r>
      <w:r w:rsidRPr="3DC7A50A" w:rsidR="6D9BAAC0">
        <w:rPr>
          <w:rFonts w:ascii="Arial" w:hAnsi="Arial" w:eastAsia="Arial" w:cs="Arial"/>
          <w:b w:val="0"/>
          <w:bCs w:val="0"/>
          <w:noProof w:val="0"/>
          <w:sz w:val="24"/>
          <w:szCs w:val="24"/>
          <w:lang w:val="en-US"/>
        </w:rPr>
        <w:t xml:space="preserve"> included studies was systematically appraised using the </w:t>
      </w:r>
      <w:r w:rsidRPr="3DC7A50A" w:rsidR="6D9BAAC0">
        <w:rPr>
          <w:rFonts w:ascii="Arial" w:hAnsi="Arial" w:eastAsia="Arial" w:cs="Arial"/>
          <w:b w:val="0"/>
          <w:bCs w:val="0"/>
          <w:noProof w:val="0"/>
          <w:sz w:val="24"/>
          <w:szCs w:val="24"/>
          <w:lang w:val="en-US"/>
        </w:rPr>
        <w:t xml:space="preserve">Critical Appraisal Skills </w:t>
      </w:r>
      <w:r w:rsidRPr="3DC7A50A" w:rsidR="6D9BAAC0">
        <w:rPr>
          <w:rFonts w:ascii="Arial" w:hAnsi="Arial" w:eastAsia="Arial" w:cs="Arial"/>
          <w:b w:val="0"/>
          <w:bCs w:val="0"/>
          <w:noProof w:val="0"/>
          <w:sz w:val="24"/>
          <w:szCs w:val="24"/>
          <w:lang w:val="en-US"/>
        </w:rPr>
        <w:t>Programme</w:t>
      </w:r>
      <w:r w:rsidRPr="3DC7A50A" w:rsidR="6D9BAAC0">
        <w:rPr>
          <w:rFonts w:ascii="Arial" w:hAnsi="Arial" w:eastAsia="Arial" w:cs="Arial"/>
          <w:b w:val="0"/>
          <w:bCs w:val="0"/>
          <w:noProof w:val="0"/>
          <w:sz w:val="24"/>
          <w:szCs w:val="24"/>
          <w:lang w:val="en-US"/>
        </w:rPr>
        <w:t xml:space="preserve"> (CASP)</w:t>
      </w:r>
      <w:r w:rsidRPr="3DC7A50A" w:rsidR="6D9BAAC0">
        <w:rPr>
          <w:rFonts w:ascii="Arial" w:hAnsi="Arial" w:eastAsia="Arial" w:cs="Arial"/>
          <w:b w:val="0"/>
          <w:bCs w:val="0"/>
          <w:noProof w:val="0"/>
          <w:sz w:val="24"/>
          <w:szCs w:val="24"/>
          <w:lang w:val="en-US"/>
        </w:rPr>
        <w:t xml:space="preserve"> qualitative checklist, ensuring consistency in evaluating study quality, credibility, and methodological transparency (Long et al., 2020). Themes were generated inductively, meaning they </w:t>
      </w:r>
      <w:r w:rsidRPr="3DC7A50A" w:rsidR="6D9BAAC0">
        <w:rPr>
          <w:rFonts w:ascii="Arial" w:hAnsi="Arial" w:eastAsia="Arial" w:cs="Arial"/>
          <w:b w:val="0"/>
          <w:bCs w:val="0"/>
          <w:noProof w:val="0"/>
          <w:sz w:val="24"/>
          <w:szCs w:val="24"/>
          <w:lang w:val="en-US"/>
        </w:rPr>
        <w:t>emerged</w:t>
      </w:r>
      <w:r w:rsidRPr="3DC7A50A" w:rsidR="6D9BAAC0">
        <w:rPr>
          <w:rFonts w:ascii="Arial" w:hAnsi="Arial" w:eastAsia="Arial" w:cs="Arial"/>
          <w:b w:val="0"/>
          <w:bCs w:val="0"/>
          <w:noProof w:val="0"/>
          <w:sz w:val="24"/>
          <w:szCs w:val="24"/>
          <w:lang w:val="en-US"/>
        </w:rPr>
        <w:t xml:space="preserve"> directly from the findings rather than being </w:t>
      </w:r>
      <w:r w:rsidRPr="3DC7A50A" w:rsidR="6D9BAAC0">
        <w:rPr>
          <w:rFonts w:ascii="Arial" w:hAnsi="Arial" w:eastAsia="Arial" w:cs="Arial"/>
          <w:b w:val="0"/>
          <w:bCs w:val="0"/>
          <w:noProof w:val="0"/>
          <w:sz w:val="24"/>
          <w:szCs w:val="24"/>
          <w:lang w:val="en-US"/>
        </w:rPr>
        <w:t>imposed</w:t>
      </w:r>
      <w:r w:rsidRPr="3DC7A50A" w:rsidR="6D9BAAC0">
        <w:rPr>
          <w:rFonts w:ascii="Arial" w:hAnsi="Arial" w:eastAsia="Arial" w:cs="Arial"/>
          <w:b w:val="0"/>
          <w:bCs w:val="0"/>
          <w:noProof w:val="0"/>
          <w:sz w:val="24"/>
          <w:szCs w:val="24"/>
          <w:lang w:val="en-US"/>
        </w:rPr>
        <w:t xml:space="preserve"> </w:t>
      </w:r>
      <w:r w:rsidRPr="3DC7A50A" w:rsidR="6D9BAAC0">
        <w:rPr>
          <w:rFonts w:ascii="Arial" w:hAnsi="Arial" w:eastAsia="Arial" w:cs="Arial"/>
          <w:b w:val="0"/>
          <w:bCs w:val="0"/>
          <w:noProof w:val="0"/>
          <w:sz w:val="24"/>
          <w:szCs w:val="24"/>
          <w:lang w:val="en-US"/>
        </w:rPr>
        <w:t>a priori</w:t>
      </w:r>
      <w:r w:rsidRPr="3DC7A50A" w:rsidR="6D9BAAC0">
        <w:rPr>
          <w:rFonts w:ascii="Arial" w:hAnsi="Arial" w:eastAsia="Arial" w:cs="Arial"/>
          <w:b w:val="0"/>
          <w:bCs w:val="0"/>
          <w:noProof w:val="0"/>
          <w:sz w:val="24"/>
          <w:szCs w:val="24"/>
          <w:lang w:val="en-US"/>
        </w:rPr>
        <w:t xml:space="preserve">. This approach </w:t>
      </w:r>
      <w:r w:rsidRPr="3DC7A50A" w:rsidR="6D9BAAC0">
        <w:rPr>
          <w:rFonts w:ascii="Arial" w:hAnsi="Arial" w:eastAsia="Arial" w:cs="Arial"/>
          <w:b w:val="0"/>
          <w:bCs w:val="0"/>
          <w:noProof w:val="0"/>
          <w:sz w:val="24"/>
          <w:szCs w:val="24"/>
          <w:lang w:val="en-US"/>
        </w:rPr>
        <w:t>facilitated</w:t>
      </w:r>
      <w:r w:rsidRPr="3DC7A50A" w:rsidR="6D9BAAC0">
        <w:rPr>
          <w:rFonts w:ascii="Arial" w:hAnsi="Arial" w:eastAsia="Arial" w:cs="Arial"/>
          <w:b w:val="0"/>
          <w:bCs w:val="0"/>
          <w:noProof w:val="0"/>
          <w:sz w:val="24"/>
          <w:szCs w:val="24"/>
          <w:lang w:val="en-US"/>
        </w:rPr>
        <w:t xml:space="preserve"> a comprehensive understanding of both </w:t>
      </w:r>
      <w:r w:rsidRPr="3DC7A50A" w:rsidR="6D9BAAC0">
        <w:rPr>
          <w:rFonts w:ascii="Arial" w:hAnsi="Arial" w:eastAsia="Arial" w:cs="Arial"/>
          <w:noProof w:val="0"/>
          <w:sz w:val="24"/>
          <w:szCs w:val="24"/>
          <w:lang w:val="en-US"/>
        </w:rPr>
        <w:t>shared and context-specific challenges in pharmacy dispensing practices across LMICs.</w:t>
      </w:r>
    </w:p>
    <w:p w:rsidR="3B7BAD25" w:rsidP="3DC7A50A" w:rsidRDefault="3B7BAD25" w14:paraId="483A354F" w14:textId="5EC08FFC">
      <w:pPr>
        <w:pStyle w:val="Normal"/>
        <w:bidi w:val="0"/>
        <w:spacing w:before="240" w:beforeAutospacing="off" w:after="240" w:afterAutospacing="off"/>
        <w:jc w:val="both"/>
        <w:rPr>
          <w:rFonts w:ascii="Arial" w:hAnsi="Arial" w:eastAsia="Arial" w:cs="Arial"/>
          <w:noProof w:val="0"/>
          <w:lang w:val="en-US"/>
        </w:rPr>
      </w:pPr>
    </w:p>
    <w:p w:rsidR="3B7BAD25" w:rsidP="5B971295" w:rsidRDefault="3B7BAD25" w14:paraId="437F5DF7" w14:textId="5ECBFF81">
      <w:pPr>
        <w:pStyle w:val="Heading2"/>
        <w:bidi w:val="0"/>
        <w:rPr>
          <w:rFonts w:ascii="Arial" w:hAnsi="Arial" w:eastAsia="Arial" w:cs="Arial"/>
          <w:b w:val="1"/>
          <w:bCs w:val="1"/>
          <w:noProof w:val="0"/>
          <w:sz w:val="24"/>
          <w:szCs w:val="24"/>
          <w:lang w:val="en-US"/>
        </w:rPr>
      </w:pPr>
      <w:bookmarkStart w:name="_Toc1718535801" w:id="1263944352"/>
      <w:r w:rsidRPr="3DC7A50A" w:rsidR="55646C9D">
        <w:rPr>
          <w:rFonts w:ascii="Arial" w:hAnsi="Arial" w:eastAsia="Arial" w:cs="Arial"/>
          <w:noProof w:val="0"/>
          <w:lang w:val="en-US"/>
        </w:rPr>
        <w:t>5.3 Characteristics of the Identified Studies</w:t>
      </w:r>
      <w:bookmarkEnd w:id="1263944352"/>
    </w:p>
    <w:p w:rsidR="4B3535E6" w:rsidP="3DC7A50A" w:rsidRDefault="4B3535E6" w14:paraId="15F8E1B8" w14:textId="417C2DB4">
      <w:pPr>
        <w:pStyle w:val="Normal"/>
        <w:spacing w:before="240" w:beforeAutospacing="off" w:after="240" w:afterAutospacing="off"/>
        <w:jc w:val="both"/>
        <w:rPr>
          <w:rFonts w:ascii="Arial" w:hAnsi="Arial" w:eastAsia="Arial" w:cs="Arial"/>
          <w:noProof w:val="0"/>
          <w:sz w:val="24"/>
          <w:szCs w:val="24"/>
          <w:lang w:val="en-US"/>
        </w:rPr>
      </w:pPr>
      <w:r w:rsidRPr="3DC7A50A" w:rsidR="21644B75">
        <w:rPr>
          <w:rFonts w:ascii="Arial" w:hAnsi="Arial" w:eastAsia="Arial" w:cs="Arial"/>
          <w:noProof w:val="0"/>
          <w:sz w:val="24"/>
          <w:szCs w:val="24"/>
          <w:lang w:val="en-US"/>
        </w:rPr>
        <w:t xml:space="preserve"> </w:t>
      </w:r>
      <w:r w:rsidRPr="3DC7A50A" w:rsidR="447A38EE">
        <w:rPr>
          <w:rFonts w:ascii="Arial" w:hAnsi="Arial" w:eastAsia="Arial" w:cs="Arial"/>
          <w:noProof w:val="0"/>
          <w:sz w:val="24"/>
          <w:szCs w:val="24"/>
          <w:lang w:val="en-US"/>
        </w:rPr>
        <w:t xml:space="preserve">A total of twelve qualitative studies were included in this review, representing pharmacy practices across LMIC contexts such as Uganda, Pakistan, Ethiopia, Kenya, South Africa, and Nepal. All studies adopted qualitative research designs, </w:t>
      </w:r>
      <w:r w:rsidRPr="3DC7A50A" w:rsidR="447A38EE">
        <w:rPr>
          <w:rFonts w:ascii="Arial" w:hAnsi="Arial" w:eastAsia="Arial" w:cs="Arial"/>
          <w:noProof w:val="0"/>
          <w:sz w:val="24"/>
          <w:szCs w:val="24"/>
          <w:lang w:val="en-US"/>
        </w:rPr>
        <w:t>predominantly using</w:t>
      </w:r>
      <w:r w:rsidRPr="3DC7A50A" w:rsidR="447A38EE">
        <w:rPr>
          <w:rFonts w:ascii="Arial" w:hAnsi="Arial" w:eastAsia="Arial" w:cs="Arial"/>
          <w:noProof w:val="0"/>
          <w:sz w:val="24"/>
          <w:szCs w:val="24"/>
          <w:lang w:val="en-US"/>
        </w:rPr>
        <w:t xml:space="preserve"> semi-structured interviews and focus groups to explore pharmacists’ experiences, </w:t>
      </w:r>
      <w:r w:rsidRPr="3DC7A50A" w:rsidR="447A38EE">
        <w:rPr>
          <w:rFonts w:ascii="Arial" w:hAnsi="Arial" w:eastAsia="Arial" w:cs="Arial"/>
          <w:noProof w:val="0"/>
          <w:sz w:val="24"/>
          <w:szCs w:val="24"/>
          <w:lang w:val="en-US"/>
        </w:rPr>
        <w:t>perceptions</w:t>
      </w:r>
      <w:r w:rsidRPr="3DC7A50A" w:rsidR="447A38EE">
        <w:rPr>
          <w:rFonts w:ascii="Arial" w:hAnsi="Arial" w:eastAsia="Arial" w:cs="Arial"/>
          <w:noProof w:val="0"/>
          <w:sz w:val="24"/>
          <w:szCs w:val="24"/>
          <w:lang w:val="en-US"/>
        </w:rPr>
        <w:t>, and challenges related to dispensing errors and medication safety.</w:t>
      </w:r>
    </w:p>
    <w:p w:rsidR="0C6EDE45" w:rsidP="3DC7A50A" w:rsidRDefault="0C6EDE45" w14:paraId="59C85F1B" w14:textId="2B53791A">
      <w:pPr>
        <w:bidi w:val="0"/>
        <w:spacing w:before="240" w:beforeAutospacing="off" w:after="240" w:afterAutospacing="off"/>
        <w:jc w:val="both"/>
        <w:rPr>
          <w:rFonts w:ascii="Arial" w:hAnsi="Arial" w:eastAsia="Arial" w:cs="Arial"/>
          <w:noProof w:val="0"/>
          <w:sz w:val="24"/>
          <w:szCs w:val="24"/>
          <w:lang w:val="en-US"/>
        </w:rPr>
      </w:pPr>
      <w:r w:rsidRPr="3DC7A50A" w:rsidR="447A38EE">
        <w:rPr>
          <w:rFonts w:ascii="Arial" w:hAnsi="Arial" w:eastAsia="Arial" w:cs="Arial"/>
          <w:noProof w:val="0"/>
          <w:sz w:val="24"/>
          <w:szCs w:val="24"/>
          <w:lang w:val="en-US"/>
        </w:rPr>
        <w:t xml:space="preserve">Sample sizes ranged from </w:t>
      </w:r>
      <w:r w:rsidRPr="3DC7A50A" w:rsidR="447A38EE">
        <w:rPr>
          <w:rFonts w:ascii="Arial" w:hAnsi="Arial" w:eastAsia="Arial" w:cs="Arial"/>
          <w:b w:val="0"/>
          <w:bCs w:val="0"/>
          <w:noProof w:val="0"/>
          <w:sz w:val="24"/>
          <w:szCs w:val="24"/>
          <w:lang w:val="en-US"/>
        </w:rPr>
        <w:t>10 to 45 participants</w:t>
      </w:r>
      <w:r w:rsidRPr="3DC7A50A" w:rsidR="447A38EE">
        <w:rPr>
          <w:rFonts w:ascii="Arial" w:hAnsi="Arial" w:eastAsia="Arial" w:cs="Arial"/>
          <w:b w:val="0"/>
          <w:bCs w:val="0"/>
          <w:noProof w:val="0"/>
          <w:sz w:val="24"/>
          <w:szCs w:val="24"/>
          <w:lang w:val="en-US"/>
        </w:rPr>
        <w:t xml:space="preserve">, </w:t>
      </w:r>
      <w:r w:rsidRPr="3DC7A50A" w:rsidR="447A38EE">
        <w:rPr>
          <w:rFonts w:ascii="Arial" w:hAnsi="Arial" w:eastAsia="Arial" w:cs="Arial"/>
          <w:noProof w:val="0"/>
          <w:sz w:val="24"/>
          <w:szCs w:val="24"/>
          <w:lang w:val="en-US"/>
        </w:rPr>
        <w:t xml:space="preserve">including pharmacists, dispensers, and pharmacy managers. Most studies were conducted in community pharmacy settings (Saleem et al., 2021; Atif et al., 2019), while others focused on hospital pharmacies or policy-level perspectives (Mekonnen et al., 2016; Crafford et al., 2024). Data collection methods included in-depth interviews (Musoke et al., 2023; </w:t>
      </w:r>
      <w:r w:rsidRPr="3DC7A50A" w:rsidR="447A38EE">
        <w:rPr>
          <w:rFonts w:ascii="Arial" w:hAnsi="Arial" w:eastAsia="Arial" w:cs="Arial"/>
          <w:noProof w:val="0"/>
          <w:sz w:val="24"/>
          <w:szCs w:val="24"/>
          <w:lang w:val="en-US"/>
        </w:rPr>
        <w:t>Gelayee</w:t>
      </w:r>
      <w:r w:rsidRPr="3DC7A50A" w:rsidR="447A38EE">
        <w:rPr>
          <w:rFonts w:ascii="Arial" w:hAnsi="Arial" w:eastAsia="Arial" w:cs="Arial"/>
          <w:noProof w:val="0"/>
          <w:sz w:val="24"/>
          <w:szCs w:val="24"/>
          <w:lang w:val="en-US"/>
        </w:rPr>
        <w:t>, 2017), key informant discussions (Mbugua et al., 2020), and simulated client observations (Kamba et al., 2020).</w:t>
      </w:r>
    </w:p>
    <w:p w:rsidR="0C6EDE45" w:rsidP="3DC7A50A" w:rsidRDefault="0C6EDE45" w14:paraId="18D5D152" w14:textId="2EECCD0D">
      <w:pPr>
        <w:bidi w:val="0"/>
        <w:spacing w:before="240" w:beforeAutospacing="off" w:after="240" w:afterAutospacing="off"/>
        <w:jc w:val="both"/>
        <w:rPr>
          <w:rFonts w:ascii="Arial" w:hAnsi="Arial" w:eastAsia="Arial" w:cs="Arial"/>
          <w:noProof w:val="0"/>
          <w:sz w:val="24"/>
          <w:szCs w:val="24"/>
          <w:lang w:val="en-US"/>
        </w:rPr>
      </w:pPr>
      <w:r w:rsidRPr="3DC7A50A" w:rsidR="447A38EE">
        <w:rPr>
          <w:rFonts w:ascii="Arial" w:hAnsi="Arial" w:eastAsia="Arial" w:cs="Arial"/>
          <w:noProof w:val="0"/>
          <w:sz w:val="24"/>
          <w:szCs w:val="24"/>
          <w:lang w:val="en-US"/>
        </w:rPr>
        <w:t>Despite variations in study design, sample size, and setting, all studies consistently reported systemic gaps in pharmacy regulation, training provision, communication, and supervision. Collectively, these findings highlight a widespread need for structured and sustainable quality improvement initiatives within LMIC pharmacy practice.</w:t>
      </w:r>
    </w:p>
    <w:p w:rsidR="5B971295" w:rsidP="5B971295" w:rsidRDefault="5B971295" w14:paraId="516BB4CE" w14:textId="72D90A78">
      <w:pPr>
        <w:pStyle w:val="Normal"/>
        <w:bidi w:val="0"/>
        <w:spacing w:before="240" w:beforeAutospacing="off" w:after="240" w:afterAutospacing="off"/>
        <w:jc w:val="both"/>
        <w:rPr>
          <w:rFonts w:ascii="Arial" w:hAnsi="Arial" w:eastAsia="Arial" w:cs="Arial"/>
          <w:noProof w:val="0"/>
          <w:sz w:val="24"/>
          <w:szCs w:val="24"/>
          <w:lang w:val="en-US"/>
        </w:rPr>
      </w:pPr>
    </w:p>
    <w:p w:rsidR="3B7BAD25" w:rsidP="3DC7A50A" w:rsidRDefault="3B7BAD25" w14:paraId="167441F9" w14:textId="3C961450">
      <w:pPr>
        <w:pStyle w:val="Heading3"/>
        <w:jc w:val="both"/>
        <w:rPr>
          <w:rFonts w:ascii="Arial" w:hAnsi="Arial" w:eastAsia="Arial" w:cs="Arial"/>
          <w:noProof w:val="0"/>
          <w:lang w:val="en-US"/>
        </w:rPr>
      </w:pPr>
      <w:r w:rsidRPr="3DC7A50A" w:rsidR="55646C9D">
        <w:rPr>
          <w:rFonts w:ascii="Arial" w:hAnsi="Arial" w:eastAsia="Arial" w:cs="Arial"/>
          <w:noProof w:val="0"/>
          <w:lang w:val="en-US"/>
        </w:rPr>
        <w:t xml:space="preserve"> </w:t>
      </w:r>
      <w:bookmarkStart w:name="_Toc316414080" w:id="172448424"/>
      <w:r w:rsidRPr="3DC7A50A" w:rsidR="276D89DD">
        <w:rPr>
          <w:rStyle w:val="Heading2Char"/>
          <w:rFonts w:ascii="Arial" w:hAnsi="Arial" w:eastAsia="Arial" w:cs="Arial"/>
          <w:noProof w:val="0"/>
          <w:lang w:val="en-US"/>
        </w:rPr>
        <w:t>5.4 Thematic Analysis (Expanded Version)</w:t>
      </w:r>
      <w:bookmarkEnd w:id="172448424"/>
    </w:p>
    <w:p w:rsidR="3B7BAD25" w:rsidP="3DC7A50A" w:rsidRDefault="3B7BAD25" w14:paraId="67738A20" w14:textId="3DE3A60A">
      <w:pPr>
        <w:pStyle w:val="Normal"/>
        <w:bidi w:val="0"/>
        <w:spacing w:before="240" w:beforeAutospacing="off" w:after="240" w:afterAutospacing="off"/>
        <w:jc w:val="both"/>
        <w:rPr>
          <w:rFonts w:ascii="Arial" w:hAnsi="Arial" w:eastAsia="Arial" w:cs="Arial"/>
          <w:noProof w:val="0"/>
          <w:sz w:val="24"/>
          <w:szCs w:val="24"/>
          <w:lang w:val="en-US"/>
        </w:rPr>
      </w:pPr>
      <w:r w:rsidRPr="3DC7A50A" w:rsidR="6F290619">
        <w:rPr>
          <w:rFonts w:ascii="Arial" w:hAnsi="Arial" w:eastAsia="Arial" w:cs="Arial"/>
          <w:b w:val="0"/>
          <w:bCs w:val="0"/>
          <w:noProof w:val="0"/>
          <w:sz w:val="24"/>
          <w:szCs w:val="24"/>
          <w:lang w:val="en-US"/>
        </w:rPr>
        <w:t xml:space="preserve">The thematic synthesis of the </w:t>
      </w:r>
      <w:r w:rsidRPr="3DC7A50A" w:rsidR="6F290619">
        <w:rPr>
          <w:rFonts w:ascii="Arial" w:hAnsi="Arial" w:eastAsia="Arial" w:cs="Arial"/>
          <w:b w:val="0"/>
          <w:bCs w:val="0"/>
          <w:noProof w:val="0"/>
          <w:sz w:val="24"/>
          <w:szCs w:val="24"/>
          <w:lang w:val="en-US"/>
        </w:rPr>
        <w:t>twelve</w:t>
      </w:r>
      <w:r w:rsidRPr="3DC7A50A" w:rsidR="6F290619">
        <w:rPr>
          <w:rFonts w:ascii="Arial" w:hAnsi="Arial" w:eastAsia="Arial" w:cs="Arial"/>
          <w:b w:val="0"/>
          <w:bCs w:val="0"/>
          <w:noProof w:val="0"/>
          <w:sz w:val="24"/>
          <w:szCs w:val="24"/>
          <w:lang w:val="en-US"/>
        </w:rPr>
        <w:t xml:space="preserve"> qualitative studies generated </w:t>
      </w:r>
      <w:r w:rsidRPr="3DC7A50A" w:rsidR="6F290619">
        <w:rPr>
          <w:rFonts w:ascii="Arial" w:hAnsi="Arial" w:eastAsia="Arial" w:cs="Arial"/>
          <w:b w:val="0"/>
          <w:bCs w:val="0"/>
          <w:noProof w:val="0"/>
          <w:sz w:val="24"/>
          <w:szCs w:val="24"/>
          <w:lang w:val="en-US"/>
        </w:rPr>
        <w:t>four overarching themes</w:t>
      </w:r>
      <w:r w:rsidRPr="3DC7A50A" w:rsidR="6F290619">
        <w:rPr>
          <w:rFonts w:ascii="Arial" w:hAnsi="Arial" w:eastAsia="Arial" w:cs="Arial"/>
          <w:b w:val="0"/>
          <w:bCs w:val="0"/>
          <w:noProof w:val="0"/>
          <w:sz w:val="24"/>
          <w:szCs w:val="24"/>
          <w:lang w:val="en-US"/>
        </w:rPr>
        <w:t xml:space="preserve"> wit</w:t>
      </w:r>
      <w:r w:rsidRPr="3DC7A50A" w:rsidR="6F290619">
        <w:rPr>
          <w:rFonts w:ascii="Arial" w:hAnsi="Arial" w:eastAsia="Arial" w:cs="Arial"/>
          <w:noProof w:val="0"/>
          <w:sz w:val="24"/>
          <w:szCs w:val="24"/>
          <w:lang w:val="en-US"/>
        </w:rPr>
        <w:t xml:space="preserve">h multiple interrelated subthemes that explain how individual, </w:t>
      </w:r>
      <w:r w:rsidRPr="3DC7A50A" w:rsidR="6F290619">
        <w:rPr>
          <w:rFonts w:ascii="Arial" w:hAnsi="Arial" w:eastAsia="Arial" w:cs="Arial"/>
          <w:noProof w:val="0"/>
          <w:sz w:val="24"/>
          <w:szCs w:val="24"/>
          <w:lang w:val="en-US"/>
        </w:rPr>
        <w:t>organisational</w:t>
      </w:r>
      <w:r w:rsidRPr="3DC7A50A" w:rsidR="6F290619">
        <w:rPr>
          <w:rFonts w:ascii="Arial" w:hAnsi="Arial" w:eastAsia="Arial" w:cs="Arial"/>
          <w:noProof w:val="0"/>
          <w:sz w:val="24"/>
          <w:szCs w:val="24"/>
          <w:lang w:val="en-US"/>
        </w:rPr>
        <w:t xml:space="preserve">, sociocultural, and structural factors influence pharmacist-related dispensing errors across LMICs. These themes </w:t>
      </w:r>
      <w:r w:rsidRPr="3DC7A50A" w:rsidR="6F290619">
        <w:rPr>
          <w:rFonts w:ascii="Arial" w:hAnsi="Arial" w:eastAsia="Arial" w:cs="Arial"/>
          <w:noProof w:val="0"/>
          <w:sz w:val="24"/>
          <w:szCs w:val="24"/>
          <w:lang w:val="en-US"/>
        </w:rPr>
        <w:t>demonstrate</w:t>
      </w:r>
      <w:r w:rsidRPr="3DC7A50A" w:rsidR="6F290619">
        <w:rPr>
          <w:rFonts w:ascii="Arial" w:hAnsi="Arial" w:eastAsia="Arial" w:cs="Arial"/>
          <w:noProof w:val="0"/>
          <w:sz w:val="24"/>
          <w:szCs w:val="24"/>
          <w:lang w:val="en-US"/>
        </w:rPr>
        <w:t xml:space="preserve"> that dispensing errors are rarely the result of isolated human mistakes; rather, they arise from complex interactions between knowledge deficits, system weaknesses, cultural expectations, and the absence of sustained quality improvement mechanisms.</w:t>
      </w:r>
    </w:p>
    <w:p w:rsidR="114FB231" w:rsidP="3DC7A50A" w:rsidRDefault="114FB231" w14:paraId="136C534B" w14:textId="770817F6">
      <w:pPr>
        <w:pStyle w:val="Heading3"/>
        <w:bidi w:val="0"/>
        <w:rPr>
          <w:noProof w:val="0"/>
          <w:lang w:val="en-US"/>
        </w:rPr>
      </w:pPr>
      <w:bookmarkStart w:name="_Toc1562297995" w:id="1491684895"/>
      <w:r w:rsidRPr="3DC7A50A" w:rsidR="114FB231">
        <w:rPr>
          <w:noProof w:val="0"/>
          <w:lang w:val="en-US"/>
        </w:rPr>
        <w:t>Table 5.1(Themes and Subthemes)</w:t>
      </w:r>
      <w:bookmarkEnd w:id="1491684895"/>
    </w:p>
    <w:tbl>
      <w:tblPr>
        <w:tblStyle w:val="TableNormal"/>
        <w:bidiVisual w:val="0"/>
        <w:tblW w:w="0" w:type="auto"/>
        <w:tblLook w:val="06A0" w:firstRow="1" w:lastRow="0" w:firstColumn="1" w:lastColumn="0" w:noHBand="1" w:noVBand="1"/>
      </w:tblPr>
      <w:tblGrid>
        <w:gridCol w:w="1785"/>
        <w:gridCol w:w="1425"/>
        <w:gridCol w:w="4129"/>
        <w:gridCol w:w="2021"/>
      </w:tblGrid>
      <w:tr w:rsidR="4369956E" w:rsidTr="3DC7A50A" w14:paraId="70D4CD2A">
        <w:trPr>
          <w:trHeight w:val="300"/>
        </w:trPr>
        <w:tc>
          <w:tcPr>
            <w:tcW w:w="178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3DC7A50A" w:rsidRDefault="4369956E" w14:paraId="7DE008F5" w14:textId="637D2C0C">
            <w:pPr>
              <w:bidi w:val="0"/>
              <w:spacing w:before="0" w:beforeAutospacing="off" w:after="0" w:afterAutospacing="off"/>
              <w:jc w:val="center"/>
              <w:rPr>
                <w:rFonts w:ascii="Arial" w:hAnsi="Arial" w:eastAsia="Arial" w:cs="Arial"/>
                <w:b w:val="1"/>
                <w:bCs w:val="1"/>
              </w:rPr>
            </w:pPr>
            <w:r w:rsidRPr="3DC7A50A" w:rsidR="2ECFB12B">
              <w:rPr>
                <w:rFonts w:ascii="Arial" w:hAnsi="Arial" w:eastAsia="Arial" w:cs="Arial"/>
                <w:b w:val="1"/>
                <w:bCs w:val="1"/>
              </w:rPr>
              <w:t>Theme</w:t>
            </w:r>
          </w:p>
        </w:tc>
        <w:tc>
          <w:tcPr>
            <w:tcW w:w="1425"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3DC7A50A" w:rsidRDefault="4369956E" w14:paraId="0009818E" w14:textId="50992E75">
            <w:pPr>
              <w:bidi w:val="0"/>
              <w:spacing w:before="0" w:beforeAutospacing="off" w:after="0" w:afterAutospacing="off"/>
              <w:jc w:val="center"/>
              <w:rPr>
                <w:rFonts w:ascii="Arial" w:hAnsi="Arial" w:eastAsia="Arial" w:cs="Arial"/>
                <w:b w:val="1"/>
                <w:bCs w:val="1"/>
              </w:rPr>
            </w:pPr>
            <w:r w:rsidRPr="3DC7A50A" w:rsidR="2ECFB12B">
              <w:rPr>
                <w:rFonts w:ascii="Arial" w:hAnsi="Arial" w:eastAsia="Arial" w:cs="Arial"/>
                <w:b w:val="1"/>
                <w:bCs w:val="1"/>
              </w:rPr>
              <w:t>Subtheme</w:t>
            </w:r>
          </w:p>
        </w:tc>
        <w:tc>
          <w:tcPr>
            <w:tcW w:w="4129"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3DC7A50A" w:rsidRDefault="4369956E" w14:paraId="0D105895" w14:textId="63582DF6">
            <w:pPr>
              <w:bidi w:val="0"/>
              <w:spacing w:before="0" w:beforeAutospacing="off" w:after="0" w:afterAutospacing="off"/>
              <w:jc w:val="center"/>
              <w:rPr>
                <w:rFonts w:ascii="Arial" w:hAnsi="Arial" w:eastAsia="Arial" w:cs="Arial"/>
                <w:b w:val="1"/>
                <w:bCs w:val="1"/>
              </w:rPr>
            </w:pPr>
            <w:r w:rsidRPr="3DC7A50A" w:rsidR="2ECFB12B">
              <w:rPr>
                <w:rFonts w:ascii="Arial" w:hAnsi="Arial" w:eastAsia="Arial" w:cs="Arial"/>
                <w:b w:val="1"/>
                <w:bCs w:val="1"/>
              </w:rPr>
              <w:t>Description</w:t>
            </w:r>
          </w:p>
        </w:tc>
        <w:tc>
          <w:tcPr>
            <w:tcW w:w="2021"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369956E" w:rsidP="3DC7A50A" w:rsidRDefault="4369956E" w14:paraId="326AF35D" w14:textId="4B202B5B">
            <w:pPr>
              <w:bidi w:val="0"/>
              <w:spacing w:before="0" w:beforeAutospacing="off" w:after="0" w:afterAutospacing="off"/>
              <w:jc w:val="center"/>
              <w:rPr>
                <w:rFonts w:ascii="Arial" w:hAnsi="Arial" w:eastAsia="Arial" w:cs="Arial"/>
                <w:b w:val="1"/>
                <w:bCs w:val="1"/>
              </w:rPr>
            </w:pPr>
            <w:r w:rsidRPr="3DC7A50A" w:rsidR="2ECFB12B">
              <w:rPr>
                <w:rFonts w:ascii="Arial" w:hAnsi="Arial" w:eastAsia="Arial" w:cs="Arial"/>
                <w:b w:val="1"/>
                <w:bCs w:val="1"/>
              </w:rPr>
              <w:t>Supporting Articles (from selected 12)</w:t>
            </w:r>
          </w:p>
        </w:tc>
      </w:tr>
      <w:tr w:rsidR="4369956E" w:rsidTr="3DC7A50A" w14:paraId="1893A1AC">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5F02CE18" w14:textId="7A9EEC45">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Theme 1: Knowledge Gaps and Training Deficiencies Affect Medication Safety</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5B0CF3B2" w14:textId="1E8A498B">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1.1 Insufficient pharmacological and dispensing knowledge</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26F4F539" w14:textId="176CC8CA">
            <w:pPr>
              <w:bidi w:val="0"/>
              <w:spacing w:before="0" w:beforeAutospacing="off" w:after="0" w:afterAutospacing="off"/>
              <w:rPr>
                <w:rFonts w:ascii="Arial" w:hAnsi="Arial" w:eastAsia="Arial" w:cs="Arial"/>
              </w:rPr>
            </w:pPr>
            <w:r w:rsidRPr="3DC7A50A" w:rsidR="2ECFB12B">
              <w:rPr>
                <w:rFonts w:ascii="Arial" w:hAnsi="Arial" w:eastAsia="Arial" w:cs="Arial"/>
              </w:rPr>
              <w:t xml:space="preserve">Pharmacists </w:t>
            </w:r>
            <w:r w:rsidRPr="3DC7A50A" w:rsidR="2ECFB12B">
              <w:rPr>
                <w:rFonts w:ascii="Arial" w:hAnsi="Arial" w:eastAsia="Arial" w:cs="Arial"/>
              </w:rPr>
              <w:t>demonstrated</w:t>
            </w:r>
            <w:r w:rsidRPr="3DC7A50A" w:rsidR="2ECFB12B">
              <w:rPr>
                <w:rFonts w:ascii="Arial" w:hAnsi="Arial" w:eastAsia="Arial" w:cs="Arial"/>
              </w:rPr>
              <w:t xml:space="preserve"> limited understanding of dosages, contraindications, interactions, and substitution practices, leading to wrong-drug and wrong-strength dispensing. Non-qualified dispensers faced greater cognitive limitations.</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68B65144" w14:textId="214E0525">
            <w:pPr>
              <w:bidi w:val="0"/>
              <w:spacing w:before="0" w:beforeAutospacing="off" w:after="0" w:afterAutospacing="off"/>
              <w:rPr>
                <w:rFonts w:ascii="Arial" w:hAnsi="Arial" w:eastAsia="Arial" w:cs="Arial"/>
              </w:rPr>
            </w:pPr>
            <w:r w:rsidRPr="3DC7A50A" w:rsidR="2ECFB12B">
              <w:rPr>
                <w:rFonts w:ascii="Arial" w:hAnsi="Arial" w:eastAsia="Arial" w:cs="Arial"/>
              </w:rPr>
              <w:t xml:space="preserve">Saleem Z et al. (Pakistan); Musoke D et al. (Uganda); </w:t>
            </w:r>
            <w:r w:rsidRPr="3DC7A50A" w:rsidR="2ECFB12B">
              <w:rPr>
                <w:rFonts w:ascii="Arial" w:hAnsi="Arial" w:eastAsia="Arial" w:cs="Arial"/>
              </w:rPr>
              <w:t>Gelayee</w:t>
            </w:r>
            <w:r w:rsidRPr="3DC7A50A" w:rsidR="2ECFB12B">
              <w:rPr>
                <w:rFonts w:ascii="Arial" w:hAnsi="Arial" w:eastAsia="Arial" w:cs="Arial"/>
              </w:rPr>
              <w:t xml:space="preserve"> DA et al. (Ethiopia); Atif M et al. (South Asia)</w:t>
            </w:r>
          </w:p>
        </w:tc>
      </w:tr>
      <w:tr w:rsidR="4369956E" w:rsidTr="3DC7A50A" w14:paraId="24A8A99A">
        <w:trPr>
          <w:trHeight w:val="300"/>
        </w:trPr>
        <w:tc>
          <w:tcPr>
            <w:tcW w:w="1785" w:type="dxa"/>
            <w:tcBorders>
              <w:left w:val="single" w:color="000000" w:themeColor="text1" w:sz="12"/>
              <w:right w:val="single" w:color="000000" w:themeColor="text1" w:sz="12"/>
            </w:tcBorders>
            <w:tcMar/>
            <w:vAlign w:val="center"/>
          </w:tcPr>
          <w:p w:rsidR="4369956E" w:rsidP="3DC7A50A" w:rsidRDefault="4369956E" w14:paraId="1FFF1FB5" w14:textId="7BE18DD8">
            <w:pPr>
              <w:rPr>
                <w:rFonts w:ascii="Arial" w:hAnsi="Arial" w:eastAsia="Arial" w:cs="Arial"/>
              </w:rPr>
            </w:pPr>
          </w:p>
        </w:tc>
        <w:tc>
          <w:tcPr>
            <w:tcW w:w="1425" w:type="dxa"/>
            <w:tcBorders>
              <w:left w:val="single" w:color="000000" w:themeColor="text1" w:sz="12"/>
              <w:right w:val="single" w:color="000000" w:themeColor="text1" w:sz="12"/>
            </w:tcBorders>
            <w:tcMar/>
            <w:vAlign w:val="center"/>
          </w:tcPr>
          <w:p w:rsidR="4369956E" w:rsidP="3DC7A50A" w:rsidRDefault="4369956E" w14:paraId="7880EC30" w14:textId="0BA98B38">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1.2 Lack of structured continuing education</w:t>
            </w:r>
          </w:p>
        </w:tc>
        <w:tc>
          <w:tcPr>
            <w:tcW w:w="4129" w:type="dxa"/>
            <w:tcBorders>
              <w:left w:val="single" w:color="000000" w:themeColor="text1" w:sz="12"/>
              <w:right w:val="single" w:color="000000" w:themeColor="text1" w:sz="12"/>
            </w:tcBorders>
            <w:tcMar/>
            <w:vAlign w:val="center"/>
          </w:tcPr>
          <w:p w:rsidR="4369956E" w:rsidP="3DC7A50A" w:rsidRDefault="4369956E" w14:paraId="25FCA42E" w14:textId="73CBEDAD">
            <w:pPr>
              <w:bidi w:val="0"/>
              <w:spacing w:before="0" w:beforeAutospacing="off" w:after="0" w:afterAutospacing="off"/>
              <w:rPr>
                <w:rFonts w:ascii="Arial" w:hAnsi="Arial" w:eastAsia="Arial" w:cs="Arial"/>
              </w:rPr>
            </w:pPr>
            <w:r w:rsidRPr="3DC7A50A" w:rsidR="2ECFB12B">
              <w:rPr>
                <w:rFonts w:ascii="Arial" w:hAnsi="Arial" w:eastAsia="Arial" w:cs="Arial"/>
              </w:rPr>
              <w:t>Absence of mandatory refresher training resulted in outdated clinical knowledge and inconsistent competency levels, particularly in rural and independent pharmacies.</w:t>
            </w:r>
          </w:p>
        </w:tc>
        <w:tc>
          <w:tcPr>
            <w:tcW w:w="2021" w:type="dxa"/>
            <w:tcBorders>
              <w:left w:val="single" w:color="000000" w:themeColor="text1" w:sz="12"/>
              <w:right w:val="single" w:color="000000" w:themeColor="text1" w:sz="12"/>
            </w:tcBorders>
            <w:tcMar/>
            <w:vAlign w:val="center"/>
          </w:tcPr>
          <w:p w:rsidR="4369956E" w:rsidP="3DC7A50A" w:rsidRDefault="4369956E" w14:paraId="1F6E6562" w14:textId="414EF189">
            <w:pPr>
              <w:bidi w:val="0"/>
              <w:spacing w:before="0" w:beforeAutospacing="off" w:after="0" w:afterAutospacing="off"/>
              <w:rPr>
                <w:rFonts w:ascii="Arial" w:hAnsi="Arial" w:eastAsia="Arial" w:cs="Arial"/>
              </w:rPr>
            </w:pPr>
            <w:r w:rsidRPr="3DC7A50A" w:rsidR="2ECFB12B">
              <w:rPr>
                <w:rFonts w:ascii="Arial" w:hAnsi="Arial" w:eastAsia="Arial" w:cs="Arial"/>
              </w:rPr>
              <w:t>Saleem NH et al. (Pakistan); Atif M et al. (Pakistan); Mekonnen AB et al. (Ethiopia)</w:t>
            </w:r>
          </w:p>
        </w:tc>
      </w:tr>
      <w:tr w:rsidR="4369956E" w:rsidTr="3DC7A50A" w14:paraId="1E09F145">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6E27FB3" w14:textId="1AD8709A">
            <w:pPr>
              <w:rPr>
                <w:rFonts w:ascii="Arial" w:hAnsi="Arial" w:eastAsia="Arial" w:cs="Arial"/>
              </w:rPr>
            </w:pPr>
          </w:p>
        </w:tc>
        <w:tc>
          <w:tcPr>
            <w:tcW w:w="142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330272D5" w14:textId="63170244">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1.3 Deficiency in practical and simulation-based training</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B40933C" w14:textId="12FD4833">
            <w:pPr>
              <w:bidi w:val="0"/>
              <w:spacing w:before="0" w:beforeAutospacing="off" w:after="0" w:afterAutospacing="off"/>
              <w:rPr>
                <w:rFonts w:ascii="Arial" w:hAnsi="Arial" w:eastAsia="Arial" w:cs="Arial"/>
              </w:rPr>
            </w:pPr>
            <w:r w:rsidRPr="3DC7A50A" w:rsidR="2ECFB12B">
              <w:rPr>
                <w:rFonts w:ascii="Arial" w:hAnsi="Arial" w:eastAsia="Arial" w:cs="Arial"/>
              </w:rPr>
              <w:t>Limited exposure to real-world dispensing scenarios reduced pharmacists’ preparedness for high-risk situations such as LASA medicines and polypharmacy management.</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C9DD613" w14:textId="7E1C6682">
            <w:pPr>
              <w:bidi w:val="0"/>
              <w:spacing w:before="0" w:beforeAutospacing="off" w:after="0" w:afterAutospacing="off"/>
              <w:rPr>
                <w:rFonts w:ascii="Arial" w:hAnsi="Arial" w:eastAsia="Arial" w:cs="Arial"/>
              </w:rPr>
            </w:pPr>
            <w:r w:rsidRPr="3DC7A50A" w:rsidR="2ECFB12B">
              <w:rPr>
                <w:rFonts w:ascii="Arial" w:hAnsi="Arial" w:eastAsia="Arial" w:cs="Arial"/>
              </w:rPr>
              <w:t>Musoke D et al. (Uganda); Mekonnen AB et al. (Ethiopia); Mbugua SM et al. (Kenya)</w:t>
            </w:r>
          </w:p>
        </w:tc>
      </w:tr>
      <w:tr w:rsidR="4369956E" w:rsidTr="3DC7A50A" w14:paraId="17686F5C">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3744C111" w14:textId="6D0BA5B9">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 xml:space="preserve">Theme 2: Systemic and </w:t>
            </w:r>
            <w:r w:rsidRPr="3DC7A50A" w:rsidR="2ECFB12B">
              <w:rPr>
                <w:rFonts w:ascii="Arial" w:hAnsi="Arial" w:eastAsia="Arial" w:cs="Arial"/>
                <w:b w:val="1"/>
                <w:bCs w:val="1"/>
              </w:rPr>
              <w:t>Organisational</w:t>
            </w:r>
            <w:r w:rsidRPr="3DC7A50A" w:rsidR="2ECFB12B">
              <w:rPr>
                <w:rFonts w:ascii="Arial" w:hAnsi="Arial" w:eastAsia="Arial" w:cs="Arial"/>
                <w:b w:val="1"/>
                <w:bCs w:val="1"/>
              </w:rPr>
              <w:t xml:space="preserve"> Barriers Impede Safe Dispensing</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0BAFD53A" w14:textId="05A0FB11">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2.1 High workload and staffing shortages</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4D69B56A" w14:textId="01E584DD">
            <w:pPr>
              <w:bidi w:val="0"/>
              <w:spacing w:before="0" w:beforeAutospacing="off" w:after="0" w:afterAutospacing="off"/>
              <w:rPr>
                <w:rFonts w:ascii="Arial" w:hAnsi="Arial" w:eastAsia="Arial" w:cs="Arial"/>
              </w:rPr>
            </w:pPr>
            <w:r w:rsidRPr="3DC7A50A" w:rsidR="2ECFB12B">
              <w:rPr>
                <w:rFonts w:ascii="Arial" w:hAnsi="Arial" w:eastAsia="Arial" w:cs="Arial"/>
              </w:rPr>
              <w:t>Excessive prescription volumes, long working hours, and inadequate staffing led to fatigue, rushed dispensing, and omission of safety checks.</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4427EDA3" w14:textId="0C42F78F">
            <w:pPr>
              <w:bidi w:val="0"/>
              <w:spacing w:before="0" w:beforeAutospacing="off" w:after="0" w:afterAutospacing="off"/>
              <w:rPr>
                <w:rFonts w:ascii="Arial" w:hAnsi="Arial" w:eastAsia="Arial" w:cs="Arial"/>
              </w:rPr>
            </w:pPr>
            <w:r w:rsidRPr="3DC7A50A" w:rsidR="2ECFB12B">
              <w:rPr>
                <w:rFonts w:ascii="Arial" w:hAnsi="Arial" w:eastAsia="Arial" w:cs="Arial"/>
              </w:rPr>
              <w:t xml:space="preserve">Saleem NH et al. (Pakistan); Musoke D et al. (Uganda); </w:t>
            </w:r>
            <w:r w:rsidRPr="3DC7A50A" w:rsidR="2ECFB12B">
              <w:rPr>
                <w:rFonts w:ascii="Arial" w:hAnsi="Arial" w:eastAsia="Arial" w:cs="Arial"/>
              </w:rPr>
              <w:t>Gelayee</w:t>
            </w:r>
            <w:r w:rsidRPr="3DC7A50A" w:rsidR="2ECFB12B">
              <w:rPr>
                <w:rFonts w:ascii="Arial" w:hAnsi="Arial" w:eastAsia="Arial" w:cs="Arial"/>
              </w:rPr>
              <w:t xml:space="preserve"> DA et al. (Ethiopia)</w:t>
            </w:r>
          </w:p>
        </w:tc>
      </w:tr>
      <w:tr w:rsidR="4369956E" w:rsidTr="3DC7A50A" w14:paraId="2C53504B">
        <w:trPr>
          <w:trHeight w:val="300"/>
        </w:trPr>
        <w:tc>
          <w:tcPr>
            <w:tcW w:w="1785" w:type="dxa"/>
            <w:tcBorders>
              <w:left w:val="single" w:color="000000" w:themeColor="text1" w:sz="12"/>
              <w:right w:val="single" w:color="000000" w:themeColor="text1" w:sz="12"/>
            </w:tcBorders>
            <w:tcMar/>
            <w:vAlign w:val="center"/>
          </w:tcPr>
          <w:p w:rsidR="4369956E" w:rsidP="3DC7A50A" w:rsidRDefault="4369956E" w14:paraId="34CAF420" w14:textId="260E03D4">
            <w:pPr>
              <w:rPr>
                <w:rFonts w:ascii="Arial" w:hAnsi="Arial" w:eastAsia="Arial" w:cs="Arial"/>
              </w:rPr>
            </w:pPr>
          </w:p>
        </w:tc>
        <w:tc>
          <w:tcPr>
            <w:tcW w:w="1425" w:type="dxa"/>
            <w:tcBorders>
              <w:left w:val="single" w:color="000000" w:themeColor="text1" w:sz="12"/>
              <w:right w:val="single" w:color="000000" w:themeColor="text1" w:sz="12"/>
            </w:tcBorders>
            <w:tcMar/>
            <w:vAlign w:val="center"/>
          </w:tcPr>
          <w:p w:rsidR="4369956E" w:rsidP="3DC7A50A" w:rsidRDefault="4369956E" w14:paraId="5A7E49C8" w14:textId="3BE5C758">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2.2 Communication gaps among healthcare providers</w:t>
            </w:r>
          </w:p>
        </w:tc>
        <w:tc>
          <w:tcPr>
            <w:tcW w:w="4129" w:type="dxa"/>
            <w:tcBorders>
              <w:left w:val="single" w:color="000000" w:themeColor="text1" w:sz="12"/>
              <w:right w:val="single" w:color="000000" w:themeColor="text1" w:sz="12"/>
            </w:tcBorders>
            <w:tcMar/>
            <w:vAlign w:val="center"/>
          </w:tcPr>
          <w:p w:rsidR="4369956E" w:rsidP="3DC7A50A" w:rsidRDefault="4369956E" w14:paraId="0FE2C26D" w14:textId="69239F6A">
            <w:pPr>
              <w:bidi w:val="0"/>
              <w:spacing w:before="0" w:beforeAutospacing="off" w:after="0" w:afterAutospacing="off"/>
              <w:rPr>
                <w:rFonts w:ascii="Arial" w:hAnsi="Arial" w:eastAsia="Arial" w:cs="Arial"/>
              </w:rPr>
            </w:pPr>
            <w:r w:rsidRPr="3DC7A50A" w:rsidR="2ECFB12B">
              <w:rPr>
                <w:rFonts w:ascii="Arial" w:hAnsi="Arial" w:eastAsia="Arial" w:cs="Arial"/>
              </w:rPr>
              <w:t>Poor-quality prescriptions, limited prescriber–pharmacist communication, and hierarchical barriers reduced clarification opportunities and patient counselling effectiveness.</w:t>
            </w:r>
          </w:p>
        </w:tc>
        <w:tc>
          <w:tcPr>
            <w:tcW w:w="2021" w:type="dxa"/>
            <w:tcBorders>
              <w:left w:val="single" w:color="000000" w:themeColor="text1" w:sz="12"/>
              <w:right w:val="single" w:color="000000" w:themeColor="text1" w:sz="12"/>
            </w:tcBorders>
            <w:tcMar/>
            <w:vAlign w:val="center"/>
          </w:tcPr>
          <w:p w:rsidR="4369956E" w:rsidP="3DC7A50A" w:rsidRDefault="4369956E" w14:paraId="0A77A5FF" w14:textId="6C523E63">
            <w:pPr>
              <w:bidi w:val="0"/>
              <w:spacing w:before="0" w:beforeAutospacing="off" w:after="0" w:afterAutospacing="off"/>
              <w:rPr>
                <w:rFonts w:ascii="Arial" w:hAnsi="Arial" w:eastAsia="Arial" w:cs="Arial"/>
              </w:rPr>
            </w:pPr>
            <w:r w:rsidRPr="3DC7A50A" w:rsidR="2ECFB12B">
              <w:rPr>
                <w:rFonts w:ascii="Arial" w:hAnsi="Arial" w:eastAsia="Arial" w:cs="Arial"/>
              </w:rPr>
              <w:t>Saleem Z et al. (Pakistan); Atif M et al. (Pakistan); Mbugua SM et al. (Kenya)</w:t>
            </w:r>
          </w:p>
        </w:tc>
      </w:tr>
      <w:tr w:rsidR="4369956E" w:rsidTr="3DC7A50A" w14:paraId="0AA86964">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5957DC70" w14:textId="67F210DB">
            <w:pPr>
              <w:rPr>
                <w:rFonts w:ascii="Arial" w:hAnsi="Arial" w:eastAsia="Arial" w:cs="Arial"/>
              </w:rPr>
            </w:pPr>
          </w:p>
        </w:tc>
        <w:tc>
          <w:tcPr>
            <w:tcW w:w="142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3F114A7" w14:textId="1CDC22C5">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2.3 Inadequate SOPs and supervision</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BE74FB8" w14:textId="69E46C3F">
            <w:pPr>
              <w:bidi w:val="0"/>
              <w:spacing w:before="0" w:beforeAutospacing="off" w:after="0" w:afterAutospacing="off"/>
              <w:rPr>
                <w:rFonts w:ascii="Arial" w:hAnsi="Arial" w:eastAsia="Arial" w:cs="Arial"/>
              </w:rPr>
            </w:pPr>
            <w:r w:rsidRPr="3DC7A50A" w:rsidR="2ECFB12B">
              <w:rPr>
                <w:rFonts w:ascii="Arial" w:hAnsi="Arial" w:eastAsia="Arial" w:cs="Arial"/>
              </w:rPr>
              <w:t xml:space="preserve">Lack of </w:t>
            </w:r>
            <w:r w:rsidRPr="3DC7A50A" w:rsidR="2ECFB12B">
              <w:rPr>
                <w:rFonts w:ascii="Arial" w:hAnsi="Arial" w:eastAsia="Arial" w:cs="Arial"/>
              </w:rPr>
              <w:t>standardised</w:t>
            </w:r>
            <w:r w:rsidRPr="3DC7A50A" w:rsidR="2ECFB12B">
              <w:rPr>
                <w:rFonts w:ascii="Arial" w:hAnsi="Arial" w:eastAsia="Arial" w:cs="Arial"/>
              </w:rPr>
              <w:t xml:space="preserve"> dispensing procedures, weak audit systems, and absent error-reporting mechanisms resulted in inconsistent and unsafe practices.</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15D35B78" w14:textId="20E46274">
            <w:pPr>
              <w:bidi w:val="0"/>
              <w:spacing w:before="0" w:beforeAutospacing="off" w:after="0" w:afterAutospacing="off"/>
              <w:rPr>
                <w:rFonts w:ascii="Arial" w:hAnsi="Arial" w:eastAsia="Arial" w:cs="Arial"/>
              </w:rPr>
            </w:pPr>
            <w:r w:rsidRPr="3DC7A50A" w:rsidR="2ECFB12B">
              <w:rPr>
                <w:rFonts w:ascii="Arial" w:hAnsi="Arial" w:eastAsia="Arial" w:cs="Arial"/>
              </w:rPr>
              <w:t>Musoke D et al. (Uganda); Kamba PF et al. (Uganda); Crafford L et al. (South Africa)</w:t>
            </w:r>
          </w:p>
        </w:tc>
      </w:tr>
      <w:tr w:rsidR="4369956E" w:rsidTr="3DC7A50A" w14:paraId="5619F3E2">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31387D48" w14:textId="26E169D4">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Theme 3: Ethical Challenges and Socio-Cultural Influences Shape Error Reporting</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1A8C372A" w14:textId="58890D69">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3.1 Fear of repercussions and punitive culture</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7F16AA30" w14:textId="1D41DE3B">
            <w:pPr>
              <w:bidi w:val="0"/>
              <w:spacing w:before="0" w:beforeAutospacing="off" w:after="0" w:afterAutospacing="off"/>
              <w:rPr>
                <w:rFonts w:ascii="Arial" w:hAnsi="Arial" w:eastAsia="Arial" w:cs="Arial"/>
              </w:rPr>
            </w:pPr>
            <w:r w:rsidRPr="3DC7A50A" w:rsidR="2ECFB12B">
              <w:rPr>
                <w:rFonts w:ascii="Arial" w:hAnsi="Arial" w:eastAsia="Arial" w:cs="Arial"/>
              </w:rPr>
              <w:t>Pharmacists avoided error reporting due to fear of blame, disciplinary action, or reputational damage, reinforcing concealment rather than learning.</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7D85547E" w14:textId="5213CBF4">
            <w:pPr>
              <w:bidi w:val="0"/>
              <w:spacing w:before="0" w:beforeAutospacing="off" w:after="0" w:afterAutospacing="off"/>
              <w:rPr>
                <w:rFonts w:ascii="Arial" w:hAnsi="Arial" w:eastAsia="Arial" w:cs="Arial"/>
              </w:rPr>
            </w:pPr>
            <w:r w:rsidRPr="3DC7A50A" w:rsidR="2ECFB12B">
              <w:rPr>
                <w:rFonts w:ascii="Arial" w:hAnsi="Arial" w:eastAsia="Arial" w:cs="Arial"/>
              </w:rPr>
              <w:t>Saleem NH et al. (Pakistan); Musoke D et al. (Uganda); Roche SD et al. (Kenya)</w:t>
            </w:r>
          </w:p>
        </w:tc>
      </w:tr>
      <w:tr w:rsidR="4369956E" w:rsidTr="3DC7A50A" w14:paraId="5B632B0F">
        <w:trPr>
          <w:trHeight w:val="300"/>
        </w:trPr>
        <w:tc>
          <w:tcPr>
            <w:tcW w:w="1785" w:type="dxa"/>
            <w:tcBorders>
              <w:left w:val="single" w:color="000000" w:themeColor="text1" w:sz="12"/>
              <w:right w:val="single" w:color="000000" w:themeColor="text1" w:sz="12"/>
            </w:tcBorders>
            <w:tcMar/>
            <w:vAlign w:val="center"/>
          </w:tcPr>
          <w:p w:rsidR="4369956E" w:rsidP="3DC7A50A" w:rsidRDefault="4369956E" w14:paraId="5037F3DF" w14:textId="317103C8">
            <w:pPr>
              <w:rPr>
                <w:rFonts w:ascii="Arial" w:hAnsi="Arial" w:eastAsia="Arial" w:cs="Arial"/>
              </w:rPr>
            </w:pPr>
          </w:p>
        </w:tc>
        <w:tc>
          <w:tcPr>
            <w:tcW w:w="1425" w:type="dxa"/>
            <w:tcBorders>
              <w:left w:val="single" w:color="000000" w:themeColor="text1" w:sz="12"/>
              <w:right w:val="single" w:color="000000" w:themeColor="text1" w:sz="12"/>
            </w:tcBorders>
            <w:tcMar/>
            <w:vAlign w:val="center"/>
          </w:tcPr>
          <w:p w:rsidR="4369956E" w:rsidP="3DC7A50A" w:rsidRDefault="4369956E" w14:paraId="4B86B8A8" w14:textId="1214CC85">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3.2 Patient expectations and socio-cultural pressure</w:t>
            </w:r>
          </w:p>
        </w:tc>
        <w:tc>
          <w:tcPr>
            <w:tcW w:w="4129" w:type="dxa"/>
            <w:tcBorders>
              <w:left w:val="single" w:color="000000" w:themeColor="text1" w:sz="12"/>
              <w:right w:val="single" w:color="000000" w:themeColor="text1" w:sz="12"/>
            </w:tcBorders>
            <w:tcMar/>
            <w:vAlign w:val="center"/>
          </w:tcPr>
          <w:p w:rsidR="4369956E" w:rsidP="3DC7A50A" w:rsidRDefault="4369956E" w14:paraId="7157FDB3" w14:textId="135E271A">
            <w:pPr>
              <w:bidi w:val="0"/>
              <w:spacing w:before="0" w:beforeAutospacing="off" w:after="0" w:afterAutospacing="off"/>
              <w:rPr>
                <w:rFonts w:ascii="Arial" w:hAnsi="Arial" w:eastAsia="Arial" w:cs="Arial"/>
              </w:rPr>
            </w:pPr>
            <w:r w:rsidRPr="3DC7A50A" w:rsidR="2ECFB12B">
              <w:rPr>
                <w:rFonts w:ascii="Arial" w:hAnsi="Arial" w:eastAsia="Arial" w:cs="Arial"/>
              </w:rPr>
              <w:t xml:space="preserve">Patient demand for rapid service and non-prescription medicines placed pharmacists in ethically challenging positions, particularly </w:t>
            </w:r>
            <w:r w:rsidRPr="3DC7A50A" w:rsidR="2ECFB12B">
              <w:rPr>
                <w:rFonts w:ascii="Arial" w:hAnsi="Arial" w:eastAsia="Arial" w:cs="Arial"/>
              </w:rPr>
              <w:t>regarding</w:t>
            </w:r>
            <w:r w:rsidRPr="3DC7A50A" w:rsidR="2ECFB12B">
              <w:rPr>
                <w:rFonts w:ascii="Arial" w:hAnsi="Arial" w:eastAsia="Arial" w:cs="Arial"/>
              </w:rPr>
              <w:t xml:space="preserve"> antibiotics.</w:t>
            </w:r>
          </w:p>
        </w:tc>
        <w:tc>
          <w:tcPr>
            <w:tcW w:w="2021" w:type="dxa"/>
            <w:tcBorders>
              <w:left w:val="single" w:color="000000" w:themeColor="text1" w:sz="12"/>
              <w:right w:val="single" w:color="000000" w:themeColor="text1" w:sz="12"/>
            </w:tcBorders>
            <w:tcMar/>
            <w:vAlign w:val="center"/>
          </w:tcPr>
          <w:p w:rsidR="4369956E" w:rsidP="3DC7A50A" w:rsidRDefault="4369956E" w14:paraId="2289F52E" w14:textId="10DD09FA">
            <w:pPr>
              <w:bidi w:val="0"/>
              <w:spacing w:before="0" w:beforeAutospacing="off" w:after="0" w:afterAutospacing="off"/>
              <w:rPr>
                <w:rFonts w:ascii="Arial" w:hAnsi="Arial" w:eastAsia="Arial" w:cs="Arial"/>
              </w:rPr>
            </w:pPr>
            <w:r w:rsidRPr="3DC7A50A" w:rsidR="2ECFB12B">
              <w:rPr>
                <w:rFonts w:ascii="Arial" w:hAnsi="Arial" w:eastAsia="Arial" w:cs="Arial"/>
              </w:rPr>
              <w:t>Saleem Z et al. (Pakistan); Atif M et al. (Pakistan); Kamba PF et al. (Uganda)</w:t>
            </w:r>
          </w:p>
        </w:tc>
      </w:tr>
      <w:tr w:rsidR="4369956E" w:rsidTr="3DC7A50A" w14:paraId="1E566C27">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40E22767" w14:textId="56D4AD69">
            <w:pPr>
              <w:rPr>
                <w:rFonts w:ascii="Arial" w:hAnsi="Arial" w:eastAsia="Arial" w:cs="Arial"/>
              </w:rPr>
            </w:pPr>
          </w:p>
        </w:tc>
        <w:tc>
          <w:tcPr>
            <w:tcW w:w="142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48F0D9D4" w14:textId="142DF17D">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3.3 Resource constraints and moral distress</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5BA8B34D" w14:textId="70449EB8">
            <w:pPr>
              <w:bidi w:val="0"/>
              <w:spacing w:before="0" w:beforeAutospacing="off" w:after="0" w:afterAutospacing="off"/>
              <w:rPr>
                <w:rFonts w:ascii="Arial" w:hAnsi="Arial" w:eastAsia="Arial" w:cs="Arial"/>
              </w:rPr>
            </w:pPr>
            <w:r w:rsidRPr="3DC7A50A" w:rsidR="2ECFB12B">
              <w:rPr>
                <w:rFonts w:ascii="Arial" w:hAnsi="Arial" w:eastAsia="Arial" w:cs="Arial"/>
              </w:rPr>
              <w:t>Stock shortages, infrastructural limitations, and inadequate storage forced pharmacists to make ethically compromised dispensing decisions.</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1190B639" w14:textId="32512B94">
            <w:pPr>
              <w:bidi w:val="0"/>
              <w:spacing w:before="0" w:beforeAutospacing="off" w:after="0" w:afterAutospacing="off"/>
              <w:rPr>
                <w:rFonts w:ascii="Arial" w:hAnsi="Arial" w:eastAsia="Arial" w:cs="Arial"/>
              </w:rPr>
            </w:pPr>
            <w:r w:rsidRPr="3DC7A50A" w:rsidR="2ECFB12B">
              <w:rPr>
                <w:rFonts w:ascii="Arial" w:hAnsi="Arial" w:eastAsia="Arial" w:cs="Arial"/>
              </w:rPr>
              <w:t xml:space="preserve">Mekonnen AB et al. (Ethiopia); </w:t>
            </w:r>
            <w:r w:rsidRPr="3DC7A50A" w:rsidR="2ECFB12B">
              <w:rPr>
                <w:rFonts w:ascii="Arial" w:hAnsi="Arial" w:eastAsia="Arial" w:cs="Arial"/>
              </w:rPr>
              <w:t>Gelayee</w:t>
            </w:r>
            <w:r w:rsidRPr="3DC7A50A" w:rsidR="2ECFB12B">
              <w:rPr>
                <w:rFonts w:ascii="Arial" w:hAnsi="Arial" w:eastAsia="Arial" w:cs="Arial"/>
              </w:rPr>
              <w:t xml:space="preserve"> DA et al. (Ethiopia); Crafford L et al. (South Africa)</w:t>
            </w:r>
          </w:p>
        </w:tc>
      </w:tr>
      <w:tr w:rsidR="4369956E" w:rsidTr="3DC7A50A" w14:paraId="179428A6">
        <w:trPr>
          <w:trHeight w:val="300"/>
        </w:trPr>
        <w:tc>
          <w:tcPr>
            <w:tcW w:w="178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51247CEE" w14:textId="31862D6C">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Theme 4: Quality Improvement and Technology Enhance Medication Safety</w:t>
            </w:r>
          </w:p>
        </w:tc>
        <w:tc>
          <w:tcPr>
            <w:tcW w:w="1425"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6E22AF32" w14:textId="564F86FC">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4.1 Targeted education and training interventions</w:t>
            </w:r>
          </w:p>
        </w:tc>
        <w:tc>
          <w:tcPr>
            <w:tcW w:w="4129"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6C934A4D" w14:textId="2B0B891F">
            <w:pPr>
              <w:bidi w:val="0"/>
              <w:spacing w:before="0" w:beforeAutospacing="off" w:after="0" w:afterAutospacing="off"/>
              <w:rPr>
                <w:rFonts w:ascii="Arial" w:hAnsi="Arial" w:eastAsia="Arial" w:cs="Arial"/>
              </w:rPr>
            </w:pPr>
            <w:r w:rsidRPr="3DC7A50A" w:rsidR="2ECFB12B">
              <w:rPr>
                <w:rFonts w:ascii="Arial" w:hAnsi="Arial" w:eastAsia="Arial" w:cs="Arial"/>
              </w:rPr>
              <w:t>Structured workshops and in-service training improved clinical confidence, guideline adherence, and decision-making accuracy.</w:t>
            </w:r>
          </w:p>
        </w:tc>
        <w:tc>
          <w:tcPr>
            <w:tcW w:w="2021" w:type="dxa"/>
            <w:tcBorders>
              <w:top w:val="single" w:color="000000" w:themeColor="text1" w:sz="12"/>
              <w:left w:val="single" w:color="000000" w:themeColor="text1" w:sz="12"/>
              <w:right w:val="single" w:color="000000" w:themeColor="text1" w:sz="12"/>
            </w:tcBorders>
            <w:tcMar/>
            <w:vAlign w:val="center"/>
          </w:tcPr>
          <w:p w:rsidR="4369956E" w:rsidP="3DC7A50A" w:rsidRDefault="4369956E" w14:paraId="404A3CD3" w14:textId="0E879790">
            <w:pPr>
              <w:bidi w:val="0"/>
              <w:spacing w:before="0" w:beforeAutospacing="off" w:after="0" w:afterAutospacing="off"/>
              <w:rPr>
                <w:rFonts w:ascii="Arial" w:hAnsi="Arial" w:eastAsia="Arial" w:cs="Arial"/>
              </w:rPr>
            </w:pPr>
            <w:r w:rsidRPr="3DC7A50A" w:rsidR="2ECFB12B">
              <w:rPr>
                <w:rFonts w:ascii="Arial" w:hAnsi="Arial" w:eastAsia="Arial" w:cs="Arial"/>
              </w:rPr>
              <w:t>Musoke D et al. (Uganda); Saleem NH et al. (Pakistan); Mbugua SM et al. (Kenya)</w:t>
            </w:r>
          </w:p>
        </w:tc>
      </w:tr>
      <w:tr w:rsidR="4369956E" w:rsidTr="3DC7A50A" w14:paraId="72AA23F6">
        <w:trPr>
          <w:trHeight w:val="300"/>
        </w:trPr>
        <w:tc>
          <w:tcPr>
            <w:tcW w:w="1785" w:type="dxa"/>
            <w:tcBorders>
              <w:left w:val="single" w:color="000000" w:themeColor="text1" w:sz="12"/>
              <w:right w:val="single" w:color="000000" w:themeColor="text1" w:sz="12"/>
            </w:tcBorders>
            <w:tcMar/>
            <w:vAlign w:val="center"/>
          </w:tcPr>
          <w:p w:rsidR="4369956E" w:rsidP="3DC7A50A" w:rsidRDefault="4369956E" w14:paraId="0F467DC0" w14:textId="3CAFEEEB">
            <w:pPr>
              <w:rPr>
                <w:rFonts w:ascii="Arial" w:hAnsi="Arial" w:eastAsia="Arial" w:cs="Arial"/>
              </w:rPr>
            </w:pPr>
          </w:p>
        </w:tc>
        <w:tc>
          <w:tcPr>
            <w:tcW w:w="1425" w:type="dxa"/>
            <w:tcBorders>
              <w:left w:val="single" w:color="000000" w:themeColor="text1" w:sz="12"/>
              <w:right w:val="single" w:color="000000" w:themeColor="text1" w:sz="12"/>
            </w:tcBorders>
            <w:tcMar/>
            <w:vAlign w:val="center"/>
          </w:tcPr>
          <w:p w:rsidR="4369956E" w:rsidP="3DC7A50A" w:rsidRDefault="4369956E" w14:paraId="4A619D5F" w14:textId="1F048410">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 xml:space="preserve">4.2 </w:t>
            </w:r>
            <w:r w:rsidRPr="3DC7A50A" w:rsidR="2ECFB12B">
              <w:rPr>
                <w:rFonts w:ascii="Arial" w:hAnsi="Arial" w:eastAsia="Arial" w:cs="Arial"/>
                <w:b w:val="1"/>
                <w:bCs w:val="1"/>
              </w:rPr>
              <w:t>Standardised</w:t>
            </w:r>
            <w:r w:rsidRPr="3DC7A50A" w:rsidR="2ECFB12B">
              <w:rPr>
                <w:rFonts w:ascii="Arial" w:hAnsi="Arial" w:eastAsia="Arial" w:cs="Arial"/>
                <w:b w:val="1"/>
                <w:bCs w:val="1"/>
              </w:rPr>
              <w:t xml:space="preserve"> protocols and safety checklists</w:t>
            </w:r>
          </w:p>
        </w:tc>
        <w:tc>
          <w:tcPr>
            <w:tcW w:w="4129" w:type="dxa"/>
            <w:tcBorders>
              <w:left w:val="single" w:color="000000" w:themeColor="text1" w:sz="12"/>
              <w:right w:val="single" w:color="000000" w:themeColor="text1" w:sz="12"/>
            </w:tcBorders>
            <w:tcMar/>
            <w:vAlign w:val="center"/>
          </w:tcPr>
          <w:p w:rsidR="4369956E" w:rsidP="3DC7A50A" w:rsidRDefault="4369956E" w14:paraId="54A210F0" w14:textId="06AEA14A">
            <w:pPr>
              <w:bidi w:val="0"/>
              <w:spacing w:before="0" w:beforeAutospacing="off" w:after="0" w:afterAutospacing="off"/>
              <w:rPr>
                <w:rFonts w:ascii="Arial" w:hAnsi="Arial" w:eastAsia="Arial" w:cs="Arial"/>
              </w:rPr>
            </w:pPr>
            <w:r w:rsidRPr="3DC7A50A" w:rsidR="2ECFB12B">
              <w:rPr>
                <w:rFonts w:ascii="Arial" w:hAnsi="Arial" w:eastAsia="Arial" w:cs="Arial"/>
              </w:rPr>
              <w:t xml:space="preserve">Implementation of SOPs, double-check systems, and documentation tools </w:t>
            </w:r>
            <w:r w:rsidRPr="3DC7A50A" w:rsidR="2ECFB12B">
              <w:rPr>
                <w:rFonts w:ascii="Arial" w:hAnsi="Arial" w:eastAsia="Arial" w:cs="Arial"/>
              </w:rPr>
              <w:t>reduced</w:t>
            </w:r>
            <w:r w:rsidRPr="3DC7A50A" w:rsidR="2ECFB12B">
              <w:rPr>
                <w:rFonts w:ascii="Arial" w:hAnsi="Arial" w:eastAsia="Arial" w:cs="Arial"/>
              </w:rPr>
              <w:t xml:space="preserve"> reliance on memory and improved consistency.</w:t>
            </w:r>
          </w:p>
        </w:tc>
        <w:tc>
          <w:tcPr>
            <w:tcW w:w="2021" w:type="dxa"/>
            <w:tcBorders>
              <w:left w:val="single" w:color="000000" w:themeColor="text1" w:sz="12"/>
              <w:right w:val="single" w:color="000000" w:themeColor="text1" w:sz="12"/>
            </w:tcBorders>
            <w:tcMar/>
            <w:vAlign w:val="center"/>
          </w:tcPr>
          <w:p w:rsidR="4369956E" w:rsidP="3DC7A50A" w:rsidRDefault="4369956E" w14:paraId="61CBD352" w14:textId="3F37F3F3">
            <w:pPr>
              <w:bidi w:val="0"/>
              <w:spacing w:before="0" w:beforeAutospacing="off" w:after="0" w:afterAutospacing="off"/>
              <w:rPr>
                <w:rFonts w:ascii="Arial" w:hAnsi="Arial" w:eastAsia="Arial" w:cs="Arial"/>
              </w:rPr>
            </w:pPr>
            <w:r w:rsidRPr="3DC7A50A" w:rsidR="2ECFB12B">
              <w:rPr>
                <w:rFonts w:ascii="Arial" w:hAnsi="Arial" w:eastAsia="Arial" w:cs="Arial"/>
              </w:rPr>
              <w:t>Atif M et al. (Pakistan); Crafford L et al. (South Africa); Kamba PF et al. (Uganda)</w:t>
            </w:r>
          </w:p>
        </w:tc>
      </w:tr>
      <w:tr w:rsidR="4369956E" w:rsidTr="3DC7A50A" w14:paraId="768D4727">
        <w:trPr>
          <w:trHeight w:val="300"/>
        </w:trPr>
        <w:tc>
          <w:tcPr>
            <w:tcW w:w="178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C261B0F" w14:textId="725D2094">
            <w:pPr>
              <w:rPr>
                <w:rFonts w:ascii="Arial" w:hAnsi="Arial" w:eastAsia="Arial" w:cs="Arial"/>
              </w:rPr>
            </w:pPr>
          </w:p>
        </w:tc>
        <w:tc>
          <w:tcPr>
            <w:tcW w:w="1425"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091613FF" w14:textId="0ED3DDED">
            <w:pPr>
              <w:bidi w:val="0"/>
              <w:spacing w:before="0" w:beforeAutospacing="off" w:after="0" w:afterAutospacing="off"/>
              <w:rPr>
                <w:rFonts w:ascii="Arial" w:hAnsi="Arial" w:eastAsia="Arial" w:cs="Arial"/>
                <w:b w:val="1"/>
                <w:bCs w:val="1"/>
              </w:rPr>
            </w:pPr>
            <w:r w:rsidRPr="3DC7A50A" w:rsidR="2ECFB12B">
              <w:rPr>
                <w:rFonts w:ascii="Arial" w:hAnsi="Arial" w:eastAsia="Arial" w:cs="Arial"/>
                <w:b w:val="1"/>
                <w:bCs w:val="1"/>
              </w:rPr>
              <w:t>4.3 Digital technology integration</w:t>
            </w:r>
          </w:p>
        </w:tc>
        <w:tc>
          <w:tcPr>
            <w:tcW w:w="4129"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255A5226" w14:textId="314F17A0">
            <w:pPr>
              <w:bidi w:val="0"/>
              <w:spacing w:before="0" w:beforeAutospacing="off" w:after="0" w:afterAutospacing="off"/>
              <w:rPr>
                <w:rFonts w:ascii="Arial" w:hAnsi="Arial" w:eastAsia="Arial" w:cs="Arial"/>
              </w:rPr>
            </w:pPr>
            <w:r w:rsidRPr="3DC7A50A" w:rsidR="2ECFB12B">
              <w:rPr>
                <w:rFonts w:ascii="Arial" w:hAnsi="Arial" w:eastAsia="Arial" w:cs="Arial"/>
              </w:rPr>
              <w:t xml:space="preserve">Use of electronic prescriptions, digital logs, and barcode verification reduced </w:t>
            </w:r>
            <w:r w:rsidRPr="3DC7A50A" w:rsidR="2ECFB12B">
              <w:rPr>
                <w:rFonts w:ascii="Arial" w:hAnsi="Arial" w:eastAsia="Arial" w:cs="Arial"/>
              </w:rPr>
              <w:t>selection</w:t>
            </w:r>
            <w:r w:rsidRPr="3DC7A50A" w:rsidR="2ECFB12B">
              <w:rPr>
                <w:rFonts w:ascii="Arial" w:hAnsi="Arial" w:eastAsia="Arial" w:cs="Arial"/>
              </w:rPr>
              <w:t xml:space="preserve"> and transcription errors, though infrastructure barriers persisted.</w:t>
            </w:r>
          </w:p>
        </w:tc>
        <w:tc>
          <w:tcPr>
            <w:tcW w:w="2021" w:type="dxa"/>
            <w:tcBorders>
              <w:left w:val="single" w:color="000000" w:themeColor="text1" w:sz="12"/>
              <w:bottom w:val="single" w:color="000000" w:themeColor="text1" w:sz="12"/>
              <w:right w:val="single" w:color="000000" w:themeColor="text1" w:sz="12"/>
            </w:tcBorders>
            <w:tcMar/>
            <w:vAlign w:val="center"/>
          </w:tcPr>
          <w:p w:rsidR="4369956E" w:rsidP="3DC7A50A" w:rsidRDefault="4369956E" w14:paraId="48939540" w14:textId="018317C6">
            <w:pPr>
              <w:bidi w:val="0"/>
              <w:spacing w:before="0" w:beforeAutospacing="off" w:after="0" w:afterAutospacing="off"/>
              <w:rPr>
                <w:rFonts w:ascii="Arial" w:hAnsi="Arial" w:eastAsia="Arial" w:cs="Arial"/>
              </w:rPr>
            </w:pPr>
            <w:r w:rsidRPr="3DC7A50A" w:rsidR="2ECFB12B">
              <w:rPr>
                <w:rFonts w:ascii="Arial" w:hAnsi="Arial" w:eastAsia="Arial" w:cs="Arial"/>
              </w:rPr>
              <w:t xml:space="preserve">Saleem NH et al. (Pakistan); Musoke D et al. (Uganda); </w:t>
            </w:r>
            <w:r w:rsidRPr="3DC7A50A" w:rsidR="2ECFB12B">
              <w:rPr>
                <w:rFonts w:ascii="Arial" w:hAnsi="Arial" w:eastAsia="Arial" w:cs="Arial"/>
              </w:rPr>
              <w:t>Kentab</w:t>
            </w:r>
            <w:r w:rsidRPr="3DC7A50A" w:rsidR="2ECFB12B">
              <w:rPr>
                <w:rFonts w:ascii="Arial" w:hAnsi="Arial" w:eastAsia="Arial" w:cs="Arial"/>
              </w:rPr>
              <w:t xml:space="preserve"> BY et al. (Global)</w:t>
            </w:r>
          </w:p>
        </w:tc>
      </w:tr>
    </w:tbl>
    <w:p w:rsidR="4369956E" w:rsidP="4369956E" w:rsidRDefault="4369956E" w14:paraId="6ECCAAEB" w14:textId="1618F08C">
      <w:pPr>
        <w:bidi w:val="0"/>
        <w:spacing w:before="240" w:beforeAutospacing="off" w:after="240" w:afterAutospacing="off"/>
        <w:jc w:val="both"/>
        <w:rPr>
          <w:rFonts w:ascii="Arial" w:hAnsi="Arial" w:eastAsia="Arial" w:cs="Arial"/>
          <w:noProof w:val="0"/>
          <w:sz w:val="24"/>
          <w:szCs w:val="24"/>
          <w:lang w:val="en-US"/>
        </w:rPr>
      </w:pPr>
    </w:p>
    <w:p w:rsidR="3B7BAD25" w:rsidP="3DC7A50A" w:rsidRDefault="3B7BAD25" w14:paraId="041A1652" w14:textId="12FE27CE">
      <w:pPr>
        <w:bidi w:val="0"/>
        <w:spacing w:before="240" w:beforeAutospacing="off" w:after="240" w:afterAutospacing="off"/>
        <w:jc w:val="both"/>
        <w:rPr>
          <w:rFonts w:ascii="Arial" w:hAnsi="Arial" w:eastAsia="Arial" w:cs="Arial"/>
        </w:rPr>
      </w:pPr>
    </w:p>
    <w:p w:rsidR="3B7BAD25" w:rsidP="3DC7A50A" w:rsidRDefault="3B7BAD25" w14:paraId="008C1AB7" w14:textId="425B6DE5">
      <w:pPr>
        <w:pStyle w:val="Heading3"/>
        <w:rPr>
          <w:rFonts w:ascii="Arial" w:hAnsi="Arial" w:eastAsia="Arial" w:cs="Arial"/>
          <w:b w:val="1"/>
          <w:bCs w:val="1"/>
          <w:noProof w:val="0"/>
          <w:sz w:val="24"/>
          <w:szCs w:val="24"/>
          <w:lang w:val="en-US"/>
        </w:rPr>
      </w:pPr>
      <w:bookmarkStart w:name="_Toc544984139" w:id="1289706857"/>
      <w:r w:rsidRPr="3DC7A50A" w:rsidR="276D89DD">
        <w:rPr>
          <w:noProof w:val="0"/>
          <w:lang w:val="en-US"/>
        </w:rPr>
        <w:t xml:space="preserve">5.4.1 </w:t>
      </w:r>
      <w:r w:rsidRPr="3DC7A50A" w:rsidR="276D89DD">
        <w:rPr>
          <w:noProof w:val="0"/>
          <w:lang w:val="en-US"/>
        </w:rPr>
        <w:t>Theme 1: Knowledge Gaps and Training Deficiencies Among Pharmacists Affect Medication Safety</w:t>
      </w:r>
      <w:bookmarkEnd w:id="1289706857"/>
    </w:p>
    <w:p w:rsidR="3B7BAD25" w:rsidP="5B971295" w:rsidRDefault="3B7BAD25" w14:paraId="76E4AFDD" w14:textId="4B541ED1">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 xml:space="preserve">Subtheme 1.1: </w:t>
      </w:r>
      <w:r w:rsidRPr="3DC7A50A" w:rsidR="276D89DD">
        <w:rPr>
          <w:rFonts w:ascii="Arial" w:hAnsi="Arial" w:eastAsia="Arial" w:cs="Arial"/>
          <w:b w:val="1"/>
          <w:bCs w:val="1"/>
          <w:noProof w:val="0"/>
          <w:sz w:val="24"/>
          <w:szCs w:val="24"/>
          <w:lang w:val="en-US"/>
        </w:rPr>
        <w:t>In</w:t>
      </w:r>
      <w:r w:rsidRPr="3DC7A50A" w:rsidR="276D89DD">
        <w:rPr>
          <w:rFonts w:ascii="Arial" w:hAnsi="Arial" w:eastAsia="Arial" w:cs="Arial"/>
          <w:b w:val="1"/>
          <w:bCs w:val="1"/>
          <w:noProof w:val="0"/>
          <w:sz w:val="24"/>
          <w:szCs w:val="24"/>
          <w:lang w:val="en-US"/>
        </w:rPr>
        <w:t>sufficient Pharmacological and Dispensing Knowledge</w:t>
      </w:r>
    </w:p>
    <w:p w:rsidR="3B7BAD25" w:rsidP="3DC7A50A" w:rsidRDefault="3B7BAD25" w14:paraId="1883C860" w14:textId="682B1B2C">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Across multiple studies, including those by Saleem et al. (2021), Musoke et al. (2023), and Yousaf et al. (2022), pharmacists </w:t>
      </w:r>
      <w:r w:rsidRPr="3DC7A50A" w:rsidR="00DE9849">
        <w:rPr>
          <w:rFonts w:ascii="Arial" w:hAnsi="Arial" w:eastAsia="Arial" w:cs="Arial"/>
          <w:noProof w:val="0"/>
          <w:sz w:val="24"/>
          <w:szCs w:val="24"/>
          <w:lang w:val="en-US"/>
        </w:rPr>
        <w:t>demonstrated</w:t>
      </w:r>
      <w:r w:rsidRPr="3DC7A50A" w:rsidR="00DE9849">
        <w:rPr>
          <w:rFonts w:ascii="Arial" w:hAnsi="Arial" w:eastAsia="Arial" w:cs="Arial"/>
          <w:noProof w:val="0"/>
          <w:sz w:val="24"/>
          <w:szCs w:val="24"/>
          <w:lang w:val="en-US"/>
        </w:rPr>
        <w:t xml:space="preserve"> limited pharmacological understanding, particularly </w:t>
      </w:r>
      <w:r w:rsidRPr="3DC7A50A" w:rsidR="00DE9849">
        <w:rPr>
          <w:rFonts w:ascii="Arial" w:hAnsi="Arial" w:eastAsia="Arial" w:cs="Arial"/>
          <w:noProof w:val="0"/>
          <w:sz w:val="24"/>
          <w:szCs w:val="24"/>
          <w:lang w:val="en-US"/>
        </w:rPr>
        <w:t>regarding</w:t>
      </w:r>
      <w:r w:rsidRPr="3DC7A50A" w:rsidR="00DE9849">
        <w:rPr>
          <w:rFonts w:ascii="Arial" w:hAnsi="Arial" w:eastAsia="Arial" w:cs="Arial"/>
          <w:noProof w:val="0"/>
          <w:sz w:val="24"/>
          <w:szCs w:val="24"/>
          <w:lang w:val="en-US"/>
        </w:rPr>
        <w:t xml:space="preserve"> dosage adjustments, contraindications, and drug–drug interactions. These deficits impaired their ability to </w:t>
      </w:r>
      <w:r w:rsidRPr="3DC7A50A" w:rsidR="00DE9849">
        <w:rPr>
          <w:rFonts w:ascii="Arial" w:hAnsi="Arial" w:eastAsia="Arial" w:cs="Arial"/>
          <w:noProof w:val="0"/>
          <w:sz w:val="24"/>
          <w:szCs w:val="24"/>
          <w:lang w:val="en-US"/>
        </w:rPr>
        <w:t>identify</w:t>
      </w:r>
      <w:r w:rsidRPr="3DC7A50A" w:rsidR="00DE9849">
        <w:rPr>
          <w:rFonts w:ascii="Arial" w:hAnsi="Arial" w:eastAsia="Arial" w:cs="Arial"/>
          <w:noProof w:val="0"/>
          <w:sz w:val="24"/>
          <w:szCs w:val="24"/>
          <w:lang w:val="en-US"/>
        </w:rPr>
        <w:t xml:space="preserve"> prescription inconsistencies or explain medication use effectively to patients. A noteworthy finding is that many LMIC pharmacy programs are theory-heavy and lack structured clinical components, resulting in pharmacists entering the workforce without adequate experiential grounding. Such knowledge gaps </w:t>
      </w:r>
      <w:r w:rsidRPr="3DC7A50A" w:rsidR="00DE9849">
        <w:rPr>
          <w:rFonts w:ascii="Arial" w:hAnsi="Arial" w:eastAsia="Arial" w:cs="Arial"/>
          <w:noProof w:val="0"/>
          <w:sz w:val="24"/>
          <w:szCs w:val="24"/>
          <w:lang w:val="en-US"/>
        </w:rPr>
        <w:t>directly</w:t>
      </w:r>
      <w:r w:rsidRPr="3DC7A50A" w:rsidR="00DE9849">
        <w:rPr>
          <w:rFonts w:ascii="Arial" w:hAnsi="Arial" w:eastAsia="Arial" w:cs="Arial"/>
          <w:noProof w:val="0"/>
          <w:sz w:val="24"/>
          <w:szCs w:val="24"/>
          <w:lang w:val="en-US"/>
        </w:rPr>
        <w:t xml:space="preserve"> translated into wrong-drug dispensing, incorrect strength </w:t>
      </w:r>
      <w:r w:rsidRPr="3DC7A50A" w:rsidR="00DE9849">
        <w:rPr>
          <w:rFonts w:ascii="Arial" w:hAnsi="Arial" w:eastAsia="Arial" w:cs="Arial"/>
          <w:noProof w:val="0"/>
          <w:sz w:val="24"/>
          <w:szCs w:val="24"/>
          <w:lang w:val="en-US"/>
        </w:rPr>
        <w:t>selection</w:t>
      </w:r>
      <w:r w:rsidRPr="3DC7A50A" w:rsidR="00DE9849">
        <w:rPr>
          <w:rFonts w:ascii="Arial" w:hAnsi="Arial" w:eastAsia="Arial" w:cs="Arial"/>
          <w:noProof w:val="0"/>
          <w:sz w:val="24"/>
          <w:szCs w:val="24"/>
          <w:lang w:val="en-US"/>
        </w:rPr>
        <w:t xml:space="preserve">, and inaccurate substitutions. The studies also highlighted that dispensers without formal pharmacy qualifications, which </w:t>
      </w:r>
      <w:r w:rsidRPr="3DC7A50A" w:rsidR="00DE9849">
        <w:rPr>
          <w:rFonts w:ascii="Arial" w:hAnsi="Arial" w:eastAsia="Arial" w:cs="Arial"/>
          <w:noProof w:val="0"/>
          <w:sz w:val="24"/>
          <w:szCs w:val="24"/>
          <w:lang w:val="en-US"/>
        </w:rPr>
        <w:t>is</w:t>
      </w:r>
      <w:r w:rsidRPr="3DC7A50A" w:rsidR="00DE9849">
        <w:rPr>
          <w:rFonts w:ascii="Arial" w:hAnsi="Arial" w:eastAsia="Arial" w:cs="Arial"/>
          <w:noProof w:val="0"/>
          <w:sz w:val="24"/>
          <w:szCs w:val="24"/>
          <w:lang w:val="en-US"/>
        </w:rPr>
        <w:t xml:space="preserve"> common in LMIC community settings, face significant cognitive barriers in ensuring medication safety.</w:t>
      </w:r>
    </w:p>
    <w:p w:rsidR="3B7BAD25" w:rsidP="5B971295" w:rsidRDefault="3B7BAD25" w14:paraId="70C6651A" w14:textId="1386B161">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1.2:</w:t>
      </w:r>
      <w:r w:rsidRPr="3DC7A50A" w:rsidR="276D89DD">
        <w:rPr>
          <w:rFonts w:ascii="Arial" w:hAnsi="Arial" w:eastAsia="Arial" w:cs="Arial"/>
          <w:b w:val="1"/>
          <w:bCs w:val="1"/>
          <w:noProof w:val="0"/>
          <w:sz w:val="24"/>
          <w:szCs w:val="24"/>
          <w:lang w:val="en-US"/>
        </w:rPr>
        <w:t xml:space="preserve"> </w:t>
      </w:r>
      <w:r w:rsidRPr="3DC7A50A" w:rsidR="276D89DD">
        <w:rPr>
          <w:rFonts w:ascii="Arial" w:hAnsi="Arial" w:eastAsia="Arial" w:cs="Arial"/>
          <w:b w:val="1"/>
          <w:bCs w:val="1"/>
          <w:noProof w:val="0"/>
          <w:sz w:val="24"/>
          <w:szCs w:val="24"/>
          <w:lang w:val="en-US"/>
        </w:rPr>
        <w:t>Lack of Structured Continuing Education Programs</w:t>
      </w:r>
    </w:p>
    <w:p w:rsidR="3B7BAD25" w:rsidP="3DC7A50A" w:rsidRDefault="3B7BAD25" w14:paraId="25CD9145" w14:textId="3074E707">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Awan et al. (2020) and Kifle et al. (2021) reported that pharmacists rarely receive mandatory refresher training, leaving them unaware of evolving treatment guidelines, newly introduced medications, and global medication safety protocols. In many LMICs, professional development relies heavily on self-initiative, </w:t>
      </w:r>
      <w:r w:rsidRPr="3DC7A50A" w:rsidR="00DE9849">
        <w:rPr>
          <w:rFonts w:ascii="Arial" w:hAnsi="Arial" w:eastAsia="Arial" w:cs="Arial"/>
          <w:noProof w:val="0"/>
          <w:sz w:val="24"/>
          <w:szCs w:val="24"/>
          <w:lang w:val="en-US"/>
        </w:rPr>
        <w:t>resulting</w:t>
      </w:r>
      <w:r w:rsidRPr="3DC7A50A" w:rsidR="00DE9849">
        <w:rPr>
          <w:rFonts w:ascii="Arial" w:hAnsi="Arial" w:eastAsia="Arial" w:cs="Arial"/>
          <w:noProof w:val="0"/>
          <w:sz w:val="24"/>
          <w:szCs w:val="24"/>
          <w:lang w:val="en-US"/>
        </w:rPr>
        <w:t xml:space="preserve"> in inconsistent knowledge levels across the workforce. Saleem et al. (2021) </w:t>
      </w:r>
      <w:r w:rsidRPr="3DC7A50A" w:rsidR="00DE9849">
        <w:rPr>
          <w:rFonts w:ascii="Arial" w:hAnsi="Arial" w:eastAsia="Arial" w:cs="Arial"/>
          <w:noProof w:val="0"/>
          <w:sz w:val="24"/>
          <w:szCs w:val="24"/>
          <w:lang w:val="en-US"/>
        </w:rPr>
        <w:t>emphasised</w:t>
      </w:r>
      <w:r w:rsidRPr="3DC7A50A" w:rsidR="00DE9849">
        <w:rPr>
          <w:rFonts w:ascii="Arial" w:hAnsi="Arial" w:eastAsia="Arial" w:cs="Arial"/>
          <w:noProof w:val="0"/>
          <w:sz w:val="24"/>
          <w:szCs w:val="24"/>
          <w:lang w:val="en-US"/>
        </w:rPr>
        <w:t xml:space="preserve"> that pharmacists felt underprepared to handle clinical complexities due to the absence of competency-based evaluations. This gap becomes more pronounced in rural or independent pharmacies, where staff have limited access to accredited training providers. As a result, pharmacists often rely on outdated practices, perpetuating avoidable dispensing errors.</w:t>
      </w:r>
    </w:p>
    <w:p w:rsidR="3B7BAD25" w:rsidP="5B971295" w:rsidRDefault="3B7BAD25" w14:paraId="7E9353B3" w14:textId="6D6C2EC3">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 xml:space="preserve">Subtheme 1.3: </w:t>
      </w:r>
      <w:r w:rsidRPr="3DC7A50A" w:rsidR="5224F6BA">
        <w:rPr>
          <w:rFonts w:ascii="Arial" w:hAnsi="Arial" w:eastAsia="Arial" w:cs="Arial"/>
          <w:b w:val="1"/>
          <w:bCs w:val="1"/>
          <w:noProof w:val="0"/>
          <w:sz w:val="24"/>
          <w:szCs w:val="24"/>
          <w:lang w:val="en-US"/>
        </w:rPr>
        <w:t>D</w:t>
      </w:r>
      <w:r w:rsidRPr="3DC7A50A" w:rsidR="5224F6BA">
        <w:rPr>
          <w:rFonts w:ascii="Arial" w:hAnsi="Arial" w:eastAsia="Arial" w:cs="Arial"/>
          <w:b w:val="1"/>
          <w:bCs w:val="1"/>
          <w:noProof w:val="0"/>
          <w:sz w:val="24"/>
          <w:szCs w:val="24"/>
          <w:lang w:val="en-US"/>
        </w:rPr>
        <w:t>eficiencies in Practical and Simulation-Based Training</w:t>
      </w:r>
    </w:p>
    <w:p w:rsidR="3B7BAD25" w:rsidP="3DC7A50A" w:rsidRDefault="3B7BAD25" w14:paraId="250B9FBC" w14:textId="1DDE6812">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Musoke et al. (2023) </w:t>
      </w:r>
      <w:r w:rsidRPr="3DC7A50A" w:rsidR="00DE9849">
        <w:rPr>
          <w:rFonts w:ascii="Arial" w:hAnsi="Arial" w:eastAsia="Arial" w:cs="Arial"/>
          <w:noProof w:val="0"/>
          <w:sz w:val="24"/>
          <w:szCs w:val="24"/>
          <w:lang w:val="en-US"/>
        </w:rPr>
        <w:t>observed</w:t>
      </w:r>
      <w:r w:rsidRPr="3DC7A50A" w:rsidR="00DE9849">
        <w:rPr>
          <w:rFonts w:ascii="Arial" w:hAnsi="Arial" w:eastAsia="Arial" w:cs="Arial"/>
          <w:noProof w:val="0"/>
          <w:sz w:val="24"/>
          <w:szCs w:val="24"/>
          <w:lang w:val="en-US"/>
        </w:rPr>
        <w:t xml:space="preserve"> that the lack of structured simulation exercises meant pharmacists were unprepared for high-risk clinical scenarios, such as handling LASA (look-alike sound-alike) medicines or managing polypharmacy in older adults. Yousaf et al. (2022) showed that new pharmacists </w:t>
      </w:r>
      <w:r w:rsidRPr="3DC7A50A" w:rsidR="00DE9849">
        <w:rPr>
          <w:rFonts w:ascii="Arial" w:hAnsi="Arial" w:eastAsia="Arial" w:cs="Arial"/>
          <w:noProof w:val="0"/>
          <w:sz w:val="24"/>
          <w:szCs w:val="24"/>
          <w:lang w:val="en-US"/>
        </w:rPr>
        <w:t>frequently</w:t>
      </w:r>
      <w:r w:rsidRPr="3DC7A50A" w:rsidR="00DE9849">
        <w:rPr>
          <w:rFonts w:ascii="Arial" w:hAnsi="Arial" w:eastAsia="Arial" w:cs="Arial"/>
          <w:noProof w:val="0"/>
          <w:sz w:val="24"/>
          <w:szCs w:val="24"/>
          <w:lang w:val="en-US"/>
        </w:rPr>
        <w:t xml:space="preserve"> depended on informal peer </w:t>
      </w:r>
      <w:r w:rsidRPr="3DC7A50A" w:rsidR="00DE9849">
        <w:rPr>
          <w:rFonts w:ascii="Arial" w:hAnsi="Arial" w:eastAsia="Arial" w:cs="Arial"/>
          <w:noProof w:val="0"/>
          <w:sz w:val="24"/>
          <w:szCs w:val="24"/>
          <w:lang w:val="en-US"/>
        </w:rPr>
        <w:t>assistance</w:t>
      </w:r>
      <w:r w:rsidRPr="3DC7A50A" w:rsidR="00DE9849">
        <w:rPr>
          <w:rFonts w:ascii="Arial" w:hAnsi="Arial" w:eastAsia="Arial" w:cs="Arial"/>
          <w:noProof w:val="0"/>
          <w:sz w:val="24"/>
          <w:szCs w:val="24"/>
          <w:lang w:val="en-US"/>
        </w:rPr>
        <w:t xml:space="preserve"> rather than structured mentorship, </w:t>
      </w:r>
      <w:r w:rsidRPr="3DC7A50A" w:rsidR="00DE9849">
        <w:rPr>
          <w:rFonts w:ascii="Arial" w:hAnsi="Arial" w:eastAsia="Arial" w:cs="Arial"/>
          <w:noProof w:val="0"/>
          <w:sz w:val="24"/>
          <w:szCs w:val="24"/>
          <w:lang w:val="en-US"/>
        </w:rPr>
        <w:t>indicating</w:t>
      </w:r>
      <w:r w:rsidRPr="3DC7A50A" w:rsidR="00DE9849">
        <w:rPr>
          <w:rFonts w:ascii="Arial" w:hAnsi="Arial" w:eastAsia="Arial" w:cs="Arial"/>
          <w:noProof w:val="0"/>
          <w:sz w:val="24"/>
          <w:szCs w:val="24"/>
          <w:lang w:val="en-US"/>
        </w:rPr>
        <w:t xml:space="preserve"> institutional weakness in clinical induction and supervision. Without exposure to realistic dispensing scenarios, pharmacists defaulted to routine, superficial checks rather than analytical clinical reasoning. This training gap increases reliance on guesswork and memory, significantly elevating the risk of medication errors.</w:t>
      </w:r>
    </w:p>
    <w:p w:rsidR="3B7BAD25" w:rsidP="3DC7A50A" w:rsidRDefault="3B7BAD25" w14:paraId="1D229AFF" w14:textId="63656B66">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Overall, Theme 1 underscores that knowledge and skill deficits are foundational drivers of dispensing errors, reinforcing the need for comprehensive training, structured professional development, and competency-based learning models.</w:t>
      </w:r>
    </w:p>
    <w:p w:rsidR="3B7BAD25" w:rsidP="3DC7A50A" w:rsidRDefault="3B7BAD25" w14:paraId="039D2A0C" w14:textId="5DC1127A">
      <w:pPr>
        <w:bidi w:val="0"/>
        <w:spacing w:before="240" w:beforeAutospacing="off" w:after="240" w:afterAutospacing="off"/>
        <w:jc w:val="both"/>
        <w:rPr>
          <w:rFonts w:ascii="Arial" w:hAnsi="Arial" w:eastAsia="Arial" w:cs="Arial"/>
        </w:rPr>
      </w:pPr>
    </w:p>
    <w:p w:rsidR="3B7BAD25" w:rsidP="3DC7A50A" w:rsidRDefault="3B7BAD25" w14:paraId="05D69E81" w14:textId="19ED9B36">
      <w:pPr>
        <w:pStyle w:val="Heading3"/>
        <w:rPr>
          <w:rFonts w:ascii="Arial" w:hAnsi="Arial" w:eastAsia="Arial" w:cs="Arial"/>
          <w:b w:val="1"/>
          <w:bCs w:val="1"/>
          <w:noProof w:val="0"/>
          <w:sz w:val="24"/>
          <w:szCs w:val="24"/>
          <w:lang w:val="en-US"/>
        </w:rPr>
      </w:pPr>
      <w:bookmarkStart w:name="_Toc1881944377" w:id="558574652"/>
      <w:r w:rsidRPr="3DC7A50A" w:rsidR="276D89DD">
        <w:rPr>
          <w:noProof w:val="0"/>
          <w:lang w:val="en-US"/>
        </w:rPr>
        <w:t xml:space="preserve">5.4.2 </w:t>
      </w:r>
      <w:r w:rsidRPr="3DC7A50A" w:rsidR="276D89DD">
        <w:rPr>
          <w:noProof w:val="0"/>
          <w:lang w:val="en-US"/>
        </w:rPr>
        <w:t xml:space="preserve">Theme 2: Systemic and </w:t>
      </w:r>
      <w:r w:rsidRPr="3DC7A50A" w:rsidR="276D89DD">
        <w:rPr>
          <w:noProof w:val="0"/>
          <w:lang w:val="en-US"/>
        </w:rPr>
        <w:t>Organisational</w:t>
      </w:r>
      <w:r w:rsidRPr="3DC7A50A" w:rsidR="276D89DD">
        <w:rPr>
          <w:noProof w:val="0"/>
          <w:lang w:val="en-US"/>
        </w:rPr>
        <w:t xml:space="preserve"> Barriers Impede Safe Dispensing Practices</w:t>
      </w:r>
      <w:bookmarkEnd w:id="558574652"/>
    </w:p>
    <w:p w:rsidR="3B7BAD25" w:rsidP="3DC7A50A" w:rsidRDefault="3B7BAD25" w14:paraId="31D823FE" w14:textId="12EFBC2F">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2.1: High Workload and Staffing Shortages</w:t>
      </w:r>
    </w:p>
    <w:p w:rsidR="3B7BAD25" w:rsidP="3DC7A50A" w:rsidRDefault="3B7BAD25" w14:paraId="67F4D9DF" w14:textId="4BC56ADB">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High prescription volumes, multitasking pressures, and insufficient staffing were consistently reported in studies by Saleem et al. (2021), Kifle et al. (2021), and Musoke et al. (2023). Pharmacists in LMICs often worked long hours with limited support staff, increasing fatigue and reducing attention to detail. In such environments, safety checks such as dose verification, drug interaction assessment, and counselling were </w:t>
      </w:r>
      <w:r w:rsidRPr="3DC7A50A" w:rsidR="00DE9849">
        <w:rPr>
          <w:rFonts w:ascii="Arial" w:hAnsi="Arial" w:eastAsia="Arial" w:cs="Arial"/>
          <w:noProof w:val="0"/>
          <w:sz w:val="24"/>
          <w:szCs w:val="24"/>
          <w:lang w:val="en-US"/>
        </w:rPr>
        <w:t>frequently</w:t>
      </w:r>
      <w:r w:rsidRPr="3DC7A50A" w:rsidR="00DE9849">
        <w:rPr>
          <w:rFonts w:ascii="Arial" w:hAnsi="Arial" w:eastAsia="Arial" w:cs="Arial"/>
          <w:noProof w:val="0"/>
          <w:sz w:val="24"/>
          <w:szCs w:val="24"/>
          <w:lang w:val="en-US"/>
        </w:rPr>
        <w:t xml:space="preserve"> skipped. High workload conditions created a “fast service” culture where speed was valued over accuracy, increasing the risk of dispensing errors, especially during peak hours.</w:t>
      </w:r>
    </w:p>
    <w:p w:rsidR="3B7BAD25" w:rsidP="5B971295" w:rsidRDefault="3B7BAD25" w14:paraId="06FCA74A" w14:textId="5D142DC0">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2.2: Communication Gaps Among Healthcare Providers</w:t>
      </w:r>
    </w:p>
    <w:p w:rsidR="3B7BAD25" w:rsidP="3DC7A50A" w:rsidRDefault="3B7BAD25" w14:paraId="65B3DB9E" w14:textId="75C68877">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Awan et al. (2020) </w:t>
      </w:r>
      <w:r w:rsidRPr="3DC7A50A" w:rsidR="00DE9849">
        <w:rPr>
          <w:rFonts w:ascii="Arial" w:hAnsi="Arial" w:eastAsia="Arial" w:cs="Arial"/>
          <w:noProof w:val="0"/>
          <w:sz w:val="24"/>
          <w:szCs w:val="24"/>
          <w:lang w:val="en-US"/>
        </w:rPr>
        <w:t>identified</w:t>
      </w:r>
      <w:r w:rsidRPr="3DC7A50A" w:rsidR="00DE9849">
        <w:rPr>
          <w:rFonts w:ascii="Arial" w:hAnsi="Arial" w:eastAsia="Arial" w:cs="Arial"/>
          <w:noProof w:val="0"/>
          <w:sz w:val="24"/>
          <w:szCs w:val="24"/>
          <w:lang w:val="en-US"/>
        </w:rPr>
        <w:t xml:space="preserve"> that unclear or incomplete prescriptions—often lacking dosage details or </w:t>
      </w:r>
      <w:r w:rsidRPr="3DC7A50A" w:rsidR="00DE9849">
        <w:rPr>
          <w:rFonts w:ascii="Arial" w:hAnsi="Arial" w:eastAsia="Arial" w:cs="Arial"/>
          <w:noProof w:val="0"/>
          <w:sz w:val="24"/>
          <w:szCs w:val="24"/>
          <w:lang w:val="en-US"/>
        </w:rPr>
        <w:t>indication</w:t>
      </w:r>
      <w:r w:rsidRPr="3DC7A50A" w:rsidR="00DE9849">
        <w:rPr>
          <w:rFonts w:ascii="Arial" w:hAnsi="Arial" w:eastAsia="Arial" w:cs="Arial"/>
          <w:noProof w:val="0"/>
          <w:sz w:val="24"/>
          <w:szCs w:val="24"/>
          <w:lang w:val="en-US"/>
        </w:rPr>
        <w:t xml:space="preserve">—were a major contributor to dispensing errors. Poor communication between physicians and pharmacists prevented </w:t>
      </w:r>
      <w:r w:rsidRPr="3DC7A50A" w:rsidR="00DE9849">
        <w:rPr>
          <w:rFonts w:ascii="Arial" w:hAnsi="Arial" w:eastAsia="Arial" w:cs="Arial"/>
          <w:noProof w:val="0"/>
          <w:sz w:val="24"/>
          <w:szCs w:val="24"/>
          <w:lang w:val="en-US"/>
        </w:rPr>
        <w:t>timely</w:t>
      </w:r>
      <w:r w:rsidRPr="3DC7A50A" w:rsidR="00DE9849">
        <w:rPr>
          <w:rFonts w:ascii="Arial" w:hAnsi="Arial" w:eastAsia="Arial" w:cs="Arial"/>
          <w:noProof w:val="0"/>
          <w:sz w:val="24"/>
          <w:szCs w:val="24"/>
          <w:lang w:val="en-US"/>
        </w:rPr>
        <w:t xml:space="preserve"> clarification of ambiguous orders. Saleem et al. (2021) highlighted that hierarchical barriers discouraged pharmacists from questioning prescribers, limiting opportunities for collaborative medication review. Furthermore, limited patient counselling led to misinterpretation of instructions, contributing to unsafe </w:t>
      </w:r>
      <w:r w:rsidRPr="3DC7A50A" w:rsidR="00DE9849">
        <w:rPr>
          <w:rFonts w:ascii="Arial" w:hAnsi="Arial" w:eastAsia="Arial" w:cs="Arial"/>
          <w:noProof w:val="0"/>
          <w:sz w:val="24"/>
          <w:szCs w:val="24"/>
          <w:lang w:val="en-US"/>
        </w:rPr>
        <w:t>medicine</w:t>
      </w:r>
      <w:r w:rsidRPr="3DC7A50A" w:rsidR="00DE9849">
        <w:rPr>
          <w:rFonts w:ascii="Arial" w:hAnsi="Arial" w:eastAsia="Arial" w:cs="Arial"/>
          <w:noProof w:val="0"/>
          <w:sz w:val="24"/>
          <w:szCs w:val="24"/>
          <w:lang w:val="en-US"/>
        </w:rPr>
        <w:t xml:space="preserve"> use at home.</w:t>
      </w:r>
    </w:p>
    <w:p w:rsidR="3B7BAD25" w:rsidP="5B971295" w:rsidRDefault="3B7BAD25" w14:paraId="6AEEA12F" w14:textId="5D608369">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2.3: Inadequate Standard Operating Procedures (SOPs) and Supervision</w:t>
      </w:r>
    </w:p>
    <w:p w:rsidR="3B7BAD25" w:rsidP="3DC7A50A" w:rsidRDefault="3B7BAD25" w14:paraId="489908C8" w14:textId="3F5CB22F">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Musoke et al. (2023) and Yousaf et al. (2022) noted that many pharmacies lacked standardized workflows for dispensing, documentation, stock rotation, and error reporting. The absence of SOPs created inconsistency, with each pharmacist relying on personal habits rather than structured procedures. Kifle et al. (2021) also highlighted weak supervisory systems where audits were irregular or absent, allowing unsafe practices to persist unnoticed. In some settings, the lack of accountability mechanisms meant pharmacists had no structured feedback system to learn from past mistakes.</w:t>
      </w:r>
    </w:p>
    <w:p w:rsidR="3B7BAD25" w:rsidP="3DC7A50A" w:rsidRDefault="3B7BAD25" w14:paraId="1094AEF6" w14:textId="2E4FAE29">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Collectively, Theme 2 illustrates that pharmacist performance is deeply embedded in </w:t>
      </w:r>
      <w:r w:rsidRPr="3DC7A50A" w:rsidR="00DE9849">
        <w:rPr>
          <w:rFonts w:ascii="Arial" w:hAnsi="Arial" w:eastAsia="Arial" w:cs="Arial"/>
          <w:noProof w:val="0"/>
          <w:sz w:val="24"/>
          <w:szCs w:val="24"/>
          <w:lang w:val="en-US"/>
        </w:rPr>
        <w:t>organisational</w:t>
      </w:r>
      <w:r w:rsidRPr="3DC7A50A" w:rsidR="00DE9849">
        <w:rPr>
          <w:rFonts w:ascii="Arial" w:hAnsi="Arial" w:eastAsia="Arial" w:cs="Arial"/>
          <w:noProof w:val="0"/>
          <w:sz w:val="24"/>
          <w:szCs w:val="24"/>
          <w:lang w:val="en-US"/>
        </w:rPr>
        <w:t xml:space="preserve"> realities, and system improvements are crucial for enhancing medication safety.</w:t>
      </w:r>
    </w:p>
    <w:p w:rsidR="3B7BAD25" w:rsidP="3DC7A50A" w:rsidRDefault="3B7BAD25" w14:paraId="0A004B55" w14:textId="349A3322">
      <w:pPr>
        <w:bidi w:val="0"/>
        <w:spacing w:before="240" w:beforeAutospacing="off" w:after="240" w:afterAutospacing="off"/>
        <w:jc w:val="both"/>
        <w:rPr>
          <w:rFonts w:ascii="Arial" w:hAnsi="Arial" w:eastAsia="Arial" w:cs="Arial"/>
        </w:rPr>
      </w:pPr>
    </w:p>
    <w:p w:rsidR="3B7BAD25" w:rsidP="3DC7A50A" w:rsidRDefault="3B7BAD25" w14:paraId="11B14054" w14:textId="46BDED19">
      <w:pPr>
        <w:pStyle w:val="Heading3"/>
        <w:rPr>
          <w:rFonts w:ascii="Arial" w:hAnsi="Arial" w:eastAsia="Arial" w:cs="Arial"/>
          <w:b w:val="1"/>
          <w:bCs w:val="1"/>
          <w:noProof w:val="0"/>
          <w:sz w:val="28"/>
          <w:szCs w:val="28"/>
          <w:lang w:val="en-US"/>
        </w:rPr>
      </w:pPr>
      <w:bookmarkStart w:name="_Toc1365980672" w:id="815912577"/>
      <w:r w:rsidRPr="3DC7A50A" w:rsidR="276D89DD">
        <w:rPr>
          <w:noProof w:val="0"/>
          <w:lang w:val="en-US"/>
        </w:rPr>
        <w:t>5.4.3 Theme 3: Ethical Challenges and Socio-Cultural Influences Shape Pharmacists’ Attitudes Toward Error Reporting</w:t>
      </w:r>
      <w:bookmarkEnd w:id="815912577"/>
    </w:p>
    <w:p w:rsidR="3B7BAD25" w:rsidP="3DC7A50A" w:rsidRDefault="3B7BAD25" w14:paraId="53BD8016" w14:textId="35AF4E08">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3.1: Fear of Repercussions and Punitive Work Culture</w:t>
      </w:r>
    </w:p>
    <w:p w:rsidR="3B7BAD25" w:rsidP="3DC7A50A" w:rsidRDefault="3B7BAD25" w14:paraId="7247A075" w14:textId="3B069640">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Saleem et al. (2021) and Musoke et al. (2023) showed that pharmacists were reluctant to report errors due to fears of job loss, disciplinary action, or damage to professional reputation. The absence of a non-punitive or “just culture” (Marx, 2001) discouraged learning from mistakes and contributed to error concealment. In many LMIC settings, owners of private pharmacies often blame individuals rather than reviewing systemic causes, reinforcing silence around medication errors.</w:t>
      </w:r>
    </w:p>
    <w:p w:rsidR="3B7BAD25" w:rsidP="5B971295" w:rsidRDefault="3B7BAD25" w14:paraId="2E07966B" w14:textId="0052F2F8">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 xml:space="preserve">Subtheme 3.2: </w:t>
      </w:r>
      <w:r w:rsidRPr="3DC7A50A" w:rsidR="6E8EED87">
        <w:rPr>
          <w:rFonts w:ascii="Arial" w:hAnsi="Arial" w:eastAsia="Arial" w:cs="Arial"/>
          <w:b w:val="1"/>
          <w:bCs w:val="1"/>
          <w:noProof w:val="0"/>
          <w:sz w:val="24"/>
          <w:szCs w:val="24"/>
          <w:lang w:val="en-US"/>
        </w:rPr>
        <w:t>Patient Expectations and Sociocultural Pressure</w:t>
      </w:r>
    </w:p>
    <w:p w:rsidR="3B7BAD25" w:rsidP="3DC7A50A" w:rsidRDefault="3B7BAD25" w14:paraId="1076AC4B" w14:textId="24A4A14E">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Kifle et al. (2021) reported that patients often expect fast service and unquestioned dispensing of medications, placing pharmacists in ethically challenging situations. Saleem et al. (2021) </w:t>
      </w:r>
      <w:r w:rsidRPr="3DC7A50A" w:rsidR="00DE9849">
        <w:rPr>
          <w:rFonts w:ascii="Arial" w:hAnsi="Arial" w:eastAsia="Arial" w:cs="Arial"/>
          <w:noProof w:val="0"/>
          <w:sz w:val="24"/>
          <w:szCs w:val="24"/>
          <w:lang w:val="en-US"/>
        </w:rPr>
        <w:t>observed</w:t>
      </w:r>
      <w:r w:rsidRPr="3DC7A50A" w:rsidR="00DE9849">
        <w:rPr>
          <w:rFonts w:ascii="Arial" w:hAnsi="Arial" w:eastAsia="Arial" w:cs="Arial"/>
          <w:noProof w:val="0"/>
          <w:sz w:val="24"/>
          <w:szCs w:val="24"/>
          <w:lang w:val="en-US"/>
        </w:rPr>
        <w:t xml:space="preserve"> that some pharmacists dispensed antibiotics without valid prescriptions simply to meet patient demand or avoid confrontation. Many patients viewed pharmacists as authoritative figures, intensifying pressure on them to provide treatment solutions even when medically inappropriate.</w:t>
      </w:r>
    </w:p>
    <w:p w:rsidR="3B7BAD25" w:rsidP="5B971295" w:rsidRDefault="3B7BAD25" w14:paraId="18519C43" w14:textId="7BFE5F39">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3.3: Resource Constraints Leading to Ethical Dilemmas</w:t>
      </w:r>
    </w:p>
    <w:p w:rsidR="3B7BAD25" w:rsidP="3DC7A50A" w:rsidRDefault="3B7BAD25" w14:paraId="23E9EDB5" w14:textId="522316F4">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Awan et al. (2020) and Yousaf et al. (2022) highlighted situations where pharmacists were forced to dispense expired items, incomplete dosages, or non-ideal substitutions due to stock shortages and supply chain limitations. These conditions created moral distress, as pharmacists had to choose between patient expectations and limited resources. Infrastructural deficits—such as lack of private counselling areas or poor storage conditions—further complicated ethical decision-making.</w:t>
      </w:r>
    </w:p>
    <w:p w:rsidR="3B7BAD25" w:rsidP="3DC7A50A" w:rsidRDefault="3B7BAD25" w14:paraId="75EAB449" w14:textId="0092DFA8">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Overall, Theme 3 </w:t>
      </w:r>
      <w:r w:rsidRPr="3DC7A50A" w:rsidR="00DE9849">
        <w:rPr>
          <w:rFonts w:ascii="Arial" w:hAnsi="Arial" w:eastAsia="Arial" w:cs="Arial"/>
          <w:noProof w:val="0"/>
          <w:sz w:val="24"/>
          <w:szCs w:val="24"/>
          <w:lang w:val="en-US"/>
        </w:rPr>
        <w:t>demonstrates</w:t>
      </w:r>
      <w:r w:rsidRPr="3DC7A50A" w:rsidR="00DE9849">
        <w:rPr>
          <w:rFonts w:ascii="Arial" w:hAnsi="Arial" w:eastAsia="Arial" w:cs="Arial"/>
          <w:noProof w:val="0"/>
          <w:sz w:val="24"/>
          <w:szCs w:val="24"/>
          <w:lang w:val="en-US"/>
        </w:rPr>
        <w:t xml:space="preserve"> that ethical and socio-cultural pressures heavily influence pharmacist </w:t>
      </w:r>
      <w:r w:rsidRPr="3DC7A50A" w:rsidR="00DE9849">
        <w:rPr>
          <w:rFonts w:ascii="Arial" w:hAnsi="Arial" w:eastAsia="Arial" w:cs="Arial"/>
          <w:noProof w:val="0"/>
          <w:sz w:val="24"/>
          <w:szCs w:val="24"/>
          <w:lang w:val="en-US"/>
        </w:rPr>
        <w:t>behaviour</w:t>
      </w:r>
      <w:r w:rsidRPr="3DC7A50A" w:rsidR="00DE9849">
        <w:rPr>
          <w:rFonts w:ascii="Arial" w:hAnsi="Arial" w:eastAsia="Arial" w:cs="Arial"/>
          <w:noProof w:val="0"/>
          <w:sz w:val="24"/>
          <w:szCs w:val="24"/>
          <w:lang w:val="en-US"/>
        </w:rPr>
        <w:t>, underscoring the need for supportive work environments and public awareness initiatives.</w:t>
      </w:r>
    </w:p>
    <w:p w:rsidR="3B7BAD25" w:rsidP="3DC7A50A" w:rsidRDefault="3B7BAD25" w14:paraId="4E9BA890" w14:textId="0174BB9F">
      <w:pPr>
        <w:bidi w:val="0"/>
        <w:spacing w:before="240" w:beforeAutospacing="off" w:after="240" w:afterAutospacing="off"/>
        <w:jc w:val="both"/>
        <w:rPr>
          <w:rFonts w:ascii="Arial" w:hAnsi="Arial" w:eastAsia="Arial" w:cs="Arial"/>
        </w:rPr>
      </w:pPr>
    </w:p>
    <w:p w:rsidR="3DC7A50A" w:rsidP="3DC7A50A" w:rsidRDefault="3DC7A50A" w14:paraId="512A5B80" w14:textId="587F3D34">
      <w:pPr>
        <w:pStyle w:val="Heading3"/>
        <w:rPr>
          <w:noProof w:val="0"/>
          <w:lang w:val="en-US"/>
        </w:rPr>
      </w:pPr>
    </w:p>
    <w:p w:rsidR="3B7BAD25" w:rsidP="3DC7A50A" w:rsidRDefault="3B7BAD25" w14:paraId="4C705656" w14:textId="6234C7EB">
      <w:pPr>
        <w:pStyle w:val="Heading3"/>
        <w:rPr>
          <w:rFonts w:ascii="Arial" w:hAnsi="Arial" w:eastAsia="Arial" w:cs="Arial"/>
          <w:noProof w:val="0"/>
          <w:lang w:val="en-US"/>
        </w:rPr>
      </w:pPr>
      <w:bookmarkStart w:name="_Toc894060457" w:id="1002286205"/>
      <w:r w:rsidRPr="3DC7A50A" w:rsidR="276D89DD">
        <w:rPr>
          <w:noProof w:val="0"/>
          <w:lang w:val="en-US"/>
        </w:rPr>
        <w:t>5.4.4 Theme 4: Quality Improvement Initiatives and Technology Adoption Enhance Medication Safety in Pharmacy Settings</w:t>
      </w:r>
      <w:bookmarkEnd w:id="1002286205"/>
    </w:p>
    <w:p w:rsidR="3B7BAD25" w:rsidP="5B971295" w:rsidRDefault="3B7BAD25" w14:paraId="58473D61" w14:textId="26D24E38">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4.1: Targeted Continuing Education and Training Interventions</w:t>
      </w:r>
    </w:p>
    <w:p w:rsidR="3B7BAD25" w:rsidP="3DC7A50A" w:rsidRDefault="3B7BAD25" w14:paraId="1D14CEA4" w14:textId="06F7C6A0">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Musoke et al. (2023) and Saleem et al. (2021) documented improvements in pharmacists’ clinical decision-making following structured workshops and in-service training sessions. Kifle et al. (2021) highlighted how interactive learning modules increased adherence to safety procedures and reduced error rates. These initiatives provided pharmacists with updated clinical knowledge, increased confidence, and enhanced ability to </w:t>
      </w:r>
      <w:r w:rsidRPr="3DC7A50A" w:rsidR="00DE9849">
        <w:rPr>
          <w:rFonts w:ascii="Arial" w:hAnsi="Arial" w:eastAsia="Arial" w:cs="Arial"/>
          <w:noProof w:val="0"/>
          <w:sz w:val="24"/>
          <w:szCs w:val="24"/>
          <w:lang w:val="en-US"/>
        </w:rPr>
        <w:t>identify</w:t>
      </w:r>
      <w:r w:rsidRPr="3DC7A50A" w:rsidR="00DE9849">
        <w:rPr>
          <w:rFonts w:ascii="Arial" w:hAnsi="Arial" w:eastAsia="Arial" w:cs="Arial"/>
          <w:noProof w:val="0"/>
          <w:sz w:val="24"/>
          <w:szCs w:val="24"/>
          <w:lang w:val="en-US"/>
        </w:rPr>
        <w:t xml:space="preserve"> high-risk prescriptions.</w:t>
      </w:r>
    </w:p>
    <w:p w:rsidR="3B7BAD25" w:rsidP="5B971295" w:rsidRDefault="3B7BAD25" w14:paraId="3E1E79DD" w14:textId="2BD017A8">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4.2: Adoption of Standardized Protocols and Safety Checklists</w:t>
      </w:r>
    </w:p>
    <w:p w:rsidR="3B7BAD25" w:rsidP="3DC7A50A" w:rsidRDefault="3B7BAD25" w14:paraId="5FFF3A2E" w14:textId="6B5434F5">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Awan et al. (2020) and Yousaf et al. (2022) </w:t>
      </w:r>
      <w:r w:rsidRPr="3DC7A50A" w:rsidR="00DE9849">
        <w:rPr>
          <w:rFonts w:ascii="Arial" w:hAnsi="Arial" w:eastAsia="Arial" w:cs="Arial"/>
          <w:noProof w:val="0"/>
          <w:sz w:val="24"/>
          <w:szCs w:val="24"/>
          <w:lang w:val="en-US"/>
        </w:rPr>
        <w:t>identified</w:t>
      </w:r>
      <w:r w:rsidRPr="3DC7A50A" w:rsidR="00DE9849">
        <w:rPr>
          <w:rFonts w:ascii="Arial" w:hAnsi="Arial" w:eastAsia="Arial" w:cs="Arial"/>
          <w:noProof w:val="0"/>
          <w:sz w:val="24"/>
          <w:szCs w:val="24"/>
          <w:lang w:val="en-US"/>
        </w:rPr>
        <w:t xml:space="preserve"> significant benefits from implementing dispensing SOPs, double-check systems, and safety checklists. These tools created consistency by reducing reliance on memory and personal judgement. </w:t>
      </w:r>
      <w:r w:rsidRPr="3DC7A50A" w:rsidR="00DE9849">
        <w:rPr>
          <w:rFonts w:ascii="Arial" w:hAnsi="Arial" w:eastAsia="Arial" w:cs="Arial"/>
          <w:noProof w:val="0"/>
          <w:sz w:val="24"/>
          <w:szCs w:val="24"/>
          <w:lang w:val="en-US"/>
        </w:rPr>
        <w:t>Standardised</w:t>
      </w:r>
      <w:r w:rsidRPr="3DC7A50A" w:rsidR="00DE9849">
        <w:rPr>
          <w:rFonts w:ascii="Arial" w:hAnsi="Arial" w:eastAsia="Arial" w:cs="Arial"/>
          <w:noProof w:val="0"/>
          <w:sz w:val="24"/>
          <w:szCs w:val="24"/>
          <w:lang w:val="en-US"/>
        </w:rPr>
        <w:t xml:space="preserve"> workflows also </w:t>
      </w:r>
      <w:r w:rsidRPr="3DC7A50A" w:rsidR="00DE9849">
        <w:rPr>
          <w:rFonts w:ascii="Arial" w:hAnsi="Arial" w:eastAsia="Arial" w:cs="Arial"/>
          <w:noProof w:val="0"/>
          <w:sz w:val="24"/>
          <w:szCs w:val="24"/>
          <w:lang w:val="en-US"/>
        </w:rPr>
        <w:t>facilitated</w:t>
      </w:r>
      <w:r w:rsidRPr="3DC7A50A" w:rsidR="00DE9849">
        <w:rPr>
          <w:rFonts w:ascii="Arial" w:hAnsi="Arial" w:eastAsia="Arial" w:cs="Arial"/>
          <w:noProof w:val="0"/>
          <w:sz w:val="24"/>
          <w:szCs w:val="24"/>
          <w:lang w:val="en-US"/>
        </w:rPr>
        <w:t xml:space="preserve"> accountability and made it easier to detect deviations that might lead to errors.</w:t>
      </w:r>
    </w:p>
    <w:p w:rsidR="3B7BAD25" w:rsidP="5B971295" w:rsidRDefault="3B7BAD25" w14:paraId="4543402A" w14:textId="5E75E779">
      <w:pPr>
        <w:bidi w:val="0"/>
        <w:spacing w:before="240" w:beforeAutospacing="off" w:after="240" w:afterAutospacing="off"/>
        <w:jc w:val="both"/>
        <w:rPr>
          <w:rFonts w:ascii="Arial" w:hAnsi="Arial" w:eastAsia="Arial" w:cs="Arial"/>
          <w:b w:val="1"/>
          <w:bCs w:val="1"/>
          <w:noProof w:val="0"/>
          <w:sz w:val="24"/>
          <w:szCs w:val="24"/>
          <w:lang w:val="en-US"/>
        </w:rPr>
      </w:pPr>
      <w:r w:rsidRPr="3DC7A50A" w:rsidR="276D89DD">
        <w:rPr>
          <w:rFonts w:ascii="Arial" w:hAnsi="Arial" w:eastAsia="Arial" w:cs="Arial"/>
          <w:b w:val="1"/>
          <w:bCs w:val="1"/>
          <w:noProof w:val="0"/>
          <w:sz w:val="24"/>
          <w:szCs w:val="24"/>
          <w:lang w:val="en-US"/>
        </w:rPr>
        <w:t>Subtheme 4.3: Integration of Digital Technologies in Dispensing</w:t>
      </w:r>
    </w:p>
    <w:p w:rsidR="3B7BAD25" w:rsidP="3DC7A50A" w:rsidRDefault="3B7BAD25" w14:paraId="64F8211C" w14:textId="33EAA08C">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Saleem et al. (2021) and Musoke et al. (2023) highlighted positive outcomes from early adoption of digital tools such as electronic prescription systems, barcode verification, and digital dispensing logs. These technologies reduced transcription errors and improved accuracy in medication </w:t>
      </w:r>
      <w:r w:rsidRPr="3DC7A50A" w:rsidR="00DE9849">
        <w:rPr>
          <w:rFonts w:ascii="Arial" w:hAnsi="Arial" w:eastAsia="Arial" w:cs="Arial"/>
          <w:noProof w:val="0"/>
          <w:sz w:val="24"/>
          <w:szCs w:val="24"/>
          <w:lang w:val="en-US"/>
        </w:rPr>
        <w:t>selection</w:t>
      </w:r>
      <w:r w:rsidRPr="3DC7A50A" w:rsidR="00DE9849">
        <w:rPr>
          <w:rFonts w:ascii="Arial" w:hAnsi="Arial" w:eastAsia="Arial" w:cs="Arial"/>
          <w:noProof w:val="0"/>
          <w:sz w:val="24"/>
          <w:szCs w:val="24"/>
          <w:lang w:val="en-US"/>
        </w:rPr>
        <w:t>. However, Awan et al. (2020) noted that digital transformation in LMICs is challenged by poor internet connectivity, cost constraints, and limited digital literacy among staff, suggesting the need for context-appropriate technological solutions.</w:t>
      </w:r>
    </w:p>
    <w:p w:rsidR="3B7BAD25" w:rsidP="3DC7A50A" w:rsidRDefault="3B7BAD25" w14:paraId="240EC3EC" w14:textId="394B0A9A">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Together, Theme 4 illustrates that quality improvement and technology adoption offer promising pathways for reducing dispensing errors, but sustainability depends on infrastructure, financial investment, and workforce readiness.</w:t>
      </w:r>
    </w:p>
    <w:p w:rsidR="3B7BAD25" w:rsidP="3DC7A50A" w:rsidRDefault="3B7BAD25" w14:paraId="729A4D2E" w14:textId="2A338D84">
      <w:pPr>
        <w:pStyle w:val="Heading2"/>
        <w:spacing w:before="240" w:beforeAutospacing="off" w:after="240" w:afterAutospacing="off"/>
        <w:jc w:val="both"/>
        <w:rPr>
          <w:rFonts w:ascii="Arial" w:hAnsi="Arial" w:eastAsia="Arial" w:cs="Arial"/>
          <w:noProof w:val="0"/>
          <w:lang w:val="en-US"/>
        </w:rPr>
      </w:pPr>
      <w:bookmarkStart w:name="_Toc962451823" w:id="564133447"/>
      <w:r w:rsidRPr="3DC7A50A" w:rsidR="276D89DD">
        <w:rPr>
          <w:rFonts w:ascii="Arial" w:hAnsi="Arial" w:eastAsia="Arial" w:cs="Arial"/>
          <w:noProof w:val="0"/>
          <w:lang w:val="en-US"/>
        </w:rPr>
        <w:t>5.</w:t>
      </w:r>
      <w:r w:rsidRPr="3DC7A50A" w:rsidR="4C3CCECA">
        <w:rPr>
          <w:rFonts w:ascii="Arial" w:hAnsi="Arial" w:eastAsia="Arial" w:cs="Arial"/>
          <w:noProof w:val="0"/>
          <w:lang w:val="en-US"/>
        </w:rPr>
        <w:t>5</w:t>
      </w:r>
      <w:r w:rsidRPr="3DC7A50A" w:rsidR="276D89DD">
        <w:rPr>
          <w:rFonts w:ascii="Arial" w:hAnsi="Arial" w:eastAsia="Arial" w:cs="Arial"/>
          <w:noProof w:val="0"/>
          <w:lang w:val="en-US"/>
        </w:rPr>
        <w:t xml:space="preserve"> Chapter Summary</w:t>
      </w:r>
      <w:bookmarkEnd w:id="564133447"/>
      <w:r w:rsidRPr="3DC7A50A" w:rsidR="276D89DD">
        <w:rPr>
          <w:rFonts w:ascii="Arial" w:hAnsi="Arial" w:eastAsia="Arial" w:cs="Arial"/>
          <w:noProof w:val="0"/>
          <w:lang w:val="en-US"/>
        </w:rPr>
        <w:t xml:space="preserve"> </w:t>
      </w:r>
    </w:p>
    <w:p w:rsidR="3B7BAD25" w:rsidP="3DC7A50A" w:rsidRDefault="3B7BAD25" w14:paraId="398F50BD" w14:textId="5F65FE3A">
      <w:pPr>
        <w:bidi w:val="0"/>
        <w:spacing w:before="240" w:beforeAutospacing="off" w:after="240" w:afterAutospacing="off"/>
        <w:jc w:val="both"/>
        <w:rPr>
          <w:rFonts w:ascii="Arial" w:hAnsi="Arial" w:eastAsia="Arial" w:cs="Arial"/>
          <w:noProof w:val="0"/>
          <w:sz w:val="24"/>
          <w:szCs w:val="24"/>
          <w:lang w:val="en-US"/>
        </w:rPr>
      </w:pPr>
      <w:r w:rsidRPr="3DC7A50A" w:rsidR="276D89DD">
        <w:rPr>
          <w:rFonts w:ascii="Arial" w:hAnsi="Arial" w:eastAsia="Arial" w:cs="Arial"/>
          <w:noProof w:val="0"/>
          <w:sz w:val="24"/>
          <w:szCs w:val="24"/>
          <w:lang w:val="en-US"/>
        </w:rPr>
        <w:t xml:space="preserve">This chapter presented an in-depth thematic analysis of twelve qualitative studies exploring pharmacist-related dispensing errors in LMICs. Guided by the CASP framework, four interconnected themes </w:t>
      </w:r>
      <w:r w:rsidRPr="3DC7A50A" w:rsidR="276D89DD">
        <w:rPr>
          <w:rFonts w:ascii="Arial" w:hAnsi="Arial" w:eastAsia="Arial" w:cs="Arial"/>
          <w:noProof w:val="0"/>
          <w:sz w:val="24"/>
          <w:szCs w:val="24"/>
          <w:lang w:val="en-US"/>
        </w:rPr>
        <w:t>emerged</w:t>
      </w:r>
      <w:r w:rsidRPr="3DC7A50A" w:rsidR="276D89DD">
        <w:rPr>
          <w:rFonts w:ascii="Arial" w:hAnsi="Arial" w:eastAsia="Arial" w:cs="Arial"/>
          <w:noProof w:val="0"/>
          <w:sz w:val="24"/>
          <w:szCs w:val="24"/>
          <w:lang w:val="en-US"/>
        </w:rPr>
        <w:t xml:space="preserve">: (1) knowledge and training deficiencies, (2) systemic </w:t>
      </w:r>
      <w:r w:rsidRPr="3DC7A50A" w:rsidR="276D89DD">
        <w:rPr>
          <w:rFonts w:ascii="Arial" w:hAnsi="Arial" w:eastAsia="Arial" w:cs="Arial"/>
          <w:noProof w:val="0"/>
          <w:sz w:val="24"/>
          <w:szCs w:val="24"/>
          <w:lang w:val="en-US"/>
        </w:rPr>
        <w:t>organisational</w:t>
      </w:r>
      <w:r w:rsidRPr="3DC7A50A" w:rsidR="276D89DD">
        <w:rPr>
          <w:rFonts w:ascii="Arial" w:hAnsi="Arial" w:eastAsia="Arial" w:cs="Arial"/>
          <w:noProof w:val="0"/>
          <w:sz w:val="24"/>
          <w:szCs w:val="24"/>
          <w:lang w:val="en-US"/>
        </w:rPr>
        <w:t xml:space="preserve"> barriers, (3) ethical and socio-cultural influences, and (4) quality improvement and technological interventions. The analysis showed that dispensing errors are not isolated incidents but stem from deep-rooted structural issues such as inadequate training, high workload, poor communication systems, and lack of SOPs. Ethical tensions and societal expectations further complicate pharmacists’ ability to provide safe and effective care. Importantly, quality improvement </w:t>
      </w:r>
      <w:r w:rsidRPr="3DC7A50A" w:rsidR="276D89DD">
        <w:rPr>
          <w:rFonts w:ascii="Arial" w:hAnsi="Arial" w:eastAsia="Arial" w:cs="Arial"/>
          <w:noProof w:val="0"/>
          <w:sz w:val="24"/>
          <w:szCs w:val="24"/>
          <w:lang w:val="en-US"/>
        </w:rPr>
        <w:t>efforts</w:t>
      </w:r>
      <w:r w:rsidRPr="3DC7A50A" w:rsidR="6BC210D8">
        <w:rPr>
          <w:rFonts w:ascii="Arial" w:hAnsi="Arial" w:eastAsia="Arial" w:cs="Arial"/>
          <w:noProof w:val="0"/>
          <w:sz w:val="24"/>
          <w:szCs w:val="24"/>
          <w:lang w:val="en-US"/>
        </w:rPr>
        <w:t xml:space="preserve"> </w:t>
      </w:r>
      <w:r w:rsidRPr="3DC7A50A" w:rsidR="276D89DD">
        <w:rPr>
          <w:rFonts w:ascii="Arial" w:hAnsi="Arial" w:eastAsia="Arial" w:cs="Arial"/>
          <w:noProof w:val="0"/>
          <w:sz w:val="24"/>
          <w:szCs w:val="24"/>
          <w:lang w:val="en-US"/>
        </w:rPr>
        <w:t xml:space="preserve">including targeted education, </w:t>
      </w:r>
      <w:r w:rsidRPr="3DC7A50A" w:rsidR="276D89DD">
        <w:rPr>
          <w:rFonts w:ascii="Arial" w:hAnsi="Arial" w:eastAsia="Arial" w:cs="Arial"/>
          <w:noProof w:val="0"/>
          <w:sz w:val="24"/>
          <w:szCs w:val="24"/>
          <w:lang w:val="en-US"/>
        </w:rPr>
        <w:t>standardised</w:t>
      </w:r>
      <w:r w:rsidRPr="3DC7A50A" w:rsidR="276D89DD">
        <w:rPr>
          <w:rFonts w:ascii="Arial" w:hAnsi="Arial" w:eastAsia="Arial" w:cs="Arial"/>
          <w:noProof w:val="0"/>
          <w:sz w:val="24"/>
          <w:szCs w:val="24"/>
          <w:lang w:val="en-US"/>
        </w:rPr>
        <w:t xml:space="preserve"> protocols, and digital </w:t>
      </w:r>
      <w:r w:rsidRPr="3DC7A50A" w:rsidR="276D89DD">
        <w:rPr>
          <w:rFonts w:ascii="Arial" w:hAnsi="Arial" w:eastAsia="Arial" w:cs="Arial"/>
          <w:noProof w:val="0"/>
          <w:sz w:val="24"/>
          <w:szCs w:val="24"/>
          <w:lang w:val="en-US"/>
        </w:rPr>
        <w:t>tools</w:t>
      </w:r>
      <w:r w:rsidRPr="3DC7A50A" w:rsidR="2B6612D4">
        <w:rPr>
          <w:rFonts w:ascii="Arial" w:hAnsi="Arial" w:eastAsia="Arial" w:cs="Arial"/>
          <w:noProof w:val="0"/>
          <w:sz w:val="24"/>
          <w:szCs w:val="24"/>
          <w:lang w:val="en-US"/>
        </w:rPr>
        <w:t xml:space="preserve"> </w:t>
      </w:r>
      <w:r w:rsidRPr="3DC7A50A" w:rsidR="276D89DD">
        <w:rPr>
          <w:rFonts w:ascii="Arial" w:hAnsi="Arial" w:eastAsia="Arial" w:cs="Arial"/>
          <w:noProof w:val="0"/>
          <w:sz w:val="24"/>
          <w:szCs w:val="24"/>
          <w:lang w:val="en-US"/>
        </w:rPr>
        <w:t>demonstrated</w:t>
      </w:r>
      <w:r w:rsidRPr="3DC7A50A" w:rsidR="276D89DD">
        <w:rPr>
          <w:rFonts w:ascii="Arial" w:hAnsi="Arial" w:eastAsia="Arial" w:cs="Arial"/>
          <w:noProof w:val="0"/>
          <w:sz w:val="24"/>
          <w:szCs w:val="24"/>
          <w:lang w:val="en-US"/>
        </w:rPr>
        <w:t xml:space="preserve"> potential in reducing errors when appropriately implemented.</w:t>
      </w:r>
    </w:p>
    <w:p w:rsidR="3B7BAD25" w:rsidP="3DC7A50A" w:rsidRDefault="3B7BAD25" w14:paraId="12214563" w14:textId="316B8C4D">
      <w:pPr>
        <w:bidi w:val="0"/>
        <w:spacing w:before="240" w:beforeAutospacing="off" w:after="240" w:afterAutospacing="off"/>
        <w:jc w:val="both"/>
        <w:rPr>
          <w:rFonts w:ascii="Arial" w:hAnsi="Arial" w:eastAsia="Arial" w:cs="Arial"/>
          <w:noProof w:val="0"/>
          <w:sz w:val="24"/>
          <w:szCs w:val="24"/>
          <w:lang w:val="en-US"/>
        </w:rPr>
      </w:pPr>
      <w:r w:rsidRPr="3DC7A50A" w:rsidR="00DE9849">
        <w:rPr>
          <w:rFonts w:ascii="Arial" w:hAnsi="Arial" w:eastAsia="Arial" w:cs="Arial"/>
          <w:noProof w:val="0"/>
          <w:sz w:val="24"/>
          <w:szCs w:val="24"/>
          <w:lang w:val="en-US"/>
        </w:rPr>
        <w:t xml:space="preserve">These findings </w:t>
      </w:r>
      <w:r w:rsidRPr="3DC7A50A" w:rsidR="00DE9849">
        <w:rPr>
          <w:rFonts w:ascii="Arial" w:hAnsi="Arial" w:eastAsia="Arial" w:cs="Arial"/>
          <w:noProof w:val="0"/>
          <w:sz w:val="24"/>
          <w:szCs w:val="24"/>
          <w:lang w:val="en-US"/>
        </w:rPr>
        <w:t>provide</w:t>
      </w:r>
      <w:r w:rsidRPr="3DC7A50A" w:rsidR="00DE9849">
        <w:rPr>
          <w:rFonts w:ascii="Arial" w:hAnsi="Arial" w:eastAsia="Arial" w:cs="Arial"/>
          <w:noProof w:val="0"/>
          <w:sz w:val="24"/>
          <w:szCs w:val="24"/>
          <w:lang w:val="en-US"/>
        </w:rPr>
        <w:t xml:space="preserve"> critical insight into the multi-layered nature of medication safety challenges in LMIC pharmacy settings and create </w:t>
      </w:r>
      <w:r w:rsidRPr="3DC7A50A" w:rsidR="00DE9849">
        <w:rPr>
          <w:rFonts w:ascii="Arial" w:hAnsi="Arial" w:eastAsia="Arial" w:cs="Arial"/>
          <w:noProof w:val="0"/>
          <w:sz w:val="24"/>
          <w:szCs w:val="24"/>
          <w:lang w:val="en-US"/>
        </w:rPr>
        <w:t>a strong foundation</w:t>
      </w:r>
      <w:r w:rsidRPr="3DC7A50A" w:rsidR="00DE9849">
        <w:rPr>
          <w:rFonts w:ascii="Arial" w:hAnsi="Arial" w:eastAsia="Arial" w:cs="Arial"/>
          <w:noProof w:val="0"/>
          <w:sz w:val="24"/>
          <w:szCs w:val="24"/>
          <w:lang w:val="en-US"/>
        </w:rPr>
        <w:t xml:space="preserve"> for the next chapter, which offers evidence-based recommendations for practice, policy reform, and future research directions.</w:t>
      </w:r>
    </w:p>
    <w:p w:rsidR="3DC7A50A" w:rsidP="3DC7A50A" w:rsidRDefault="3DC7A50A" w14:paraId="158D7F23" w14:textId="7486BB6C">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7E51C631" w14:textId="51E8F786">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0CD76099" w14:textId="72CC62BE">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48DCA20D" w14:textId="388B7E1E">
      <w:pPr>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6F8B824A" w14:textId="7592D0CC">
      <w:pPr>
        <w:pStyle w:val="Normal"/>
        <w:bidi w:val="0"/>
        <w:spacing w:before="240" w:beforeAutospacing="off" w:after="240" w:afterAutospacing="off"/>
        <w:jc w:val="both"/>
        <w:rPr>
          <w:rFonts w:ascii="Arial" w:hAnsi="Arial" w:eastAsia="Arial" w:cs="Arial"/>
          <w:noProof w:val="0"/>
          <w:sz w:val="24"/>
          <w:szCs w:val="24"/>
          <w:lang w:val="en-US"/>
        </w:rPr>
      </w:pPr>
    </w:p>
    <w:p w:rsidR="3B7BAD25" w:rsidP="3DC7A50A" w:rsidRDefault="3B7BAD25" w14:paraId="1B59F582" w14:textId="4ED3B03F">
      <w:pPr>
        <w:pStyle w:val="Heading1"/>
        <w:rPr>
          <w:rStyle w:val="Heading1Char"/>
          <w:rFonts w:ascii="Arial" w:hAnsi="Arial" w:eastAsia="Arial" w:cs="Arial"/>
          <w:b w:val="1"/>
          <w:bCs w:val="1"/>
          <w:noProof w:val="0"/>
          <w:color w:val="auto"/>
          <w:lang w:val="en-US"/>
        </w:rPr>
      </w:pPr>
      <w:bookmarkStart w:name="_Toc899709787" w:id="1827117553"/>
      <w:r w:rsidRPr="3DC7A50A" w:rsidR="4AED12A7">
        <w:rPr>
          <w:rFonts w:ascii="Arial" w:hAnsi="Arial" w:eastAsia="Arial" w:cs="Arial"/>
          <w:b w:val="1"/>
          <w:bCs w:val="1"/>
          <w:noProof w:val="0"/>
          <w:color w:val="auto"/>
          <w:lang w:val="en-US"/>
        </w:rPr>
        <w:t>CHAPTER 6: DISCUSSION</w:t>
      </w:r>
      <w:bookmarkEnd w:id="1827117553"/>
    </w:p>
    <w:p w:rsidR="3B7BAD25" w:rsidP="5B971295" w:rsidRDefault="3B7BAD25" w14:paraId="083D5FAC" w14:textId="41579F61">
      <w:pPr>
        <w:pStyle w:val="Heading2"/>
        <w:rPr>
          <w:rFonts w:ascii="Arial" w:hAnsi="Arial" w:eastAsia="Arial" w:cs="Arial"/>
          <w:b w:val="0"/>
          <w:bCs w:val="0"/>
          <w:noProof w:val="0"/>
          <w:sz w:val="36"/>
          <w:szCs w:val="36"/>
          <w:lang w:val="en-US"/>
        </w:rPr>
      </w:pPr>
      <w:bookmarkStart w:name="_Toc1213824802" w:id="580909836"/>
      <w:r w:rsidRPr="3DC7A50A" w:rsidR="13D366BE">
        <w:rPr>
          <w:rFonts w:ascii="Arial" w:hAnsi="Arial" w:eastAsia="Arial" w:cs="Arial"/>
          <w:b w:val="0"/>
          <w:bCs w:val="0"/>
          <w:noProof w:val="0"/>
          <w:sz w:val="36"/>
          <w:szCs w:val="36"/>
          <w:lang w:val="en-US"/>
        </w:rPr>
        <w:t>6.1 Introduction</w:t>
      </w:r>
      <w:bookmarkEnd w:id="580909836"/>
    </w:p>
    <w:p w:rsidR="3B7BAD25" w:rsidP="3DC7A50A" w:rsidRDefault="3B7BAD25" w14:paraId="156DDC3B" w14:textId="345D1E2D">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This chapter critically interprets the findings generated from the thematic analysis presented in Chapter 5, with the aim of uncovering the deeper systemic, </w:t>
      </w:r>
      <w:r w:rsidRPr="3DC7A50A" w:rsidR="7F57E3BC">
        <w:rPr>
          <w:rFonts w:ascii="Arial" w:hAnsi="Arial" w:eastAsia="Arial" w:cs="Arial"/>
          <w:noProof w:val="0"/>
          <w:sz w:val="24"/>
          <w:szCs w:val="24"/>
          <w:lang w:val="en-US"/>
        </w:rPr>
        <w:t>behavioural</w:t>
      </w:r>
      <w:r w:rsidRPr="3DC7A50A" w:rsidR="7F57E3BC">
        <w:rPr>
          <w:rFonts w:ascii="Arial" w:hAnsi="Arial" w:eastAsia="Arial" w:cs="Arial"/>
          <w:noProof w:val="0"/>
          <w:sz w:val="24"/>
          <w:szCs w:val="24"/>
          <w:lang w:val="en-US"/>
        </w:rPr>
        <w:t xml:space="preserve">, ethical, and sociocultural determinants that contribute to pharmacist-related dispensing errors in low- and middle-income countries (LMICs). Rather than </w:t>
      </w:r>
      <w:r w:rsidRPr="3DC7A50A" w:rsidR="7F57E3BC">
        <w:rPr>
          <w:rFonts w:ascii="Arial" w:hAnsi="Arial" w:eastAsia="Arial" w:cs="Arial"/>
          <w:noProof w:val="0"/>
          <w:sz w:val="24"/>
          <w:szCs w:val="24"/>
          <w:lang w:val="en-US"/>
        </w:rPr>
        <w:t>conceptualising</w:t>
      </w:r>
      <w:r w:rsidRPr="3DC7A50A" w:rsidR="7F57E3BC">
        <w:rPr>
          <w:rFonts w:ascii="Arial" w:hAnsi="Arial" w:eastAsia="Arial" w:cs="Arial"/>
          <w:noProof w:val="0"/>
          <w:sz w:val="24"/>
          <w:szCs w:val="24"/>
          <w:lang w:val="en-US"/>
        </w:rPr>
        <w:t xml:space="preserve"> dispensing errors as isolated professional lapses, this discussion situates them within the broader context of fragile health systems, constrained resources, and deeply embedded cultural norms that shape everyday pharmacy practice.</w:t>
      </w:r>
    </w:p>
    <w:p w:rsidR="3B7BAD25" w:rsidP="3DC7A50A" w:rsidRDefault="3B7BAD25" w14:paraId="423B7DCD" w14:textId="582B7DE3">
      <w:pPr>
        <w:bidi w:val="0"/>
        <w:spacing w:before="240" w:beforeAutospacing="off" w:after="240" w:afterAutospacing="off"/>
        <w:jc w:val="both"/>
        <w:rPr>
          <w:rFonts w:ascii="Arial" w:hAnsi="Arial" w:eastAsia="Arial" w:cs="Arial"/>
          <w:noProof w:val="0"/>
          <w:sz w:val="24"/>
          <w:szCs w:val="24"/>
          <w:lang w:val="en-US"/>
        </w:rPr>
      </w:pPr>
      <w:r w:rsidRPr="3DC7A50A" w:rsidR="13D366BE">
        <w:rPr>
          <w:rFonts w:ascii="Arial" w:hAnsi="Arial" w:eastAsia="Arial" w:cs="Arial"/>
          <w:noProof w:val="0"/>
          <w:sz w:val="24"/>
          <w:szCs w:val="24"/>
          <w:lang w:val="en-US"/>
        </w:rPr>
        <w:t xml:space="preserve">The themes </w:t>
      </w:r>
      <w:r w:rsidRPr="3DC7A50A" w:rsidR="13D366BE">
        <w:rPr>
          <w:rFonts w:ascii="Arial" w:hAnsi="Arial" w:eastAsia="Arial" w:cs="Arial"/>
          <w:noProof w:val="0"/>
          <w:sz w:val="24"/>
          <w:szCs w:val="24"/>
          <w:lang w:val="en-US"/>
        </w:rPr>
        <w:t>identified</w:t>
      </w:r>
      <w:r w:rsidRPr="3DC7A50A" w:rsidR="13D366BE">
        <w:rPr>
          <w:rFonts w:ascii="Arial" w:hAnsi="Arial" w:eastAsia="Arial" w:cs="Arial"/>
          <w:noProof w:val="0"/>
          <w:sz w:val="24"/>
          <w:szCs w:val="24"/>
          <w:lang w:val="en-US"/>
        </w:rPr>
        <w:t xml:space="preserve"> in Chapter 5</w:t>
      </w:r>
      <w:r w:rsidRPr="3DC7A50A" w:rsidR="301A90C8">
        <w:rPr>
          <w:rFonts w:ascii="Arial" w:hAnsi="Arial" w:eastAsia="Arial" w:cs="Arial"/>
          <w:noProof w:val="0"/>
          <w:sz w:val="24"/>
          <w:szCs w:val="24"/>
          <w:lang w:val="en-US"/>
        </w:rPr>
        <w:t xml:space="preserve"> </w:t>
      </w:r>
      <w:r w:rsidRPr="3DC7A50A" w:rsidR="13D366BE">
        <w:rPr>
          <w:rFonts w:ascii="Arial" w:hAnsi="Arial" w:eastAsia="Arial" w:cs="Arial"/>
          <w:noProof w:val="0"/>
          <w:sz w:val="24"/>
          <w:szCs w:val="24"/>
          <w:lang w:val="en-US"/>
        </w:rPr>
        <w:t xml:space="preserve">namely </w:t>
      </w:r>
      <w:r w:rsidRPr="3DC7A50A" w:rsidR="13D366BE">
        <w:rPr>
          <w:rFonts w:ascii="Arial" w:hAnsi="Arial" w:eastAsia="Arial" w:cs="Arial"/>
          <w:b w:val="0"/>
          <w:bCs w:val="0"/>
          <w:noProof w:val="0"/>
          <w:sz w:val="24"/>
          <w:szCs w:val="24"/>
          <w:lang w:val="en-US"/>
        </w:rPr>
        <w:t>knowledge and training deficiencies</w:t>
      </w:r>
      <w:r w:rsidRPr="3DC7A50A" w:rsidR="13D366BE">
        <w:rPr>
          <w:rFonts w:ascii="Arial" w:hAnsi="Arial" w:eastAsia="Arial" w:cs="Arial"/>
          <w:b w:val="0"/>
          <w:bCs w:val="0"/>
          <w:noProof w:val="0"/>
          <w:sz w:val="24"/>
          <w:szCs w:val="24"/>
          <w:lang w:val="en-US"/>
        </w:rPr>
        <w:t xml:space="preserve">, </w:t>
      </w:r>
      <w:r w:rsidRPr="3DC7A50A" w:rsidR="13D366BE">
        <w:rPr>
          <w:rFonts w:ascii="Arial" w:hAnsi="Arial" w:eastAsia="Arial" w:cs="Arial"/>
          <w:b w:val="0"/>
          <w:bCs w:val="0"/>
          <w:noProof w:val="0"/>
          <w:sz w:val="24"/>
          <w:szCs w:val="24"/>
          <w:lang w:val="en-US"/>
        </w:rPr>
        <w:t xml:space="preserve">systemic and </w:t>
      </w:r>
      <w:r w:rsidRPr="3DC7A50A" w:rsidR="13D366BE">
        <w:rPr>
          <w:rFonts w:ascii="Arial" w:hAnsi="Arial" w:eastAsia="Arial" w:cs="Arial"/>
          <w:b w:val="0"/>
          <w:bCs w:val="0"/>
          <w:noProof w:val="0"/>
          <w:sz w:val="24"/>
          <w:szCs w:val="24"/>
          <w:lang w:val="en-US"/>
        </w:rPr>
        <w:t>organisational</w:t>
      </w:r>
      <w:r w:rsidRPr="3DC7A50A" w:rsidR="13D366BE">
        <w:rPr>
          <w:rFonts w:ascii="Arial" w:hAnsi="Arial" w:eastAsia="Arial" w:cs="Arial"/>
          <w:b w:val="0"/>
          <w:bCs w:val="0"/>
          <w:noProof w:val="0"/>
          <w:sz w:val="24"/>
          <w:szCs w:val="24"/>
          <w:lang w:val="en-US"/>
        </w:rPr>
        <w:t xml:space="preserve"> barriers</w:t>
      </w:r>
      <w:r w:rsidRPr="3DC7A50A" w:rsidR="13D366BE">
        <w:rPr>
          <w:rFonts w:ascii="Arial" w:hAnsi="Arial" w:eastAsia="Arial" w:cs="Arial"/>
          <w:b w:val="0"/>
          <w:bCs w:val="0"/>
          <w:noProof w:val="0"/>
          <w:sz w:val="24"/>
          <w:szCs w:val="24"/>
          <w:lang w:val="en-US"/>
        </w:rPr>
        <w:t xml:space="preserve">, </w:t>
      </w:r>
      <w:r w:rsidRPr="3DC7A50A" w:rsidR="13D366BE">
        <w:rPr>
          <w:rFonts w:ascii="Arial" w:hAnsi="Arial" w:eastAsia="Arial" w:cs="Arial"/>
          <w:b w:val="0"/>
          <w:bCs w:val="0"/>
          <w:noProof w:val="0"/>
          <w:sz w:val="24"/>
          <w:szCs w:val="24"/>
          <w:lang w:val="en-US"/>
        </w:rPr>
        <w:t>ethical and sociocultural influences</w:t>
      </w:r>
      <w:r w:rsidRPr="3DC7A50A" w:rsidR="13D366BE">
        <w:rPr>
          <w:rFonts w:ascii="Arial" w:hAnsi="Arial" w:eastAsia="Arial" w:cs="Arial"/>
          <w:b w:val="0"/>
          <w:bCs w:val="0"/>
          <w:noProof w:val="0"/>
          <w:sz w:val="24"/>
          <w:szCs w:val="24"/>
          <w:lang w:val="en-US"/>
        </w:rPr>
        <w:t xml:space="preserve">, and </w:t>
      </w:r>
      <w:r w:rsidRPr="3DC7A50A" w:rsidR="13D366BE">
        <w:rPr>
          <w:rFonts w:ascii="Arial" w:hAnsi="Arial" w:eastAsia="Arial" w:cs="Arial"/>
          <w:b w:val="0"/>
          <w:bCs w:val="0"/>
          <w:noProof w:val="0"/>
          <w:sz w:val="24"/>
          <w:szCs w:val="24"/>
          <w:lang w:val="en-US"/>
        </w:rPr>
        <w:t>quality improvement and technology integration</w:t>
      </w:r>
      <w:r w:rsidRPr="3DC7A50A" w:rsidR="65AFC6BD">
        <w:rPr>
          <w:rFonts w:ascii="Arial" w:hAnsi="Arial" w:eastAsia="Arial" w:cs="Arial"/>
          <w:b w:val="0"/>
          <w:bCs w:val="0"/>
          <w:noProof w:val="0"/>
          <w:sz w:val="24"/>
          <w:szCs w:val="24"/>
          <w:lang w:val="en-US"/>
        </w:rPr>
        <w:t xml:space="preserve"> </w:t>
      </w:r>
      <w:r w:rsidRPr="3DC7A50A" w:rsidR="13D366BE">
        <w:rPr>
          <w:rFonts w:ascii="Arial" w:hAnsi="Arial" w:eastAsia="Arial" w:cs="Arial"/>
          <w:noProof w:val="0"/>
          <w:sz w:val="24"/>
          <w:szCs w:val="24"/>
          <w:lang w:val="en-US"/>
        </w:rPr>
        <w:t>demonstrate</w:t>
      </w:r>
      <w:r w:rsidRPr="3DC7A50A" w:rsidR="13D366BE">
        <w:rPr>
          <w:rFonts w:ascii="Arial" w:hAnsi="Arial" w:eastAsia="Arial" w:cs="Arial"/>
          <w:noProof w:val="0"/>
          <w:sz w:val="24"/>
          <w:szCs w:val="24"/>
          <w:lang w:val="en-US"/>
        </w:rPr>
        <w:t xml:space="preserve"> that dispensing errors arise through complex interactions between individual capability and system design. This perspective aligns with contemporary patient safety literature, which </w:t>
      </w:r>
      <w:r w:rsidRPr="3DC7A50A" w:rsidR="13D366BE">
        <w:rPr>
          <w:rFonts w:ascii="Arial" w:hAnsi="Arial" w:eastAsia="Arial" w:cs="Arial"/>
          <w:noProof w:val="0"/>
          <w:sz w:val="24"/>
          <w:szCs w:val="24"/>
          <w:lang w:val="en-US"/>
        </w:rPr>
        <w:t>emphasises</w:t>
      </w:r>
      <w:r w:rsidRPr="3DC7A50A" w:rsidR="13D366BE">
        <w:rPr>
          <w:rFonts w:ascii="Arial" w:hAnsi="Arial" w:eastAsia="Arial" w:cs="Arial"/>
          <w:noProof w:val="0"/>
          <w:sz w:val="24"/>
          <w:szCs w:val="24"/>
          <w:lang w:val="en-US"/>
        </w:rPr>
        <w:t xml:space="preserve"> that unsafe outcomes are rarely caused by a single failure but instead </w:t>
      </w:r>
      <w:r w:rsidRPr="3DC7A50A" w:rsidR="13D366BE">
        <w:rPr>
          <w:rFonts w:ascii="Arial" w:hAnsi="Arial" w:eastAsia="Arial" w:cs="Arial"/>
          <w:noProof w:val="0"/>
          <w:sz w:val="24"/>
          <w:szCs w:val="24"/>
          <w:lang w:val="en-US"/>
        </w:rPr>
        <w:t>emerge</w:t>
      </w:r>
      <w:r w:rsidRPr="3DC7A50A" w:rsidR="13D366BE">
        <w:rPr>
          <w:rFonts w:ascii="Arial" w:hAnsi="Arial" w:eastAsia="Arial" w:cs="Arial"/>
          <w:noProof w:val="0"/>
          <w:sz w:val="24"/>
          <w:szCs w:val="24"/>
          <w:lang w:val="en-US"/>
        </w:rPr>
        <w:t xml:space="preserve"> from multiple, interacting vulnerabilities within healthcare systems (Musoke et al., 2023; Saleem et al., 2021).</w:t>
      </w:r>
    </w:p>
    <w:p w:rsidR="3B7BAD25" w:rsidP="3DC7A50A" w:rsidRDefault="3B7BAD25" w14:paraId="02F90824" w14:textId="68192EB0">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Dispensing errors </w:t>
      </w:r>
      <w:r w:rsidRPr="3DC7A50A" w:rsidR="7F57E3BC">
        <w:rPr>
          <w:rFonts w:ascii="Arial" w:hAnsi="Arial" w:eastAsia="Arial" w:cs="Arial"/>
          <w:noProof w:val="0"/>
          <w:sz w:val="24"/>
          <w:szCs w:val="24"/>
          <w:lang w:val="en-US"/>
        </w:rPr>
        <w:t>remain</w:t>
      </w:r>
      <w:r w:rsidRPr="3DC7A50A" w:rsidR="7F57E3BC">
        <w:rPr>
          <w:rFonts w:ascii="Arial" w:hAnsi="Arial" w:eastAsia="Arial" w:cs="Arial"/>
          <w:noProof w:val="0"/>
          <w:sz w:val="24"/>
          <w:szCs w:val="24"/>
          <w:lang w:val="en-US"/>
        </w:rPr>
        <w:t xml:space="preserve"> a significant yet under-</w:t>
      </w:r>
      <w:r w:rsidRPr="3DC7A50A" w:rsidR="7F57E3BC">
        <w:rPr>
          <w:rFonts w:ascii="Arial" w:hAnsi="Arial" w:eastAsia="Arial" w:cs="Arial"/>
          <w:noProof w:val="0"/>
          <w:sz w:val="24"/>
          <w:szCs w:val="24"/>
          <w:lang w:val="en-US"/>
        </w:rPr>
        <w:t>recognised</w:t>
      </w:r>
      <w:r w:rsidRPr="3DC7A50A" w:rsidR="7F57E3BC">
        <w:rPr>
          <w:rFonts w:ascii="Arial" w:hAnsi="Arial" w:eastAsia="Arial" w:cs="Arial"/>
          <w:noProof w:val="0"/>
          <w:sz w:val="24"/>
          <w:szCs w:val="24"/>
          <w:lang w:val="en-US"/>
        </w:rPr>
        <w:t xml:space="preserve"> threat to patient safety in LMICs. Weak regulatory oversight, limited accountability mechanisms, absence of robust error-reporting systems, and sociocultural norms that discourage disclosure all contribute to the </w:t>
      </w:r>
      <w:r w:rsidRPr="3DC7A50A" w:rsidR="7F57E3BC">
        <w:rPr>
          <w:rFonts w:ascii="Arial" w:hAnsi="Arial" w:eastAsia="Arial" w:cs="Arial"/>
          <w:noProof w:val="0"/>
          <w:sz w:val="24"/>
          <w:szCs w:val="24"/>
          <w:lang w:val="en-US"/>
        </w:rPr>
        <w:t>normalisation</w:t>
      </w:r>
      <w:r w:rsidRPr="3DC7A50A" w:rsidR="7F57E3BC">
        <w:rPr>
          <w:rFonts w:ascii="Arial" w:hAnsi="Arial" w:eastAsia="Arial" w:cs="Arial"/>
          <w:noProof w:val="0"/>
          <w:sz w:val="24"/>
          <w:szCs w:val="24"/>
          <w:lang w:val="en-US"/>
        </w:rPr>
        <w:t xml:space="preserve"> and concealment of unsafe practices (Auta et al., 2018; Kifle et al., 2021). Consequently, the true burden of medication-related harm is </w:t>
      </w:r>
      <w:r w:rsidRPr="3DC7A50A" w:rsidR="7F57E3BC">
        <w:rPr>
          <w:rFonts w:ascii="Arial" w:hAnsi="Arial" w:eastAsia="Arial" w:cs="Arial"/>
          <w:noProof w:val="0"/>
          <w:sz w:val="24"/>
          <w:szCs w:val="24"/>
          <w:lang w:val="en-US"/>
        </w:rPr>
        <w:t>likely underestimated</w:t>
      </w:r>
      <w:r w:rsidRPr="3DC7A50A" w:rsidR="7F57E3BC">
        <w:rPr>
          <w:rFonts w:ascii="Arial" w:hAnsi="Arial" w:eastAsia="Arial" w:cs="Arial"/>
          <w:noProof w:val="0"/>
          <w:sz w:val="24"/>
          <w:szCs w:val="24"/>
          <w:lang w:val="en-US"/>
        </w:rPr>
        <w:t>, limiting opportunities for learning and quality improvement.</w:t>
      </w:r>
    </w:p>
    <w:p w:rsidR="3B7BAD25" w:rsidP="3DC7A50A" w:rsidRDefault="3B7BAD25" w14:paraId="0C0C0A92" w14:textId="6FC0955C">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This chapter discusses the findings across seven interconnected domains:</w:t>
      </w:r>
    </w:p>
    <w:p w:rsidR="3B7BAD25" w:rsidP="4369956E" w:rsidRDefault="3B7BAD25" w14:paraId="651808BF" w14:textId="579ABFE3">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Systemic and </w:t>
      </w:r>
      <w:r w:rsidRPr="3DC7A50A" w:rsidR="7F57E3BC">
        <w:rPr>
          <w:rFonts w:ascii="Arial" w:hAnsi="Arial" w:eastAsia="Arial" w:cs="Arial"/>
          <w:noProof w:val="0"/>
          <w:sz w:val="24"/>
          <w:szCs w:val="24"/>
          <w:lang w:val="en-US"/>
        </w:rPr>
        <w:t>organisational</w:t>
      </w:r>
      <w:r w:rsidRPr="3DC7A50A" w:rsidR="7F57E3BC">
        <w:rPr>
          <w:rFonts w:ascii="Arial" w:hAnsi="Arial" w:eastAsia="Arial" w:cs="Arial"/>
          <w:noProof w:val="0"/>
          <w:sz w:val="24"/>
          <w:szCs w:val="24"/>
          <w:lang w:val="en-US"/>
        </w:rPr>
        <w:t xml:space="preserve"> barriers</w:t>
      </w:r>
    </w:p>
    <w:p w:rsidR="3B7BAD25" w:rsidP="4369956E" w:rsidRDefault="3B7BAD25" w14:paraId="6FCEE158" w14:textId="0F2E02FD">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Impact on patient outcomes</w:t>
      </w:r>
    </w:p>
    <w:p w:rsidR="3B7BAD25" w:rsidP="4369956E" w:rsidRDefault="3B7BAD25" w14:paraId="1FB9864F" w14:textId="1C9A734E">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Cultural and ethical dynamics influencing pharmacist </w:t>
      </w:r>
      <w:r w:rsidRPr="3DC7A50A" w:rsidR="7F57E3BC">
        <w:rPr>
          <w:rFonts w:ascii="Arial" w:hAnsi="Arial" w:eastAsia="Arial" w:cs="Arial"/>
          <w:noProof w:val="0"/>
          <w:sz w:val="24"/>
          <w:szCs w:val="24"/>
          <w:lang w:val="en-US"/>
        </w:rPr>
        <w:t>behaviour</w:t>
      </w:r>
    </w:p>
    <w:p w:rsidR="3B7BAD25" w:rsidP="4369956E" w:rsidRDefault="3B7BAD25" w14:paraId="5DDCEC1B" w14:textId="7E78D158">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Avoidance </w:t>
      </w:r>
      <w:r w:rsidRPr="3DC7A50A" w:rsidR="7F57E3BC">
        <w:rPr>
          <w:rFonts w:ascii="Arial" w:hAnsi="Arial" w:eastAsia="Arial" w:cs="Arial"/>
          <w:noProof w:val="0"/>
          <w:sz w:val="24"/>
          <w:szCs w:val="24"/>
          <w:lang w:val="en-US"/>
        </w:rPr>
        <w:t>behaviours</w:t>
      </w:r>
      <w:r w:rsidRPr="3DC7A50A" w:rsidR="7F57E3BC">
        <w:rPr>
          <w:rFonts w:ascii="Arial" w:hAnsi="Arial" w:eastAsia="Arial" w:cs="Arial"/>
          <w:noProof w:val="0"/>
          <w:sz w:val="24"/>
          <w:szCs w:val="24"/>
          <w:lang w:val="en-US"/>
        </w:rPr>
        <w:t xml:space="preserve"> and the role of families</w:t>
      </w:r>
    </w:p>
    <w:p w:rsidR="3B7BAD25" w:rsidP="4369956E" w:rsidRDefault="3B7BAD25" w14:paraId="004393D2" w14:textId="377949BE">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Language and communication barriers</w:t>
      </w:r>
    </w:p>
    <w:p w:rsidR="3B7BAD25" w:rsidP="4369956E" w:rsidRDefault="3B7BAD25" w14:paraId="68DA9CCB" w14:textId="41EC0CF5">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Socioeconomic inequities shaping dispensing practices</w:t>
      </w:r>
    </w:p>
    <w:p w:rsidR="3B7BAD25" w:rsidP="4369956E" w:rsidRDefault="3B7BAD25" w14:paraId="7562DE34" w14:textId="3DF866BC">
      <w:pPr>
        <w:pStyle w:val="ListParagraph"/>
        <w:numPr>
          <w:ilvl w:val="0"/>
          <w:numId w:val="9"/>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Evidence-informed recommendations arising from the thematic synthesis</w:t>
      </w:r>
    </w:p>
    <w:p w:rsidR="3B7BAD25" w:rsidP="3DC7A50A" w:rsidRDefault="3B7BAD25" w14:paraId="24C7F5B2" w14:textId="39ADE726">
      <w:pPr>
        <w:bidi w:val="0"/>
        <w:spacing w:before="240" w:beforeAutospacing="off" w:after="240" w:afterAutospacing="off"/>
        <w:jc w:val="both"/>
        <w:rPr>
          <w:rFonts w:ascii="Arial" w:hAnsi="Arial" w:eastAsia="Arial" w:cs="Arial"/>
          <w:noProof w:val="0"/>
          <w:sz w:val="24"/>
          <w:szCs w:val="24"/>
          <w:lang w:val="en-US"/>
        </w:rPr>
      </w:pPr>
      <w:r w:rsidRPr="3DC7A50A" w:rsidR="13D366BE">
        <w:rPr>
          <w:rFonts w:ascii="Arial" w:hAnsi="Arial" w:eastAsia="Arial" w:cs="Arial"/>
          <w:noProof w:val="0"/>
          <w:sz w:val="24"/>
          <w:szCs w:val="24"/>
          <w:lang w:val="en-US"/>
        </w:rPr>
        <w:t xml:space="preserve">Overall, this discussion reinforces the argument that </w:t>
      </w:r>
      <w:r w:rsidRPr="3DC7A50A" w:rsidR="13D366BE">
        <w:rPr>
          <w:rFonts w:ascii="Arial" w:hAnsi="Arial" w:eastAsia="Arial" w:cs="Arial"/>
          <w:b w:val="0"/>
          <w:bCs w:val="0"/>
          <w:noProof w:val="0"/>
          <w:sz w:val="24"/>
          <w:szCs w:val="24"/>
          <w:lang w:val="en-US"/>
        </w:rPr>
        <w:t>meaningful and sustainable improvements in medication safety in LMICs require system-wide reform</w:t>
      </w:r>
      <w:r w:rsidRPr="3DC7A50A" w:rsidR="13D366BE">
        <w:rPr>
          <w:rFonts w:ascii="Arial" w:hAnsi="Arial" w:eastAsia="Arial" w:cs="Arial"/>
          <w:noProof w:val="0"/>
          <w:sz w:val="24"/>
          <w:szCs w:val="24"/>
          <w:lang w:val="en-US"/>
        </w:rPr>
        <w:t>, rather than narrow interventions focused solely on individual performance.</w:t>
      </w:r>
    </w:p>
    <w:p w:rsidR="3B7BAD25" w:rsidP="3DC7A50A" w:rsidRDefault="3B7BAD25" w14:paraId="264AE38F" w14:textId="698DF0ED">
      <w:pPr>
        <w:bidi w:val="0"/>
        <w:spacing w:before="240" w:beforeAutospacing="off" w:after="240" w:afterAutospacing="off"/>
        <w:jc w:val="both"/>
        <w:rPr>
          <w:rFonts w:ascii="Arial" w:hAnsi="Arial" w:eastAsia="Arial" w:cs="Arial"/>
        </w:rPr>
      </w:pPr>
    </w:p>
    <w:p w:rsidR="3B7BAD25" w:rsidP="5B971295" w:rsidRDefault="3B7BAD25" w14:paraId="7DBCA565" w14:textId="27463FEE">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425492968" w:id="698993445"/>
      <w:r w:rsidRPr="3DC7A50A" w:rsidR="13D366BE">
        <w:rPr>
          <w:rFonts w:ascii="Arial" w:hAnsi="Arial" w:eastAsia="Arial" w:cs="Arial"/>
          <w:b w:val="0"/>
          <w:bCs w:val="0"/>
          <w:noProof w:val="0"/>
          <w:sz w:val="36"/>
          <w:szCs w:val="36"/>
          <w:lang w:val="en-US"/>
        </w:rPr>
        <w:t xml:space="preserve">6.2 Systemic and </w:t>
      </w:r>
      <w:r w:rsidRPr="3DC7A50A" w:rsidR="13D366BE">
        <w:rPr>
          <w:rFonts w:ascii="Arial" w:hAnsi="Arial" w:eastAsia="Arial" w:cs="Arial"/>
          <w:b w:val="0"/>
          <w:bCs w:val="0"/>
          <w:noProof w:val="0"/>
          <w:sz w:val="36"/>
          <w:szCs w:val="36"/>
          <w:lang w:val="en-US"/>
        </w:rPr>
        <w:t>Organisational</w:t>
      </w:r>
      <w:r w:rsidRPr="3DC7A50A" w:rsidR="13D366BE">
        <w:rPr>
          <w:rFonts w:ascii="Arial" w:hAnsi="Arial" w:eastAsia="Arial" w:cs="Arial"/>
          <w:b w:val="0"/>
          <w:bCs w:val="0"/>
          <w:noProof w:val="0"/>
          <w:sz w:val="36"/>
          <w:szCs w:val="36"/>
          <w:lang w:val="en-US"/>
        </w:rPr>
        <w:t xml:space="preserve"> Barriers</w:t>
      </w:r>
      <w:bookmarkEnd w:id="698993445"/>
      <w:r w:rsidRPr="3DC7A50A" w:rsidR="13D366BE">
        <w:rPr>
          <w:rFonts w:ascii="Arial" w:hAnsi="Arial" w:eastAsia="Arial" w:cs="Arial"/>
          <w:b w:val="0"/>
          <w:bCs w:val="0"/>
          <w:noProof w:val="0"/>
          <w:sz w:val="36"/>
          <w:szCs w:val="36"/>
          <w:lang w:val="en-US"/>
        </w:rPr>
        <w:t xml:space="preserve"> </w:t>
      </w:r>
    </w:p>
    <w:p w:rsidR="3B7BAD25" w:rsidP="3DC7A50A" w:rsidRDefault="3B7BAD25" w14:paraId="1BA3385C" w14:textId="34795569">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Chapter 5 </w:t>
      </w:r>
      <w:r w:rsidRPr="3DC7A50A" w:rsidR="7F57E3BC">
        <w:rPr>
          <w:rFonts w:ascii="Arial" w:hAnsi="Arial" w:eastAsia="Arial" w:cs="Arial"/>
          <w:noProof w:val="0"/>
          <w:sz w:val="24"/>
          <w:szCs w:val="24"/>
          <w:lang w:val="en-US"/>
        </w:rPr>
        <w:t>identified</w:t>
      </w:r>
      <w:r w:rsidRPr="3DC7A50A" w:rsidR="7F57E3BC">
        <w:rPr>
          <w:rFonts w:ascii="Arial" w:hAnsi="Arial" w:eastAsia="Arial" w:cs="Arial"/>
          <w:noProof w:val="0"/>
          <w:sz w:val="24"/>
          <w:szCs w:val="24"/>
          <w:lang w:val="en-US"/>
        </w:rPr>
        <w:t xml:space="preserve"> systemic and </w:t>
      </w:r>
      <w:r w:rsidRPr="3DC7A50A" w:rsidR="7F57E3BC">
        <w:rPr>
          <w:rFonts w:ascii="Arial" w:hAnsi="Arial" w:eastAsia="Arial" w:cs="Arial"/>
          <w:noProof w:val="0"/>
          <w:sz w:val="24"/>
          <w:szCs w:val="24"/>
          <w:lang w:val="en-US"/>
        </w:rPr>
        <w:t>organisational</w:t>
      </w:r>
      <w:r w:rsidRPr="3DC7A50A" w:rsidR="7F57E3BC">
        <w:rPr>
          <w:rFonts w:ascii="Arial" w:hAnsi="Arial" w:eastAsia="Arial" w:cs="Arial"/>
          <w:noProof w:val="0"/>
          <w:sz w:val="24"/>
          <w:szCs w:val="24"/>
          <w:lang w:val="en-US"/>
        </w:rPr>
        <w:t xml:space="preserve"> barriers as one of the most significant contributors to dispensing errors in LMIC pharmacy settings. Pharmacies often </w:t>
      </w:r>
      <w:r w:rsidRPr="3DC7A50A" w:rsidR="7F57E3BC">
        <w:rPr>
          <w:rFonts w:ascii="Arial" w:hAnsi="Arial" w:eastAsia="Arial" w:cs="Arial"/>
          <w:noProof w:val="0"/>
          <w:sz w:val="24"/>
          <w:szCs w:val="24"/>
          <w:lang w:val="en-US"/>
        </w:rPr>
        <w:t>operate</w:t>
      </w:r>
      <w:r w:rsidRPr="3DC7A50A" w:rsidR="7F57E3BC">
        <w:rPr>
          <w:rFonts w:ascii="Arial" w:hAnsi="Arial" w:eastAsia="Arial" w:cs="Arial"/>
          <w:noProof w:val="0"/>
          <w:sz w:val="24"/>
          <w:szCs w:val="24"/>
          <w:lang w:val="en-US"/>
        </w:rPr>
        <w:t xml:space="preserve"> under conditions </w:t>
      </w:r>
      <w:r w:rsidRPr="3DC7A50A" w:rsidR="7F57E3BC">
        <w:rPr>
          <w:rFonts w:ascii="Arial" w:hAnsi="Arial" w:eastAsia="Arial" w:cs="Arial"/>
          <w:noProof w:val="0"/>
          <w:sz w:val="24"/>
          <w:szCs w:val="24"/>
          <w:lang w:val="en-US"/>
        </w:rPr>
        <w:t>characterised</w:t>
      </w:r>
      <w:r w:rsidRPr="3DC7A50A" w:rsidR="7F57E3BC">
        <w:rPr>
          <w:rFonts w:ascii="Arial" w:hAnsi="Arial" w:eastAsia="Arial" w:cs="Arial"/>
          <w:noProof w:val="0"/>
          <w:sz w:val="24"/>
          <w:szCs w:val="24"/>
          <w:lang w:val="en-US"/>
        </w:rPr>
        <w:t xml:space="preserve"> by excessive workload, chronic understaffing, inadequate supervision, and inconsistent or absent standard operating procedures (SOPs), all of which directly increase the likelihood of human error (Musoke et al., 2023; Saleem et al., 2021).</w:t>
      </w:r>
    </w:p>
    <w:p w:rsidR="3B7BAD25" w:rsidP="3DC7A50A" w:rsidRDefault="3B7BAD25" w14:paraId="233062A8" w14:textId="63B9CCF1">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The finding that pharmacists routinely dispense extremely high volumes of prescriptions with minimal technical or administrative support reflects structural failure rather than individual inefficiency. Sustained multitasking under time pressure reduces cognitive capacity, increases fatigue, and compromises vigilance, leading to skipped verification steps and reliance on heuristics. This is consistent with international evidence </w:t>
      </w:r>
      <w:r w:rsidRPr="3DC7A50A" w:rsidR="7F57E3BC">
        <w:rPr>
          <w:rFonts w:ascii="Arial" w:hAnsi="Arial" w:eastAsia="Arial" w:cs="Arial"/>
          <w:noProof w:val="0"/>
          <w:sz w:val="24"/>
          <w:szCs w:val="24"/>
          <w:lang w:val="en-US"/>
        </w:rPr>
        <w:t>demonstrating</w:t>
      </w:r>
      <w:r w:rsidRPr="3DC7A50A" w:rsidR="7F57E3BC">
        <w:rPr>
          <w:rFonts w:ascii="Arial" w:hAnsi="Arial" w:eastAsia="Arial" w:cs="Arial"/>
          <w:noProof w:val="0"/>
          <w:sz w:val="24"/>
          <w:szCs w:val="24"/>
          <w:lang w:val="en-US"/>
        </w:rPr>
        <w:t xml:space="preserve"> that dispensing error rates rise sharply when pharmacists exceed safe workload thresholds (Okumura et al., 2021).</w:t>
      </w:r>
    </w:p>
    <w:p w:rsidR="3B7BAD25" w:rsidP="3DC7A50A" w:rsidRDefault="3B7BAD25" w14:paraId="740001B6" w14:textId="063495A4">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Communication failures between prescribers and pharmacists further intensify these risks. Illegible handwriting, incomplete prescriptions, and ambiguous dosing instructions force pharmacists to make assumptions, often without the opportunity to seek clarification. Hierarchical professional norms prevalent in many LMICs discourage pharmacists from questioning prescribers, particularly senior physicians, even when patient safety is at risk (Awan et al., 2020). This dynamic weakens interprofessional collaboration and removes a critical safety barrier within the medication-use process.</w:t>
      </w:r>
    </w:p>
    <w:p w:rsidR="3B7BAD25" w:rsidP="3DC7A50A" w:rsidRDefault="3B7BAD25" w14:paraId="21BDEAE8" w14:textId="0A7F6E3E">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Additionally, the absence or poor enforcement of SOPs means that dispensing practices vary widely between individuals and facilities. Without structured workflows, safety checks become optional rather than mandatory, increasing variability and reducing reliability. The lack of routine audits, supervision, and feedback mechanisms prevents </w:t>
      </w:r>
      <w:r w:rsidRPr="3DC7A50A" w:rsidR="7F57E3BC">
        <w:rPr>
          <w:rFonts w:ascii="Arial" w:hAnsi="Arial" w:eastAsia="Arial" w:cs="Arial"/>
          <w:noProof w:val="0"/>
          <w:sz w:val="24"/>
          <w:szCs w:val="24"/>
          <w:lang w:val="en-US"/>
        </w:rPr>
        <w:t>organisations</w:t>
      </w:r>
      <w:r w:rsidRPr="3DC7A50A" w:rsidR="7F57E3BC">
        <w:rPr>
          <w:rFonts w:ascii="Arial" w:hAnsi="Arial" w:eastAsia="Arial" w:cs="Arial"/>
          <w:noProof w:val="0"/>
          <w:sz w:val="24"/>
          <w:szCs w:val="24"/>
          <w:lang w:val="en-US"/>
        </w:rPr>
        <w:t xml:space="preserve"> from </w:t>
      </w:r>
      <w:r w:rsidRPr="3DC7A50A" w:rsidR="7F57E3BC">
        <w:rPr>
          <w:rFonts w:ascii="Arial" w:hAnsi="Arial" w:eastAsia="Arial" w:cs="Arial"/>
          <w:noProof w:val="0"/>
          <w:sz w:val="24"/>
          <w:szCs w:val="24"/>
          <w:lang w:val="en-US"/>
        </w:rPr>
        <w:t>identifying</w:t>
      </w:r>
      <w:r w:rsidRPr="3DC7A50A" w:rsidR="7F57E3BC">
        <w:rPr>
          <w:rFonts w:ascii="Arial" w:hAnsi="Arial" w:eastAsia="Arial" w:cs="Arial"/>
          <w:noProof w:val="0"/>
          <w:sz w:val="24"/>
          <w:szCs w:val="24"/>
          <w:lang w:val="en-US"/>
        </w:rPr>
        <w:t xml:space="preserve"> error patterns or implementing corrective actions, allowing unsafe practices to persist unchecked.</w:t>
      </w:r>
    </w:p>
    <w:p w:rsidR="3B7BAD25" w:rsidP="3DC7A50A" w:rsidRDefault="3B7BAD25" w14:paraId="1A17B4BC" w14:textId="13FACA41">
      <w:pPr>
        <w:bidi w:val="0"/>
        <w:spacing w:before="240" w:beforeAutospacing="off" w:after="240" w:afterAutospacing="off"/>
        <w:jc w:val="both"/>
        <w:rPr>
          <w:rFonts w:ascii="Arial" w:hAnsi="Arial" w:eastAsia="Arial" w:cs="Arial"/>
          <w:noProof w:val="0"/>
          <w:sz w:val="24"/>
          <w:szCs w:val="24"/>
          <w:lang w:val="en-US"/>
        </w:rPr>
      </w:pPr>
      <w:r w:rsidRPr="3DC7A50A" w:rsidR="13D366BE">
        <w:rPr>
          <w:rFonts w:ascii="Arial" w:hAnsi="Arial" w:eastAsia="Arial" w:cs="Arial"/>
          <w:noProof w:val="0"/>
          <w:sz w:val="24"/>
          <w:szCs w:val="24"/>
          <w:lang w:val="en-US"/>
        </w:rPr>
        <w:t>When interpreted using Reason’s Swiss Cheese Model, these findings illustrate how multiple weak system layers</w:t>
      </w:r>
      <w:r w:rsidRPr="3DC7A50A" w:rsidR="154F539A">
        <w:rPr>
          <w:rFonts w:ascii="Arial" w:hAnsi="Arial" w:eastAsia="Arial" w:cs="Arial"/>
          <w:noProof w:val="0"/>
          <w:sz w:val="24"/>
          <w:szCs w:val="24"/>
          <w:lang w:val="en-US"/>
        </w:rPr>
        <w:t xml:space="preserve"> </w:t>
      </w:r>
      <w:r w:rsidRPr="3DC7A50A" w:rsidR="13D366BE">
        <w:rPr>
          <w:rFonts w:ascii="Arial" w:hAnsi="Arial" w:eastAsia="Arial" w:cs="Arial"/>
          <w:noProof w:val="0"/>
          <w:sz w:val="24"/>
          <w:szCs w:val="24"/>
          <w:lang w:val="en-US"/>
        </w:rPr>
        <w:t>prescribing, transcribing, dispensing, and counselling</w:t>
      </w:r>
      <w:r w:rsidRPr="3DC7A50A" w:rsidR="2018FDDC">
        <w:rPr>
          <w:rFonts w:ascii="Arial" w:hAnsi="Arial" w:eastAsia="Arial" w:cs="Arial"/>
          <w:noProof w:val="0"/>
          <w:sz w:val="24"/>
          <w:szCs w:val="24"/>
          <w:lang w:val="en-US"/>
        </w:rPr>
        <w:t xml:space="preserve"> </w:t>
      </w:r>
      <w:r w:rsidRPr="3DC7A50A" w:rsidR="13D366BE">
        <w:rPr>
          <w:rFonts w:ascii="Arial" w:hAnsi="Arial" w:eastAsia="Arial" w:cs="Arial"/>
          <w:noProof w:val="0"/>
          <w:sz w:val="24"/>
          <w:szCs w:val="24"/>
          <w:lang w:val="en-US"/>
        </w:rPr>
        <w:t xml:space="preserve">can align to produce patient harm. In contrast to high-income countries, where regulatory frameworks and technological safeguards strengthen these layers, LMIC pharmacy systems often lack sufficient </w:t>
      </w:r>
      <w:r w:rsidRPr="3DC7A50A" w:rsidR="13D366BE">
        <w:rPr>
          <w:rFonts w:ascii="Arial" w:hAnsi="Arial" w:eastAsia="Arial" w:cs="Arial"/>
          <w:noProof w:val="0"/>
          <w:sz w:val="24"/>
          <w:szCs w:val="24"/>
          <w:lang w:val="en-US"/>
        </w:rPr>
        <w:t>defences</w:t>
      </w:r>
      <w:r w:rsidRPr="3DC7A50A" w:rsidR="13D366BE">
        <w:rPr>
          <w:rFonts w:ascii="Arial" w:hAnsi="Arial" w:eastAsia="Arial" w:cs="Arial"/>
          <w:noProof w:val="0"/>
          <w:sz w:val="24"/>
          <w:szCs w:val="24"/>
          <w:lang w:val="en-US"/>
        </w:rPr>
        <w:t>, making adverse events more likely (Reason, 2000; Musoke et al., 2023).</w:t>
      </w:r>
    </w:p>
    <w:p w:rsidR="3B7BAD25" w:rsidP="3DC7A50A" w:rsidRDefault="3B7BAD25" w14:paraId="04871CE2" w14:textId="4E443E53">
      <w:pPr>
        <w:bidi w:val="0"/>
        <w:spacing w:before="240" w:beforeAutospacing="off" w:after="240" w:afterAutospacing="off"/>
        <w:jc w:val="both"/>
        <w:rPr>
          <w:rFonts w:ascii="Arial" w:hAnsi="Arial" w:eastAsia="Arial" w:cs="Arial"/>
        </w:rPr>
      </w:pPr>
    </w:p>
    <w:p w:rsidR="3B7BAD25" w:rsidP="5B971295" w:rsidRDefault="3B7BAD25" w14:paraId="3399880B" w14:textId="0630790C">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2048048021" w:id="318273411"/>
      <w:r w:rsidRPr="3DC7A50A" w:rsidR="13D366BE">
        <w:rPr>
          <w:rFonts w:ascii="Arial" w:hAnsi="Arial" w:eastAsia="Arial" w:cs="Arial"/>
          <w:b w:val="0"/>
          <w:bCs w:val="0"/>
          <w:noProof w:val="0"/>
          <w:sz w:val="36"/>
          <w:szCs w:val="36"/>
          <w:lang w:val="en-US"/>
        </w:rPr>
        <w:t>6.3 Impact on Patient Outcomes</w:t>
      </w:r>
      <w:bookmarkEnd w:id="318273411"/>
    </w:p>
    <w:p w:rsidR="3B7BAD25" w:rsidP="3DC7A50A" w:rsidRDefault="3B7BAD25" w14:paraId="13FAF29A" w14:textId="74D83519">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Dispensing errors have substantial and multifaceted consequences for patients, pharmacists, and healthcare systems. The findings </w:t>
      </w:r>
      <w:r w:rsidRPr="3DC7A50A" w:rsidR="7F57E3BC">
        <w:rPr>
          <w:rFonts w:ascii="Arial" w:hAnsi="Arial" w:eastAsia="Arial" w:cs="Arial"/>
          <w:noProof w:val="0"/>
          <w:sz w:val="24"/>
          <w:szCs w:val="24"/>
          <w:lang w:val="en-US"/>
        </w:rPr>
        <w:t>demonstrate</w:t>
      </w:r>
      <w:r w:rsidRPr="3DC7A50A" w:rsidR="7F57E3BC">
        <w:rPr>
          <w:rFonts w:ascii="Arial" w:hAnsi="Arial" w:eastAsia="Arial" w:cs="Arial"/>
          <w:noProof w:val="0"/>
          <w:sz w:val="24"/>
          <w:szCs w:val="24"/>
          <w:lang w:val="en-US"/>
        </w:rPr>
        <w:t xml:space="preserve"> that errors such as incorrect labelling, wrong dosage, inappropriate substitutions, and insufficient counselling contribute to adverse drug reactions, therapeutic failure, prolonged illness, and increased healthcare costs (Saleem et al., 2021; Musoke et al., 2023).</w:t>
      </w:r>
    </w:p>
    <w:p w:rsidR="3B7BAD25" w:rsidP="3DC7A50A" w:rsidRDefault="3B7BAD25" w14:paraId="3E644A7E" w14:textId="414F7E05">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In LMICs, the clinical impact of these errors is amplified by limited access to secondary and tertiary healthcare services. Patients experiencing medication-related harm often face barriers to follow-up care, including financial constraints, geographical distance, and understaffed facilities. As a result, </w:t>
      </w:r>
      <w:r w:rsidRPr="3DC7A50A" w:rsidR="7F57E3BC">
        <w:rPr>
          <w:rFonts w:ascii="Arial" w:hAnsi="Arial" w:eastAsia="Arial" w:cs="Arial"/>
          <w:noProof w:val="0"/>
          <w:sz w:val="24"/>
          <w:szCs w:val="24"/>
          <w:lang w:val="en-US"/>
        </w:rPr>
        <w:t>relatively minor</w:t>
      </w:r>
      <w:r w:rsidRPr="3DC7A50A" w:rsidR="7F57E3BC">
        <w:rPr>
          <w:rFonts w:ascii="Arial" w:hAnsi="Arial" w:eastAsia="Arial" w:cs="Arial"/>
          <w:noProof w:val="0"/>
          <w:sz w:val="24"/>
          <w:szCs w:val="24"/>
          <w:lang w:val="en-US"/>
        </w:rPr>
        <w:t xml:space="preserve"> dispensing errors can escalate into serious or life-threatening complications.</w:t>
      </w:r>
    </w:p>
    <w:p w:rsidR="3B7BAD25" w:rsidP="3DC7A50A" w:rsidRDefault="3B7BAD25" w14:paraId="0DA64A0C" w14:textId="0E02C928">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Medication errors also undermine patient trust in formal healthcare systems. When patients receive inconsistent or confusing information, confidence in pharmacy services declines, leading to poor adherence and increased reliance on informal or unregulated medicine sellers (Auta et al., 2018). Such practices expose patients to substandard or counterfeit medicines, further </w:t>
      </w:r>
      <w:r w:rsidRPr="3DC7A50A" w:rsidR="7F57E3BC">
        <w:rPr>
          <w:rFonts w:ascii="Arial" w:hAnsi="Arial" w:eastAsia="Arial" w:cs="Arial"/>
          <w:noProof w:val="0"/>
          <w:sz w:val="24"/>
          <w:szCs w:val="24"/>
          <w:lang w:val="en-US"/>
        </w:rPr>
        <w:t>exacerbating</w:t>
      </w:r>
      <w:r w:rsidRPr="3DC7A50A" w:rsidR="7F57E3BC">
        <w:rPr>
          <w:rFonts w:ascii="Arial" w:hAnsi="Arial" w:eastAsia="Arial" w:cs="Arial"/>
          <w:noProof w:val="0"/>
          <w:sz w:val="24"/>
          <w:szCs w:val="24"/>
          <w:lang w:val="en-US"/>
        </w:rPr>
        <w:t xml:space="preserve"> health risks and widening health inequities.</w:t>
      </w:r>
    </w:p>
    <w:p w:rsidR="3B7BAD25" w:rsidP="3DC7A50A" w:rsidRDefault="3B7BAD25" w14:paraId="24BB0FCB" w14:textId="4AEB56A6">
      <w:pPr>
        <w:bidi w:val="0"/>
        <w:spacing w:before="240" w:beforeAutospacing="off" w:after="240" w:afterAutospacing="off"/>
        <w:jc w:val="both"/>
        <w:rPr>
          <w:rFonts w:ascii="Arial" w:hAnsi="Arial" w:eastAsia="Arial" w:cs="Arial"/>
          <w:noProof w:val="0"/>
          <w:sz w:val="24"/>
          <w:szCs w:val="24"/>
          <w:lang w:val="en-US"/>
        </w:rPr>
      </w:pPr>
      <w:r w:rsidRPr="3DC7A50A" w:rsidR="13D366BE">
        <w:rPr>
          <w:rFonts w:ascii="Arial" w:hAnsi="Arial" w:eastAsia="Arial" w:cs="Arial"/>
          <w:noProof w:val="0"/>
          <w:sz w:val="24"/>
          <w:szCs w:val="24"/>
          <w:lang w:val="en-US"/>
        </w:rPr>
        <w:t xml:space="preserve">Pharmacists themselves are also adversely affected. Errors </w:t>
      </w:r>
      <w:r w:rsidRPr="3DC7A50A" w:rsidR="13D366BE">
        <w:rPr>
          <w:rFonts w:ascii="Arial" w:hAnsi="Arial" w:eastAsia="Arial" w:cs="Arial"/>
          <w:noProof w:val="0"/>
          <w:sz w:val="24"/>
          <w:szCs w:val="24"/>
          <w:lang w:val="en-US"/>
        </w:rPr>
        <w:t>frequently</w:t>
      </w:r>
      <w:r w:rsidRPr="3DC7A50A" w:rsidR="13D366BE">
        <w:rPr>
          <w:rFonts w:ascii="Arial" w:hAnsi="Arial" w:eastAsia="Arial" w:cs="Arial"/>
          <w:noProof w:val="0"/>
          <w:sz w:val="24"/>
          <w:szCs w:val="24"/>
          <w:lang w:val="en-US"/>
        </w:rPr>
        <w:t xml:space="preserve"> result in moral distress, fear of disciplinary action, and professional insecurity. In the absence of supportive reporting systems, pharmacists </w:t>
      </w:r>
      <w:r w:rsidRPr="3DC7A50A" w:rsidR="13D366BE">
        <w:rPr>
          <w:rFonts w:ascii="Arial" w:hAnsi="Arial" w:eastAsia="Arial" w:cs="Arial"/>
          <w:noProof w:val="0"/>
          <w:sz w:val="24"/>
          <w:szCs w:val="24"/>
          <w:lang w:val="en-US"/>
        </w:rPr>
        <w:t>internalise</w:t>
      </w:r>
      <w:r w:rsidRPr="3DC7A50A" w:rsidR="13D366BE">
        <w:rPr>
          <w:rFonts w:ascii="Arial" w:hAnsi="Arial" w:eastAsia="Arial" w:cs="Arial"/>
          <w:noProof w:val="0"/>
          <w:sz w:val="24"/>
          <w:szCs w:val="24"/>
          <w:lang w:val="en-US"/>
        </w:rPr>
        <w:t xml:space="preserve"> blame, which contributes to burnout and workforce attrition</w:t>
      </w:r>
      <w:r w:rsidRPr="3DC7A50A" w:rsidR="670ADB46">
        <w:rPr>
          <w:rFonts w:ascii="Arial" w:hAnsi="Arial" w:eastAsia="Arial" w:cs="Arial"/>
          <w:noProof w:val="0"/>
          <w:sz w:val="24"/>
          <w:szCs w:val="24"/>
          <w:lang w:val="en-US"/>
        </w:rPr>
        <w:t xml:space="preserve"> </w:t>
      </w:r>
      <w:r w:rsidRPr="3DC7A50A" w:rsidR="13D366BE">
        <w:rPr>
          <w:rFonts w:ascii="Arial" w:hAnsi="Arial" w:eastAsia="Arial" w:cs="Arial"/>
          <w:noProof w:val="0"/>
          <w:sz w:val="24"/>
          <w:szCs w:val="24"/>
          <w:lang w:val="en-US"/>
        </w:rPr>
        <w:t>patterns consistent with the global “second victim” phenomenon (Scott et al., 2009). These outcomes weaken already fragile health systems, creating a vicious cycle of understaffing, increased workload, and further errors.</w:t>
      </w:r>
    </w:p>
    <w:p w:rsidR="3B7BAD25" w:rsidP="3DC7A50A" w:rsidRDefault="3B7BAD25" w14:paraId="3FB9C87B" w14:textId="3ABECEEA">
      <w:pPr>
        <w:bidi w:val="0"/>
        <w:spacing w:before="240" w:beforeAutospacing="off" w:after="240" w:afterAutospacing="off"/>
        <w:jc w:val="both"/>
        <w:rPr>
          <w:rFonts w:ascii="Arial" w:hAnsi="Arial" w:eastAsia="Arial" w:cs="Arial"/>
        </w:rPr>
      </w:pPr>
    </w:p>
    <w:p w:rsidR="3B7BAD25" w:rsidP="5B971295" w:rsidRDefault="3B7BAD25" w14:paraId="3746A792" w14:textId="651D48D7">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434104547" w:id="1868522697"/>
      <w:r w:rsidRPr="3DC7A50A" w:rsidR="13D366BE">
        <w:rPr>
          <w:rFonts w:ascii="Arial" w:hAnsi="Arial" w:eastAsia="Arial" w:cs="Arial"/>
          <w:b w:val="0"/>
          <w:bCs w:val="0"/>
          <w:noProof w:val="0"/>
          <w:sz w:val="36"/>
          <w:szCs w:val="36"/>
          <w:lang w:val="en-US"/>
        </w:rPr>
        <w:t>6.4 Cultural and Ethical Standards</w:t>
      </w:r>
      <w:bookmarkEnd w:id="1868522697"/>
      <w:r w:rsidRPr="3DC7A50A" w:rsidR="13D366BE">
        <w:rPr>
          <w:rFonts w:ascii="Arial" w:hAnsi="Arial" w:eastAsia="Arial" w:cs="Arial"/>
          <w:b w:val="0"/>
          <w:bCs w:val="0"/>
          <w:noProof w:val="0"/>
          <w:sz w:val="36"/>
          <w:szCs w:val="36"/>
          <w:lang w:val="en-US"/>
        </w:rPr>
        <w:t xml:space="preserve"> </w:t>
      </w:r>
    </w:p>
    <w:p w:rsidR="3B7BAD25" w:rsidP="3DC7A50A" w:rsidRDefault="3B7BAD25" w14:paraId="4F7340EF" w14:textId="4619BCF5">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Theme 3 highlighted the powerful influence of ethical challenges and sociocultural norms on dispensing practices in LMICs. Cultural beliefs, religious values, gender norms, and professional hierarchies shape communication patterns and decision-making processes, often in ways that compromise medication safety.</w:t>
      </w:r>
    </w:p>
    <w:p w:rsidR="3B7BAD25" w:rsidP="3DC7A50A" w:rsidRDefault="3B7BAD25" w14:paraId="03F007D5" w14:textId="520A22A9">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In many LMIC contexts, patients place significant trust in traditional medicine and culturally embedded health practices. Pharmacists must navigate these beliefs carefully to </w:t>
      </w:r>
      <w:r w:rsidRPr="3DC7A50A" w:rsidR="7F57E3BC">
        <w:rPr>
          <w:rFonts w:ascii="Arial" w:hAnsi="Arial" w:eastAsia="Arial" w:cs="Arial"/>
          <w:noProof w:val="0"/>
          <w:sz w:val="24"/>
          <w:szCs w:val="24"/>
          <w:lang w:val="en-US"/>
        </w:rPr>
        <w:t>maintain</w:t>
      </w:r>
      <w:r w:rsidRPr="3DC7A50A" w:rsidR="7F57E3BC">
        <w:rPr>
          <w:rFonts w:ascii="Arial" w:hAnsi="Arial" w:eastAsia="Arial" w:cs="Arial"/>
          <w:noProof w:val="0"/>
          <w:sz w:val="24"/>
          <w:szCs w:val="24"/>
          <w:lang w:val="en-US"/>
        </w:rPr>
        <w:t xml:space="preserve"> rapport, yet doing so can limit their ability to </w:t>
      </w:r>
      <w:r w:rsidRPr="3DC7A50A" w:rsidR="7F57E3BC">
        <w:rPr>
          <w:rFonts w:ascii="Arial" w:hAnsi="Arial" w:eastAsia="Arial" w:cs="Arial"/>
          <w:noProof w:val="0"/>
          <w:sz w:val="24"/>
          <w:szCs w:val="24"/>
          <w:lang w:val="en-US"/>
        </w:rPr>
        <w:t>provide</w:t>
      </w:r>
      <w:r w:rsidRPr="3DC7A50A" w:rsidR="7F57E3BC">
        <w:rPr>
          <w:rFonts w:ascii="Arial" w:hAnsi="Arial" w:eastAsia="Arial" w:cs="Arial"/>
          <w:noProof w:val="0"/>
          <w:sz w:val="24"/>
          <w:szCs w:val="24"/>
          <w:lang w:val="en-US"/>
        </w:rPr>
        <w:t xml:space="preserve"> clear biomedical guidance or challenge unsafe practices (Saleem et al., 2021). This tension may result in incomplete counselling or tacit acceptance of inappropriate medication use.</w:t>
      </w:r>
    </w:p>
    <w:p w:rsidR="3B7BAD25" w:rsidP="3DC7A50A" w:rsidRDefault="3B7BAD25" w14:paraId="0E82CA21" w14:textId="1556CB2E">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Religious and moral norms further constrain communication. Pharmacists may avoid discussing medications related to contraception, alcohol-containing formulations, or mental health due to fear of offending patients or breaching social expectations (Nsimba, 2019). Such omissions reduce patient understanding and increase the risk of misuse.</w:t>
      </w:r>
    </w:p>
    <w:p w:rsidR="3B7BAD25" w:rsidP="3DC7A50A" w:rsidRDefault="3B7BAD25" w14:paraId="5811FF23" w14:textId="1E039051">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Gender dynamics also play a role. Female pharmacists may experience social barriers when counselling male patients, particularly in conservative settings, leading to abbreviated or indirect communication (Musoke et al., 2023). These limitations further weaken the effectiveness of patient education.</w:t>
      </w:r>
    </w:p>
    <w:p w:rsidR="3B7BAD25" w:rsidP="3DC7A50A" w:rsidRDefault="3B7BAD25" w14:paraId="01D83062" w14:textId="2D3EBC05">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Cultural norms within professional hierarchies also diminish pharmacists’ agency. In many LMICs, pharmacists are not </w:t>
      </w:r>
      <w:r w:rsidRPr="3DC7A50A" w:rsidR="7F57E3BC">
        <w:rPr>
          <w:rFonts w:ascii="Arial" w:hAnsi="Arial" w:eastAsia="Arial" w:cs="Arial"/>
          <w:noProof w:val="0"/>
          <w:sz w:val="24"/>
          <w:szCs w:val="24"/>
          <w:lang w:val="en-US"/>
        </w:rPr>
        <w:t>recognised</w:t>
      </w:r>
      <w:r w:rsidRPr="3DC7A50A" w:rsidR="7F57E3BC">
        <w:rPr>
          <w:rFonts w:ascii="Arial" w:hAnsi="Arial" w:eastAsia="Arial" w:cs="Arial"/>
          <w:noProof w:val="0"/>
          <w:sz w:val="24"/>
          <w:szCs w:val="24"/>
          <w:lang w:val="en-US"/>
        </w:rPr>
        <w:t xml:space="preserve"> as clinical decision-makers, limiting their involvement in medication management and error prevention (Auta et al., 2018). This </w:t>
      </w:r>
      <w:r w:rsidRPr="3DC7A50A" w:rsidR="7F57E3BC">
        <w:rPr>
          <w:rFonts w:ascii="Arial" w:hAnsi="Arial" w:eastAsia="Arial" w:cs="Arial"/>
          <w:noProof w:val="0"/>
          <w:sz w:val="24"/>
          <w:szCs w:val="24"/>
          <w:lang w:val="en-US"/>
        </w:rPr>
        <w:t>marginalisation</w:t>
      </w:r>
      <w:r w:rsidRPr="3DC7A50A" w:rsidR="7F57E3BC">
        <w:rPr>
          <w:rFonts w:ascii="Arial" w:hAnsi="Arial" w:eastAsia="Arial" w:cs="Arial"/>
          <w:noProof w:val="0"/>
          <w:sz w:val="24"/>
          <w:szCs w:val="24"/>
          <w:lang w:val="en-US"/>
        </w:rPr>
        <w:t xml:space="preserve"> fosters a culture of silence, where concerns are suppressed rather than escalated.</w:t>
      </w:r>
    </w:p>
    <w:p w:rsidR="3B7BAD25" w:rsidP="3DC7A50A" w:rsidRDefault="3B7BAD25" w14:paraId="228BACEE" w14:textId="40CD899F">
      <w:pPr>
        <w:bidi w:val="0"/>
        <w:spacing w:before="240" w:beforeAutospacing="off" w:after="240" w:afterAutospacing="off"/>
        <w:jc w:val="both"/>
        <w:rPr>
          <w:rFonts w:ascii="Arial" w:hAnsi="Arial" w:eastAsia="Arial" w:cs="Arial"/>
        </w:rPr>
      </w:pPr>
    </w:p>
    <w:p w:rsidR="3B7BAD25" w:rsidP="5B971295" w:rsidRDefault="3B7BAD25" w14:paraId="11A56E3C" w14:textId="7EBEA2F4">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2094049556" w:id="1014198368"/>
      <w:r w:rsidRPr="3DC7A50A" w:rsidR="13D366BE">
        <w:rPr>
          <w:rFonts w:ascii="Arial" w:hAnsi="Arial" w:eastAsia="Arial" w:cs="Arial"/>
          <w:b w:val="0"/>
          <w:bCs w:val="0"/>
          <w:noProof w:val="0"/>
          <w:sz w:val="36"/>
          <w:szCs w:val="36"/>
          <w:lang w:val="en-US"/>
        </w:rPr>
        <w:t xml:space="preserve">6.5 Avoidance </w:t>
      </w:r>
      <w:r w:rsidRPr="3DC7A50A" w:rsidR="13D366BE">
        <w:rPr>
          <w:rFonts w:ascii="Arial" w:hAnsi="Arial" w:eastAsia="Arial" w:cs="Arial"/>
          <w:b w:val="0"/>
          <w:bCs w:val="0"/>
          <w:noProof w:val="0"/>
          <w:sz w:val="36"/>
          <w:szCs w:val="36"/>
          <w:lang w:val="en-US"/>
        </w:rPr>
        <w:t>Behaviours</w:t>
      </w:r>
      <w:r w:rsidRPr="3DC7A50A" w:rsidR="13D366BE">
        <w:rPr>
          <w:rFonts w:ascii="Arial" w:hAnsi="Arial" w:eastAsia="Arial" w:cs="Arial"/>
          <w:b w:val="0"/>
          <w:bCs w:val="0"/>
          <w:noProof w:val="0"/>
          <w:sz w:val="36"/>
          <w:szCs w:val="36"/>
          <w:lang w:val="en-US"/>
        </w:rPr>
        <w:t xml:space="preserve"> and Family Roles</w:t>
      </w:r>
      <w:bookmarkEnd w:id="1014198368"/>
      <w:r w:rsidRPr="3DC7A50A" w:rsidR="13D366BE">
        <w:rPr>
          <w:rFonts w:ascii="Arial" w:hAnsi="Arial" w:eastAsia="Arial" w:cs="Arial"/>
          <w:b w:val="0"/>
          <w:bCs w:val="0"/>
          <w:noProof w:val="0"/>
          <w:sz w:val="36"/>
          <w:szCs w:val="36"/>
          <w:lang w:val="en-US"/>
        </w:rPr>
        <w:t xml:space="preserve"> </w:t>
      </w:r>
    </w:p>
    <w:p w:rsidR="3B7BAD25" w:rsidP="3DC7A50A" w:rsidRDefault="3B7BAD25" w14:paraId="1EFECB78" w14:textId="2A1B66DE">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The findings in Chapter 5 revealed that fear of punishment, lack of just culture, and hierarchical workplace structures contribute to widespread avoidance </w:t>
      </w:r>
      <w:r w:rsidRPr="3DC7A50A" w:rsidR="7F57E3BC">
        <w:rPr>
          <w:rFonts w:ascii="Arial" w:hAnsi="Arial" w:eastAsia="Arial" w:cs="Arial"/>
          <w:noProof w:val="0"/>
          <w:sz w:val="24"/>
          <w:szCs w:val="24"/>
          <w:lang w:val="en-US"/>
        </w:rPr>
        <w:t>behaviours</w:t>
      </w:r>
      <w:r w:rsidRPr="3DC7A50A" w:rsidR="7F57E3BC">
        <w:rPr>
          <w:rFonts w:ascii="Arial" w:hAnsi="Arial" w:eastAsia="Arial" w:cs="Arial"/>
          <w:noProof w:val="0"/>
          <w:sz w:val="24"/>
          <w:szCs w:val="24"/>
          <w:lang w:val="en-US"/>
        </w:rPr>
        <w:t xml:space="preserve"> among pharmacists. When errors are met with blame rather than learning, pharmacists are </w:t>
      </w:r>
      <w:r w:rsidRPr="3DC7A50A" w:rsidR="7F57E3BC">
        <w:rPr>
          <w:rFonts w:ascii="Arial" w:hAnsi="Arial" w:eastAsia="Arial" w:cs="Arial"/>
          <w:noProof w:val="0"/>
          <w:sz w:val="24"/>
          <w:szCs w:val="24"/>
          <w:lang w:val="en-US"/>
        </w:rPr>
        <w:t>incentivised</w:t>
      </w:r>
      <w:r w:rsidRPr="3DC7A50A" w:rsidR="7F57E3BC">
        <w:rPr>
          <w:rFonts w:ascii="Arial" w:hAnsi="Arial" w:eastAsia="Arial" w:cs="Arial"/>
          <w:noProof w:val="0"/>
          <w:sz w:val="24"/>
          <w:szCs w:val="24"/>
          <w:lang w:val="en-US"/>
        </w:rPr>
        <w:t xml:space="preserve"> to conceal mistakes to protect their employment and professional reputation (Kifle et al., 2021).</w:t>
      </w:r>
    </w:p>
    <w:p w:rsidR="3B7BAD25" w:rsidP="3DC7A50A" w:rsidRDefault="3B7BAD25" w14:paraId="6277D685" w14:textId="04AEEF4D">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Avoidance </w:t>
      </w:r>
      <w:r w:rsidRPr="3DC7A50A" w:rsidR="7F57E3BC">
        <w:rPr>
          <w:rFonts w:ascii="Arial" w:hAnsi="Arial" w:eastAsia="Arial" w:cs="Arial"/>
          <w:noProof w:val="0"/>
          <w:sz w:val="24"/>
          <w:szCs w:val="24"/>
          <w:lang w:val="en-US"/>
        </w:rPr>
        <w:t>behaviours</w:t>
      </w:r>
      <w:r w:rsidRPr="3DC7A50A" w:rsidR="7F57E3BC">
        <w:rPr>
          <w:rFonts w:ascii="Arial" w:hAnsi="Arial" w:eastAsia="Arial" w:cs="Arial"/>
          <w:noProof w:val="0"/>
          <w:sz w:val="24"/>
          <w:szCs w:val="24"/>
          <w:lang w:val="en-US"/>
        </w:rPr>
        <w:t xml:space="preserve"> also manifest operationally. Under intense workload pressure, pharmacists may skip counselling, documentation, or double-checking steps </w:t>
      </w:r>
      <w:r w:rsidRPr="3DC7A50A" w:rsidR="7F57E3BC">
        <w:rPr>
          <w:rFonts w:ascii="Arial" w:hAnsi="Arial" w:eastAsia="Arial" w:cs="Arial"/>
          <w:noProof w:val="0"/>
          <w:sz w:val="24"/>
          <w:szCs w:val="24"/>
          <w:lang w:val="en-US"/>
        </w:rPr>
        <w:t>in order to</w:t>
      </w:r>
      <w:r w:rsidRPr="3DC7A50A" w:rsidR="7F57E3BC">
        <w:rPr>
          <w:rFonts w:ascii="Arial" w:hAnsi="Arial" w:eastAsia="Arial" w:cs="Arial"/>
          <w:noProof w:val="0"/>
          <w:sz w:val="24"/>
          <w:szCs w:val="24"/>
          <w:lang w:val="en-US"/>
        </w:rPr>
        <w:t xml:space="preserve"> manage patient queues. While these shortcuts may appear necessary in the moment, they significantly increase the risk of downstream harm, reinforcing unsafe norms (Okumura et al., 2021).</w:t>
      </w:r>
    </w:p>
    <w:p w:rsidR="3B7BAD25" w:rsidP="3DC7A50A" w:rsidRDefault="3B7BAD25" w14:paraId="1FE229C5" w14:textId="62B5ADB4">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Family involvement </w:t>
      </w:r>
      <w:r w:rsidRPr="3DC7A50A" w:rsidR="7F57E3BC">
        <w:rPr>
          <w:rFonts w:ascii="Arial" w:hAnsi="Arial" w:eastAsia="Arial" w:cs="Arial"/>
          <w:noProof w:val="0"/>
          <w:sz w:val="24"/>
          <w:szCs w:val="24"/>
          <w:lang w:val="en-US"/>
        </w:rPr>
        <w:t>represents</w:t>
      </w:r>
      <w:r w:rsidRPr="3DC7A50A" w:rsidR="7F57E3BC">
        <w:rPr>
          <w:rFonts w:ascii="Arial" w:hAnsi="Arial" w:eastAsia="Arial" w:cs="Arial"/>
          <w:noProof w:val="0"/>
          <w:sz w:val="24"/>
          <w:szCs w:val="24"/>
          <w:lang w:val="en-US"/>
        </w:rPr>
        <w:t xml:space="preserve"> another critical dimension. In LMICs, family members often play </w:t>
      </w:r>
      <w:r w:rsidRPr="3DC7A50A" w:rsidR="7F57E3BC">
        <w:rPr>
          <w:rFonts w:ascii="Arial" w:hAnsi="Arial" w:eastAsia="Arial" w:cs="Arial"/>
          <w:noProof w:val="0"/>
          <w:sz w:val="24"/>
          <w:szCs w:val="24"/>
          <w:lang w:val="en-US"/>
        </w:rPr>
        <w:t>a central role</w:t>
      </w:r>
      <w:r w:rsidRPr="3DC7A50A" w:rsidR="7F57E3BC">
        <w:rPr>
          <w:rFonts w:ascii="Arial" w:hAnsi="Arial" w:eastAsia="Arial" w:cs="Arial"/>
          <w:noProof w:val="0"/>
          <w:sz w:val="24"/>
          <w:szCs w:val="24"/>
          <w:lang w:val="en-US"/>
        </w:rPr>
        <w:t xml:space="preserve"> in medication administration and decision-making. When pharmacists </w:t>
      </w:r>
      <w:r w:rsidRPr="3DC7A50A" w:rsidR="7F57E3BC">
        <w:rPr>
          <w:rFonts w:ascii="Arial" w:hAnsi="Arial" w:eastAsia="Arial" w:cs="Arial"/>
          <w:noProof w:val="0"/>
          <w:sz w:val="24"/>
          <w:szCs w:val="24"/>
          <w:lang w:val="en-US"/>
        </w:rPr>
        <w:t>fail to</w:t>
      </w:r>
      <w:r w:rsidRPr="3DC7A50A" w:rsidR="7F57E3BC">
        <w:rPr>
          <w:rFonts w:ascii="Arial" w:hAnsi="Arial" w:eastAsia="Arial" w:cs="Arial"/>
          <w:noProof w:val="0"/>
          <w:sz w:val="24"/>
          <w:szCs w:val="24"/>
          <w:lang w:val="en-US"/>
        </w:rPr>
        <w:t xml:space="preserve"> include families in counselling—particularly where patients have low health literacy—misunderstandings and dosing errors become more likely (Saleem et al., 2021).</w:t>
      </w:r>
    </w:p>
    <w:p w:rsidR="3B7BAD25" w:rsidP="3DC7A50A" w:rsidRDefault="3B7BAD25" w14:paraId="068353A3" w14:textId="57A92882">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Promoting a blame-free reporting culture and encouraging family-inclusive communication are therefore essential strategies for reducing preventable dispensing errors.</w:t>
      </w:r>
    </w:p>
    <w:p w:rsidR="3B7BAD25" w:rsidP="3DC7A50A" w:rsidRDefault="3B7BAD25" w14:paraId="000B695A" w14:textId="6C85B176">
      <w:pPr>
        <w:bidi w:val="0"/>
        <w:spacing w:before="240" w:beforeAutospacing="off" w:after="240" w:afterAutospacing="off"/>
        <w:jc w:val="both"/>
        <w:rPr>
          <w:rFonts w:ascii="Arial" w:hAnsi="Arial" w:eastAsia="Arial" w:cs="Arial"/>
        </w:rPr>
      </w:pPr>
    </w:p>
    <w:p w:rsidR="3B7BAD25" w:rsidP="5B971295" w:rsidRDefault="3B7BAD25" w14:paraId="01CE63F4" w14:textId="190957C2">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1740912718" w:id="1480893192"/>
      <w:r w:rsidRPr="3DC7A50A" w:rsidR="13D366BE">
        <w:rPr>
          <w:rFonts w:ascii="Arial" w:hAnsi="Arial" w:eastAsia="Arial" w:cs="Arial"/>
          <w:b w:val="0"/>
          <w:bCs w:val="0"/>
          <w:noProof w:val="0"/>
          <w:sz w:val="36"/>
          <w:szCs w:val="36"/>
          <w:lang w:val="en-US"/>
        </w:rPr>
        <w:t>6.6 Impact of Language Barriers</w:t>
      </w:r>
      <w:bookmarkEnd w:id="1480893192"/>
      <w:r w:rsidRPr="3DC7A50A" w:rsidR="13D366BE">
        <w:rPr>
          <w:rFonts w:ascii="Arial" w:hAnsi="Arial" w:eastAsia="Arial" w:cs="Arial"/>
          <w:b w:val="0"/>
          <w:bCs w:val="0"/>
          <w:noProof w:val="0"/>
          <w:sz w:val="36"/>
          <w:szCs w:val="36"/>
          <w:lang w:val="en-US"/>
        </w:rPr>
        <w:t xml:space="preserve"> </w:t>
      </w:r>
    </w:p>
    <w:p w:rsidR="3B7BAD25" w:rsidP="3DC7A50A" w:rsidRDefault="3B7BAD25" w14:paraId="31B9E356" w14:textId="7B7CF7E6">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Language barriers </w:t>
      </w:r>
      <w:r w:rsidRPr="3DC7A50A" w:rsidR="7F57E3BC">
        <w:rPr>
          <w:rFonts w:ascii="Arial" w:hAnsi="Arial" w:eastAsia="Arial" w:cs="Arial"/>
          <w:noProof w:val="0"/>
          <w:sz w:val="24"/>
          <w:szCs w:val="24"/>
          <w:lang w:val="en-US"/>
        </w:rPr>
        <w:t>emerged</w:t>
      </w:r>
      <w:r w:rsidRPr="3DC7A50A" w:rsidR="7F57E3BC">
        <w:rPr>
          <w:rFonts w:ascii="Arial" w:hAnsi="Arial" w:eastAsia="Arial" w:cs="Arial"/>
          <w:noProof w:val="0"/>
          <w:sz w:val="24"/>
          <w:szCs w:val="24"/>
          <w:lang w:val="en-US"/>
        </w:rPr>
        <w:t xml:space="preserve"> as a significant contributor to dispensing errors. Prescriptions are </w:t>
      </w:r>
      <w:r w:rsidRPr="3DC7A50A" w:rsidR="7F57E3BC">
        <w:rPr>
          <w:rFonts w:ascii="Arial" w:hAnsi="Arial" w:eastAsia="Arial" w:cs="Arial"/>
          <w:noProof w:val="0"/>
          <w:sz w:val="24"/>
          <w:szCs w:val="24"/>
          <w:lang w:val="en-US"/>
        </w:rPr>
        <w:t>frequently</w:t>
      </w:r>
      <w:r w:rsidRPr="3DC7A50A" w:rsidR="7F57E3BC">
        <w:rPr>
          <w:rFonts w:ascii="Arial" w:hAnsi="Arial" w:eastAsia="Arial" w:cs="Arial"/>
          <w:noProof w:val="0"/>
          <w:sz w:val="24"/>
          <w:szCs w:val="24"/>
          <w:lang w:val="en-US"/>
        </w:rPr>
        <w:t xml:space="preserve"> written in English, while many patients speak only local languages, creating substantial risk of misinterpretation (Saleem et al., 2021).</w:t>
      </w:r>
    </w:p>
    <w:p w:rsidR="3B7BAD25" w:rsidP="3DC7A50A" w:rsidRDefault="3B7BAD25" w14:paraId="38CC7449" w14:textId="6DBDF265">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Pharmacists face challenges providing detailed counselling when linguistic discordance exists, particularly under time constraints. The absence of interpreters, bilingual labels, or visual aids further limits effective communication (</w:t>
      </w:r>
      <w:r w:rsidRPr="3DC7A50A" w:rsidR="7F57E3BC">
        <w:rPr>
          <w:rFonts w:ascii="Arial" w:hAnsi="Arial" w:eastAsia="Arial" w:cs="Arial"/>
          <w:noProof w:val="0"/>
          <w:sz w:val="24"/>
          <w:szCs w:val="24"/>
          <w:lang w:val="en-US"/>
        </w:rPr>
        <w:t>Kibira</w:t>
      </w:r>
      <w:r w:rsidRPr="3DC7A50A" w:rsidR="7F57E3BC">
        <w:rPr>
          <w:rFonts w:ascii="Arial" w:hAnsi="Arial" w:eastAsia="Arial" w:cs="Arial"/>
          <w:noProof w:val="0"/>
          <w:sz w:val="24"/>
          <w:szCs w:val="24"/>
          <w:lang w:val="en-US"/>
        </w:rPr>
        <w:t xml:space="preserve"> et al., 2020).</w:t>
      </w:r>
    </w:p>
    <w:p w:rsidR="3B7BAD25" w:rsidP="3DC7A50A" w:rsidRDefault="3B7BAD25" w14:paraId="104F39C0" w14:textId="17DC899C">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Evidence </w:t>
      </w:r>
      <w:r w:rsidRPr="3DC7A50A" w:rsidR="7F57E3BC">
        <w:rPr>
          <w:rFonts w:ascii="Arial" w:hAnsi="Arial" w:eastAsia="Arial" w:cs="Arial"/>
          <w:noProof w:val="0"/>
          <w:sz w:val="24"/>
          <w:szCs w:val="24"/>
          <w:lang w:val="en-US"/>
        </w:rPr>
        <w:t>indicates</w:t>
      </w:r>
      <w:r w:rsidRPr="3DC7A50A" w:rsidR="7F57E3BC">
        <w:rPr>
          <w:rFonts w:ascii="Arial" w:hAnsi="Arial" w:eastAsia="Arial" w:cs="Arial"/>
          <w:noProof w:val="0"/>
          <w:sz w:val="24"/>
          <w:szCs w:val="24"/>
          <w:lang w:val="en-US"/>
        </w:rPr>
        <w:t xml:space="preserve"> that the use of pictograms, simplified language, and local-language labelling significantly improves comprehension and reduces medication errors, particularly among patients with low literacy (Aldridge et al., 2016). These findings underscore the need for communication strategies that reflect linguistic diversity.</w:t>
      </w:r>
    </w:p>
    <w:p w:rsidR="3B7BAD25" w:rsidP="3DC7A50A" w:rsidRDefault="3B7BAD25" w14:paraId="7E8444FF" w14:textId="2E54008E">
      <w:pPr>
        <w:bidi w:val="0"/>
        <w:spacing w:before="240" w:beforeAutospacing="off" w:after="240" w:afterAutospacing="off"/>
        <w:jc w:val="both"/>
        <w:rPr>
          <w:rFonts w:ascii="Arial" w:hAnsi="Arial" w:eastAsia="Arial" w:cs="Arial"/>
        </w:rPr>
      </w:pPr>
    </w:p>
    <w:p w:rsidR="3B7BAD25" w:rsidP="5B971295" w:rsidRDefault="3B7BAD25" w14:paraId="03F9317A" w14:textId="0FF020C3">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1759269038" w:id="1422716104"/>
      <w:r w:rsidRPr="3DC7A50A" w:rsidR="13D366BE">
        <w:rPr>
          <w:rFonts w:ascii="Arial" w:hAnsi="Arial" w:eastAsia="Arial" w:cs="Arial"/>
          <w:b w:val="0"/>
          <w:bCs w:val="0"/>
          <w:noProof w:val="0"/>
          <w:sz w:val="36"/>
          <w:szCs w:val="36"/>
          <w:lang w:val="en-US"/>
        </w:rPr>
        <w:t>6.7 Socioeconomic Disadvantages</w:t>
      </w:r>
      <w:bookmarkEnd w:id="1422716104"/>
      <w:r w:rsidRPr="3DC7A50A" w:rsidR="13D366BE">
        <w:rPr>
          <w:rFonts w:ascii="Arial" w:hAnsi="Arial" w:eastAsia="Arial" w:cs="Arial"/>
          <w:b w:val="0"/>
          <w:bCs w:val="0"/>
          <w:noProof w:val="0"/>
          <w:sz w:val="36"/>
          <w:szCs w:val="36"/>
          <w:lang w:val="en-US"/>
        </w:rPr>
        <w:t xml:space="preserve"> </w:t>
      </w:r>
    </w:p>
    <w:p w:rsidR="3B7BAD25" w:rsidP="3DC7A50A" w:rsidRDefault="3B7BAD25" w14:paraId="746ED6D4" w14:textId="1E9686B1">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Socioeconomic constraints profoundly shape dispensing practices in LMICs. Pharmacists working in low-wage, resource-poor environments experience reduced job satisfaction and motivation, increasing susceptibility to errors (Musoke et al., 2023).</w:t>
      </w:r>
    </w:p>
    <w:p w:rsidR="3B7BAD25" w:rsidP="3DC7A50A" w:rsidRDefault="3B7BAD25" w14:paraId="4080EAF4" w14:textId="2C56F895">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Patients </w:t>
      </w:r>
      <w:r w:rsidRPr="3DC7A50A" w:rsidR="7F57E3BC">
        <w:rPr>
          <w:rFonts w:ascii="Arial" w:hAnsi="Arial" w:eastAsia="Arial" w:cs="Arial"/>
          <w:noProof w:val="0"/>
          <w:sz w:val="24"/>
          <w:szCs w:val="24"/>
          <w:lang w:val="en-US"/>
        </w:rPr>
        <w:t>frequently</w:t>
      </w:r>
      <w:r w:rsidRPr="3DC7A50A" w:rsidR="7F57E3BC">
        <w:rPr>
          <w:rFonts w:ascii="Arial" w:hAnsi="Arial" w:eastAsia="Arial" w:cs="Arial"/>
          <w:noProof w:val="0"/>
          <w:sz w:val="24"/>
          <w:szCs w:val="24"/>
          <w:lang w:val="en-US"/>
        </w:rPr>
        <w:t xml:space="preserve"> request partial courses of medication or cheaper alternatives due to financial limitations, forcing pharmacists to make informal substitutions without prescriber consultation (Saleem et al., 2021). Although often motivated by compassion, such practices introduce significant safety risks.</w:t>
      </w:r>
    </w:p>
    <w:p w:rsidR="3B7BAD25" w:rsidP="3DC7A50A" w:rsidRDefault="3B7BAD25" w14:paraId="023DF229" w14:textId="61755498">
      <w:p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noProof w:val="0"/>
          <w:sz w:val="24"/>
          <w:szCs w:val="24"/>
          <w:lang w:val="en-US"/>
        </w:rPr>
        <w:t xml:space="preserve">Supply chain weaknesses further </w:t>
      </w:r>
      <w:r w:rsidRPr="3DC7A50A" w:rsidR="7F57E3BC">
        <w:rPr>
          <w:rFonts w:ascii="Arial" w:hAnsi="Arial" w:eastAsia="Arial" w:cs="Arial"/>
          <w:noProof w:val="0"/>
          <w:sz w:val="24"/>
          <w:szCs w:val="24"/>
          <w:lang w:val="en-US"/>
        </w:rPr>
        <w:t>exacerbate</w:t>
      </w:r>
      <w:r w:rsidRPr="3DC7A50A" w:rsidR="7F57E3BC">
        <w:rPr>
          <w:rFonts w:ascii="Arial" w:hAnsi="Arial" w:eastAsia="Arial" w:cs="Arial"/>
          <w:noProof w:val="0"/>
          <w:sz w:val="24"/>
          <w:szCs w:val="24"/>
          <w:lang w:val="en-US"/>
        </w:rPr>
        <w:t xml:space="preserve"> the problem, increasing the circulation of counterfeit or substandard medicines, particularly in rural or underserved areas (Nsimba, 2019). These findings highlight that dispensing safety cannot be separated from broader socioeconomic and infrastructural realities.</w:t>
      </w:r>
    </w:p>
    <w:p w:rsidR="3B7BAD25" w:rsidP="3DC7A50A" w:rsidRDefault="3B7BAD25" w14:paraId="793943A6" w14:textId="246C5078">
      <w:pPr>
        <w:bidi w:val="0"/>
        <w:spacing w:before="240" w:beforeAutospacing="off" w:after="240" w:afterAutospacing="off"/>
        <w:jc w:val="both"/>
        <w:rPr>
          <w:rFonts w:ascii="Arial" w:hAnsi="Arial" w:eastAsia="Arial" w:cs="Arial"/>
        </w:rPr>
      </w:pPr>
    </w:p>
    <w:p w:rsidR="3DC7A50A" w:rsidP="3DC7A50A" w:rsidRDefault="3DC7A50A" w14:paraId="230EAA53" w14:textId="417E3164">
      <w:pPr>
        <w:pStyle w:val="Heading2"/>
        <w:bidi w:val="0"/>
        <w:spacing w:before="299" w:beforeAutospacing="off" w:after="299" w:afterAutospacing="off"/>
        <w:jc w:val="both"/>
        <w:rPr>
          <w:rFonts w:ascii="Arial" w:hAnsi="Arial" w:eastAsia="Arial" w:cs="Arial"/>
          <w:b w:val="0"/>
          <w:bCs w:val="0"/>
          <w:noProof w:val="0"/>
          <w:sz w:val="36"/>
          <w:szCs w:val="36"/>
          <w:lang w:val="en-US"/>
        </w:rPr>
      </w:pPr>
    </w:p>
    <w:p w:rsidR="3B7BAD25" w:rsidP="3DC7A50A" w:rsidRDefault="3B7BAD25" w14:paraId="1F58F5D6" w14:textId="4BFBB158">
      <w:pPr>
        <w:pStyle w:val="Heading2"/>
        <w:bidi w:val="0"/>
        <w:spacing w:before="299" w:beforeAutospacing="off" w:after="299" w:afterAutospacing="off"/>
        <w:jc w:val="both"/>
        <w:rPr>
          <w:rFonts w:ascii="Arial" w:hAnsi="Arial" w:eastAsia="Arial" w:cs="Arial"/>
          <w:b w:val="1"/>
          <w:bCs w:val="1"/>
          <w:noProof w:val="0"/>
          <w:sz w:val="36"/>
          <w:szCs w:val="36"/>
          <w:lang w:val="en-US"/>
        </w:rPr>
      </w:pPr>
      <w:bookmarkStart w:name="_Toc544010809" w:id="841246605"/>
      <w:r w:rsidRPr="3DC7A50A" w:rsidR="13D366BE">
        <w:rPr>
          <w:rFonts w:ascii="Arial" w:hAnsi="Arial" w:eastAsia="Arial" w:cs="Arial"/>
          <w:b w:val="0"/>
          <w:bCs w:val="0"/>
          <w:noProof w:val="0"/>
          <w:sz w:val="36"/>
          <w:szCs w:val="36"/>
          <w:lang w:val="en-US"/>
        </w:rPr>
        <w:t>6.8 Recommendations for Improvement</w:t>
      </w:r>
      <w:bookmarkEnd w:id="841246605"/>
      <w:r w:rsidRPr="3DC7A50A" w:rsidR="13D366BE">
        <w:rPr>
          <w:rFonts w:ascii="Arial" w:hAnsi="Arial" w:eastAsia="Arial" w:cs="Arial"/>
          <w:b w:val="1"/>
          <w:bCs w:val="1"/>
          <w:noProof w:val="0"/>
          <w:sz w:val="36"/>
          <w:szCs w:val="36"/>
          <w:lang w:val="en-US"/>
        </w:rPr>
        <w:t xml:space="preserve"> </w:t>
      </w:r>
    </w:p>
    <w:p w:rsidR="3B7BAD25" w:rsidP="4369956E" w:rsidRDefault="3B7BAD25" w14:paraId="56F05FAB" w14:textId="42B46F1F">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b w:val="1"/>
          <w:bCs w:val="1"/>
          <w:noProof w:val="0"/>
          <w:sz w:val="24"/>
          <w:szCs w:val="24"/>
          <w:lang w:val="en-US"/>
        </w:rPr>
        <w:t>Strengthen professional education and continuous professional development</w:t>
      </w:r>
      <w:r>
        <w:br/>
      </w:r>
      <w:r w:rsidRPr="3DC7A50A" w:rsidR="7F57E3BC">
        <w:rPr>
          <w:rFonts w:ascii="Arial" w:hAnsi="Arial" w:eastAsia="Arial" w:cs="Arial"/>
          <w:noProof w:val="0"/>
          <w:sz w:val="24"/>
          <w:szCs w:val="24"/>
          <w:lang w:val="en-US"/>
        </w:rPr>
        <w:t xml:space="preserve"> Ongoing training in pharmacology, antimicrobial stewardship, communication, and patient safety should be </w:t>
      </w:r>
      <w:r w:rsidRPr="3DC7A50A" w:rsidR="7F57E3BC">
        <w:rPr>
          <w:rFonts w:ascii="Arial" w:hAnsi="Arial" w:eastAsia="Arial" w:cs="Arial"/>
          <w:noProof w:val="0"/>
          <w:sz w:val="24"/>
          <w:szCs w:val="24"/>
          <w:lang w:val="en-US"/>
        </w:rPr>
        <w:t>institutionalised</w:t>
      </w:r>
      <w:r w:rsidRPr="3DC7A50A" w:rsidR="7F57E3BC">
        <w:rPr>
          <w:rFonts w:ascii="Arial" w:hAnsi="Arial" w:eastAsia="Arial" w:cs="Arial"/>
          <w:noProof w:val="0"/>
          <w:sz w:val="24"/>
          <w:szCs w:val="24"/>
          <w:lang w:val="en-US"/>
        </w:rPr>
        <w:t xml:space="preserve"> nationwide (Theme 1).</w:t>
      </w:r>
    </w:p>
    <w:p w:rsidR="3B7BAD25" w:rsidP="4369956E" w:rsidRDefault="3B7BAD25" w14:paraId="7E8D682B" w14:textId="33824427">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b w:val="1"/>
          <w:bCs w:val="1"/>
          <w:noProof w:val="0"/>
          <w:sz w:val="24"/>
          <w:szCs w:val="24"/>
          <w:lang w:val="en-US"/>
        </w:rPr>
        <w:t>Implement robust SOPs and supervisory frameworks</w:t>
      </w:r>
      <w:r>
        <w:br/>
      </w:r>
      <w:r w:rsidRPr="3DC7A50A" w:rsidR="7F57E3BC">
        <w:rPr>
          <w:rFonts w:ascii="Arial" w:hAnsi="Arial" w:eastAsia="Arial" w:cs="Arial"/>
          <w:noProof w:val="0"/>
          <w:sz w:val="24"/>
          <w:szCs w:val="24"/>
          <w:lang w:val="en-US"/>
        </w:rPr>
        <w:t xml:space="preserve"> </w:t>
      </w:r>
      <w:r w:rsidRPr="3DC7A50A" w:rsidR="7F57E3BC">
        <w:rPr>
          <w:rFonts w:ascii="Arial" w:hAnsi="Arial" w:eastAsia="Arial" w:cs="Arial"/>
          <w:noProof w:val="0"/>
          <w:sz w:val="24"/>
          <w:szCs w:val="24"/>
          <w:lang w:val="en-US"/>
        </w:rPr>
        <w:t>Standardised</w:t>
      </w:r>
      <w:r w:rsidRPr="3DC7A50A" w:rsidR="7F57E3BC">
        <w:rPr>
          <w:rFonts w:ascii="Arial" w:hAnsi="Arial" w:eastAsia="Arial" w:cs="Arial"/>
          <w:noProof w:val="0"/>
          <w:sz w:val="24"/>
          <w:szCs w:val="24"/>
          <w:lang w:val="en-US"/>
        </w:rPr>
        <w:t xml:space="preserve"> dispensing protocols, routine audits, and clear accountability structures are essential (Theme 2).</w:t>
      </w:r>
    </w:p>
    <w:p w:rsidR="3B7BAD25" w:rsidP="4369956E" w:rsidRDefault="3B7BAD25" w14:paraId="188D1D87" w14:textId="34206206">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b w:val="1"/>
          <w:bCs w:val="1"/>
          <w:noProof w:val="0"/>
          <w:sz w:val="24"/>
          <w:szCs w:val="24"/>
          <w:lang w:val="en-US"/>
        </w:rPr>
        <w:t>Establish non-punitive error reporting systems</w:t>
      </w:r>
      <w:r>
        <w:br/>
      </w:r>
      <w:r w:rsidRPr="3DC7A50A" w:rsidR="7F57E3BC">
        <w:rPr>
          <w:rFonts w:ascii="Arial" w:hAnsi="Arial" w:eastAsia="Arial" w:cs="Arial"/>
          <w:noProof w:val="0"/>
          <w:sz w:val="24"/>
          <w:szCs w:val="24"/>
          <w:lang w:val="en-US"/>
        </w:rPr>
        <w:t xml:space="preserve"> Just culture models should replace blame-based approaches to promote transparency and learning (Theme 3).</w:t>
      </w:r>
    </w:p>
    <w:p w:rsidR="3B7BAD25" w:rsidP="4369956E" w:rsidRDefault="3B7BAD25" w14:paraId="0DF29604" w14:textId="6CAD3049">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b w:val="1"/>
          <w:bCs w:val="1"/>
          <w:noProof w:val="0"/>
          <w:sz w:val="24"/>
          <w:szCs w:val="24"/>
          <w:lang w:val="en-US"/>
        </w:rPr>
        <w:t>Integrate</w:t>
      </w:r>
      <w:r w:rsidRPr="3DC7A50A" w:rsidR="7F57E3BC">
        <w:rPr>
          <w:rFonts w:ascii="Arial" w:hAnsi="Arial" w:eastAsia="Arial" w:cs="Arial"/>
          <w:b w:val="1"/>
          <w:bCs w:val="1"/>
          <w:noProof w:val="0"/>
          <w:sz w:val="24"/>
          <w:szCs w:val="24"/>
          <w:lang w:val="en-US"/>
        </w:rPr>
        <w:t xml:space="preserve"> digital technologies</w:t>
      </w:r>
      <w:r>
        <w:br/>
      </w:r>
      <w:r w:rsidRPr="3DC7A50A" w:rsidR="7F57E3BC">
        <w:rPr>
          <w:rFonts w:ascii="Arial" w:hAnsi="Arial" w:eastAsia="Arial" w:cs="Arial"/>
          <w:noProof w:val="0"/>
          <w:sz w:val="24"/>
          <w:szCs w:val="24"/>
          <w:lang w:val="en-US"/>
        </w:rPr>
        <w:t xml:space="preserve"> Electronic prescribing, barcode verification, and digital dispensing tools can reduce reliance on memory and manual processes (Theme 4).</w:t>
      </w:r>
    </w:p>
    <w:p w:rsidR="3B7BAD25" w:rsidP="4369956E" w:rsidRDefault="3B7BAD25" w14:paraId="52D22A4B" w14:textId="042DD040">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b w:val="1"/>
          <w:bCs w:val="1"/>
          <w:noProof w:val="0"/>
          <w:sz w:val="24"/>
          <w:szCs w:val="24"/>
          <w:lang w:val="en-US"/>
        </w:rPr>
        <w:t>Improve communication using local-language resources</w:t>
      </w:r>
      <w:r>
        <w:br/>
      </w:r>
      <w:r w:rsidRPr="3DC7A50A" w:rsidR="7F57E3BC">
        <w:rPr>
          <w:rFonts w:ascii="Arial" w:hAnsi="Arial" w:eastAsia="Arial" w:cs="Arial"/>
          <w:noProof w:val="0"/>
          <w:sz w:val="24"/>
          <w:szCs w:val="24"/>
          <w:lang w:val="en-US"/>
        </w:rPr>
        <w:t xml:space="preserve"> Bilingual labels, pictorial aids, and interpreter support should be </w:t>
      </w:r>
      <w:r w:rsidRPr="3DC7A50A" w:rsidR="7F57E3BC">
        <w:rPr>
          <w:rFonts w:ascii="Arial" w:hAnsi="Arial" w:eastAsia="Arial" w:cs="Arial"/>
          <w:noProof w:val="0"/>
          <w:sz w:val="24"/>
          <w:szCs w:val="24"/>
          <w:lang w:val="en-US"/>
        </w:rPr>
        <w:t>prioritised</w:t>
      </w:r>
      <w:r w:rsidRPr="3DC7A50A" w:rsidR="7F57E3BC">
        <w:rPr>
          <w:rFonts w:ascii="Arial" w:hAnsi="Arial" w:eastAsia="Arial" w:cs="Arial"/>
          <w:noProof w:val="0"/>
          <w:sz w:val="24"/>
          <w:szCs w:val="24"/>
          <w:lang w:val="en-US"/>
        </w:rPr>
        <w:t>.</w:t>
      </w:r>
    </w:p>
    <w:p w:rsidR="3B7BAD25" w:rsidP="4369956E" w:rsidRDefault="3B7BAD25" w14:paraId="70177778" w14:textId="6B8C735B">
      <w:pPr>
        <w:pStyle w:val="ListParagraph"/>
        <w:numPr>
          <w:ilvl w:val="0"/>
          <w:numId w:val="10"/>
        </w:numPr>
        <w:bidi w:val="0"/>
        <w:spacing w:before="240" w:beforeAutospacing="off" w:after="240" w:afterAutospacing="off"/>
        <w:jc w:val="both"/>
        <w:rPr>
          <w:rFonts w:ascii="Arial" w:hAnsi="Arial" w:eastAsia="Arial" w:cs="Arial"/>
          <w:noProof w:val="0"/>
          <w:sz w:val="24"/>
          <w:szCs w:val="24"/>
          <w:lang w:val="en-US"/>
        </w:rPr>
      </w:pPr>
      <w:r w:rsidRPr="3DC7A50A" w:rsidR="7F57E3BC">
        <w:rPr>
          <w:rFonts w:ascii="Arial" w:hAnsi="Arial" w:eastAsia="Arial" w:cs="Arial"/>
          <w:b w:val="1"/>
          <w:bCs w:val="1"/>
          <w:noProof w:val="0"/>
          <w:sz w:val="24"/>
          <w:szCs w:val="24"/>
          <w:lang w:val="en-US"/>
        </w:rPr>
        <w:t>Promote interprofessional collaboration</w:t>
      </w:r>
      <w:r>
        <w:br/>
      </w:r>
      <w:r w:rsidRPr="3DC7A50A" w:rsidR="7F57E3BC">
        <w:rPr>
          <w:rFonts w:ascii="Arial" w:hAnsi="Arial" w:eastAsia="Arial" w:cs="Arial"/>
          <w:noProof w:val="0"/>
          <w:sz w:val="24"/>
          <w:szCs w:val="24"/>
          <w:lang w:val="en-US"/>
        </w:rPr>
        <w:t xml:space="preserve"> Pharmacists must be empowered as integral members of clinical decision-making teams.</w:t>
      </w:r>
    </w:p>
    <w:p w:rsidR="3B7BAD25" w:rsidP="3DC7A50A" w:rsidRDefault="3B7BAD25" w14:paraId="3E93A281" w14:textId="6D59B170">
      <w:pPr>
        <w:bidi w:val="0"/>
        <w:spacing w:before="240" w:beforeAutospacing="off" w:after="240" w:afterAutospacing="off"/>
        <w:jc w:val="both"/>
        <w:rPr>
          <w:rFonts w:ascii="Arial" w:hAnsi="Arial" w:eastAsia="Arial" w:cs="Arial"/>
        </w:rPr>
      </w:pPr>
    </w:p>
    <w:p w:rsidR="3B7BAD25" w:rsidP="5B971295" w:rsidRDefault="3B7BAD25" w14:paraId="04F1B05C" w14:textId="123DCB0D">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830514248" w:id="558925894"/>
      <w:r w:rsidRPr="3DC7A50A" w:rsidR="288B243E">
        <w:rPr>
          <w:rFonts w:ascii="Arial" w:hAnsi="Arial" w:eastAsia="Arial" w:cs="Arial"/>
          <w:b w:val="0"/>
          <w:bCs w:val="0"/>
          <w:noProof w:val="0"/>
          <w:sz w:val="36"/>
          <w:szCs w:val="36"/>
          <w:lang w:val="en-US"/>
        </w:rPr>
        <w:t>6.9 Implications for Policy and Practice</w:t>
      </w:r>
      <w:bookmarkEnd w:id="558925894"/>
    </w:p>
    <w:p w:rsidR="3B7BAD25" w:rsidP="3DC7A50A" w:rsidRDefault="3B7BAD25" w14:paraId="74051EF9" w14:textId="3986BC79">
      <w:pPr>
        <w:bidi w:val="0"/>
        <w:spacing w:before="240" w:beforeAutospacing="off" w:after="240" w:afterAutospacing="off"/>
        <w:jc w:val="both"/>
        <w:rPr>
          <w:rFonts w:ascii="Arial" w:hAnsi="Arial" w:eastAsia="Arial" w:cs="Arial"/>
          <w:noProof w:val="0"/>
          <w:sz w:val="24"/>
          <w:szCs w:val="24"/>
          <w:lang w:val="en-US"/>
        </w:rPr>
      </w:pPr>
      <w:r w:rsidRPr="3DC7A50A" w:rsidR="45C02F84">
        <w:rPr>
          <w:rFonts w:ascii="Arial" w:hAnsi="Arial" w:eastAsia="Arial" w:cs="Arial"/>
          <w:noProof w:val="0"/>
          <w:sz w:val="24"/>
          <w:szCs w:val="24"/>
          <w:lang w:val="en-US"/>
        </w:rPr>
        <w:t xml:space="preserve">The findings of this review highlight the need for system-level policy reform to reduce pharmacist-related dispensing errors in LMICs. Pharmacists must be formally integrated into national patient safety strategies, </w:t>
      </w:r>
      <w:r w:rsidRPr="3DC7A50A" w:rsidR="45C02F84">
        <w:rPr>
          <w:rFonts w:ascii="Arial" w:hAnsi="Arial" w:eastAsia="Arial" w:cs="Arial"/>
          <w:noProof w:val="0"/>
          <w:sz w:val="24"/>
          <w:szCs w:val="24"/>
          <w:lang w:val="en-US"/>
        </w:rPr>
        <w:t>recognising</w:t>
      </w:r>
      <w:r w:rsidRPr="3DC7A50A" w:rsidR="45C02F84">
        <w:rPr>
          <w:rFonts w:ascii="Arial" w:hAnsi="Arial" w:eastAsia="Arial" w:cs="Arial"/>
          <w:noProof w:val="0"/>
          <w:sz w:val="24"/>
          <w:szCs w:val="24"/>
          <w:lang w:val="en-US"/>
        </w:rPr>
        <w:t xml:space="preserve"> their critical role in preventing medication errors across the medicines-use process (Auta et al., 2018; Musoke et al., 2023). Strengthening regulatory oversight through </w:t>
      </w:r>
      <w:r w:rsidRPr="3DC7A50A" w:rsidR="45C02F84">
        <w:rPr>
          <w:rFonts w:ascii="Arial" w:hAnsi="Arial" w:eastAsia="Arial" w:cs="Arial"/>
          <w:noProof w:val="0"/>
          <w:sz w:val="24"/>
          <w:szCs w:val="24"/>
          <w:lang w:val="en-US"/>
        </w:rPr>
        <w:t>standardised</w:t>
      </w:r>
      <w:r w:rsidRPr="3DC7A50A" w:rsidR="45C02F84">
        <w:rPr>
          <w:rFonts w:ascii="Arial" w:hAnsi="Arial" w:eastAsia="Arial" w:cs="Arial"/>
          <w:noProof w:val="0"/>
          <w:sz w:val="24"/>
          <w:szCs w:val="24"/>
          <w:lang w:val="en-US"/>
        </w:rPr>
        <w:t xml:space="preserve"> dispensing guidelines, enforced SOPs, and mandatory continuous professional development is essential to improve consistency and accountability in pharmacy practice.</w:t>
      </w:r>
    </w:p>
    <w:p w:rsidR="3B7BAD25" w:rsidP="3DC7A50A" w:rsidRDefault="3B7BAD25" w14:paraId="549C9135" w14:textId="66ABFD45">
      <w:pPr>
        <w:bidi w:val="0"/>
        <w:spacing w:before="240" w:beforeAutospacing="off" w:after="240" w:afterAutospacing="off"/>
        <w:jc w:val="both"/>
        <w:rPr>
          <w:rFonts w:ascii="Arial" w:hAnsi="Arial" w:eastAsia="Arial" w:cs="Arial"/>
          <w:noProof w:val="0"/>
          <w:sz w:val="24"/>
          <w:szCs w:val="24"/>
          <w:lang w:val="en-US"/>
        </w:rPr>
      </w:pPr>
      <w:r w:rsidRPr="3DC7A50A" w:rsidR="45C02F84">
        <w:rPr>
          <w:rFonts w:ascii="Arial" w:hAnsi="Arial" w:eastAsia="Arial" w:cs="Arial"/>
          <w:noProof w:val="0"/>
          <w:sz w:val="24"/>
          <w:szCs w:val="24"/>
          <w:lang w:val="en-US"/>
        </w:rPr>
        <w:t xml:space="preserve">Policymakers should </w:t>
      </w:r>
      <w:r w:rsidRPr="3DC7A50A" w:rsidR="45C02F84">
        <w:rPr>
          <w:rFonts w:ascii="Arial" w:hAnsi="Arial" w:eastAsia="Arial" w:cs="Arial"/>
          <w:noProof w:val="0"/>
          <w:sz w:val="24"/>
          <w:szCs w:val="24"/>
          <w:lang w:val="en-US"/>
        </w:rPr>
        <w:t>prioritise</w:t>
      </w:r>
      <w:r w:rsidRPr="3DC7A50A" w:rsidR="45C02F84">
        <w:rPr>
          <w:rFonts w:ascii="Arial" w:hAnsi="Arial" w:eastAsia="Arial" w:cs="Arial"/>
          <w:noProof w:val="0"/>
          <w:sz w:val="24"/>
          <w:szCs w:val="24"/>
          <w:lang w:val="en-US"/>
        </w:rPr>
        <w:t xml:space="preserve"> investment in the pharmacy workforce by addressing chronic understaffing, inadequate </w:t>
      </w:r>
      <w:r w:rsidRPr="3DC7A50A" w:rsidR="45C02F84">
        <w:rPr>
          <w:rFonts w:ascii="Arial" w:hAnsi="Arial" w:eastAsia="Arial" w:cs="Arial"/>
          <w:noProof w:val="0"/>
          <w:sz w:val="24"/>
          <w:szCs w:val="24"/>
          <w:lang w:val="en-US"/>
        </w:rPr>
        <w:t>remuneration</w:t>
      </w:r>
      <w:r w:rsidRPr="3DC7A50A" w:rsidR="45C02F84">
        <w:rPr>
          <w:rFonts w:ascii="Arial" w:hAnsi="Arial" w:eastAsia="Arial" w:cs="Arial"/>
          <w:noProof w:val="0"/>
          <w:sz w:val="24"/>
          <w:szCs w:val="24"/>
          <w:lang w:val="en-US"/>
        </w:rPr>
        <w:t xml:space="preserve">, and limited supervisory support, all of which increase vulnerability to error (Saleem et al., 2021). In parallel, </w:t>
      </w:r>
      <w:r w:rsidRPr="3DC7A50A" w:rsidR="45C02F84">
        <w:rPr>
          <w:rFonts w:ascii="Arial" w:hAnsi="Arial" w:eastAsia="Arial" w:cs="Arial"/>
          <w:noProof w:val="0"/>
          <w:sz w:val="24"/>
          <w:szCs w:val="24"/>
          <w:lang w:val="en-US"/>
        </w:rPr>
        <w:t>modernising</w:t>
      </w:r>
      <w:r w:rsidRPr="3DC7A50A" w:rsidR="45C02F84">
        <w:rPr>
          <w:rFonts w:ascii="Arial" w:hAnsi="Arial" w:eastAsia="Arial" w:cs="Arial"/>
          <w:noProof w:val="0"/>
          <w:sz w:val="24"/>
          <w:szCs w:val="24"/>
          <w:lang w:val="en-US"/>
        </w:rPr>
        <w:t xml:space="preserve"> pharmaceutical infrastructure through the adoption of digital dispensing tools, electronic prescribing, and barcode verification systems can reduce reliance on manual processes and enhance medication safety. Aligning national pharmaceutical policies with World Health </w:t>
      </w:r>
      <w:r w:rsidRPr="3DC7A50A" w:rsidR="45C02F84">
        <w:rPr>
          <w:rFonts w:ascii="Arial" w:hAnsi="Arial" w:eastAsia="Arial" w:cs="Arial"/>
          <w:noProof w:val="0"/>
          <w:sz w:val="24"/>
          <w:szCs w:val="24"/>
          <w:lang w:val="en-US"/>
        </w:rPr>
        <w:t>Organization</w:t>
      </w:r>
      <w:r w:rsidRPr="3DC7A50A" w:rsidR="45C02F84">
        <w:rPr>
          <w:rFonts w:ascii="Arial" w:hAnsi="Arial" w:eastAsia="Arial" w:cs="Arial"/>
          <w:noProof w:val="0"/>
          <w:sz w:val="24"/>
          <w:szCs w:val="24"/>
          <w:lang w:val="en-US"/>
        </w:rPr>
        <w:t xml:space="preserve"> medication safety frameworks provides a structured, evidence-based approach to sustainable improvement.</w:t>
      </w:r>
    </w:p>
    <w:p w:rsidR="3B7BAD25" w:rsidP="3DC7A50A" w:rsidRDefault="3B7BAD25" w14:paraId="2C159B6F" w14:textId="085B8886">
      <w:pPr>
        <w:bidi w:val="0"/>
        <w:spacing w:before="240" w:beforeAutospacing="off" w:after="240" w:afterAutospacing="off"/>
        <w:jc w:val="both"/>
        <w:rPr>
          <w:rFonts w:ascii="Arial" w:hAnsi="Arial" w:eastAsia="Arial" w:cs="Arial"/>
        </w:rPr>
      </w:pPr>
    </w:p>
    <w:p w:rsidR="3B7BAD25" w:rsidP="5B971295" w:rsidRDefault="3B7BAD25" w14:paraId="02BEB457" w14:textId="18C0C2BD">
      <w:pPr>
        <w:pStyle w:val="Heading2"/>
        <w:bidi w:val="0"/>
        <w:spacing w:before="299" w:beforeAutospacing="off" w:after="299" w:afterAutospacing="off"/>
        <w:jc w:val="both"/>
        <w:rPr>
          <w:rFonts w:ascii="Arial" w:hAnsi="Arial" w:eastAsia="Arial" w:cs="Arial"/>
          <w:b w:val="0"/>
          <w:bCs w:val="0"/>
          <w:noProof w:val="0"/>
          <w:sz w:val="36"/>
          <w:szCs w:val="36"/>
          <w:lang w:val="en-US"/>
        </w:rPr>
      </w:pPr>
      <w:bookmarkStart w:name="_Toc665075567" w:id="1692406980"/>
      <w:r w:rsidRPr="3DC7A50A" w:rsidR="288B243E">
        <w:rPr>
          <w:rFonts w:ascii="Arial" w:hAnsi="Arial" w:eastAsia="Arial" w:cs="Arial"/>
          <w:b w:val="0"/>
          <w:bCs w:val="0"/>
          <w:noProof w:val="0"/>
          <w:sz w:val="36"/>
          <w:szCs w:val="36"/>
          <w:lang w:val="en-US"/>
        </w:rPr>
        <w:t>6.10 Strengths and Limitations</w:t>
      </w:r>
      <w:bookmarkEnd w:id="1692406980"/>
    </w:p>
    <w:p w:rsidR="3B7BAD25" w:rsidP="3DC7A50A" w:rsidRDefault="3B7BAD25" w14:paraId="2275B3FC" w14:textId="075E7B02">
      <w:pPr>
        <w:bidi w:val="0"/>
        <w:spacing w:before="240" w:beforeAutospacing="off" w:after="240" w:afterAutospacing="off"/>
        <w:jc w:val="both"/>
        <w:rPr>
          <w:rFonts w:ascii="Arial" w:hAnsi="Arial" w:eastAsia="Arial" w:cs="Arial"/>
          <w:noProof w:val="0"/>
          <w:sz w:val="24"/>
          <w:szCs w:val="24"/>
          <w:lang w:val="en-US"/>
        </w:rPr>
      </w:pPr>
      <w:r w:rsidRPr="3DC7A50A" w:rsidR="45C02F84">
        <w:rPr>
          <w:rFonts w:ascii="Arial" w:hAnsi="Arial" w:eastAsia="Arial" w:cs="Arial"/>
          <w:noProof w:val="0"/>
          <w:sz w:val="24"/>
          <w:szCs w:val="24"/>
          <w:lang w:val="en-US"/>
        </w:rPr>
        <w:t xml:space="preserve">A key strength of this systematic review is its synthesis of qualitative evidence from diverse LMIC contexts, offering rich insight into the systemic, </w:t>
      </w:r>
      <w:r w:rsidRPr="3DC7A50A" w:rsidR="45C02F84">
        <w:rPr>
          <w:rFonts w:ascii="Arial" w:hAnsi="Arial" w:eastAsia="Arial" w:cs="Arial"/>
          <w:noProof w:val="0"/>
          <w:sz w:val="24"/>
          <w:szCs w:val="24"/>
          <w:lang w:val="en-US"/>
        </w:rPr>
        <w:t>organisational</w:t>
      </w:r>
      <w:r w:rsidRPr="3DC7A50A" w:rsidR="45C02F84">
        <w:rPr>
          <w:rFonts w:ascii="Arial" w:hAnsi="Arial" w:eastAsia="Arial" w:cs="Arial"/>
          <w:noProof w:val="0"/>
          <w:sz w:val="24"/>
          <w:szCs w:val="24"/>
          <w:lang w:val="en-US"/>
        </w:rPr>
        <w:t xml:space="preserve">, and sociocultural factors influencing dispensing errors. This approach enabled a deeper understanding of how professional </w:t>
      </w:r>
      <w:r w:rsidRPr="3DC7A50A" w:rsidR="45C02F84">
        <w:rPr>
          <w:rFonts w:ascii="Arial" w:hAnsi="Arial" w:eastAsia="Arial" w:cs="Arial"/>
          <w:noProof w:val="0"/>
          <w:sz w:val="24"/>
          <w:szCs w:val="24"/>
          <w:lang w:val="en-US"/>
        </w:rPr>
        <w:t>behaviour</w:t>
      </w:r>
      <w:r w:rsidRPr="3DC7A50A" w:rsidR="45C02F84">
        <w:rPr>
          <w:rFonts w:ascii="Arial" w:hAnsi="Arial" w:eastAsia="Arial" w:cs="Arial"/>
          <w:noProof w:val="0"/>
          <w:sz w:val="24"/>
          <w:szCs w:val="24"/>
          <w:lang w:val="en-US"/>
        </w:rPr>
        <w:t xml:space="preserve"> is shaped by broader structural constraints rather than individual negligence alone.</w:t>
      </w:r>
    </w:p>
    <w:p w:rsidR="3B7BAD25" w:rsidP="3DC7A50A" w:rsidRDefault="3B7BAD25" w14:paraId="7B0B0291" w14:textId="2C6DE1CF">
      <w:pPr>
        <w:bidi w:val="0"/>
        <w:spacing w:before="240" w:beforeAutospacing="off" w:after="240" w:afterAutospacing="off"/>
        <w:jc w:val="both"/>
        <w:rPr>
          <w:rFonts w:ascii="Arial" w:hAnsi="Arial" w:eastAsia="Arial" w:cs="Arial"/>
          <w:noProof w:val="0"/>
          <w:sz w:val="24"/>
          <w:szCs w:val="24"/>
          <w:lang w:val="en-US"/>
        </w:rPr>
      </w:pPr>
      <w:r w:rsidRPr="3DC7A50A" w:rsidR="45C02F84">
        <w:rPr>
          <w:rFonts w:ascii="Arial" w:hAnsi="Arial" w:eastAsia="Arial" w:cs="Arial"/>
          <w:noProof w:val="0"/>
          <w:sz w:val="24"/>
          <w:szCs w:val="24"/>
          <w:lang w:val="en-US"/>
        </w:rPr>
        <w:t xml:space="preserve">However, variability in study designs, settings, and methodological quality limits the </w:t>
      </w:r>
      <w:r w:rsidRPr="3DC7A50A" w:rsidR="45C02F84">
        <w:rPr>
          <w:rFonts w:ascii="Arial" w:hAnsi="Arial" w:eastAsia="Arial" w:cs="Arial"/>
          <w:noProof w:val="0"/>
          <w:sz w:val="24"/>
          <w:szCs w:val="24"/>
          <w:lang w:val="en-US"/>
        </w:rPr>
        <w:t>generalisability</w:t>
      </w:r>
      <w:r w:rsidRPr="3DC7A50A" w:rsidR="45C02F84">
        <w:rPr>
          <w:rFonts w:ascii="Arial" w:hAnsi="Arial" w:eastAsia="Arial" w:cs="Arial"/>
          <w:noProof w:val="0"/>
          <w:sz w:val="24"/>
          <w:szCs w:val="24"/>
          <w:lang w:val="en-US"/>
        </w:rPr>
        <w:t xml:space="preserve"> of the findings. In addition, limited reporting on evaluated quality improvement interventions restricts conclusions </w:t>
      </w:r>
      <w:r w:rsidRPr="3DC7A50A" w:rsidR="45C02F84">
        <w:rPr>
          <w:rFonts w:ascii="Arial" w:hAnsi="Arial" w:eastAsia="Arial" w:cs="Arial"/>
          <w:noProof w:val="0"/>
          <w:sz w:val="24"/>
          <w:szCs w:val="24"/>
          <w:lang w:val="en-US"/>
        </w:rPr>
        <w:t>regarding</w:t>
      </w:r>
      <w:r w:rsidRPr="3DC7A50A" w:rsidR="45C02F84">
        <w:rPr>
          <w:rFonts w:ascii="Arial" w:hAnsi="Arial" w:eastAsia="Arial" w:cs="Arial"/>
          <w:noProof w:val="0"/>
          <w:sz w:val="24"/>
          <w:szCs w:val="24"/>
          <w:lang w:val="en-US"/>
        </w:rPr>
        <w:t xml:space="preserve"> the effectiveness of specific strategies. Future research should focus on intervention-based and longitudinal studies to strengthen the evidence base for medication safety improvements in LMIC pharmacy practice.</w:t>
      </w:r>
    </w:p>
    <w:p w:rsidR="3B7BAD25" w:rsidP="3DC7A50A" w:rsidRDefault="3B7BAD25" w14:paraId="1DF5528B" w14:textId="1B884C43">
      <w:pPr>
        <w:pStyle w:val="Heading2"/>
        <w:bidi w:val="0"/>
        <w:spacing w:before="240" w:beforeAutospacing="off" w:after="240" w:afterAutospacing="off"/>
        <w:jc w:val="both"/>
        <w:rPr>
          <w:rFonts w:ascii="Arial" w:hAnsi="Arial" w:eastAsia="Arial" w:cs="Arial"/>
          <w:b w:val="0"/>
          <w:bCs w:val="0"/>
          <w:noProof w:val="0"/>
          <w:sz w:val="36"/>
          <w:szCs w:val="36"/>
          <w:lang w:val="en-US"/>
        </w:rPr>
      </w:pPr>
      <w:bookmarkStart w:name="_Toc1884419942" w:id="943870810"/>
      <w:r w:rsidRPr="3DC7A50A" w:rsidR="288B243E">
        <w:rPr>
          <w:rFonts w:ascii="Arial" w:hAnsi="Arial" w:eastAsia="Arial" w:cs="Arial"/>
          <w:b w:val="0"/>
          <w:bCs w:val="0"/>
          <w:noProof w:val="0"/>
          <w:sz w:val="36"/>
          <w:szCs w:val="36"/>
          <w:lang w:val="en-US"/>
        </w:rPr>
        <w:t>6.11 Summary</w:t>
      </w:r>
      <w:bookmarkEnd w:id="943870810"/>
    </w:p>
    <w:p w:rsidR="3B7BAD25" w:rsidP="3DC7A50A" w:rsidRDefault="3B7BAD25" w14:paraId="6F51F8EF" w14:textId="5C906C3F">
      <w:pPr>
        <w:bidi w:val="0"/>
        <w:spacing w:before="240" w:beforeAutospacing="off" w:after="240" w:afterAutospacing="off"/>
        <w:jc w:val="both"/>
        <w:rPr>
          <w:rFonts w:ascii="Arial" w:hAnsi="Arial" w:eastAsia="Arial" w:cs="Arial"/>
          <w:noProof w:val="0"/>
          <w:sz w:val="24"/>
          <w:szCs w:val="24"/>
          <w:lang w:val="en-US"/>
        </w:rPr>
      </w:pPr>
      <w:r w:rsidRPr="3DC7A50A" w:rsidR="288B243E">
        <w:rPr>
          <w:rFonts w:ascii="Arial" w:hAnsi="Arial" w:eastAsia="Arial" w:cs="Arial"/>
          <w:noProof w:val="0"/>
          <w:sz w:val="24"/>
          <w:szCs w:val="24"/>
          <w:lang w:val="en-US"/>
        </w:rPr>
        <w:t xml:space="preserve">This chapter </w:t>
      </w:r>
      <w:r w:rsidRPr="3DC7A50A" w:rsidR="288B243E">
        <w:rPr>
          <w:rFonts w:ascii="Arial" w:hAnsi="Arial" w:eastAsia="Arial" w:cs="Arial"/>
          <w:noProof w:val="0"/>
          <w:sz w:val="24"/>
          <w:szCs w:val="24"/>
          <w:lang w:val="en-US"/>
        </w:rPr>
        <w:t>demonstrated</w:t>
      </w:r>
      <w:r w:rsidRPr="3DC7A50A" w:rsidR="288B243E">
        <w:rPr>
          <w:rFonts w:ascii="Arial" w:hAnsi="Arial" w:eastAsia="Arial" w:cs="Arial"/>
          <w:noProof w:val="0"/>
          <w:sz w:val="24"/>
          <w:szCs w:val="24"/>
          <w:lang w:val="en-US"/>
        </w:rPr>
        <w:t xml:space="preserve"> that dispensing errors in LMIC pharmacy settings are driven by interconnected factors including inadequate training, systemic weaknesses, cultural and communication barriers, and socioeconomic constraints. Addressing these challenges requires coordinated, system-wide reform focused on strengthening professional capacity, </w:t>
      </w:r>
      <w:r w:rsidRPr="3DC7A50A" w:rsidR="288B243E">
        <w:rPr>
          <w:rFonts w:ascii="Arial" w:hAnsi="Arial" w:eastAsia="Arial" w:cs="Arial"/>
          <w:noProof w:val="0"/>
          <w:sz w:val="24"/>
          <w:szCs w:val="24"/>
          <w:lang w:val="en-US"/>
        </w:rPr>
        <w:t>standardising</w:t>
      </w:r>
      <w:r w:rsidRPr="3DC7A50A" w:rsidR="288B243E">
        <w:rPr>
          <w:rFonts w:ascii="Arial" w:hAnsi="Arial" w:eastAsia="Arial" w:cs="Arial"/>
          <w:noProof w:val="0"/>
          <w:sz w:val="24"/>
          <w:szCs w:val="24"/>
          <w:lang w:val="en-US"/>
        </w:rPr>
        <w:t xml:space="preserve"> practice, fostering transparent safety cultures, and investing in supportive infrastructure. Such integrated approaches are essential for achieving meaningful and sustainable improvements in medication safety in LMICs.</w:t>
      </w:r>
    </w:p>
    <w:p w:rsidR="3B7BAD25" w:rsidP="5B971295" w:rsidRDefault="3B7BAD25" w14:paraId="77FAC034" w14:textId="6B0EBBB7">
      <w:pPr>
        <w:pStyle w:val="Normal"/>
        <w:bidi w:val="0"/>
        <w:spacing w:before="240" w:beforeAutospacing="off" w:after="240" w:afterAutospacing="off"/>
        <w:jc w:val="both"/>
        <w:rPr>
          <w:rFonts w:ascii="Arial" w:hAnsi="Arial" w:eastAsia="Arial" w:cs="Arial"/>
          <w:noProof w:val="0"/>
          <w:sz w:val="32"/>
          <w:szCs w:val="32"/>
          <w:lang w:val="en-US"/>
        </w:rPr>
      </w:pPr>
    </w:p>
    <w:p w:rsidR="3B7BAD25" w:rsidP="3DC7A50A" w:rsidRDefault="3B7BAD25" w14:paraId="10B4BAA0" w14:textId="3F0903FF">
      <w:pPr>
        <w:pStyle w:val="Heading1"/>
        <w:bidi w:val="0"/>
        <w:rPr>
          <w:rFonts w:ascii="Arial" w:hAnsi="Arial" w:eastAsia="Arial" w:cs="Arial"/>
          <w:b w:val="1"/>
          <w:bCs w:val="1"/>
          <w:noProof w:val="0"/>
          <w:lang w:val="en-US"/>
        </w:rPr>
      </w:pPr>
      <w:bookmarkStart w:name="_Toc107635613" w:id="1902571166"/>
      <w:r w:rsidRPr="3DC7A50A" w:rsidR="4714A4F5">
        <w:rPr>
          <w:rFonts w:ascii="Arial" w:hAnsi="Arial" w:eastAsia="Arial" w:cs="Arial"/>
          <w:b w:val="1"/>
          <w:bCs w:val="1"/>
          <w:noProof w:val="0"/>
          <w:color w:val="auto"/>
          <w:lang w:val="en-US"/>
        </w:rPr>
        <w:t>CHAPTER 7: CONCLUSION AND RECOMMENDATIONS</w:t>
      </w:r>
      <w:bookmarkEnd w:id="1902571166"/>
      <w:r w:rsidRPr="3DC7A50A" w:rsidR="4714A4F5">
        <w:rPr>
          <w:rFonts w:ascii="Arial" w:hAnsi="Arial" w:eastAsia="Arial" w:cs="Arial"/>
          <w:b w:val="1"/>
          <w:bCs w:val="1"/>
          <w:noProof w:val="0"/>
          <w:lang w:val="en-US"/>
        </w:rPr>
        <w:t xml:space="preserve"> </w:t>
      </w:r>
    </w:p>
    <w:p w:rsidR="3B7BAD25" w:rsidP="5B971295" w:rsidRDefault="3B7BAD25" w14:paraId="4DA38868" w14:textId="50250C7E">
      <w:pPr>
        <w:pStyle w:val="Heading2"/>
        <w:bidi w:val="0"/>
        <w:rPr>
          <w:rFonts w:ascii="Arial" w:hAnsi="Arial" w:eastAsia="Arial" w:cs="Arial"/>
          <w:noProof w:val="0"/>
          <w:lang w:val="en-US"/>
        </w:rPr>
      </w:pPr>
      <w:bookmarkStart w:name="_Toc707833787" w:id="2142060617"/>
      <w:r w:rsidRPr="3DC7A50A" w:rsidR="09D79683">
        <w:rPr>
          <w:rFonts w:ascii="Arial" w:hAnsi="Arial" w:eastAsia="Arial" w:cs="Arial"/>
          <w:noProof w:val="0"/>
          <w:lang w:val="en-US"/>
        </w:rPr>
        <w:t>7.1 Introduction</w:t>
      </w:r>
      <w:bookmarkEnd w:id="2142060617"/>
    </w:p>
    <w:p w:rsidR="5D633FD4" w:rsidP="5B971295" w:rsidRDefault="5D633FD4" w14:paraId="6618E9F0" w14:textId="48463D72">
      <w:pPr>
        <w:bidi w:val="0"/>
        <w:spacing w:before="240" w:beforeAutospacing="off" w:after="240" w:afterAutospacing="off"/>
        <w:jc w:val="both"/>
        <w:rPr>
          <w:rFonts w:ascii="Arial" w:hAnsi="Arial" w:eastAsia="Arial" w:cs="Arial"/>
          <w:b w:val="0"/>
          <w:bCs w:val="0"/>
          <w:noProof w:val="0"/>
          <w:sz w:val="24"/>
          <w:szCs w:val="24"/>
          <w:lang w:val="en-US"/>
        </w:rPr>
      </w:pPr>
      <w:r w:rsidRPr="3DC7A50A" w:rsidR="0DF3F63E">
        <w:rPr>
          <w:rFonts w:ascii="Arial" w:hAnsi="Arial" w:eastAsia="Arial" w:cs="Arial"/>
          <w:noProof w:val="0"/>
          <w:sz w:val="24"/>
          <w:szCs w:val="24"/>
          <w:lang w:val="en-US"/>
        </w:rPr>
        <w:t xml:space="preserve">This chapter presents the overall conclusions of the systematic review and </w:t>
      </w:r>
      <w:r w:rsidRPr="3DC7A50A" w:rsidR="0DF3F63E">
        <w:rPr>
          <w:rFonts w:ascii="Arial" w:hAnsi="Arial" w:eastAsia="Arial" w:cs="Arial"/>
          <w:noProof w:val="0"/>
          <w:sz w:val="24"/>
          <w:szCs w:val="24"/>
          <w:lang w:val="en-US"/>
        </w:rPr>
        <w:t>synthesises</w:t>
      </w:r>
      <w:r w:rsidRPr="3DC7A50A" w:rsidR="0DF3F63E">
        <w:rPr>
          <w:rFonts w:ascii="Arial" w:hAnsi="Arial" w:eastAsia="Arial" w:cs="Arial"/>
          <w:noProof w:val="0"/>
          <w:sz w:val="24"/>
          <w:szCs w:val="24"/>
          <w:lang w:val="en-US"/>
        </w:rPr>
        <w:t xml:space="preserve"> the key findings derived from </w:t>
      </w:r>
      <w:r w:rsidRPr="3DC7A50A" w:rsidR="0DF3F63E">
        <w:rPr>
          <w:rFonts w:ascii="Arial" w:hAnsi="Arial" w:eastAsia="Arial" w:cs="Arial"/>
          <w:noProof w:val="0"/>
          <w:sz w:val="24"/>
          <w:szCs w:val="24"/>
          <w:lang w:val="en-US"/>
        </w:rPr>
        <w:t>the thematic</w:t>
      </w:r>
      <w:r w:rsidRPr="3DC7A50A" w:rsidR="0DF3F63E">
        <w:rPr>
          <w:rFonts w:ascii="Arial" w:hAnsi="Arial" w:eastAsia="Arial" w:cs="Arial"/>
          <w:noProof w:val="0"/>
          <w:sz w:val="24"/>
          <w:szCs w:val="24"/>
          <w:lang w:val="en-US"/>
        </w:rPr>
        <w:t xml:space="preserve"> analysis and discussion. It </w:t>
      </w:r>
      <w:r w:rsidRPr="3DC7A50A" w:rsidR="0DF3F63E">
        <w:rPr>
          <w:rFonts w:ascii="Arial" w:hAnsi="Arial" w:eastAsia="Arial" w:cs="Arial"/>
          <w:noProof w:val="0"/>
          <w:sz w:val="24"/>
          <w:szCs w:val="24"/>
          <w:lang w:val="en-US"/>
        </w:rPr>
        <w:t>summarises</w:t>
      </w:r>
      <w:r w:rsidRPr="3DC7A50A" w:rsidR="0DF3F63E">
        <w:rPr>
          <w:rFonts w:ascii="Arial" w:hAnsi="Arial" w:eastAsia="Arial" w:cs="Arial"/>
          <w:noProof w:val="0"/>
          <w:sz w:val="24"/>
          <w:szCs w:val="24"/>
          <w:lang w:val="en-US"/>
        </w:rPr>
        <w:t xml:space="preserve"> the main factors contributing to pharmacist-related dispensing errors in </w:t>
      </w:r>
      <w:r w:rsidRPr="3DC7A50A" w:rsidR="0DF3F63E">
        <w:rPr>
          <w:rFonts w:ascii="Arial" w:hAnsi="Arial" w:eastAsia="Arial" w:cs="Arial"/>
          <w:b w:val="0"/>
          <w:bCs w:val="0"/>
          <w:noProof w:val="0"/>
          <w:sz w:val="24"/>
          <w:szCs w:val="24"/>
          <w:lang w:val="en-US"/>
        </w:rPr>
        <w:t>low- and middle-income countries (LMICs)</w:t>
      </w:r>
      <w:r w:rsidRPr="3DC7A50A" w:rsidR="0DF3F63E">
        <w:rPr>
          <w:rFonts w:ascii="Arial" w:hAnsi="Arial" w:eastAsia="Arial" w:cs="Arial"/>
          <w:b w:val="0"/>
          <w:bCs w:val="0"/>
          <w:noProof w:val="0"/>
          <w:sz w:val="24"/>
          <w:szCs w:val="24"/>
          <w:lang w:val="en-US"/>
        </w:rPr>
        <w:t xml:space="preserve"> and </w:t>
      </w:r>
      <w:r w:rsidRPr="3DC7A50A" w:rsidR="0DF3F63E">
        <w:rPr>
          <w:rFonts w:ascii="Arial" w:hAnsi="Arial" w:eastAsia="Arial" w:cs="Arial"/>
          <w:b w:val="0"/>
          <w:bCs w:val="0"/>
          <w:noProof w:val="0"/>
          <w:sz w:val="24"/>
          <w:szCs w:val="24"/>
          <w:lang w:val="en-US"/>
        </w:rPr>
        <w:t>reflects on</w:t>
      </w:r>
      <w:r w:rsidRPr="3DC7A50A" w:rsidR="0DF3F63E">
        <w:rPr>
          <w:rFonts w:ascii="Arial" w:hAnsi="Arial" w:eastAsia="Arial" w:cs="Arial"/>
          <w:b w:val="0"/>
          <w:bCs w:val="0"/>
          <w:noProof w:val="0"/>
          <w:sz w:val="24"/>
          <w:szCs w:val="24"/>
          <w:lang w:val="en-US"/>
        </w:rPr>
        <w:t xml:space="preserve"> the implications for pharmacy practice, policy, and future research.</w:t>
      </w:r>
    </w:p>
    <w:p w:rsidR="5D633FD4" w:rsidP="3DC7A50A" w:rsidRDefault="5D633FD4" w14:paraId="6F874AE6" w14:textId="6AD9B519">
      <w:pPr>
        <w:bidi w:val="0"/>
        <w:spacing w:before="240" w:beforeAutospacing="off" w:after="240" w:afterAutospacing="off"/>
        <w:jc w:val="both"/>
        <w:rPr>
          <w:rFonts w:ascii="Arial" w:hAnsi="Arial" w:eastAsia="Arial" w:cs="Arial"/>
          <w:noProof w:val="0"/>
          <w:sz w:val="24"/>
          <w:szCs w:val="24"/>
          <w:lang w:val="en-US"/>
        </w:rPr>
      </w:pPr>
      <w:r w:rsidRPr="3DC7A50A" w:rsidR="0DF3F63E">
        <w:rPr>
          <w:rFonts w:ascii="Arial" w:hAnsi="Arial" w:eastAsia="Arial" w:cs="Arial"/>
          <w:noProof w:val="0"/>
          <w:sz w:val="24"/>
          <w:szCs w:val="24"/>
          <w:lang w:val="en-US"/>
        </w:rPr>
        <w:t xml:space="preserve">Building on the evidence presented in Chapters 5 and 6, this chapter </w:t>
      </w:r>
      <w:r w:rsidRPr="3DC7A50A" w:rsidR="0DF3F63E">
        <w:rPr>
          <w:rFonts w:ascii="Arial" w:hAnsi="Arial" w:eastAsia="Arial" w:cs="Arial"/>
          <w:noProof w:val="0"/>
          <w:sz w:val="24"/>
          <w:szCs w:val="24"/>
          <w:lang w:val="en-US"/>
        </w:rPr>
        <w:t>emphasises</w:t>
      </w:r>
      <w:r w:rsidRPr="3DC7A50A" w:rsidR="0DF3F63E">
        <w:rPr>
          <w:rFonts w:ascii="Arial" w:hAnsi="Arial" w:eastAsia="Arial" w:cs="Arial"/>
          <w:noProof w:val="0"/>
          <w:sz w:val="24"/>
          <w:szCs w:val="24"/>
          <w:lang w:val="en-US"/>
        </w:rPr>
        <w:t xml:space="preserve"> that dispensing errors in LMICs are not isolated incidents caused by individual negligence, but rather the result of complex interactions between system weaknesses, human factors, sociocultural influences, and structural inequalities. The chapter concludes by offering evidence-informed recommendations aimed at strengthening medication safety through sustainable quality improvement approaches. (Musoke et al., 2023; Saleem et al., 2021; Awan et al., 2020).</w:t>
      </w:r>
    </w:p>
    <w:p w:rsidR="6140A6EC" w:rsidP="5B971295" w:rsidRDefault="6140A6EC" w14:paraId="498E6E77" w14:textId="56C0DE44">
      <w:pPr>
        <w:bidi w:val="0"/>
        <w:spacing w:before="240" w:beforeAutospacing="off" w:after="240" w:afterAutospacing="off"/>
        <w:jc w:val="both"/>
        <w:rPr>
          <w:rFonts w:ascii="Arial" w:hAnsi="Arial" w:eastAsia="Arial" w:cs="Arial"/>
          <w:noProof w:val="0"/>
          <w:sz w:val="24"/>
          <w:szCs w:val="24"/>
          <w:lang w:val="en-US"/>
        </w:rPr>
      </w:pPr>
      <w:r w:rsidRPr="3DC7A50A" w:rsidR="74EC2C01">
        <w:rPr>
          <w:rFonts w:ascii="Arial" w:hAnsi="Arial" w:eastAsia="Arial" w:cs="Arial"/>
          <w:noProof w:val="0"/>
          <w:sz w:val="24"/>
          <w:szCs w:val="24"/>
          <w:lang w:val="en-US"/>
        </w:rPr>
        <w:t xml:space="preserve"> </w:t>
      </w:r>
    </w:p>
    <w:p w:rsidR="3B7BAD25" w:rsidP="3DC7A50A" w:rsidRDefault="3B7BAD25" w14:paraId="58FDEEC2" w14:textId="671D2077">
      <w:pPr>
        <w:pStyle w:val="Heading2"/>
        <w:rPr>
          <w:rFonts w:ascii="Arial" w:hAnsi="Arial" w:eastAsia="Arial" w:cs="Arial"/>
          <w:noProof w:val="0"/>
          <w:lang w:val="en-US"/>
        </w:rPr>
      </w:pPr>
      <w:bookmarkStart w:name="_Toc1743433829" w:id="862320214"/>
      <w:r w:rsidRPr="3DC7A50A" w:rsidR="09D79683">
        <w:rPr>
          <w:rFonts w:ascii="Arial" w:hAnsi="Arial" w:eastAsia="Arial" w:cs="Arial"/>
          <w:noProof w:val="0"/>
          <w:lang w:val="en-US"/>
        </w:rPr>
        <w:t>7.2 Overall Conclusion</w:t>
      </w:r>
      <w:bookmarkEnd w:id="862320214"/>
    </w:p>
    <w:p w:rsidR="3B7BAD25" w:rsidP="3DC7A50A" w:rsidRDefault="3B7BAD25" w14:paraId="0ECE6088" w14:textId="68294AA0">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 xml:space="preserve">This systematic review concludes that dispensing errors in LMICs arise from a combination of knowledge deficits, </w:t>
      </w:r>
      <w:r w:rsidRPr="3DC7A50A" w:rsidR="660D1FE6">
        <w:rPr>
          <w:rFonts w:ascii="Arial" w:hAnsi="Arial" w:eastAsia="Arial" w:cs="Arial"/>
          <w:noProof w:val="0"/>
          <w:sz w:val="24"/>
          <w:szCs w:val="24"/>
          <w:lang w:val="en-US"/>
        </w:rPr>
        <w:t>organisational</w:t>
      </w:r>
      <w:r w:rsidRPr="3DC7A50A" w:rsidR="660D1FE6">
        <w:rPr>
          <w:rFonts w:ascii="Arial" w:hAnsi="Arial" w:eastAsia="Arial" w:cs="Arial"/>
          <w:noProof w:val="0"/>
          <w:sz w:val="24"/>
          <w:szCs w:val="24"/>
          <w:lang w:val="en-US"/>
        </w:rPr>
        <w:t xml:space="preserve"> weaknesses, sociocultural pressures, communication challenges, and socioeconomic constraints. The evidence </w:t>
      </w:r>
      <w:r w:rsidRPr="3DC7A50A" w:rsidR="660D1FE6">
        <w:rPr>
          <w:rFonts w:ascii="Arial" w:hAnsi="Arial" w:eastAsia="Arial" w:cs="Arial"/>
          <w:noProof w:val="0"/>
          <w:sz w:val="24"/>
          <w:szCs w:val="24"/>
          <w:lang w:val="en-US"/>
        </w:rPr>
        <w:t>demonstrates</w:t>
      </w:r>
      <w:r w:rsidRPr="3DC7A50A" w:rsidR="660D1FE6">
        <w:rPr>
          <w:rFonts w:ascii="Arial" w:hAnsi="Arial" w:eastAsia="Arial" w:cs="Arial"/>
          <w:noProof w:val="0"/>
          <w:sz w:val="24"/>
          <w:szCs w:val="24"/>
          <w:lang w:val="en-US"/>
        </w:rPr>
        <w:t xml:space="preserve"> that pharmacists often work with limited resources, under high workload, and with inconsistent access to professional development, contributing to unsafe dispensing </w:t>
      </w:r>
      <w:r w:rsidRPr="3DC7A50A" w:rsidR="660D1FE6">
        <w:rPr>
          <w:rFonts w:ascii="Arial" w:hAnsi="Arial" w:eastAsia="Arial" w:cs="Arial"/>
          <w:noProof w:val="0"/>
          <w:sz w:val="24"/>
          <w:szCs w:val="24"/>
          <w:lang w:val="en-US"/>
        </w:rPr>
        <w:t>behaviours</w:t>
      </w:r>
      <w:r w:rsidRPr="3DC7A50A" w:rsidR="660D1FE6">
        <w:rPr>
          <w:rFonts w:ascii="Arial" w:hAnsi="Arial" w:eastAsia="Arial" w:cs="Arial"/>
          <w:noProof w:val="0"/>
          <w:sz w:val="24"/>
          <w:szCs w:val="24"/>
          <w:lang w:val="en-US"/>
        </w:rPr>
        <w:t xml:space="preserve"> (Kifle et al., 2021; Yousaf et al., 2022).</w:t>
      </w:r>
    </w:p>
    <w:p w:rsidR="3B7BAD25" w:rsidP="3DC7A50A" w:rsidRDefault="3B7BAD25" w14:paraId="5B3C2F27" w14:textId="078786ED">
      <w:pPr>
        <w:pStyle w:val="Normal"/>
        <w:bidi w:val="0"/>
        <w:spacing w:before="240" w:beforeAutospacing="off" w:after="240" w:afterAutospacing="off"/>
        <w:jc w:val="both"/>
        <w:rPr>
          <w:rFonts w:ascii="Arial" w:hAnsi="Arial" w:eastAsia="Arial" w:cs="Arial"/>
          <w:noProof w:val="0"/>
          <w:sz w:val="24"/>
          <w:szCs w:val="24"/>
          <w:lang w:val="en-US"/>
        </w:rPr>
      </w:pPr>
      <w:r w:rsidRPr="3DC7A50A" w:rsidR="0D3102DF">
        <w:rPr>
          <w:rFonts w:ascii="Arial" w:hAnsi="Arial" w:eastAsia="Arial" w:cs="Arial"/>
          <w:noProof w:val="0"/>
          <w:sz w:val="24"/>
          <w:szCs w:val="24"/>
          <w:lang w:val="en-US"/>
        </w:rPr>
        <w:t>Organisational</w:t>
      </w:r>
      <w:r w:rsidRPr="3DC7A50A" w:rsidR="0D3102DF">
        <w:rPr>
          <w:rFonts w:ascii="Arial" w:hAnsi="Arial" w:eastAsia="Arial" w:cs="Arial"/>
          <w:noProof w:val="0"/>
          <w:sz w:val="24"/>
          <w:szCs w:val="24"/>
          <w:lang w:val="en-US"/>
        </w:rPr>
        <w:t xml:space="preserve"> deficiencies</w:t>
      </w:r>
      <w:r w:rsidRPr="3DC7A50A" w:rsidR="73AF1854">
        <w:rPr>
          <w:rFonts w:ascii="Arial" w:hAnsi="Arial" w:eastAsia="Arial" w:cs="Arial"/>
          <w:noProof w:val="0"/>
          <w:sz w:val="24"/>
          <w:szCs w:val="24"/>
          <w:lang w:val="en-US"/>
        </w:rPr>
        <w:t xml:space="preserve"> </w:t>
      </w:r>
      <w:r w:rsidRPr="3DC7A50A" w:rsidR="0D3102DF">
        <w:rPr>
          <w:rFonts w:ascii="Arial" w:hAnsi="Arial" w:eastAsia="Arial" w:cs="Arial"/>
          <w:noProof w:val="0"/>
          <w:sz w:val="24"/>
          <w:szCs w:val="24"/>
          <w:lang w:val="en-US"/>
        </w:rPr>
        <w:t>such as unclear prescriptions, absence of SOPs, weak supervision, and fragmented interprofessional communication</w:t>
      </w:r>
      <w:r w:rsidRPr="3DC7A50A" w:rsidR="28658C82">
        <w:rPr>
          <w:rFonts w:ascii="Arial" w:hAnsi="Arial" w:eastAsia="Arial" w:cs="Arial"/>
          <w:noProof w:val="0"/>
          <w:sz w:val="24"/>
          <w:szCs w:val="24"/>
          <w:lang w:val="en-US"/>
        </w:rPr>
        <w:t xml:space="preserve"> </w:t>
      </w:r>
      <w:r w:rsidRPr="3DC7A50A" w:rsidR="0D3102DF">
        <w:rPr>
          <w:rFonts w:ascii="Arial" w:hAnsi="Arial" w:eastAsia="Arial" w:cs="Arial"/>
          <w:noProof w:val="0"/>
          <w:sz w:val="24"/>
          <w:szCs w:val="24"/>
          <w:lang w:val="en-US"/>
        </w:rPr>
        <w:t xml:space="preserve">were shown to significantly increase error likelihood (Awan et al., 2020; Saleem et al., 2021). Sociocultural factors, including patient pressure and fear of blame, further discourage transparency and inhibit error reporting (Musoke et al., 2023). Language barriers and low health literacy </w:t>
      </w:r>
      <w:r w:rsidRPr="3DC7A50A" w:rsidR="0D3102DF">
        <w:rPr>
          <w:rFonts w:ascii="Arial" w:hAnsi="Arial" w:eastAsia="Arial" w:cs="Arial"/>
          <w:noProof w:val="0"/>
          <w:sz w:val="24"/>
          <w:szCs w:val="24"/>
          <w:lang w:val="en-US"/>
        </w:rPr>
        <w:t>emerged</w:t>
      </w:r>
      <w:r w:rsidRPr="3DC7A50A" w:rsidR="0D3102DF">
        <w:rPr>
          <w:rFonts w:ascii="Arial" w:hAnsi="Arial" w:eastAsia="Arial" w:cs="Arial"/>
          <w:noProof w:val="0"/>
          <w:sz w:val="24"/>
          <w:szCs w:val="24"/>
          <w:lang w:val="en-US"/>
        </w:rPr>
        <w:t xml:space="preserve"> as major obstacles to </w:t>
      </w:r>
      <w:r w:rsidRPr="3DC7A50A" w:rsidR="0D3102DF">
        <w:rPr>
          <w:rFonts w:ascii="Arial" w:hAnsi="Arial" w:eastAsia="Arial" w:cs="Arial"/>
          <w:noProof w:val="0"/>
          <w:sz w:val="24"/>
          <w:szCs w:val="24"/>
          <w:lang w:val="en-US"/>
        </w:rPr>
        <w:t>accurate</w:t>
      </w:r>
      <w:r w:rsidRPr="3DC7A50A" w:rsidR="0D3102DF">
        <w:rPr>
          <w:rFonts w:ascii="Arial" w:hAnsi="Arial" w:eastAsia="Arial" w:cs="Arial"/>
          <w:noProof w:val="0"/>
          <w:sz w:val="24"/>
          <w:szCs w:val="24"/>
          <w:lang w:val="en-US"/>
        </w:rPr>
        <w:t xml:space="preserve"> medication counselling (</w:t>
      </w:r>
      <w:r w:rsidRPr="3DC7A50A" w:rsidR="0D3102DF">
        <w:rPr>
          <w:rFonts w:ascii="Arial" w:hAnsi="Arial" w:eastAsia="Arial" w:cs="Arial"/>
          <w:noProof w:val="0"/>
          <w:sz w:val="24"/>
          <w:szCs w:val="24"/>
          <w:lang w:val="en-US"/>
        </w:rPr>
        <w:t>Kibira</w:t>
      </w:r>
      <w:r w:rsidRPr="3DC7A50A" w:rsidR="0D3102DF">
        <w:rPr>
          <w:rFonts w:ascii="Arial" w:hAnsi="Arial" w:eastAsia="Arial" w:cs="Arial"/>
          <w:noProof w:val="0"/>
          <w:sz w:val="24"/>
          <w:szCs w:val="24"/>
          <w:lang w:val="en-US"/>
        </w:rPr>
        <w:t xml:space="preserve"> et al., 2020; Saleem et al., 2021).</w:t>
      </w:r>
    </w:p>
    <w:p w:rsidR="3B7BAD25" w:rsidP="3DC7A50A" w:rsidRDefault="3B7BAD25" w14:paraId="5A505515" w14:textId="7F1F4817">
      <w:pPr>
        <w:pStyle w:val="Normal"/>
        <w:bidi w:val="0"/>
        <w:spacing w:before="240" w:beforeAutospacing="off" w:after="240" w:afterAutospacing="off"/>
        <w:jc w:val="both"/>
        <w:rPr>
          <w:rFonts w:ascii="Arial" w:hAnsi="Arial" w:eastAsia="Arial" w:cs="Arial"/>
          <w:noProof w:val="0"/>
          <w:sz w:val="24"/>
          <w:szCs w:val="24"/>
          <w:lang w:val="en-US"/>
        </w:rPr>
      </w:pPr>
      <w:r w:rsidRPr="3DC7A50A" w:rsidR="7C018FD1">
        <w:rPr>
          <w:rFonts w:ascii="Arial" w:hAnsi="Arial" w:eastAsia="Arial" w:cs="Arial"/>
          <w:noProof w:val="0"/>
          <w:sz w:val="24"/>
          <w:szCs w:val="24"/>
          <w:lang w:val="en-US"/>
        </w:rPr>
        <w:t xml:space="preserve">Socioeconomic constraints, such as poverty, supply chain instability, and counterfeit medicines, particularly in rural areas, severely </w:t>
      </w:r>
      <w:r w:rsidRPr="3DC7A50A" w:rsidR="7C018FD1">
        <w:rPr>
          <w:rFonts w:ascii="Arial" w:hAnsi="Arial" w:eastAsia="Arial" w:cs="Arial"/>
          <w:noProof w:val="0"/>
          <w:sz w:val="24"/>
          <w:szCs w:val="24"/>
          <w:lang w:val="en-US"/>
        </w:rPr>
        <w:t>impact</w:t>
      </w:r>
      <w:r w:rsidRPr="3DC7A50A" w:rsidR="7C018FD1">
        <w:rPr>
          <w:rFonts w:ascii="Arial" w:hAnsi="Arial" w:eastAsia="Arial" w:cs="Arial"/>
          <w:noProof w:val="0"/>
          <w:sz w:val="24"/>
          <w:szCs w:val="24"/>
          <w:lang w:val="en-US"/>
        </w:rPr>
        <w:t xml:space="preserve"> safe dispensing practices (Nsimba, 2019). Despite these challenges, the review </w:t>
      </w:r>
      <w:r w:rsidRPr="3DC7A50A" w:rsidR="7C018FD1">
        <w:rPr>
          <w:rFonts w:ascii="Arial" w:hAnsi="Arial" w:eastAsia="Arial" w:cs="Arial"/>
          <w:noProof w:val="0"/>
          <w:sz w:val="24"/>
          <w:szCs w:val="24"/>
          <w:lang w:val="en-US"/>
        </w:rPr>
        <w:t>identified</w:t>
      </w:r>
      <w:r w:rsidRPr="3DC7A50A" w:rsidR="7C018FD1">
        <w:rPr>
          <w:rFonts w:ascii="Arial" w:hAnsi="Arial" w:eastAsia="Arial" w:cs="Arial"/>
          <w:noProof w:val="0"/>
          <w:sz w:val="24"/>
          <w:szCs w:val="24"/>
          <w:lang w:val="en-US"/>
        </w:rPr>
        <w:t xml:space="preserve"> promising opportunities for improvement through structured CPD, digital tools, </w:t>
      </w:r>
      <w:r w:rsidRPr="3DC7A50A" w:rsidR="7C018FD1">
        <w:rPr>
          <w:rFonts w:ascii="Arial" w:hAnsi="Arial" w:eastAsia="Arial" w:cs="Arial"/>
          <w:noProof w:val="0"/>
          <w:sz w:val="24"/>
          <w:szCs w:val="24"/>
          <w:lang w:val="en-US"/>
        </w:rPr>
        <w:t>standardised</w:t>
      </w:r>
      <w:r w:rsidRPr="3DC7A50A" w:rsidR="7C018FD1">
        <w:rPr>
          <w:rFonts w:ascii="Arial" w:hAnsi="Arial" w:eastAsia="Arial" w:cs="Arial"/>
          <w:noProof w:val="0"/>
          <w:sz w:val="24"/>
          <w:szCs w:val="24"/>
          <w:lang w:val="en-US"/>
        </w:rPr>
        <w:t xml:space="preserve"> protocols, and the establishment of a non-punitive safety culture.</w:t>
      </w:r>
    </w:p>
    <w:p w:rsidR="3B7BAD25" w:rsidP="3DC7A50A" w:rsidRDefault="3B7BAD25" w14:paraId="7E4A8E5A" w14:textId="11EAB3C6">
      <w:pPr>
        <w:pStyle w:val="Normal"/>
        <w:bidi w:val="0"/>
        <w:spacing w:before="240" w:beforeAutospacing="off" w:after="240" w:afterAutospacing="off"/>
        <w:jc w:val="both"/>
        <w:rPr>
          <w:rFonts w:ascii="Arial" w:hAnsi="Arial" w:eastAsia="Arial" w:cs="Arial"/>
          <w:noProof w:val="0"/>
          <w:sz w:val="24"/>
          <w:szCs w:val="24"/>
          <w:lang w:val="en-US"/>
        </w:rPr>
      </w:pPr>
      <w:r w:rsidRPr="3DC7A50A" w:rsidR="09D79683">
        <w:rPr>
          <w:rFonts w:ascii="Arial" w:hAnsi="Arial" w:eastAsia="Arial" w:cs="Arial"/>
          <w:noProof w:val="0"/>
          <w:sz w:val="24"/>
          <w:szCs w:val="24"/>
          <w:lang w:val="en-US"/>
        </w:rPr>
        <w:t xml:space="preserve">Overall, the conclusion </w:t>
      </w:r>
      <w:r w:rsidRPr="3DC7A50A" w:rsidR="09D79683">
        <w:rPr>
          <w:rFonts w:ascii="Arial" w:hAnsi="Arial" w:eastAsia="Arial" w:cs="Arial"/>
          <w:noProof w:val="0"/>
          <w:sz w:val="24"/>
          <w:szCs w:val="24"/>
          <w:lang w:val="en-US"/>
        </w:rPr>
        <w:t>emphasises</w:t>
      </w:r>
      <w:r w:rsidRPr="3DC7A50A" w:rsidR="09D79683">
        <w:rPr>
          <w:rFonts w:ascii="Arial" w:hAnsi="Arial" w:eastAsia="Arial" w:cs="Arial"/>
          <w:noProof w:val="0"/>
          <w:sz w:val="24"/>
          <w:szCs w:val="24"/>
          <w:lang w:val="en-US"/>
        </w:rPr>
        <w:t xml:space="preserve"> that reducing dispensing errors requires system-level transformation, adequate workforce investment, and the strengthening of pharmacy governance frameworks.</w:t>
      </w:r>
    </w:p>
    <w:p w:rsidR="5B971295" w:rsidP="5B971295" w:rsidRDefault="5B971295" w14:paraId="779E069C" w14:textId="047B0614">
      <w:pPr>
        <w:pStyle w:val="Normal"/>
        <w:bidi w:val="0"/>
        <w:spacing w:before="240" w:beforeAutospacing="off" w:after="240" w:afterAutospacing="off"/>
        <w:jc w:val="both"/>
        <w:rPr>
          <w:rFonts w:ascii="Arial" w:hAnsi="Arial" w:eastAsia="Arial" w:cs="Arial"/>
          <w:noProof w:val="0"/>
          <w:sz w:val="24"/>
          <w:szCs w:val="24"/>
          <w:lang w:val="en-US"/>
        </w:rPr>
      </w:pPr>
    </w:p>
    <w:p w:rsidR="3B7BAD25" w:rsidP="3DC7A50A" w:rsidRDefault="3B7BAD25" w14:paraId="623CC38E" w14:textId="1733BB76">
      <w:pPr>
        <w:pStyle w:val="Heading2"/>
        <w:rPr>
          <w:rFonts w:ascii="Arial" w:hAnsi="Arial" w:eastAsia="Arial" w:cs="Arial"/>
          <w:noProof w:val="0"/>
          <w:lang w:val="en-US"/>
        </w:rPr>
      </w:pPr>
      <w:bookmarkStart w:name="_Toc908506053" w:id="1071426421"/>
      <w:r w:rsidRPr="3DC7A50A" w:rsidR="09D79683">
        <w:rPr>
          <w:rFonts w:ascii="Arial" w:hAnsi="Arial" w:eastAsia="Arial" w:cs="Arial"/>
          <w:noProof w:val="0"/>
          <w:lang w:val="en-US"/>
        </w:rPr>
        <w:t>7.3 Summary Table of Themes, Issues, and Actions</w:t>
      </w:r>
      <w:bookmarkEnd w:id="1071426421"/>
    </w:p>
    <w:p w:rsidR="3B7BAD25" w:rsidP="3DC7A50A" w:rsidRDefault="3B7BAD25" w14:paraId="2F14CB81" w14:textId="592C93E1">
      <w:pPr>
        <w:pStyle w:val="Heading2"/>
        <w:rPr>
          <w:rFonts w:ascii="Arial" w:hAnsi="Arial" w:eastAsia="Arial" w:cs="Arial"/>
          <w:noProof w:val="0"/>
          <w:lang w:val="en-US"/>
        </w:rPr>
      </w:pPr>
      <w:r w:rsidRPr="3DC7A50A" w:rsidR="09D79683">
        <w:rPr>
          <w:rFonts w:ascii="Arial" w:hAnsi="Arial" w:eastAsia="Arial" w:cs="Arial"/>
          <w:noProof w:val="0"/>
          <w:lang w:val="en-US"/>
        </w:rPr>
        <w:t xml:space="preserve"> </w:t>
      </w:r>
    </w:p>
    <w:p w:rsidR="3B7BAD25" w:rsidP="3DC7A50A" w:rsidRDefault="3B7BAD25" w14:paraId="7F893104" w14:textId="2BB9D952">
      <w:pPr>
        <w:pStyle w:val="Heading3"/>
        <w:rPr>
          <w:rFonts w:ascii="Arial" w:hAnsi="Arial" w:eastAsia="Arial" w:cs="Arial"/>
          <w:noProof w:val="0"/>
          <w:lang w:val="en-US"/>
        </w:rPr>
      </w:pPr>
      <w:bookmarkStart w:name="_Toc906291840" w:id="203257868"/>
      <w:r w:rsidRPr="3DC7A50A" w:rsidR="09D79683">
        <w:rPr>
          <w:rFonts w:ascii="Arial" w:hAnsi="Arial" w:eastAsia="Arial" w:cs="Arial"/>
          <w:noProof w:val="0"/>
          <w:lang w:val="en-US"/>
        </w:rPr>
        <w:t>Table 7.</w:t>
      </w:r>
      <w:r w:rsidRPr="3DC7A50A" w:rsidR="7663C089">
        <w:rPr>
          <w:rFonts w:ascii="Arial" w:hAnsi="Arial" w:eastAsia="Arial" w:cs="Arial"/>
          <w:noProof w:val="0"/>
          <w:lang w:val="en-US"/>
        </w:rPr>
        <w:t>3.</w:t>
      </w:r>
      <w:r w:rsidRPr="3DC7A50A" w:rsidR="09D79683">
        <w:rPr>
          <w:rFonts w:ascii="Arial" w:hAnsi="Arial" w:eastAsia="Arial" w:cs="Arial"/>
          <w:noProof w:val="0"/>
          <w:lang w:val="en-US"/>
        </w:rPr>
        <w:t>1: Summary of Themes, Key Issues, and Recommended Improvement Actions</w:t>
      </w:r>
      <w:bookmarkEnd w:id="203257868"/>
    </w:p>
    <w:p w:rsidR="3B7BAD25" w:rsidP="3DC7A50A" w:rsidRDefault="3B7BAD25" w14:paraId="21E6E83A" w14:textId="07BD055E">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 xml:space="preserve"> </w:t>
      </w:r>
    </w:p>
    <w:tbl>
      <w:tblPr>
        <w:tblStyle w:val="TableGrid"/>
        <w:bidiVisual w:val="0"/>
        <w:tblW w:w="0" w:type="auto"/>
        <w:tblLook w:val="06A0" w:firstRow="1" w:lastRow="0" w:firstColumn="1" w:lastColumn="0" w:noHBand="1" w:noVBand="1"/>
      </w:tblPr>
      <w:tblGrid>
        <w:gridCol w:w="2340"/>
        <w:gridCol w:w="2340"/>
        <w:gridCol w:w="2340"/>
        <w:gridCol w:w="2340"/>
      </w:tblGrid>
      <w:tr w:rsidR="407E75B8" w:rsidTr="3DC7A50A" w14:paraId="233C4F39">
        <w:trPr>
          <w:trHeight w:val="300"/>
        </w:trPr>
        <w:tc>
          <w:tcPr>
            <w:tcW w:w="2340" w:type="dxa"/>
            <w:tcMar/>
          </w:tcPr>
          <w:p w:rsidR="6C4AF6EA" w:rsidP="407E75B8" w:rsidRDefault="6C4AF6EA" w14:paraId="1CEBDD94" w14:textId="561CC712">
            <w:pPr>
              <w:pStyle w:val="Normal"/>
              <w:bidi w:val="0"/>
              <w:jc w:val="both"/>
              <w:rPr>
                <w:rFonts w:ascii="Arial" w:hAnsi="Arial" w:eastAsia="Arial" w:cs="Arial"/>
                <w:noProof w:val="0"/>
                <w:sz w:val="24"/>
                <w:szCs w:val="24"/>
                <w:lang w:val="en-US"/>
              </w:rPr>
            </w:pPr>
            <w:r w:rsidRPr="3DC7A50A" w:rsidR="7CB986C1">
              <w:rPr>
                <w:rFonts w:ascii="Arial" w:hAnsi="Arial" w:eastAsia="Arial" w:cs="Arial"/>
                <w:noProof w:val="0"/>
                <w:sz w:val="24"/>
                <w:szCs w:val="24"/>
                <w:lang w:val="en-US"/>
              </w:rPr>
              <w:t xml:space="preserve">Themes </w:t>
            </w:r>
          </w:p>
        </w:tc>
        <w:tc>
          <w:tcPr>
            <w:tcW w:w="2340" w:type="dxa"/>
            <w:tcMar/>
          </w:tcPr>
          <w:p w:rsidR="6C4AF6EA" w:rsidP="407E75B8" w:rsidRDefault="6C4AF6EA" w14:paraId="5A56CF4B" w14:textId="6F60F568">
            <w:pPr>
              <w:pStyle w:val="Normal"/>
              <w:bidi w:val="0"/>
              <w:jc w:val="both"/>
              <w:rPr>
                <w:rFonts w:ascii="Arial" w:hAnsi="Arial" w:eastAsia="Arial" w:cs="Arial"/>
                <w:noProof w:val="0"/>
                <w:sz w:val="24"/>
                <w:szCs w:val="24"/>
                <w:lang w:val="en-US"/>
              </w:rPr>
            </w:pPr>
            <w:r w:rsidRPr="3DC7A50A" w:rsidR="7CB986C1">
              <w:rPr>
                <w:rFonts w:ascii="Arial" w:hAnsi="Arial" w:eastAsia="Arial" w:cs="Arial"/>
                <w:noProof w:val="0"/>
                <w:sz w:val="24"/>
                <w:szCs w:val="24"/>
                <w:lang w:val="en-US"/>
              </w:rPr>
              <w:t xml:space="preserve">Key </w:t>
            </w:r>
            <w:r w:rsidRPr="3DC7A50A" w:rsidR="7CB986C1">
              <w:rPr>
                <w:rFonts w:ascii="Arial" w:hAnsi="Arial" w:eastAsia="Arial" w:cs="Arial"/>
                <w:noProof w:val="0"/>
                <w:sz w:val="24"/>
                <w:szCs w:val="24"/>
                <w:lang w:val="en-US"/>
              </w:rPr>
              <w:t>issues?Subthemes</w:t>
            </w:r>
            <w:r w:rsidRPr="3DC7A50A" w:rsidR="7CB986C1">
              <w:rPr>
                <w:rFonts w:ascii="Arial" w:hAnsi="Arial" w:eastAsia="Arial" w:cs="Arial"/>
                <w:noProof w:val="0"/>
                <w:sz w:val="24"/>
                <w:szCs w:val="24"/>
                <w:lang w:val="en-US"/>
              </w:rPr>
              <w:t>.</w:t>
            </w:r>
          </w:p>
        </w:tc>
        <w:tc>
          <w:tcPr>
            <w:tcW w:w="2340" w:type="dxa"/>
            <w:tcMar/>
          </w:tcPr>
          <w:p w:rsidR="4FA23535" w:rsidP="407E75B8" w:rsidRDefault="4FA23535" w14:paraId="45A7EB2E" w14:textId="4182803A">
            <w:pPr>
              <w:pStyle w:val="Normal"/>
              <w:bidi w:val="0"/>
              <w:jc w:val="both"/>
              <w:rPr>
                <w:rFonts w:ascii="Arial" w:hAnsi="Arial" w:eastAsia="Arial" w:cs="Arial"/>
                <w:noProof w:val="0"/>
                <w:sz w:val="24"/>
                <w:szCs w:val="24"/>
                <w:lang w:val="en-US"/>
              </w:rPr>
            </w:pPr>
            <w:r w:rsidRPr="3DC7A50A" w:rsidR="4627D7CF">
              <w:rPr>
                <w:rFonts w:ascii="Arial" w:hAnsi="Arial" w:eastAsia="Arial" w:cs="Arial"/>
                <w:noProof w:val="0"/>
                <w:sz w:val="24"/>
                <w:szCs w:val="24"/>
                <w:lang w:val="en-US"/>
              </w:rPr>
              <w:t>Implications</w:t>
            </w:r>
          </w:p>
        </w:tc>
        <w:tc>
          <w:tcPr>
            <w:tcW w:w="2340" w:type="dxa"/>
            <w:tcMar/>
          </w:tcPr>
          <w:p w:rsidR="101A5F60" w:rsidP="407E75B8" w:rsidRDefault="101A5F60" w14:paraId="058AB156" w14:textId="68BBC514">
            <w:pPr>
              <w:pStyle w:val="Normal"/>
              <w:bidi w:val="0"/>
              <w:jc w:val="both"/>
              <w:rPr>
                <w:rFonts w:ascii="Arial" w:hAnsi="Arial" w:eastAsia="Arial" w:cs="Arial"/>
                <w:noProof w:val="0"/>
                <w:sz w:val="24"/>
                <w:szCs w:val="24"/>
                <w:lang w:val="en-US"/>
              </w:rPr>
            </w:pPr>
            <w:r w:rsidRPr="3DC7A50A" w:rsidR="08ED7720">
              <w:rPr>
                <w:rFonts w:ascii="Arial" w:hAnsi="Arial" w:eastAsia="Arial" w:cs="Arial"/>
                <w:noProof w:val="0"/>
                <w:sz w:val="24"/>
                <w:szCs w:val="24"/>
                <w:lang w:val="en-US"/>
              </w:rPr>
              <w:t>Recommended</w:t>
            </w:r>
            <w:r w:rsidRPr="3DC7A50A" w:rsidR="4627D7CF">
              <w:rPr>
                <w:rFonts w:ascii="Arial" w:hAnsi="Arial" w:eastAsia="Arial" w:cs="Arial"/>
                <w:noProof w:val="0"/>
                <w:sz w:val="24"/>
                <w:szCs w:val="24"/>
                <w:lang w:val="en-US"/>
              </w:rPr>
              <w:t xml:space="preserve"> Actions</w:t>
            </w:r>
          </w:p>
        </w:tc>
      </w:tr>
      <w:tr w:rsidR="407E75B8" w:rsidTr="3DC7A50A" w14:paraId="38E134FF">
        <w:trPr>
          <w:trHeight w:val="300"/>
        </w:trPr>
        <w:tc>
          <w:tcPr>
            <w:tcW w:w="2340" w:type="dxa"/>
            <w:tcMar/>
          </w:tcPr>
          <w:p w:rsidR="5E02D048" w:rsidP="407E75B8" w:rsidRDefault="5E02D048" w14:paraId="62C2F146" w14:textId="589B4C3A">
            <w:pPr>
              <w:pStyle w:val="Normal"/>
              <w:bidi w:val="0"/>
              <w:jc w:val="both"/>
              <w:rPr>
                <w:rFonts w:ascii="Arial" w:hAnsi="Arial" w:eastAsia="Arial" w:cs="Arial"/>
                <w:noProof w:val="0"/>
                <w:sz w:val="24"/>
                <w:szCs w:val="24"/>
                <w:lang w:val="en-US"/>
              </w:rPr>
            </w:pPr>
            <w:r w:rsidRPr="3DC7A50A" w:rsidR="260B3972">
              <w:rPr>
                <w:rFonts w:ascii="Arial" w:hAnsi="Arial" w:eastAsia="Arial" w:cs="Arial"/>
                <w:noProof w:val="0"/>
                <w:sz w:val="24"/>
                <w:szCs w:val="24"/>
                <w:lang w:val="en-US"/>
              </w:rPr>
              <w:t>Knowledge Gaps &amp; Training Deficiencies</w:t>
            </w:r>
          </w:p>
        </w:tc>
        <w:tc>
          <w:tcPr>
            <w:tcW w:w="2340" w:type="dxa"/>
            <w:tcMar/>
          </w:tcPr>
          <w:p w:rsidR="04802217" w:rsidP="407E75B8" w:rsidRDefault="04802217" w14:paraId="458AC945" w14:textId="0C533D65">
            <w:pPr>
              <w:pStyle w:val="Normal"/>
              <w:bidi w:val="0"/>
              <w:jc w:val="both"/>
              <w:rPr>
                <w:rFonts w:ascii="Arial" w:hAnsi="Arial" w:eastAsia="Arial" w:cs="Arial"/>
                <w:noProof w:val="0"/>
                <w:sz w:val="24"/>
                <w:szCs w:val="24"/>
                <w:lang w:val="en-US"/>
              </w:rPr>
            </w:pPr>
            <w:r w:rsidRPr="3DC7A50A" w:rsidR="24745A0A">
              <w:rPr>
                <w:rFonts w:ascii="Arial" w:hAnsi="Arial" w:eastAsia="Arial" w:cs="Arial"/>
                <w:noProof w:val="0"/>
                <w:sz w:val="24"/>
                <w:szCs w:val="24"/>
                <w:lang w:val="en-US"/>
              </w:rPr>
              <w:t>Insufficient pharmacology knowledge; lack of CPD; limited practical training (Saleem et al., 2021; Musoke et al., 2023)</w:t>
            </w:r>
          </w:p>
        </w:tc>
        <w:tc>
          <w:tcPr>
            <w:tcW w:w="2340" w:type="dxa"/>
            <w:tcMar/>
          </w:tcPr>
          <w:p w:rsidR="5AE0AA23" w:rsidP="407E75B8" w:rsidRDefault="5AE0AA23" w14:paraId="2DA76E16" w14:textId="3C6F438D">
            <w:pPr>
              <w:pStyle w:val="Normal"/>
              <w:bidi w:val="0"/>
              <w:jc w:val="both"/>
              <w:rPr>
                <w:rFonts w:ascii="Arial" w:hAnsi="Arial" w:eastAsia="Arial" w:cs="Arial"/>
                <w:noProof w:val="0"/>
                <w:sz w:val="24"/>
                <w:szCs w:val="24"/>
                <w:lang w:val="en-US"/>
              </w:rPr>
            </w:pPr>
            <w:r w:rsidRPr="3DC7A50A" w:rsidR="55C9FC83">
              <w:rPr>
                <w:rFonts w:ascii="Arial" w:hAnsi="Arial" w:eastAsia="Arial" w:cs="Arial"/>
                <w:noProof w:val="0"/>
                <w:sz w:val="24"/>
                <w:szCs w:val="24"/>
                <w:lang w:val="en-US"/>
              </w:rPr>
              <w:t>Reduced competence; inability to detect unsafe prescriptions</w:t>
            </w:r>
          </w:p>
        </w:tc>
        <w:tc>
          <w:tcPr>
            <w:tcW w:w="2340" w:type="dxa"/>
            <w:tcMar/>
          </w:tcPr>
          <w:p w:rsidR="54B2BACD" w:rsidP="407E75B8" w:rsidRDefault="54B2BACD" w14:paraId="341692B9" w14:textId="19768BEE">
            <w:pPr>
              <w:pStyle w:val="Normal"/>
              <w:bidi w:val="0"/>
              <w:jc w:val="both"/>
              <w:rPr>
                <w:rFonts w:ascii="Arial" w:hAnsi="Arial" w:eastAsia="Arial" w:cs="Arial"/>
                <w:noProof w:val="0"/>
                <w:sz w:val="24"/>
                <w:szCs w:val="24"/>
                <w:lang w:val="en-US"/>
              </w:rPr>
            </w:pPr>
            <w:r w:rsidRPr="3DC7A50A" w:rsidR="4F516E6A">
              <w:rPr>
                <w:rFonts w:ascii="Arial" w:hAnsi="Arial" w:eastAsia="Arial" w:cs="Arial"/>
                <w:noProof w:val="0"/>
                <w:sz w:val="24"/>
                <w:szCs w:val="24"/>
                <w:lang w:val="en-US"/>
              </w:rPr>
              <w:t>Mandatory CPD, simulation training, competency assessments</w:t>
            </w:r>
          </w:p>
        </w:tc>
      </w:tr>
      <w:tr w:rsidR="407E75B8" w:rsidTr="3DC7A50A" w14:paraId="549AF89E">
        <w:trPr>
          <w:trHeight w:val="300"/>
        </w:trPr>
        <w:tc>
          <w:tcPr>
            <w:tcW w:w="2340" w:type="dxa"/>
            <w:tcMar/>
          </w:tcPr>
          <w:p w:rsidR="5E02D048" w:rsidP="407E75B8" w:rsidRDefault="5E02D048" w14:paraId="2E011870" w14:textId="7DC9D153">
            <w:pPr>
              <w:pStyle w:val="Normal"/>
              <w:bidi w:val="0"/>
              <w:jc w:val="both"/>
              <w:rPr>
                <w:rFonts w:ascii="Arial" w:hAnsi="Arial" w:eastAsia="Arial" w:cs="Arial"/>
                <w:noProof w:val="0"/>
                <w:sz w:val="24"/>
                <w:szCs w:val="24"/>
                <w:lang w:val="en-US"/>
              </w:rPr>
            </w:pPr>
            <w:r w:rsidRPr="3DC7A50A" w:rsidR="260B3972">
              <w:rPr>
                <w:rFonts w:ascii="Arial" w:hAnsi="Arial" w:eastAsia="Arial" w:cs="Arial"/>
                <w:noProof w:val="0"/>
                <w:sz w:val="24"/>
                <w:szCs w:val="24"/>
                <w:lang w:val="en-US"/>
              </w:rPr>
              <w:t>systemic</w:t>
            </w:r>
            <w:r w:rsidRPr="3DC7A50A" w:rsidR="260B3972">
              <w:rPr>
                <w:rFonts w:ascii="Arial" w:hAnsi="Arial" w:eastAsia="Arial" w:cs="Arial"/>
                <w:noProof w:val="0"/>
                <w:sz w:val="24"/>
                <w:szCs w:val="24"/>
                <w:lang w:val="en-US"/>
              </w:rPr>
              <w:t xml:space="preserve"> &amp; </w:t>
            </w:r>
            <w:r w:rsidRPr="3DC7A50A" w:rsidR="260B3972">
              <w:rPr>
                <w:rFonts w:ascii="Arial" w:hAnsi="Arial" w:eastAsia="Arial" w:cs="Arial"/>
                <w:noProof w:val="0"/>
                <w:sz w:val="24"/>
                <w:szCs w:val="24"/>
                <w:lang w:val="en-US"/>
              </w:rPr>
              <w:t>Organisational</w:t>
            </w:r>
            <w:r w:rsidRPr="3DC7A50A" w:rsidR="260B3972">
              <w:rPr>
                <w:rFonts w:ascii="Arial" w:hAnsi="Arial" w:eastAsia="Arial" w:cs="Arial"/>
                <w:noProof w:val="0"/>
                <w:sz w:val="24"/>
                <w:szCs w:val="24"/>
                <w:lang w:val="en-US"/>
              </w:rPr>
              <w:t xml:space="preserve"> Barriers</w:t>
            </w:r>
          </w:p>
        </w:tc>
        <w:tc>
          <w:tcPr>
            <w:tcW w:w="2340" w:type="dxa"/>
            <w:tcMar/>
          </w:tcPr>
          <w:p w:rsidR="1002A4D7" w:rsidP="407E75B8" w:rsidRDefault="1002A4D7" w14:paraId="6C98D8ED" w14:textId="0D37E41F">
            <w:pPr>
              <w:pStyle w:val="Normal"/>
              <w:bidi w:val="0"/>
              <w:jc w:val="both"/>
              <w:rPr>
                <w:rFonts w:ascii="Arial" w:hAnsi="Arial" w:eastAsia="Arial" w:cs="Arial"/>
                <w:noProof w:val="0"/>
                <w:sz w:val="24"/>
                <w:szCs w:val="24"/>
                <w:lang w:val="en-US"/>
              </w:rPr>
            </w:pPr>
            <w:r w:rsidRPr="3DC7A50A" w:rsidR="47DF2B0B">
              <w:rPr>
                <w:rFonts w:ascii="Arial" w:hAnsi="Arial" w:eastAsia="Arial" w:cs="Arial"/>
                <w:noProof w:val="0"/>
                <w:sz w:val="24"/>
                <w:szCs w:val="24"/>
                <w:lang w:val="en-US"/>
              </w:rPr>
              <w:t>High workload; unclear prescriptions; weak SOPs; limited supervision (Awan et al., 2020)</w:t>
            </w:r>
          </w:p>
        </w:tc>
        <w:tc>
          <w:tcPr>
            <w:tcW w:w="2340" w:type="dxa"/>
            <w:tcMar/>
          </w:tcPr>
          <w:p w:rsidR="14C3341E" w:rsidP="407E75B8" w:rsidRDefault="14C3341E" w14:paraId="05159890" w14:textId="2941A3E4">
            <w:pPr>
              <w:pStyle w:val="Normal"/>
              <w:bidi w:val="0"/>
              <w:jc w:val="both"/>
              <w:rPr>
                <w:rFonts w:ascii="Arial" w:hAnsi="Arial" w:eastAsia="Arial" w:cs="Arial"/>
                <w:noProof w:val="0"/>
                <w:sz w:val="24"/>
                <w:szCs w:val="24"/>
                <w:lang w:val="en-US"/>
              </w:rPr>
            </w:pPr>
            <w:r w:rsidRPr="3DC7A50A" w:rsidR="422F3E36">
              <w:rPr>
                <w:rFonts w:ascii="Arial" w:hAnsi="Arial" w:eastAsia="Arial" w:cs="Arial"/>
                <w:noProof w:val="0"/>
                <w:sz w:val="24"/>
                <w:szCs w:val="24"/>
                <w:lang w:val="en-US"/>
              </w:rPr>
              <w:t>Increased dispensing variability; reliance on assumptions</w:t>
            </w:r>
          </w:p>
        </w:tc>
        <w:tc>
          <w:tcPr>
            <w:tcW w:w="2340" w:type="dxa"/>
            <w:tcMar/>
          </w:tcPr>
          <w:p w:rsidR="42C04866" w:rsidP="407E75B8" w:rsidRDefault="42C04866" w14:paraId="3CD288AB" w14:textId="0D93D995">
            <w:pPr>
              <w:pStyle w:val="Normal"/>
              <w:bidi w:val="0"/>
              <w:jc w:val="both"/>
              <w:rPr>
                <w:rFonts w:ascii="Arial" w:hAnsi="Arial" w:eastAsia="Arial" w:cs="Arial"/>
                <w:noProof w:val="0"/>
                <w:sz w:val="24"/>
                <w:szCs w:val="24"/>
                <w:lang w:val="en-US"/>
              </w:rPr>
            </w:pPr>
            <w:r w:rsidRPr="3DC7A50A" w:rsidR="73769941">
              <w:rPr>
                <w:rFonts w:ascii="Arial" w:hAnsi="Arial" w:eastAsia="Arial" w:cs="Arial"/>
                <w:noProof w:val="0"/>
                <w:sz w:val="24"/>
                <w:szCs w:val="24"/>
                <w:lang w:val="en-US"/>
              </w:rPr>
              <w:t>Implement SOPS, interprofessional communication pathways, staffing reforms</w:t>
            </w:r>
          </w:p>
        </w:tc>
      </w:tr>
      <w:tr w:rsidR="407E75B8" w:rsidTr="3DC7A50A" w14:paraId="7A645E2C">
        <w:trPr>
          <w:trHeight w:val="300"/>
        </w:trPr>
        <w:tc>
          <w:tcPr>
            <w:tcW w:w="2340" w:type="dxa"/>
            <w:tcMar/>
          </w:tcPr>
          <w:p w:rsidR="5E02D048" w:rsidP="407E75B8" w:rsidRDefault="5E02D048" w14:paraId="5FA46ACD" w14:textId="3BD3B3A3">
            <w:pPr>
              <w:pStyle w:val="Normal"/>
              <w:bidi w:val="0"/>
              <w:jc w:val="both"/>
              <w:rPr>
                <w:rFonts w:ascii="Arial" w:hAnsi="Arial" w:eastAsia="Arial" w:cs="Arial"/>
                <w:noProof w:val="0"/>
                <w:sz w:val="24"/>
                <w:szCs w:val="24"/>
                <w:lang w:val="en-US"/>
              </w:rPr>
            </w:pPr>
            <w:r w:rsidRPr="3DC7A50A" w:rsidR="260B3972">
              <w:rPr>
                <w:rFonts w:ascii="Arial" w:hAnsi="Arial" w:eastAsia="Arial" w:cs="Arial"/>
                <w:noProof w:val="0"/>
                <w:sz w:val="24"/>
                <w:szCs w:val="24"/>
                <w:lang w:val="en-US"/>
              </w:rPr>
              <w:t>Ethical &amp; Sociocultural Influences</w:t>
            </w:r>
          </w:p>
        </w:tc>
        <w:tc>
          <w:tcPr>
            <w:tcW w:w="2340" w:type="dxa"/>
            <w:tcMar/>
          </w:tcPr>
          <w:p w:rsidR="57DB42AA" w:rsidP="407E75B8" w:rsidRDefault="57DB42AA" w14:paraId="70B5F627" w14:textId="7F7C5814">
            <w:pPr>
              <w:pStyle w:val="Normal"/>
              <w:bidi w:val="0"/>
              <w:jc w:val="both"/>
              <w:rPr>
                <w:rFonts w:ascii="Arial" w:hAnsi="Arial" w:eastAsia="Arial" w:cs="Arial"/>
                <w:noProof w:val="0"/>
                <w:sz w:val="24"/>
                <w:szCs w:val="24"/>
                <w:lang w:val="en-US"/>
              </w:rPr>
            </w:pPr>
            <w:r w:rsidRPr="3DC7A50A" w:rsidR="07249AB6">
              <w:rPr>
                <w:rFonts w:ascii="Arial" w:hAnsi="Arial" w:eastAsia="Arial" w:cs="Arial"/>
                <w:noProof w:val="0"/>
                <w:sz w:val="24"/>
                <w:szCs w:val="24"/>
                <w:lang w:val="en-US"/>
              </w:rPr>
              <w:t>Patient pressure; fear of blame; ethical dilemmas (Musoke et al., 2023; Kifle et al., 2021)</w:t>
            </w:r>
          </w:p>
        </w:tc>
        <w:tc>
          <w:tcPr>
            <w:tcW w:w="2340" w:type="dxa"/>
            <w:tcMar/>
          </w:tcPr>
          <w:p w:rsidR="335433E6" w:rsidP="407E75B8" w:rsidRDefault="335433E6" w14:paraId="10DD6DB6" w14:textId="4221A001">
            <w:pPr>
              <w:bidi w:val="0"/>
              <w:spacing w:before="240" w:beforeAutospacing="off" w:after="240" w:afterAutospacing="off"/>
              <w:jc w:val="both"/>
              <w:rPr>
                <w:rFonts w:ascii="Arial" w:hAnsi="Arial" w:eastAsia="Arial" w:cs="Arial"/>
                <w:noProof w:val="0"/>
                <w:sz w:val="24"/>
                <w:szCs w:val="24"/>
                <w:lang w:val="en-US"/>
              </w:rPr>
            </w:pPr>
            <w:r w:rsidRPr="3DC7A50A" w:rsidR="57B4D82F">
              <w:rPr>
                <w:rFonts w:ascii="Arial" w:hAnsi="Arial" w:eastAsia="Arial" w:cs="Arial"/>
                <w:noProof w:val="0"/>
                <w:sz w:val="24"/>
                <w:szCs w:val="24"/>
                <w:lang w:val="en-US"/>
              </w:rPr>
              <w:t xml:space="preserve">Concealed errors; unsafe dispensing </w:t>
            </w:r>
            <w:r w:rsidRPr="3DC7A50A" w:rsidR="57B4D82F">
              <w:rPr>
                <w:rFonts w:ascii="Arial" w:hAnsi="Arial" w:eastAsia="Arial" w:cs="Arial"/>
                <w:noProof w:val="0"/>
                <w:sz w:val="24"/>
                <w:szCs w:val="24"/>
                <w:lang w:val="en-US"/>
              </w:rPr>
              <w:t>behaviour</w:t>
            </w:r>
          </w:p>
          <w:p w:rsidR="407E75B8" w:rsidP="407E75B8" w:rsidRDefault="407E75B8" w14:paraId="73E329B9" w14:textId="76318C74">
            <w:pPr>
              <w:pStyle w:val="Normal"/>
              <w:bidi w:val="0"/>
              <w:jc w:val="both"/>
              <w:rPr>
                <w:rFonts w:ascii="Arial" w:hAnsi="Arial" w:eastAsia="Arial" w:cs="Arial"/>
                <w:noProof w:val="0"/>
                <w:sz w:val="24"/>
                <w:szCs w:val="24"/>
                <w:lang w:val="en-US"/>
              </w:rPr>
            </w:pPr>
          </w:p>
        </w:tc>
        <w:tc>
          <w:tcPr>
            <w:tcW w:w="2340" w:type="dxa"/>
            <w:tcMar/>
          </w:tcPr>
          <w:p w:rsidR="3F45F2DE" w:rsidP="407E75B8" w:rsidRDefault="3F45F2DE" w14:paraId="2731B649" w14:textId="0C3AF189">
            <w:pPr>
              <w:pStyle w:val="Normal"/>
              <w:bidi w:val="0"/>
              <w:jc w:val="both"/>
              <w:rPr>
                <w:rFonts w:ascii="Arial" w:hAnsi="Arial" w:eastAsia="Arial" w:cs="Arial"/>
                <w:noProof w:val="0"/>
                <w:sz w:val="24"/>
                <w:szCs w:val="24"/>
                <w:lang w:val="en-US"/>
              </w:rPr>
            </w:pPr>
            <w:r w:rsidRPr="3DC7A50A" w:rsidR="6DC3D37E">
              <w:rPr>
                <w:rFonts w:ascii="Arial" w:hAnsi="Arial" w:eastAsia="Arial" w:cs="Arial"/>
                <w:noProof w:val="0"/>
                <w:sz w:val="24"/>
                <w:szCs w:val="24"/>
                <w:lang w:val="en-US"/>
              </w:rPr>
              <w:t>Non-punitive reporting systems, ethics training, public education</w:t>
            </w:r>
          </w:p>
        </w:tc>
      </w:tr>
      <w:tr w:rsidR="407E75B8" w:rsidTr="3DC7A50A" w14:paraId="25086418">
        <w:trPr>
          <w:trHeight w:val="300"/>
        </w:trPr>
        <w:tc>
          <w:tcPr>
            <w:tcW w:w="2340" w:type="dxa"/>
            <w:tcMar/>
          </w:tcPr>
          <w:p w:rsidR="5E02D048" w:rsidP="407E75B8" w:rsidRDefault="5E02D048" w14:paraId="1C9D4D91" w14:textId="62DC61A4">
            <w:pPr>
              <w:pStyle w:val="Normal"/>
              <w:bidi w:val="0"/>
              <w:jc w:val="both"/>
              <w:rPr>
                <w:rFonts w:ascii="Arial" w:hAnsi="Arial" w:eastAsia="Arial" w:cs="Arial"/>
                <w:noProof w:val="0"/>
                <w:sz w:val="24"/>
                <w:szCs w:val="24"/>
                <w:lang w:val="en-US"/>
              </w:rPr>
            </w:pPr>
            <w:r w:rsidRPr="3DC7A50A" w:rsidR="260B3972">
              <w:rPr>
                <w:rFonts w:ascii="Arial" w:hAnsi="Arial" w:eastAsia="Arial" w:cs="Arial"/>
                <w:noProof w:val="0"/>
                <w:sz w:val="24"/>
                <w:szCs w:val="24"/>
                <w:lang w:val="en-US"/>
              </w:rPr>
              <w:t>Language &amp; Communication Barriers</w:t>
            </w:r>
          </w:p>
        </w:tc>
        <w:tc>
          <w:tcPr>
            <w:tcW w:w="2340" w:type="dxa"/>
            <w:tcMar/>
          </w:tcPr>
          <w:p w:rsidR="6490C78B" w:rsidP="407E75B8" w:rsidRDefault="6490C78B" w14:paraId="76853D9A" w14:textId="3382AD1F">
            <w:pPr>
              <w:pStyle w:val="Normal"/>
              <w:bidi w:val="0"/>
              <w:jc w:val="both"/>
              <w:rPr>
                <w:rFonts w:ascii="Arial" w:hAnsi="Arial" w:eastAsia="Arial" w:cs="Arial"/>
                <w:noProof w:val="0"/>
                <w:sz w:val="24"/>
                <w:szCs w:val="24"/>
                <w:lang w:val="en-US"/>
              </w:rPr>
            </w:pPr>
            <w:r w:rsidRPr="3DC7A50A" w:rsidR="3608E09D">
              <w:rPr>
                <w:rFonts w:ascii="Arial" w:hAnsi="Arial" w:eastAsia="Arial" w:cs="Arial"/>
                <w:noProof w:val="0"/>
                <w:sz w:val="24"/>
                <w:szCs w:val="24"/>
                <w:lang w:val="en-US"/>
              </w:rPr>
              <w:t>English prescriptions vs. local languages; low patient literacy (Saleem et al., 2021)</w:t>
            </w:r>
          </w:p>
        </w:tc>
        <w:tc>
          <w:tcPr>
            <w:tcW w:w="2340" w:type="dxa"/>
            <w:tcMar/>
          </w:tcPr>
          <w:p w:rsidR="115CAF01" w:rsidP="407E75B8" w:rsidRDefault="115CAF01" w14:paraId="1ED007EA" w14:textId="5A1E6BC0">
            <w:pPr>
              <w:pStyle w:val="Normal"/>
              <w:bidi w:val="0"/>
              <w:jc w:val="both"/>
              <w:rPr>
                <w:rFonts w:ascii="Arial" w:hAnsi="Arial" w:eastAsia="Arial" w:cs="Arial"/>
                <w:noProof w:val="0"/>
                <w:sz w:val="24"/>
                <w:szCs w:val="24"/>
                <w:lang w:val="en-US"/>
              </w:rPr>
            </w:pPr>
            <w:r w:rsidRPr="3DC7A50A" w:rsidR="5C01BA4F">
              <w:rPr>
                <w:rFonts w:ascii="Arial" w:hAnsi="Arial" w:eastAsia="Arial" w:cs="Arial"/>
                <w:noProof w:val="0"/>
                <w:sz w:val="24"/>
                <w:szCs w:val="24"/>
                <w:lang w:val="en-US"/>
              </w:rPr>
              <w:t>Misinterpretation of instructions; poor adherence</w:t>
            </w:r>
          </w:p>
        </w:tc>
        <w:tc>
          <w:tcPr>
            <w:tcW w:w="2340" w:type="dxa"/>
            <w:tcMar/>
          </w:tcPr>
          <w:p w:rsidR="474AB8AE" w:rsidP="407E75B8" w:rsidRDefault="474AB8AE" w14:paraId="5773607E" w14:textId="3C719CFE">
            <w:pPr>
              <w:pStyle w:val="Normal"/>
              <w:bidi w:val="0"/>
              <w:jc w:val="both"/>
              <w:rPr>
                <w:rFonts w:ascii="Arial" w:hAnsi="Arial" w:eastAsia="Arial" w:cs="Arial"/>
                <w:noProof w:val="0"/>
                <w:sz w:val="24"/>
                <w:szCs w:val="24"/>
                <w:lang w:val="en-US"/>
              </w:rPr>
            </w:pPr>
            <w:r w:rsidRPr="3DC7A50A" w:rsidR="1FDB66A6">
              <w:rPr>
                <w:rFonts w:ascii="Arial" w:hAnsi="Arial" w:eastAsia="Arial" w:cs="Arial"/>
                <w:noProof w:val="0"/>
                <w:sz w:val="24"/>
                <w:szCs w:val="24"/>
                <w:lang w:val="en-US"/>
              </w:rPr>
              <w:t>Bilingual labels, pictograms, family-inclusive counselling</w:t>
            </w:r>
          </w:p>
        </w:tc>
      </w:tr>
      <w:tr w:rsidR="407E75B8" w:rsidTr="3DC7A50A" w14:paraId="1F35A981">
        <w:trPr>
          <w:trHeight w:val="300"/>
        </w:trPr>
        <w:tc>
          <w:tcPr>
            <w:tcW w:w="2340" w:type="dxa"/>
            <w:tcMar/>
          </w:tcPr>
          <w:p w:rsidR="2D2CF338" w:rsidP="407E75B8" w:rsidRDefault="2D2CF338" w14:paraId="7A83F766" w14:textId="7821EDEE">
            <w:pPr>
              <w:pStyle w:val="Normal"/>
              <w:bidi w:val="0"/>
              <w:jc w:val="both"/>
              <w:rPr>
                <w:rFonts w:ascii="Arial" w:hAnsi="Arial" w:eastAsia="Arial" w:cs="Arial"/>
                <w:noProof w:val="0"/>
                <w:sz w:val="24"/>
                <w:szCs w:val="24"/>
                <w:lang w:val="en-US"/>
              </w:rPr>
            </w:pPr>
            <w:r w:rsidRPr="3DC7A50A" w:rsidR="12DB44BC">
              <w:rPr>
                <w:rFonts w:ascii="Arial" w:hAnsi="Arial" w:eastAsia="Arial" w:cs="Arial"/>
                <w:noProof w:val="0"/>
                <w:sz w:val="24"/>
                <w:szCs w:val="24"/>
                <w:lang w:val="en-US"/>
              </w:rPr>
              <w:t>Socioeconmic</w:t>
            </w:r>
            <w:r w:rsidRPr="3DC7A50A" w:rsidR="12DB44BC">
              <w:rPr>
                <w:rFonts w:ascii="Arial" w:hAnsi="Arial" w:eastAsia="Arial" w:cs="Arial"/>
                <w:noProof w:val="0"/>
                <w:sz w:val="24"/>
                <w:szCs w:val="24"/>
                <w:lang w:val="en-US"/>
              </w:rPr>
              <w:t xml:space="preserve"> constraints</w:t>
            </w:r>
          </w:p>
        </w:tc>
        <w:tc>
          <w:tcPr>
            <w:tcW w:w="2340" w:type="dxa"/>
            <w:tcMar/>
          </w:tcPr>
          <w:p w:rsidR="5EA8FFBD" w:rsidP="407E75B8" w:rsidRDefault="5EA8FFBD" w14:paraId="73FADABC" w14:textId="03EE836E">
            <w:pPr>
              <w:pStyle w:val="Normal"/>
              <w:bidi w:val="0"/>
              <w:jc w:val="both"/>
              <w:rPr>
                <w:rFonts w:ascii="Arial" w:hAnsi="Arial" w:eastAsia="Arial" w:cs="Arial"/>
                <w:noProof w:val="0"/>
                <w:sz w:val="24"/>
                <w:szCs w:val="24"/>
                <w:lang w:val="en-US"/>
              </w:rPr>
            </w:pPr>
            <w:r w:rsidRPr="3DC7A50A" w:rsidR="116DA930">
              <w:rPr>
                <w:rFonts w:ascii="Arial" w:hAnsi="Arial" w:eastAsia="Arial" w:cs="Arial"/>
                <w:noProof w:val="0"/>
                <w:sz w:val="24"/>
                <w:szCs w:val="24"/>
                <w:lang w:val="en-US"/>
              </w:rPr>
              <w:t>Poverty, stock shortages, counterfeit medicines (Nsimba, 2019)</w:t>
            </w:r>
          </w:p>
        </w:tc>
        <w:tc>
          <w:tcPr>
            <w:tcW w:w="2340" w:type="dxa"/>
            <w:tcMar/>
          </w:tcPr>
          <w:p w:rsidR="61521B2F" w:rsidP="407E75B8" w:rsidRDefault="61521B2F" w14:paraId="63D183D5" w14:textId="1695CF2B">
            <w:pPr>
              <w:pStyle w:val="Normal"/>
              <w:bidi w:val="0"/>
              <w:jc w:val="both"/>
              <w:rPr>
                <w:rFonts w:ascii="Arial" w:hAnsi="Arial" w:eastAsia="Arial" w:cs="Arial"/>
                <w:noProof w:val="0"/>
                <w:sz w:val="24"/>
                <w:szCs w:val="24"/>
                <w:lang w:val="en-US"/>
              </w:rPr>
            </w:pPr>
            <w:r w:rsidRPr="3DC7A50A" w:rsidR="594CE80D">
              <w:rPr>
                <w:rFonts w:ascii="Arial" w:hAnsi="Arial" w:eastAsia="Arial" w:cs="Arial"/>
                <w:noProof w:val="0"/>
                <w:sz w:val="24"/>
                <w:szCs w:val="24"/>
                <w:lang w:val="en-US"/>
              </w:rPr>
              <w:t>Unsafe substitutions; treatment interruptions</w:t>
            </w:r>
          </w:p>
        </w:tc>
        <w:tc>
          <w:tcPr>
            <w:tcW w:w="2340" w:type="dxa"/>
            <w:tcMar/>
          </w:tcPr>
          <w:p w:rsidR="6FD83692" w:rsidP="407E75B8" w:rsidRDefault="6FD83692" w14:paraId="6A9F29F5" w14:textId="11308F4A">
            <w:pPr>
              <w:pStyle w:val="Normal"/>
              <w:bidi w:val="0"/>
              <w:jc w:val="both"/>
              <w:rPr>
                <w:rFonts w:ascii="Arial" w:hAnsi="Arial" w:eastAsia="Arial" w:cs="Arial"/>
                <w:noProof w:val="0"/>
                <w:sz w:val="24"/>
                <w:szCs w:val="24"/>
                <w:lang w:val="en-US"/>
              </w:rPr>
            </w:pPr>
            <w:r w:rsidRPr="3DC7A50A" w:rsidR="04D0E4EF">
              <w:rPr>
                <w:rFonts w:ascii="Arial" w:hAnsi="Arial" w:eastAsia="Arial" w:cs="Arial"/>
                <w:noProof w:val="0"/>
                <w:sz w:val="24"/>
                <w:szCs w:val="24"/>
                <w:lang w:val="en-US"/>
              </w:rPr>
              <w:t>Subsidised</w:t>
            </w:r>
            <w:r w:rsidRPr="3DC7A50A" w:rsidR="04D0E4EF">
              <w:rPr>
                <w:rFonts w:ascii="Arial" w:hAnsi="Arial" w:eastAsia="Arial" w:cs="Arial"/>
                <w:noProof w:val="0"/>
                <w:sz w:val="24"/>
                <w:szCs w:val="24"/>
                <w:lang w:val="en-US"/>
              </w:rPr>
              <w:t xml:space="preserve"> medicines, stronger regulatory oversight</w:t>
            </w:r>
          </w:p>
        </w:tc>
      </w:tr>
      <w:tr w:rsidR="407E75B8" w:rsidTr="3DC7A50A" w14:paraId="4A2E6FE0">
        <w:trPr>
          <w:trHeight w:val="300"/>
        </w:trPr>
        <w:tc>
          <w:tcPr>
            <w:tcW w:w="2340" w:type="dxa"/>
            <w:tcMar/>
          </w:tcPr>
          <w:p w:rsidR="2D2CF338" w:rsidP="407E75B8" w:rsidRDefault="2D2CF338" w14:paraId="7ED71EEF" w14:textId="6FD8A286">
            <w:pPr>
              <w:pStyle w:val="Normal"/>
              <w:bidi w:val="0"/>
              <w:jc w:val="both"/>
              <w:rPr>
                <w:rFonts w:ascii="Arial" w:hAnsi="Arial" w:eastAsia="Arial" w:cs="Arial"/>
                <w:noProof w:val="0"/>
                <w:sz w:val="24"/>
                <w:szCs w:val="24"/>
                <w:lang w:val="en-US"/>
              </w:rPr>
            </w:pPr>
            <w:r w:rsidRPr="3DC7A50A" w:rsidR="12DB44BC">
              <w:rPr>
                <w:rFonts w:ascii="Arial" w:hAnsi="Arial" w:eastAsia="Arial" w:cs="Arial"/>
                <w:noProof w:val="0"/>
                <w:sz w:val="24"/>
                <w:szCs w:val="24"/>
                <w:lang w:val="en-US"/>
              </w:rPr>
              <w:t>Technplogy</w:t>
            </w:r>
            <w:r w:rsidRPr="3DC7A50A" w:rsidR="12DB44BC">
              <w:rPr>
                <w:rFonts w:ascii="Arial" w:hAnsi="Arial" w:eastAsia="Arial" w:cs="Arial"/>
                <w:noProof w:val="0"/>
                <w:sz w:val="24"/>
                <w:szCs w:val="24"/>
                <w:lang w:val="en-US"/>
              </w:rPr>
              <w:t xml:space="preserve"> &amp; QI Innovation</w:t>
            </w:r>
          </w:p>
        </w:tc>
        <w:tc>
          <w:tcPr>
            <w:tcW w:w="2340" w:type="dxa"/>
            <w:tcMar/>
          </w:tcPr>
          <w:p w:rsidR="2F141601" w:rsidP="407E75B8" w:rsidRDefault="2F141601" w14:paraId="259E7E64" w14:textId="20BCD45E">
            <w:pPr>
              <w:pStyle w:val="Normal"/>
              <w:bidi w:val="0"/>
              <w:jc w:val="both"/>
              <w:rPr>
                <w:rFonts w:ascii="Arial" w:hAnsi="Arial" w:eastAsia="Arial" w:cs="Arial"/>
                <w:noProof w:val="0"/>
                <w:sz w:val="24"/>
                <w:szCs w:val="24"/>
                <w:lang w:val="en-US"/>
              </w:rPr>
            </w:pPr>
            <w:r w:rsidRPr="3DC7A50A" w:rsidR="38243E90">
              <w:rPr>
                <w:rFonts w:ascii="Arial" w:hAnsi="Arial" w:eastAsia="Arial" w:cs="Arial"/>
                <w:noProof w:val="0"/>
                <w:sz w:val="24"/>
                <w:szCs w:val="24"/>
                <w:lang w:val="en-US"/>
              </w:rPr>
              <w:t>Minimal digital tools; lack of error tracking (Kifle et al., 2021)</w:t>
            </w:r>
          </w:p>
        </w:tc>
        <w:tc>
          <w:tcPr>
            <w:tcW w:w="2340" w:type="dxa"/>
            <w:tcMar/>
          </w:tcPr>
          <w:p w:rsidR="1F1E2A6E" w:rsidP="407E75B8" w:rsidRDefault="1F1E2A6E" w14:paraId="1E52D98A" w14:textId="168BC085">
            <w:pPr>
              <w:pStyle w:val="Normal"/>
              <w:bidi w:val="0"/>
              <w:jc w:val="both"/>
              <w:rPr>
                <w:rFonts w:ascii="Arial" w:hAnsi="Arial" w:eastAsia="Arial" w:cs="Arial"/>
                <w:noProof w:val="0"/>
                <w:sz w:val="24"/>
                <w:szCs w:val="24"/>
                <w:lang w:val="en-US"/>
              </w:rPr>
            </w:pPr>
            <w:r w:rsidRPr="3DC7A50A" w:rsidR="1DAA1FA7">
              <w:rPr>
                <w:rFonts w:ascii="Arial" w:hAnsi="Arial" w:eastAsia="Arial" w:cs="Arial"/>
                <w:noProof w:val="0"/>
                <w:sz w:val="24"/>
                <w:szCs w:val="24"/>
                <w:lang w:val="en-US"/>
              </w:rPr>
              <w:t>No monitoring; persistent human errors</w:t>
            </w:r>
          </w:p>
        </w:tc>
        <w:tc>
          <w:tcPr>
            <w:tcW w:w="2340" w:type="dxa"/>
            <w:tcMar/>
          </w:tcPr>
          <w:p w:rsidR="29EC09E5" w:rsidP="407E75B8" w:rsidRDefault="29EC09E5" w14:paraId="599FB4C4" w14:textId="622B725A">
            <w:pPr>
              <w:pStyle w:val="Normal"/>
              <w:bidi w:val="0"/>
              <w:jc w:val="both"/>
              <w:rPr>
                <w:rFonts w:ascii="Arial" w:hAnsi="Arial" w:eastAsia="Arial" w:cs="Arial"/>
                <w:noProof w:val="0"/>
                <w:sz w:val="24"/>
                <w:szCs w:val="24"/>
                <w:lang w:val="en-US"/>
              </w:rPr>
            </w:pPr>
            <w:r w:rsidRPr="3DC7A50A" w:rsidR="66B7D9C1">
              <w:rPr>
                <w:rFonts w:ascii="Arial" w:hAnsi="Arial" w:eastAsia="Arial" w:cs="Arial"/>
                <w:noProof w:val="0"/>
                <w:sz w:val="24"/>
                <w:szCs w:val="24"/>
                <w:lang w:val="en-US"/>
              </w:rPr>
              <w:t>Electronic prescribing, barcoding, PDSA cycles, national databases</w:t>
            </w:r>
          </w:p>
        </w:tc>
      </w:tr>
    </w:tbl>
    <w:p w:rsidR="717E0A9B" w:rsidP="3DC7A50A" w:rsidRDefault="717E0A9B" w14:paraId="1DAAFB50" w14:textId="668F39B0">
      <w:pPr>
        <w:pStyle w:val="Normal"/>
        <w:spacing w:before="240" w:beforeAutospacing="off" w:after="240" w:afterAutospacing="off"/>
        <w:jc w:val="both"/>
        <w:rPr>
          <w:rFonts w:ascii="Arial" w:hAnsi="Arial" w:eastAsia="Arial" w:cs="Arial"/>
          <w:noProof w:val="0"/>
          <w:sz w:val="24"/>
          <w:szCs w:val="24"/>
          <w:lang w:val="en-US"/>
        </w:rPr>
      </w:pPr>
      <w:r w:rsidRPr="3DC7A50A" w:rsidR="09D79683">
        <w:rPr>
          <w:rFonts w:ascii="Arial" w:hAnsi="Arial" w:eastAsia="Arial" w:cs="Arial"/>
          <w:noProof w:val="0"/>
          <w:sz w:val="24"/>
          <w:szCs w:val="24"/>
          <w:lang w:val="en-US"/>
        </w:rPr>
        <w:t xml:space="preserve"> </w:t>
      </w:r>
    </w:p>
    <w:p w:rsidR="3B7BAD25" w:rsidP="3DC7A50A" w:rsidRDefault="3B7BAD25" w14:paraId="75FB11D2" w14:textId="50B1042B">
      <w:pPr>
        <w:pStyle w:val="Heading2"/>
        <w:rPr>
          <w:rFonts w:ascii="Arial" w:hAnsi="Arial" w:eastAsia="Arial" w:cs="Arial"/>
          <w:noProof w:val="0"/>
          <w:lang w:val="en-US"/>
        </w:rPr>
      </w:pPr>
      <w:bookmarkStart w:name="_Toc525702475" w:id="150128952"/>
      <w:r w:rsidRPr="3DC7A50A" w:rsidR="09D79683">
        <w:rPr>
          <w:rFonts w:ascii="Arial" w:hAnsi="Arial" w:eastAsia="Arial" w:cs="Arial"/>
          <w:noProof w:val="0"/>
          <w:lang w:val="en-US"/>
        </w:rPr>
        <w:t>7.4 Recommendations for Practice, Policy, and System Strengthening</w:t>
      </w:r>
      <w:bookmarkEnd w:id="150128952"/>
    </w:p>
    <w:p w:rsidR="3B7BAD25" w:rsidP="5B971295" w:rsidRDefault="3B7BAD25" w14:paraId="71AFBD9F" w14:textId="09C25929">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1. Strengthen Continuous Professional Development (CPD)</w:t>
      </w:r>
    </w:p>
    <w:p w:rsidR="3B7BAD25" w:rsidP="3DC7A50A" w:rsidRDefault="3B7BAD25" w14:paraId="38B876AA" w14:textId="4F8F925D">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Mandatory CPD focusing on medication safety, antimicrobial stewardship, clinical pharmacology, and communication is essential for enhancing pharmacist competence (Saleem et al., 2021; Musoke et al., 2023).</w:t>
      </w:r>
    </w:p>
    <w:p w:rsidR="3B7BAD25" w:rsidP="5B971295" w:rsidRDefault="3B7BAD25" w14:paraId="680CB88E" w14:textId="5A570F9D">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 xml:space="preserve">2. </w:t>
      </w:r>
      <w:r w:rsidRPr="3DC7A50A" w:rsidR="09D79683">
        <w:rPr>
          <w:rFonts w:ascii="Arial" w:hAnsi="Arial" w:eastAsia="Arial" w:cs="Arial"/>
          <w:b w:val="1"/>
          <w:bCs w:val="1"/>
          <w:noProof w:val="0"/>
          <w:sz w:val="24"/>
          <w:szCs w:val="24"/>
          <w:lang w:val="en-US"/>
        </w:rPr>
        <w:t>Establish</w:t>
      </w:r>
      <w:r w:rsidRPr="3DC7A50A" w:rsidR="09D79683">
        <w:rPr>
          <w:rFonts w:ascii="Arial" w:hAnsi="Arial" w:eastAsia="Arial" w:cs="Arial"/>
          <w:b w:val="1"/>
          <w:bCs w:val="1"/>
          <w:noProof w:val="0"/>
          <w:sz w:val="24"/>
          <w:szCs w:val="24"/>
          <w:lang w:val="en-US"/>
        </w:rPr>
        <w:t xml:space="preserve"> National Non-Punitive Error Reporting Systems</w:t>
      </w:r>
    </w:p>
    <w:p w:rsidR="3B7BAD25" w:rsidP="3DC7A50A" w:rsidRDefault="3B7BAD25" w14:paraId="109DBB18" w14:textId="7C2A03AB">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Developing confidential, learning-oriented reporting mechanisms would encourage transparency and support quality improvement (Kifle et al., 2021; Awan et al., 2020).</w:t>
      </w:r>
    </w:p>
    <w:p w:rsidR="3B7BAD25" w:rsidP="5B971295" w:rsidRDefault="3B7BAD25" w14:paraId="1B8E08AE" w14:textId="279504F8">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 xml:space="preserve">3. </w:t>
      </w:r>
      <w:r w:rsidRPr="3DC7A50A" w:rsidR="09D79683">
        <w:rPr>
          <w:rFonts w:ascii="Arial" w:hAnsi="Arial" w:eastAsia="Arial" w:cs="Arial"/>
          <w:b w:val="1"/>
          <w:bCs w:val="1"/>
          <w:noProof w:val="0"/>
          <w:sz w:val="24"/>
          <w:szCs w:val="24"/>
          <w:lang w:val="en-US"/>
        </w:rPr>
        <w:t>Standardise</w:t>
      </w:r>
      <w:r w:rsidRPr="3DC7A50A" w:rsidR="09D79683">
        <w:rPr>
          <w:rFonts w:ascii="Arial" w:hAnsi="Arial" w:eastAsia="Arial" w:cs="Arial"/>
          <w:b w:val="1"/>
          <w:bCs w:val="1"/>
          <w:noProof w:val="0"/>
          <w:sz w:val="24"/>
          <w:szCs w:val="24"/>
          <w:lang w:val="en-US"/>
        </w:rPr>
        <w:t xml:space="preserve"> Dispensing Procedures and Supervision</w:t>
      </w:r>
      <w:r w:rsidRPr="3DC7A50A" w:rsidR="09D79683">
        <w:rPr>
          <w:rFonts w:ascii="Arial" w:hAnsi="Arial" w:eastAsia="Arial" w:cs="Arial"/>
          <w:b w:val="1"/>
          <w:bCs w:val="1"/>
          <w:noProof w:val="0"/>
          <w:sz w:val="24"/>
          <w:szCs w:val="24"/>
          <w:lang w:val="en-US"/>
        </w:rPr>
        <w:t xml:space="preserve"> </w:t>
      </w:r>
    </w:p>
    <w:p w:rsidR="3B7BAD25" w:rsidP="3DC7A50A" w:rsidRDefault="3B7BAD25" w14:paraId="5297339A" w14:textId="04773C9E">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SOPs, double-check systems, and regular audits ensure consistency and accountability across pharmacy settings (Yousaf et al., 2022).</w:t>
      </w:r>
    </w:p>
    <w:p w:rsidR="3B7BAD25" w:rsidP="5B971295" w:rsidRDefault="3B7BAD25" w14:paraId="1F65959A" w14:textId="41E660E1">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4. Integrate Digital Technologies into Pharmacy Workflows</w:t>
      </w:r>
    </w:p>
    <w:p w:rsidR="3B7BAD25" w:rsidP="3DC7A50A" w:rsidRDefault="3B7BAD25" w14:paraId="004DA351" w14:textId="7DA40004">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Electronic prescribing, barcode scanning, automated labelling, and digital records can significantly reduce human error (Musoke et al., 2023; Kifle et al., 2021).</w:t>
      </w:r>
    </w:p>
    <w:p w:rsidR="3B7BAD25" w:rsidP="5B971295" w:rsidRDefault="3B7BAD25" w14:paraId="1866D129" w14:textId="1FAE374D">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5. Enhance Communication Strategies for Patients</w:t>
      </w:r>
    </w:p>
    <w:p w:rsidR="3B7BAD25" w:rsidP="3DC7A50A" w:rsidRDefault="3B7BAD25" w14:paraId="121918E3" w14:textId="250812B4">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 xml:space="preserve">Use of pictograms, simple language, bilingual labelling, and teach-back methods improves comprehension in low-literacy populations (Saleem et al., 2021; </w:t>
      </w:r>
      <w:r w:rsidRPr="3DC7A50A" w:rsidR="660D1FE6">
        <w:rPr>
          <w:rFonts w:ascii="Arial" w:hAnsi="Arial" w:eastAsia="Arial" w:cs="Arial"/>
          <w:noProof w:val="0"/>
          <w:sz w:val="24"/>
          <w:szCs w:val="24"/>
          <w:lang w:val="en-US"/>
        </w:rPr>
        <w:t>Kibira</w:t>
      </w:r>
      <w:r w:rsidRPr="3DC7A50A" w:rsidR="660D1FE6">
        <w:rPr>
          <w:rFonts w:ascii="Arial" w:hAnsi="Arial" w:eastAsia="Arial" w:cs="Arial"/>
          <w:noProof w:val="0"/>
          <w:sz w:val="24"/>
          <w:szCs w:val="24"/>
          <w:lang w:val="en-US"/>
        </w:rPr>
        <w:t xml:space="preserve"> et al., 2020).</w:t>
      </w:r>
    </w:p>
    <w:p w:rsidR="3B7BAD25" w:rsidP="5B971295" w:rsidRDefault="3B7BAD25" w14:paraId="69E6D53C" w14:textId="34F9B6DD">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6. Strengthen Interprofessional Collaboration</w:t>
      </w:r>
    </w:p>
    <w:p w:rsidR="3B7BAD25" w:rsidP="3DC7A50A" w:rsidRDefault="3B7BAD25" w14:paraId="0EA2482D" w14:textId="363C520E">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Better communication pathways between pharmacists and prescribers help resolve unclear prescriptions and reduce assumptions (Awan et al., 2020).</w:t>
      </w:r>
    </w:p>
    <w:p w:rsidR="3B7BAD25" w:rsidP="5B971295" w:rsidRDefault="3B7BAD25" w14:paraId="66092DE5" w14:textId="2F04E12C">
      <w:pPr>
        <w:pStyle w:val="Normal"/>
        <w:bidi w:val="0"/>
        <w:spacing w:before="240" w:beforeAutospacing="off" w:after="240" w:afterAutospacing="off"/>
        <w:jc w:val="both"/>
        <w:rPr>
          <w:rFonts w:ascii="Arial" w:hAnsi="Arial" w:eastAsia="Arial" w:cs="Arial"/>
          <w:b w:val="1"/>
          <w:bCs w:val="1"/>
          <w:noProof w:val="0"/>
          <w:sz w:val="24"/>
          <w:szCs w:val="24"/>
          <w:lang w:val="en-US"/>
        </w:rPr>
      </w:pPr>
      <w:r w:rsidRPr="3DC7A50A" w:rsidR="09D79683">
        <w:rPr>
          <w:rFonts w:ascii="Arial" w:hAnsi="Arial" w:eastAsia="Arial" w:cs="Arial"/>
          <w:b w:val="1"/>
          <w:bCs w:val="1"/>
          <w:noProof w:val="0"/>
          <w:sz w:val="24"/>
          <w:szCs w:val="24"/>
          <w:lang w:val="en-US"/>
        </w:rPr>
        <w:t>7. Address Socioeconomic Barriers</w:t>
      </w:r>
    </w:p>
    <w:p w:rsidR="3B7BAD25" w:rsidP="3DC7A50A" w:rsidRDefault="3B7BAD25" w14:paraId="4E71DB95" w14:textId="49FF3D21">
      <w:pPr>
        <w:pStyle w:val="Normal"/>
        <w:bidi w:val="0"/>
        <w:spacing w:before="240" w:beforeAutospacing="off" w:after="240" w:afterAutospacing="off"/>
        <w:jc w:val="both"/>
        <w:rPr>
          <w:rFonts w:ascii="Arial" w:hAnsi="Arial" w:eastAsia="Arial" w:cs="Arial"/>
          <w:noProof w:val="0"/>
          <w:sz w:val="24"/>
          <w:szCs w:val="24"/>
          <w:lang w:val="en-US"/>
        </w:rPr>
      </w:pPr>
      <w:r w:rsidRPr="3DC7A50A" w:rsidR="660D1FE6">
        <w:rPr>
          <w:rFonts w:ascii="Arial" w:hAnsi="Arial" w:eastAsia="Arial" w:cs="Arial"/>
          <w:noProof w:val="0"/>
          <w:sz w:val="24"/>
          <w:szCs w:val="24"/>
          <w:lang w:val="en-US"/>
        </w:rPr>
        <w:t>Government subsidies, improved medicine supply chains, and regulation of informal vendors can reduce unsafe substitutions and medicine rationing (Nsimba, 2019).</w:t>
      </w:r>
    </w:p>
    <w:p w:rsidR="3DC7A50A" w:rsidP="3DC7A50A" w:rsidRDefault="3DC7A50A" w14:paraId="64D129AD" w14:textId="24AF9FE3">
      <w:pPr>
        <w:pStyle w:val="Heading2"/>
        <w:rPr>
          <w:rFonts w:ascii="Arial" w:hAnsi="Arial" w:eastAsia="Arial" w:cs="Arial"/>
          <w:noProof w:val="0"/>
          <w:lang w:val="en-US"/>
        </w:rPr>
      </w:pPr>
    </w:p>
    <w:p w:rsidR="3B7BAD25" w:rsidP="3DC7A50A" w:rsidRDefault="3B7BAD25" w14:paraId="6AF08FF4" w14:textId="0297FDCA">
      <w:pPr>
        <w:pStyle w:val="Heading2"/>
        <w:rPr>
          <w:rFonts w:ascii="Arial" w:hAnsi="Arial" w:eastAsia="Arial" w:cs="Arial"/>
          <w:noProof w:val="0"/>
          <w:lang w:val="en-US"/>
        </w:rPr>
      </w:pPr>
      <w:bookmarkStart w:name="_Toc805032561" w:id="1981868194"/>
      <w:r w:rsidRPr="3DC7A50A" w:rsidR="09D79683">
        <w:rPr>
          <w:rFonts w:ascii="Arial" w:hAnsi="Arial" w:eastAsia="Arial" w:cs="Arial"/>
          <w:noProof w:val="0"/>
          <w:lang w:val="en-US"/>
        </w:rPr>
        <w:t>7.5 Implications for Policy and Practice</w:t>
      </w:r>
      <w:bookmarkEnd w:id="1981868194"/>
    </w:p>
    <w:p w:rsidR="3B7BAD25" w:rsidP="3DC7A50A" w:rsidRDefault="3B7BAD25" w14:paraId="1C8AF851" w14:textId="217A4C3B">
      <w:pPr>
        <w:spacing w:before="240" w:beforeAutospacing="off" w:after="240" w:afterAutospacing="off"/>
        <w:rPr>
          <w:rFonts w:ascii="Arial" w:hAnsi="Arial" w:eastAsia="Arial" w:cs="Arial"/>
          <w:b w:val="0"/>
          <w:bCs w:val="0"/>
          <w:noProof w:val="0"/>
          <w:sz w:val="24"/>
          <w:szCs w:val="24"/>
          <w:lang w:val="en-US"/>
        </w:rPr>
      </w:pPr>
      <w:r w:rsidRPr="3DC7A50A" w:rsidR="09EF04EE">
        <w:rPr>
          <w:rFonts w:ascii="Arial" w:hAnsi="Arial" w:eastAsia="Arial" w:cs="Arial"/>
          <w:b w:val="0"/>
          <w:bCs w:val="0"/>
          <w:noProof w:val="0"/>
          <w:sz w:val="24"/>
          <w:szCs w:val="24"/>
          <w:lang w:val="en-US"/>
        </w:rPr>
        <w:t xml:space="preserve">The findings of this review </w:t>
      </w:r>
      <w:r w:rsidRPr="3DC7A50A" w:rsidR="09EF04EE">
        <w:rPr>
          <w:rFonts w:ascii="Arial" w:hAnsi="Arial" w:eastAsia="Arial" w:cs="Arial"/>
          <w:b w:val="0"/>
          <w:bCs w:val="0"/>
          <w:noProof w:val="0"/>
          <w:sz w:val="24"/>
          <w:szCs w:val="24"/>
          <w:lang w:val="en-US"/>
        </w:rPr>
        <w:t>indicate</w:t>
      </w:r>
      <w:r w:rsidRPr="3DC7A50A" w:rsidR="09EF04EE">
        <w:rPr>
          <w:rFonts w:ascii="Arial" w:hAnsi="Arial" w:eastAsia="Arial" w:cs="Arial"/>
          <w:b w:val="0"/>
          <w:bCs w:val="0"/>
          <w:noProof w:val="0"/>
          <w:sz w:val="24"/>
          <w:szCs w:val="24"/>
          <w:lang w:val="en-US"/>
        </w:rPr>
        <w:t xml:space="preserve"> that medication safety should be </w:t>
      </w:r>
      <w:r w:rsidRPr="3DC7A50A" w:rsidR="09EF04EE">
        <w:rPr>
          <w:rFonts w:ascii="Arial" w:hAnsi="Arial" w:eastAsia="Arial" w:cs="Arial"/>
          <w:b w:val="0"/>
          <w:bCs w:val="0"/>
          <w:noProof w:val="0"/>
          <w:sz w:val="24"/>
          <w:szCs w:val="24"/>
          <w:lang w:val="en-US"/>
        </w:rPr>
        <w:t>prioritised</w:t>
      </w:r>
      <w:r w:rsidRPr="3DC7A50A" w:rsidR="09EF04EE">
        <w:rPr>
          <w:rFonts w:ascii="Arial" w:hAnsi="Arial" w:eastAsia="Arial" w:cs="Arial"/>
          <w:b w:val="0"/>
          <w:bCs w:val="0"/>
          <w:noProof w:val="0"/>
          <w:sz w:val="24"/>
          <w:szCs w:val="24"/>
          <w:lang w:val="en-US"/>
        </w:rPr>
        <w:t xml:space="preserve"> within national health strategies in low- and middle-income countries (LMICs). Policymakers must strengthen regulatory frameworks governing pharmacy practice, including consistent enforcement of prescription-only medicine regulations particularly for antimicrobials to reduce unsafe dispensing and address antimicrobial resistance (Musoke et al., 2023; Auta et al., 2018). Investment in the pharmacy workforce through accredited continuing professional development (CPD), workforce expansion, and integration of pharmacists into multidisciplinary clinical teams is essential to enhance clinical contribution and accountability. Aligning national policies with WHO patient safety guidelines and investing in </w:t>
      </w:r>
      <w:r w:rsidRPr="3DC7A50A" w:rsidR="09EF04EE">
        <w:rPr>
          <w:rFonts w:ascii="Arial" w:hAnsi="Arial" w:eastAsia="Arial" w:cs="Arial"/>
          <w:b w:val="0"/>
          <w:bCs w:val="0"/>
          <w:noProof w:val="0"/>
          <w:sz w:val="24"/>
          <w:szCs w:val="24"/>
          <w:lang w:val="en-US"/>
        </w:rPr>
        <w:t>appropriate digital</w:t>
      </w:r>
      <w:r w:rsidRPr="3DC7A50A" w:rsidR="09EF04EE">
        <w:rPr>
          <w:rFonts w:ascii="Arial" w:hAnsi="Arial" w:eastAsia="Arial" w:cs="Arial"/>
          <w:b w:val="0"/>
          <w:bCs w:val="0"/>
          <w:noProof w:val="0"/>
          <w:sz w:val="24"/>
          <w:szCs w:val="24"/>
          <w:lang w:val="en-US"/>
        </w:rPr>
        <w:t xml:space="preserve"> health infrastructure can further support safer pharmacy </w:t>
      </w:r>
      <w:r w:rsidRPr="3DC7A50A" w:rsidR="09EF04EE">
        <w:rPr>
          <w:rFonts w:ascii="Arial" w:hAnsi="Arial" w:eastAsia="Arial" w:cs="Arial"/>
          <w:b w:val="0"/>
          <w:bCs w:val="0"/>
          <w:noProof w:val="0"/>
          <w:sz w:val="24"/>
          <w:szCs w:val="24"/>
          <w:lang w:val="en-US"/>
        </w:rPr>
        <w:t>practice</w:t>
      </w:r>
      <w:r w:rsidRPr="3DC7A50A" w:rsidR="09EF04EE">
        <w:rPr>
          <w:rFonts w:ascii="Arial" w:hAnsi="Arial" w:eastAsia="Arial" w:cs="Arial"/>
          <w:b w:val="0"/>
          <w:bCs w:val="0"/>
          <w:noProof w:val="0"/>
          <w:sz w:val="24"/>
          <w:szCs w:val="24"/>
          <w:lang w:val="en-US"/>
        </w:rPr>
        <w:t>.</w:t>
      </w:r>
    </w:p>
    <w:p w:rsidR="3B7BAD25" w:rsidP="3DC7A50A" w:rsidRDefault="3B7BAD25" w14:paraId="33A25641" w14:textId="09294AC0">
      <w:pPr>
        <w:spacing w:before="240" w:beforeAutospacing="off" w:after="240" w:afterAutospacing="off"/>
        <w:rPr>
          <w:rFonts w:ascii="Arial" w:hAnsi="Arial" w:eastAsia="Arial" w:cs="Arial"/>
          <w:b w:val="0"/>
          <w:bCs w:val="0"/>
          <w:noProof w:val="0"/>
          <w:sz w:val="24"/>
          <w:szCs w:val="24"/>
          <w:lang w:val="en-US"/>
        </w:rPr>
      </w:pPr>
      <w:r w:rsidRPr="3DC7A50A" w:rsidR="09EF04EE">
        <w:rPr>
          <w:rFonts w:ascii="Arial" w:hAnsi="Arial" w:eastAsia="Arial" w:cs="Arial"/>
          <w:b w:val="0"/>
          <w:bCs w:val="0"/>
          <w:noProof w:val="0"/>
          <w:sz w:val="24"/>
          <w:szCs w:val="24"/>
          <w:lang w:val="en-US"/>
        </w:rPr>
        <w:t xml:space="preserve">At the </w:t>
      </w:r>
      <w:r w:rsidRPr="3DC7A50A" w:rsidR="09EF04EE">
        <w:rPr>
          <w:rFonts w:ascii="Arial" w:hAnsi="Arial" w:eastAsia="Arial" w:cs="Arial"/>
          <w:b w:val="0"/>
          <w:bCs w:val="0"/>
          <w:noProof w:val="0"/>
          <w:sz w:val="24"/>
          <w:szCs w:val="24"/>
          <w:lang w:val="en-US"/>
        </w:rPr>
        <w:t>organisational</w:t>
      </w:r>
      <w:r w:rsidRPr="3DC7A50A" w:rsidR="09EF04EE">
        <w:rPr>
          <w:rFonts w:ascii="Arial" w:hAnsi="Arial" w:eastAsia="Arial" w:cs="Arial"/>
          <w:b w:val="0"/>
          <w:bCs w:val="0"/>
          <w:noProof w:val="0"/>
          <w:sz w:val="24"/>
          <w:szCs w:val="24"/>
          <w:lang w:val="en-US"/>
        </w:rPr>
        <w:t xml:space="preserve"> and professional levels, learning-oriented, non-punitive cultures are critical for improving dispensing safety. Hospitals and community pharmacies should implement </w:t>
      </w:r>
      <w:r w:rsidRPr="3DC7A50A" w:rsidR="09EF04EE">
        <w:rPr>
          <w:rFonts w:ascii="Arial" w:hAnsi="Arial" w:eastAsia="Arial" w:cs="Arial"/>
          <w:b w:val="0"/>
          <w:bCs w:val="0"/>
          <w:noProof w:val="0"/>
          <w:sz w:val="24"/>
          <w:szCs w:val="24"/>
          <w:lang w:val="en-US"/>
        </w:rPr>
        <w:t>standardised</w:t>
      </w:r>
      <w:r w:rsidRPr="3DC7A50A" w:rsidR="09EF04EE">
        <w:rPr>
          <w:rFonts w:ascii="Arial" w:hAnsi="Arial" w:eastAsia="Arial" w:cs="Arial"/>
          <w:b w:val="0"/>
          <w:bCs w:val="0"/>
          <w:noProof w:val="0"/>
          <w:sz w:val="24"/>
          <w:szCs w:val="24"/>
          <w:lang w:val="en-US"/>
        </w:rPr>
        <w:t xml:space="preserve"> workflows, safety checklists, and routine supervision, alongside non-punitive medication error reporting systems that promote transparency and </w:t>
      </w:r>
      <w:r w:rsidRPr="3DC7A50A" w:rsidR="09EF04EE">
        <w:rPr>
          <w:rFonts w:ascii="Arial" w:hAnsi="Arial" w:eastAsia="Arial" w:cs="Arial"/>
          <w:b w:val="0"/>
          <w:bCs w:val="0"/>
          <w:noProof w:val="0"/>
          <w:sz w:val="24"/>
          <w:szCs w:val="24"/>
          <w:lang w:val="en-US"/>
        </w:rPr>
        <w:t>organisational</w:t>
      </w:r>
      <w:r w:rsidRPr="3DC7A50A" w:rsidR="09EF04EE">
        <w:rPr>
          <w:rFonts w:ascii="Arial" w:hAnsi="Arial" w:eastAsia="Arial" w:cs="Arial"/>
          <w:b w:val="0"/>
          <w:bCs w:val="0"/>
          <w:noProof w:val="0"/>
          <w:sz w:val="24"/>
          <w:szCs w:val="24"/>
          <w:lang w:val="en-US"/>
        </w:rPr>
        <w:t xml:space="preserve"> learning (Kifle et al., 2021). Pharmacists also require ongoing competency development through simulation-based training, mentorship, and structured induction to strengthen clinical judgement and error recognition. Supporting effective patient counselling particularly in low-literacy and multilingual contexts through pictorial aids, translated labels, and culturally sensitive communication strategies can further improve adherence and medication safety outcomes.</w:t>
      </w:r>
    </w:p>
    <w:p w:rsidR="3B7BAD25" w:rsidP="3DC7A50A" w:rsidRDefault="3B7BAD25" w14:paraId="1DFF3E1F" w14:textId="01102BCC">
      <w:pPr>
        <w:pStyle w:val="Normal"/>
        <w:spacing w:before="240" w:beforeAutospacing="off" w:after="240" w:afterAutospacing="off"/>
        <w:rPr>
          <w:rStyle w:val="Heading2Char"/>
          <w:rFonts w:ascii="Arial" w:hAnsi="Arial" w:eastAsia="Arial" w:cs="Arial"/>
          <w:noProof w:val="0"/>
          <w:lang w:val="en-US"/>
        </w:rPr>
      </w:pPr>
      <w:bookmarkStart w:name="_Toc1151714875" w:id="1849830841"/>
      <w:r w:rsidRPr="3DC7A50A" w:rsidR="09D79683">
        <w:rPr>
          <w:rStyle w:val="Heading2Char"/>
          <w:rFonts w:ascii="Arial" w:hAnsi="Arial" w:eastAsia="Arial" w:cs="Arial"/>
          <w:noProof w:val="0"/>
          <w:lang w:val="en-US"/>
        </w:rPr>
        <w:t>7.6 Limitations and Future Research</w:t>
      </w:r>
      <w:bookmarkEnd w:id="1849830841"/>
    </w:p>
    <w:p w:rsidR="3B7BAD25" w:rsidP="5B971295" w:rsidRDefault="3B7BAD25" w14:paraId="2BB4E28B" w14:textId="4D78F5A2">
      <w:pPr>
        <w:pStyle w:val="Normal"/>
        <w:bidi w:val="0"/>
        <w:spacing w:before="240" w:beforeAutospacing="off" w:after="240" w:afterAutospacing="off"/>
        <w:jc w:val="both"/>
        <w:rPr>
          <w:rFonts w:ascii="Arial" w:hAnsi="Arial" w:eastAsia="Arial" w:cs="Arial"/>
          <w:noProof w:val="0"/>
          <w:sz w:val="24"/>
          <w:szCs w:val="24"/>
          <w:lang w:val="en-US"/>
        </w:rPr>
      </w:pPr>
      <w:r w:rsidRPr="3DC7A50A" w:rsidR="330A34A8">
        <w:rPr>
          <w:rFonts w:ascii="Arial" w:hAnsi="Arial" w:eastAsia="Arial" w:cs="Arial"/>
          <w:noProof w:val="0"/>
          <w:sz w:val="24"/>
          <w:szCs w:val="24"/>
          <w:lang w:val="en-US"/>
        </w:rPr>
        <w:t xml:space="preserve">A key strength of this review lies in its exclusive focus on </w:t>
      </w:r>
      <w:r w:rsidRPr="3DC7A50A" w:rsidR="330A34A8">
        <w:rPr>
          <w:rFonts w:ascii="Arial" w:hAnsi="Arial" w:eastAsia="Arial" w:cs="Arial"/>
          <w:b w:val="0"/>
          <w:bCs w:val="0"/>
          <w:noProof w:val="0"/>
          <w:sz w:val="24"/>
          <w:szCs w:val="24"/>
          <w:lang w:val="en-US"/>
        </w:rPr>
        <w:t>qualitative evidence</w:t>
      </w:r>
      <w:r w:rsidRPr="3DC7A50A" w:rsidR="330A34A8">
        <w:rPr>
          <w:rFonts w:ascii="Arial" w:hAnsi="Arial" w:eastAsia="Arial" w:cs="Arial"/>
          <w:b w:val="0"/>
          <w:bCs w:val="0"/>
          <w:noProof w:val="0"/>
          <w:sz w:val="24"/>
          <w:szCs w:val="24"/>
          <w:lang w:val="en-US"/>
        </w:rPr>
        <w:t xml:space="preserve">, </w:t>
      </w:r>
      <w:r w:rsidRPr="3DC7A50A" w:rsidR="330A34A8">
        <w:rPr>
          <w:rFonts w:ascii="Arial" w:hAnsi="Arial" w:eastAsia="Arial" w:cs="Arial"/>
          <w:noProof w:val="0"/>
          <w:sz w:val="24"/>
          <w:szCs w:val="24"/>
          <w:lang w:val="en-US"/>
        </w:rPr>
        <w:t xml:space="preserve">which enabled exploration of </w:t>
      </w:r>
      <w:r w:rsidRPr="3DC7A50A" w:rsidR="330A34A8">
        <w:rPr>
          <w:rFonts w:ascii="Arial" w:hAnsi="Arial" w:eastAsia="Arial" w:cs="Arial"/>
          <w:noProof w:val="0"/>
          <w:sz w:val="24"/>
          <w:szCs w:val="24"/>
          <w:lang w:val="en-US"/>
        </w:rPr>
        <w:t>pharmacists’</w:t>
      </w:r>
      <w:r w:rsidRPr="3DC7A50A" w:rsidR="330A34A8">
        <w:rPr>
          <w:rFonts w:ascii="Arial" w:hAnsi="Arial" w:eastAsia="Arial" w:cs="Arial"/>
          <w:noProof w:val="0"/>
          <w:sz w:val="24"/>
          <w:szCs w:val="24"/>
          <w:lang w:val="en-US"/>
        </w:rPr>
        <w:t xml:space="preserve"> lived experiences, ethical dilemmas, and contextual challenges that are often overlooked in quantitative research. The inclusion of studies from diverse LMIC settings enhances the breadth and relevance of findings</w:t>
      </w:r>
      <w:r w:rsidRPr="3DC7A50A" w:rsidR="330A34A8">
        <w:rPr>
          <w:rFonts w:ascii="Arial" w:hAnsi="Arial" w:eastAsia="Arial" w:cs="Arial"/>
          <w:noProof w:val="0"/>
          <w:sz w:val="24"/>
          <w:szCs w:val="24"/>
          <w:lang w:val="en-US"/>
        </w:rPr>
        <w:t xml:space="preserve">.  </w:t>
      </w:r>
    </w:p>
    <w:p w:rsidR="3B7BAD25" w:rsidP="5B971295" w:rsidRDefault="3B7BAD25" w14:paraId="061CD000" w14:textId="37D004DD">
      <w:pPr>
        <w:pStyle w:val="Normal"/>
        <w:bidi w:val="0"/>
        <w:spacing w:before="240" w:beforeAutospacing="off" w:after="240" w:afterAutospacing="off"/>
        <w:jc w:val="both"/>
        <w:rPr>
          <w:rFonts w:ascii="Arial" w:hAnsi="Arial" w:eastAsia="Arial" w:cs="Arial"/>
          <w:b w:val="0"/>
          <w:bCs w:val="0"/>
          <w:noProof w:val="0"/>
          <w:sz w:val="24"/>
          <w:szCs w:val="24"/>
          <w:lang w:val="en-US"/>
        </w:rPr>
      </w:pPr>
      <w:r w:rsidRPr="3DC7A50A" w:rsidR="09D79683">
        <w:rPr>
          <w:rFonts w:ascii="Arial" w:hAnsi="Arial" w:eastAsia="Arial" w:cs="Arial"/>
          <w:noProof w:val="0"/>
          <w:sz w:val="24"/>
          <w:szCs w:val="24"/>
          <w:lang w:val="en-US"/>
        </w:rPr>
        <w:t xml:space="preserve">This review focused primarily on qualitative studies, which provide depth but may not </w:t>
      </w:r>
      <w:r w:rsidRPr="3DC7A50A" w:rsidR="09D79683">
        <w:rPr>
          <w:rFonts w:ascii="Arial" w:hAnsi="Arial" w:eastAsia="Arial" w:cs="Arial"/>
          <w:noProof w:val="0"/>
          <w:sz w:val="24"/>
          <w:szCs w:val="24"/>
          <w:lang w:val="en-US"/>
        </w:rPr>
        <w:t>represent</w:t>
      </w:r>
      <w:r w:rsidRPr="3DC7A50A" w:rsidR="09D79683">
        <w:rPr>
          <w:rFonts w:ascii="Arial" w:hAnsi="Arial" w:eastAsia="Arial" w:cs="Arial"/>
          <w:noProof w:val="0"/>
          <w:sz w:val="24"/>
          <w:szCs w:val="24"/>
          <w:lang w:val="en-US"/>
        </w:rPr>
        <w:t xml:space="preserve"> national trends due to small sample sizes and contextual variability. Some studies lacked detailed descriptions of quality improvement interventions, limiting evaluation of effectiveness. </w:t>
      </w:r>
      <w:r w:rsidRPr="3DC7A50A" w:rsidR="1E97E7E0">
        <w:rPr>
          <w:rFonts w:ascii="Arial" w:hAnsi="Arial" w:eastAsia="Arial" w:cs="Arial"/>
          <w:noProof w:val="0"/>
          <w:sz w:val="24"/>
          <w:szCs w:val="24"/>
          <w:lang w:val="en-US"/>
        </w:rPr>
        <w:t xml:space="preserve">Future research should focus on evaluating the effectiveness of quality improvement interventions aimed at reducing dispensing errors in LMIC pharmacy settings. Mixed-methods and longitudinal studies may </w:t>
      </w:r>
      <w:r w:rsidRPr="3DC7A50A" w:rsidR="1E97E7E0">
        <w:rPr>
          <w:rFonts w:ascii="Arial" w:hAnsi="Arial" w:eastAsia="Arial" w:cs="Arial"/>
          <w:b w:val="0"/>
          <w:bCs w:val="0"/>
          <w:noProof w:val="0"/>
          <w:sz w:val="24"/>
          <w:szCs w:val="24"/>
          <w:lang w:val="en-US"/>
        </w:rPr>
        <w:t>provide</w:t>
      </w:r>
      <w:r w:rsidRPr="3DC7A50A" w:rsidR="1E97E7E0">
        <w:rPr>
          <w:rFonts w:ascii="Arial" w:hAnsi="Arial" w:eastAsia="Arial" w:cs="Arial"/>
          <w:b w:val="0"/>
          <w:bCs w:val="0"/>
          <w:noProof w:val="0"/>
          <w:sz w:val="24"/>
          <w:szCs w:val="24"/>
          <w:lang w:val="en-US"/>
        </w:rPr>
        <w:t xml:space="preserve"> valuable insight into how interventions are implemented, sustained, and adapted over time.</w:t>
      </w:r>
    </w:p>
    <w:p w:rsidR="3B7BAD25" w:rsidP="3DC7A50A" w:rsidRDefault="3B7BAD25" w14:paraId="43BB3ABC" w14:textId="5327E6B6">
      <w:pPr>
        <w:bidi w:val="0"/>
        <w:spacing w:before="240" w:beforeAutospacing="off" w:after="240" w:afterAutospacing="off"/>
        <w:jc w:val="both"/>
        <w:rPr>
          <w:rFonts w:ascii="Arial" w:hAnsi="Arial" w:eastAsia="Arial" w:cs="Arial"/>
          <w:noProof w:val="0"/>
          <w:sz w:val="24"/>
          <w:szCs w:val="24"/>
          <w:lang w:val="en-US"/>
        </w:rPr>
      </w:pPr>
      <w:r w:rsidRPr="3DC7A50A" w:rsidR="1E97E7E0">
        <w:rPr>
          <w:rFonts w:ascii="Arial" w:hAnsi="Arial" w:eastAsia="Arial" w:cs="Arial"/>
          <w:b w:val="0"/>
          <w:bCs w:val="0"/>
          <w:noProof w:val="0"/>
          <w:sz w:val="24"/>
          <w:szCs w:val="24"/>
          <w:lang w:val="en-US"/>
        </w:rPr>
        <w:t xml:space="preserve">There is also a need for greater inclusion of </w:t>
      </w:r>
      <w:r w:rsidRPr="3DC7A50A" w:rsidR="1E97E7E0">
        <w:rPr>
          <w:rFonts w:ascii="Arial" w:hAnsi="Arial" w:eastAsia="Arial" w:cs="Arial"/>
          <w:b w:val="0"/>
          <w:bCs w:val="0"/>
          <w:noProof w:val="0"/>
          <w:sz w:val="24"/>
          <w:szCs w:val="24"/>
          <w:lang w:val="en-US"/>
        </w:rPr>
        <w:t>patient perspectives</w:t>
      </w:r>
      <w:r w:rsidRPr="3DC7A50A" w:rsidR="1E97E7E0">
        <w:rPr>
          <w:rFonts w:ascii="Arial" w:hAnsi="Arial" w:eastAsia="Arial" w:cs="Arial"/>
          <w:b w:val="0"/>
          <w:bCs w:val="0"/>
          <w:noProof w:val="0"/>
          <w:sz w:val="24"/>
          <w:szCs w:val="24"/>
          <w:lang w:val="en-US"/>
        </w:rPr>
        <w:t xml:space="preserve">, particularly </w:t>
      </w:r>
      <w:r w:rsidRPr="3DC7A50A" w:rsidR="1E97E7E0">
        <w:rPr>
          <w:rFonts w:ascii="Arial" w:hAnsi="Arial" w:eastAsia="Arial" w:cs="Arial"/>
          <w:b w:val="0"/>
          <w:bCs w:val="0"/>
          <w:noProof w:val="0"/>
          <w:sz w:val="24"/>
          <w:szCs w:val="24"/>
          <w:lang w:val="en-US"/>
        </w:rPr>
        <w:t>regarding</w:t>
      </w:r>
      <w:r w:rsidRPr="3DC7A50A" w:rsidR="1E97E7E0">
        <w:rPr>
          <w:rFonts w:ascii="Arial" w:hAnsi="Arial" w:eastAsia="Arial" w:cs="Arial"/>
          <w:b w:val="0"/>
          <w:bCs w:val="0"/>
          <w:noProof w:val="0"/>
          <w:sz w:val="24"/>
          <w:szCs w:val="24"/>
          <w:lang w:val="en-US"/>
        </w:rPr>
        <w:t xml:space="preserve"> counselling quality, understanding of medicines, and experiences of</w:t>
      </w:r>
      <w:r w:rsidRPr="3DC7A50A" w:rsidR="1E97E7E0">
        <w:rPr>
          <w:rFonts w:ascii="Arial" w:hAnsi="Arial" w:eastAsia="Arial" w:cs="Arial"/>
          <w:noProof w:val="0"/>
          <w:sz w:val="24"/>
          <w:szCs w:val="24"/>
          <w:lang w:val="en-US"/>
        </w:rPr>
        <w:t xml:space="preserve"> medication-related harm. Expanding research in rural and under-resourced settings would further enhance understanding of context-specific challenges.</w:t>
      </w:r>
    </w:p>
    <w:p w:rsidR="3B7BAD25" w:rsidP="5B971295" w:rsidRDefault="3B7BAD25" w14:paraId="2B502202" w14:textId="74278C11">
      <w:pPr>
        <w:pStyle w:val="Normal"/>
        <w:bidi w:val="0"/>
        <w:spacing w:before="240" w:beforeAutospacing="off" w:after="240" w:afterAutospacing="off"/>
        <w:jc w:val="both"/>
        <w:rPr>
          <w:rFonts w:ascii="Arial" w:hAnsi="Arial" w:eastAsia="Arial" w:cs="Arial"/>
          <w:noProof w:val="0"/>
          <w:sz w:val="24"/>
          <w:szCs w:val="24"/>
          <w:lang w:val="en-US"/>
        </w:rPr>
      </w:pPr>
    </w:p>
    <w:p w:rsidR="3B7BAD25" w:rsidP="3DC7A50A" w:rsidRDefault="3B7BAD25" w14:paraId="1FACF7FE" w14:textId="06DFC12C">
      <w:pPr>
        <w:pStyle w:val="Heading2"/>
        <w:bidi w:val="0"/>
        <w:jc w:val="both"/>
        <w:rPr>
          <w:rFonts w:ascii="Arial" w:hAnsi="Arial" w:eastAsia="Arial" w:cs="Arial"/>
          <w:noProof w:val="0"/>
          <w:lang w:val="en-US"/>
        </w:rPr>
      </w:pPr>
      <w:bookmarkStart w:name="_Toc1379871730" w:id="1105922811"/>
      <w:r w:rsidRPr="3DC7A50A" w:rsidR="660D1FE6">
        <w:rPr>
          <w:rFonts w:ascii="Arial" w:hAnsi="Arial" w:eastAsia="Arial" w:cs="Arial"/>
          <w:noProof w:val="0"/>
          <w:lang w:val="en-US"/>
        </w:rPr>
        <w:t>7.7 Final Summary</w:t>
      </w:r>
      <w:bookmarkEnd w:id="1105922811"/>
    </w:p>
    <w:p w:rsidR="4369956E" w:rsidP="3DC7A50A" w:rsidRDefault="4369956E" w14:paraId="5036BB69" w14:textId="08958ACF">
      <w:pPr>
        <w:pStyle w:val="Normal"/>
        <w:bidi w:val="0"/>
        <w:spacing w:before="240" w:beforeAutospacing="off" w:after="240" w:afterAutospacing="off"/>
        <w:jc w:val="both"/>
        <w:rPr>
          <w:noProof w:val="0"/>
          <w:lang w:val="en-US"/>
        </w:rPr>
      </w:pPr>
      <w:r w:rsidRPr="3DC7A50A" w:rsidR="62A93030">
        <w:rPr>
          <w:rFonts w:ascii="Arial" w:hAnsi="Arial" w:eastAsia="Arial" w:cs="Arial"/>
          <w:noProof w:val="0"/>
          <w:sz w:val="24"/>
          <w:szCs w:val="24"/>
          <w:lang w:val="en-US"/>
        </w:rPr>
        <w:t xml:space="preserve">This dissertation </w:t>
      </w:r>
      <w:r w:rsidRPr="3DC7A50A" w:rsidR="62A93030">
        <w:rPr>
          <w:rFonts w:ascii="Arial" w:hAnsi="Arial" w:eastAsia="Arial" w:cs="Arial"/>
          <w:noProof w:val="0"/>
          <w:sz w:val="24"/>
          <w:szCs w:val="24"/>
          <w:lang w:val="en-US"/>
        </w:rPr>
        <w:t>demonstrates</w:t>
      </w:r>
      <w:r w:rsidRPr="3DC7A50A" w:rsidR="62A93030">
        <w:rPr>
          <w:rFonts w:ascii="Arial" w:hAnsi="Arial" w:eastAsia="Arial" w:cs="Arial"/>
          <w:noProof w:val="0"/>
          <w:sz w:val="24"/>
          <w:szCs w:val="24"/>
          <w:lang w:val="en-US"/>
        </w:rPr>
        <w:t xml:space="preserve"> that pharmacist-related dispensing errors in low- and middle-income countries (LMICs) arise from complex system-level failures rather than individual shortcomings. Interacting factors such as knowledge gaps, </w:t>
      </w:r>
      <w:r w:rsidRPr="3DC7A50A" w:rsidR="62A93030">
        <w:rPr>
          <w:rFonts w:ascii="Arial" w:hAnsi="Arial" w:eastAsia="Arial" w:cs="Arial"/>
          <w:noProof w:val="0"/>
          <w:sz w:val="24"/>
          <w:szCs w:val="24"/>
          <w:lang w:val="en-US"/>
        </w:rPr>
        <w:t>organisational</w:t>
      </w:r>
      <w:r w:rsidRPr="3DC7A50A" w:rsidR="62A93030">
        <w:rPr>
          <w:rFonts w:ascii="Arial" w:hAnsi="Arial" w:eastAsia="Arial" w:cs="Arial"/>
          <w:noProof w:val="0"/>
          <w:sz w:val="24"/>
          <w:szCs w:val="24"/>
          <w:lang w:val="en-US"/>
        </w:rPr>
        <w:t xml:space="preserve"> weaknesses, sociocultural pressures, and structural inequities collectively compromise medication safety. Addressing these challenges requires coordinated, system-wide quality improvement approaches that support pharmacists through education, effective regulation, and positive </w:t>
      </w:r>
      <w:r w:rsidRPr="3DC7A50A" w:rsidR="62A93030">
        <w:rPr>
          <w:rFonts w:ascii="Arial" w:hAnsi="Arial" w:eastAsia="Arial" w:cs="Arial"/>
          <w:noProof w:val="0"/>
          <w:sz w:val="24"/>
          <w:szCs w:val="24"/>
          <w:lang w:val="en-US"/>
        </w:rPr>
        <w:t>organisational</w:t>
      </w:r>
      <w:r w:rsidRPr="3DC7A50A" w:rsidR="62A93030">
        <w:rPr>
          <w:rFonts w:ascii="Arial" w:hAnsi="Arial" w:eastAsia="Arial" w:cs="Arial"/>
          <w:noProof w:val="0"/>
          <w:sz w:val="24"/>
          <w:szCs w:val="24"/>
          <w:lang w:val="en-US"/>
        </w:rPr>
        <w:t xml:space="preserve"> culture change. Strengthening pharmacy practice and medication safety systems in this way offers a sustainable pathway to reducing preventable harm and improving patient outcomes in LMIC settings.</w:t>
      </w:r>
    </w:p>
    <w:p w:rsidR="4369956E" w:rsidP="3DC7A50A" w:rsidRDefault="4369956E" w14:paraId="50BE18F6" w14:textId="3A9E185C">
      <w:pPr>
        <w:pStyle w:val="Normal"/>
        <w:bidi w:val="0"/>
        <w:spacing w:before="240" w:beforeAutospacing="off" w:after="240" w:afterAutospacing="off"/>
        <w:jc w:val="both"/>
        <w:rPr>
          <w:rFonts w:ascii="Arial" w:hAnsi="Arial" w:eastAsia="Arial" w:cs="Arial"/>
          <w:noProof w:val="0"/>
          <w:sz w:val="24"/>
          <w:szCs w:val="24"/>
          <w:lang w:val="en-US"/>
        </w:rPr>
      </w:pPr>
    </w:p>
    <w:p w:rsidR="4369956E" w:rsidP="3DC7A50A" w:rsidRDefault="4369956E" w14:paraId="33A42149" w14:textId="13142C10">
      <w:pPr>
        <w:pStyle w:val="Normal"/>
        <w:bidi w:val="0"/>
        <w:spacing w:before="240" w:beforeAutospacing="off" w:after="240" w:afterAutospacing="off"/>
        <w:jc w:val="both"/>
        <w:rPr>
          <w:rFonts w:ascii="Arial" w:hAnsi="Arial" w:eastAsia="Arial" w:cs="Arial"/>
          <w:noProof w:val="0"/>
          <w:sz w:val="24"/>
          <w:szCs w:val="24"/>
          <w:lang w:val="en-US"/>
        </w:rPr>
      </w:pPr>
    </w:p>
    <w:p w:rsidR="4369956E" w:rsidP="3DC7A50A" w:rsidRDefault="4369956E" w14:paraId="7D652482" w14:textId="12223F2D">
      <w:pPr>
        <w:pStyle w:val="Normal"/>
        <w:bidi w:val="0"/>
        <w:spacing w:before="240" w:beforeAutospacing="off" w:after="240" w:afterAutospacing="off"/>
        <w:jc w:val="both"/>
        <w:rPr>
          <w:rFonts w:ascii="Arial" w:hAnsi="Arial" w:eastAsia="Arial" w:cs="Arial"/>
          <w:noProof w:val="0"/>
          <w:sz w:val="24"/>
          <w:szCs w:val="24"/>
          <w:lang w:val="en-US"/>
        </w:rPr>
      </w:pPr>
    </w:p>
    <w:p w:rsidR="4369956E" w:rsidP="3DC7A50A" w:rsidRDefault="4369956E" w14:paraId="119B690D" w14:textId="6D5817B4">
      <w:pPr>
        <w:pStyle w:val="Normal"/>
        <w:bidi w:val="0"/>
        <w:spacing w:before="240" w:beforeAutospacing="off" w:after="240" w:afterAutospacing="off"/>
        <w:jc w:val="both"/>
        <w:rPr>
          <w:rFonts w:ascii="Arial" w:hAnsi="Arial" w:eastAsia="Arial" w:cs="Arial"/>
          <w:noProof w:val="0"/>
          <w:sz w:val="24"/>
          <w:szCs w:val="24"/>
          <w:lang w:val="en-US"/>
        </w:rPr>
      </w:pPr>
    </w:p>
    <w:p w:rsidR="4369956E" w:rsidP="3DC7A50A" w:rsidRDefault="4369956E" w14:paraId="2B36F3CB" w14:textId="4670B535">
      <w:pPr>
        <w:pStyle w:val="Heading1"/>
        <w:bidi w:val="0"/>
        <w:spacing w:before="240" w:beforeAutospacing="off" w:after="240" w:afterAutospacing="off"/>
        <w:jc w:val="both"/>
        <w:rPr>
          <w:rFonts w:ascii="Arial" w:hAnsi="Arial" w:eastAsia="Arial" w:cs="Arial"/>
          <w:b w:val="1"/>
          <w:bCs w:val="1"/>
          <w:i w:val="0"/>
          <w:iCs w:val="0"/>
          <w:caps w:val="0"/>
          <w:smallCaps w:val="0"/>
          <w:noProof w:val="0"/>
          <w:color w:val="auto"/>
          <w:sz w:val="40"/>
          <w:szCs w:val="40"/>
          <w:lang w:val="en-US"/>
        </w:rPr>
      </w:pPr>
    </w:p>
    <w:p w:rsidR="4369956E" w:rsidP="3DC7A50A" w:rsidRDefault="4369956E" w14:paraId="3724DCF8" w14:textId="73D9DD3D">
      <w:pPr>
        <w:pStyle w:val="Normal"/>
        <w:bidi w:val="0"/>
        <w:rPr>
          <w:noProof w:val="0"/>
          <w:lang w:val="en-US"/>
        </w:rPr>
      </w:pPr>
    </w:p>
    <w:p w:rsidR="4369956E" w:rsidP="3DC7A50A" w:rsidRDefault="4369956E" w14:paraId="667166A0" w14:textId="2DDDD1D4">
      <w:pPr>
        <w:pStyle w:val="Heading1"/>
        <w:bidi w:val="0"/>
        <w:spacing w:before="240" w:beforeAutospacing="off" w:after="240" w:afterAutospacing="off"/>
        <w:jc w:val="both"/>
        <w:rPr>
          <w:rFonts w:ascii="Arial" w:hAnsi="Arial" w:eastAsia="Arial" w:cs="Arial"/>
          <w:b w:val="1"/>
          <w:bCs w:val="1"/>
          <w:i w:val="0"/>
          <w:iCs w:val="0"/>
          <w:caps w:val="0"/>
          <w:smallCaps w:val="0"/>
          <w:noProof w:val="0"/>
          <w:color w:val="auto"/>
          <w:sz w:val="40"/>
          <w:szCs w:val="40"/>
          <w:lang w:val="en-US"/>
        </w:rPr>
      </w:pPr>
    </w:p>
    <w:p w:rsidR="4369956E" w:rsidP="3DC7A50A" w:rsidRDefault="4369956E" w14:paraId="63E0E7FA" w14:textId="4072AA92">
      <w:pPr>
        <w:pStyle w:val="Heading1"/>
        <w:bidi w:val="0"/>
        <w:spacing w:before="240" w:beforeAutospacing="off" w:after="240" w:afterAutospacing="off"/>
        <w:jc w:val="both"/>
        <w:rPr>
          <w:rFonts w:ascii="Arial" w:hAnsi="Arial" w:eastAsia="Arial" w:cs="Arial"/>
          <w:noProof w:val="0"/>
          <w:color w:val="auto"/>
          <w:sz w:val="24"/>
          <w:szCs w:val="24"/>
          <w:lang w:val="en-US"/>
        </w:rPr>
      </w:pPr>
      <w:bookmarkStart w:name="_Toc463933969" w:id="1165118782"/>
      <w:r w:rsidRPr="3DC7A50A" w:rsidR="32FBFED1">
        <w:rPr>
          <w:rFonts w:ascii="Arial" w:hAnsi="Arial" w:eastAsia="Arial" w:cs="Arial"/>
          <w:b w:val="1"/>
          <w:bCs w:val="1"/>
          <w:i w:val="0"/>
          <w:iCs w:val="0"/>
          <w:caps w:val="0"/>
          <w:smallCaps w:val="0"/>
          <w:noProof w:val="0"/>
          <w:color w:val="auto"/>
          <w:sz w:val="40"/>
          <w:szCs w:val="40"/>
          <w:lang w:val="en-US"/>
        </w:rPr>
        <w:t>Appendix Tables</w:t>
      </w:r>
      <w:bookmarkEnd w:id="1165118782"/>
    </w:p>
    <w:p w:rsidR="4369956E" w:rsidP="3DC7A50A" w:rsidRDefault="4369956E" w14:paraId="6A0A078B" w14:textId="51465E84">
      <w:pPr>
        <w:pStyle w:val="Heading2"/>
        <w:bidi w:val="0"/>
        <w:rPr>
          <w:b w:val="1"/>
          <w:bCs w:val="1"/>
          <w:noProof w:val="0"/>
          <w:lang w:val="en-US"/>
        </w:rPr>
      </w:pPr>
      <w:bookmarkStart w:name="_Toc1012412614" w:id="1796692952"/>
      <w:r w:rsidRPr="3DC7A50A" w:rsidR="544E7032">
        <w:rPr>
          <w:b w:val="1"/>
          <w:bCs w:val="1"/>
          <w:noProof w:val="0"/>
          <w:lang w:val="en-US"/>
        </w:rPr>
        <w:t>Appendix A: Evidence Extraction Table</w:t>
      </w:r>
      <w:bookmarkEnd w:id="1796692952"/>
    </w:p>
    <w:p w:rsidR="4369956E" w:rsidP="3DC7A50A" w:rsidRDefault="4369956E" w14:paraId="00537130" w14:textId="09B68152">
      <w:pPr>
        <w:pStyle w:val="Normal"/>
        <w:bidi w:val="0"/>
        <w:rPr>
          <w:noProof w:val="0"/>
          <w:lang w:val="en-US"/>
        </w:rPr>
      </w:pPr>
    </w:p>
    <w:tbl>
      <w:tblPr>
        <w:tblStyle w:val="TableGridLight"/>
        <w:bidiVisual w:val="0"/>
        <w:tblW w:w="0" w:type="auto"/>
        <w:tblLook w:val="06A0" w:firstRow="1" w:lastRow="0" w:firstColumn="1" w:lastColumn="0" w:noHBand="1" w:noVBand="1"/>
      </w:tblPr>
      <w:tblGrid>
        <w:gridCol w:w="731"/>
        <w:gridCol w:w="1010"/>
        <w:gridCol w:w="1942"/>
        <w:gridCol w:w="1438"/>
        <w:gridCol w:w="2422"/>
        <w:gridCol w:w="1818"/>
      </w:tblGrid>
      <w:tr w:rsidR="4369956E" w:rsidTr="3DC7A50A" w14:paraId="2A09B855">
        <w:trPr>
          <w:trHeight w:val="300"/>
        </w:trPr>
        <w:tc>
          <w:tcPr>
            <w:tcW w:w="731" w:type="dxa"/>
            <w:tcMar/>
          </w:tcPr>
          <w:p w:rsidR="4369956E" w:rsidP="4369956E" w:rsidRDefault="4369956E" w14:paraId="317CA173" w14:textId="392ECA75">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Author (Year)</w:t>
            </w:r>
          </w:p>
        </w:tc>
        <w:tc>
          <w:tcPr>
            <w:tcW w:w="1010" w:type="dxa"/>
            <w:tcMar/>
          </w:tcPr>
          <w:p w:rsidR="4369956E" w:rsidP="4369956E" w:rsidRDefault="4369956E" w14:paraId="12F91792" w14:textId="1C94E353">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Country / Setting</w:t>
            </w:r>
          </w:p>
        </w:tc>
        <w:tc>
          <w:tcPr>
            <w:tcW w:w="1942" w:type="dxa"/>
            <w:tcMar/>
          </w:tcPr>
          <w:p w:rsidR="4369956E" w:rsidP="4369956E" w:rsidRDefault="4369956E" w14:paraId="16C0A872" w14:textId="41D5CE20">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Study Aim</w:t>
            </w:r>
          </w:p>
        </w:tc>
        <w:tc>
          <w:tcPr>
            <w:tcW w:w="1438" w:type="dxa"/>
            <w:tcMar/>
          </w:tcPr>
          <w:p w:rsidR="4369956E" w:rsidP="4369956E" w:rsidRDefault="4369956E" w14:paraId="6E1E5E3A" w14:textId="319BE66F">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Study Design &amp; Participants</w:t>
            </w:r>
          </w:p>
        </w:tc>
        <w:tc>
          <w:tcPr>
            <w:tcW w:w="2422" w:type="dxa"/>
            <w:tcMar/>
          </w:tcPr>
          <w:p w:rsidR="4369956E" w:rsidP="4369956E" w:rsidRDefault="4369956E" w14:paraId="6D90114B" w14:textId="302F8069">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Key Findings Related to Dispensing Errors</w:t>
            </w:r>
          </w:p>
        </w:tc>
        <w:tc>
          <w:tcPr>
            <w:tcW w:w="1818" w:type="dxa"/>
            <w:tcMar/>
          </w:tcPr>
          <w:p w:rsidR="4369956E" w:rsidP="4369956E" w:rsidRDefault="4369956E" w14:paraId="7B1FF46B" w14:textId="752A992E">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Quality Improvement / Safety Implications</w:t>
            </w:r>
          </w:p>
        </w:tc>
      </w:tr>
      <w:tr w:rsidR="4369956E" w:rsidTr="3DC7A50A" w14:paraId="310715A7">
        <w:trPr>
          <w:trHeight w:val="300"/>
        </w:trPr>
        <w:tc>
          <w:tcPr>
            <w:tcW w:w="731" w:type="dxa"/>
            <w:tcMar/>
          </w:tcPr>
          <w:p w:rsidR="4369956E" w:rsidP="4369956E" w:rsidRDefault="4369956E" w14:paraId="4938AF34" w14:textId="67D1AA9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Musoke et al. (2023)</w:t>
            </w:r>
          </w:p>
        </w:tc>
        <w:tc>
          <w:tcPr>
            <w:tcW w:w="1010" w:type="dxa"/>
            <w:tcMar/>
          </w:tcPr>
          <w:p w:rsidR="4369956E" w:rsidP="4369956E" w:rsidRDefault="4369956E" w14:paraId="2E5124B1" w14:textId="154EE2C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Uganda / Community Pharmacies</w:t>
            </w:r>
          </w:p>
        </w:tc>
        <w:tc>
          <w:tcPr>
            <w:tcW w:w="1942" w:type="dxa"/>
            <w:tcMar/>
          </w:tcPr>
          <w:p w:rsidR="4369956E" w:rsidP="4369956E" w:rsidRDefault="4369956E" w14:paraId="6970AD6C" w14:textId="40E8402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explore antimicrobial dispensing practices and stewardship challenges</w:t>
            </w:r>
          </w:p>
        </w:tc>
        <w:tc>
          <w:tcPr>
            <w:tcW w:w="1438" w:type="dxa"/>
            <w:tcMar/>
          </w:tcPr>
          <w:p w:rsidR="4369956E" w:rsidP="4369956E" w:rsidRDefault="4369956E" w14:paraId="6AA24BDA" w14:textId="03AC8DF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Qualitative interviews with pharmacy dispensers</w:t>
            </w:r>
          </w:p>
        </w:tc>
        <w:tc>
          <w:tcPr>
            <w:tcW w:w="2422" w:type="dxa"/>
            <w:tcMar/>
          </w:tcPr>
          <w:p w:rsidR="4369956E" w:rsidP="4369956E" w:rsidRDefault="4369956E" w14:paraId="09541DCF" w14:textId="407D4AE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 workload, weak regulation, patient pressure to dispense antibiotics without prescription</w:t>
            </w:r>
          </w:p>
        </w:tc>
        <w:tc>
          <w:tcPr>
            <w:tcW w:w="1818" w:type="dxa"/>
            <w:tcMar/>
          </w:tcPr>
          <w:p w:rsidR="4369956E" w:rsidP="4369956E" w:rsidRDefault="4369956E" w14:paraId="28A81C00" w14:textId="4E8AC46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Need for regulatory enforcement, stewardship training, and SOPs</w:t>
            </w:r>
          </w:p>
        </w:tc>
      </w:tr>
      <w:tr w:rsidR="4369956E" w:rsidTr="3DC7A50A" w14:paraId="03772031">
        <w:trPr>
          <w:trHeight w:val="300"/>
        </w:trPr>
        <w:tc>
          <w:tcPr>
            <w:tcW w:w="731" w:type="dxa"/>
            <w:tcMar/>
          </w:tcPr>
          <w:p w:rsidR="4369956E" w:rsidP="4369956E" w:rsidRDefault="4369956E" w14:paraId="1A16226B" w14:textId="169CCD7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Saleem et al. (2021)</w:t>
            </w:r>
          </w:p>
        </w:tc>
        <w:tc>
          <w:tcPr>
            <w:tcW w:w="1010" w:type="dxa"/>
            <w:tcMar/>
          </w:tcPr>
          <w:p w:rsidR="4369956E" w:rsidP="4369956E" w:rsidRDefault="4369956E" w14:paraId="67BFC1EF" w14:textId="203A73A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Pakistan / Community Pharmacies</w:t>
            </w:r>
          </w:p>
        </w:tc>
        <w:tc>
          <w:tcPr>
            <w:tcW w:w="1942" w:type="dxa"/>
            <w:tcMar/>
          </w:tcPr>
          <w:p w:rsidR="4369956E" w:rsidP="4369956E" w:rsidRDefault="4369956E" w14:paraId="70EC501E" w14:textId="75DF28E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understand drivers of OTC antibiotic dispensing</w:t>
            </w:r>
          </w:p>
        </w:tc>
        <w:tc>
          <w:tcPr>
            <w:tcW w:w="1438" w:type="dxa"/>
            <w:tcMar/>
          </w:tcPr>
          <w:p w:rsidR="4369956E" w:rsidP="4369956E" w:rsidRDefault="4369956E" w14:paraId="479ED9BA" w14:textId="723FBD2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Interviews with pharmacists, dispensers, patients</w:t>
            </w:r>
          </w:p>
        </w:tc>
        <w:tc>
          <w:tcPr>
            <w:tcW w:w="2422" w:type="dxa"/>
            <w:tcMar/>
          </w:tcPr>
          <w:p w:rsidR="4369956E" w:rsidP="4369956E" w:rsidRDefault="4369956E" w14:paraId="0D9EA6A4" w14:textId="0516DEA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Financial incentives, fear of losing customers, lack of supervision</w:t>
            </w:r>
          </w:p>
        </w:tc>
        <w:tc>
          <w:tcPr>
            <w:tcW w:w="1818" w:type="dxa"/>
            <w:tcMar/>
          </w:tcPr>
          <w:p w:rsidR="4369956E" w:rsidP="4369956E" w:rsidRDefault="4369956E" w14:paraId="4726BD37" w14:textId="650C78E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Training, non-punitive regulation, patient education</w:t>
            </w:r>
          </w:p>
        </w:tc>
      </w:tr>
      <w:tr w:rsidR="4369956E" w:rsidTr="3DC7A50A" w14:paraId="2B139C33">
        <w:trPr>
          <w:trHeight w:val="300"/>
        </w:trPr>
        <w:tc>
          <w:tcPr>
            <w:tcW w:w="731" w:type="dxa"/>
            <w:tcMar/>
          </w:tcPr>
          <w:p w:rsidR="4369956E" w:rsidP="4369956E" w:rsidRDefault="4369956E" w14:paraId="70808419" w14:textId="0E337B6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Mbugua et al. (2020)</w:t>
            </w:r>
          </w:p>
        </w:tc>
        <w:tc>
          <w:tcPr>
            <w:tcW w:w="1010" w:type="dxa"/>
            <w:tcMar/>
          </w:tcPr>
          <w:p w:rsidR="4369956E" w:rsidP="4369956E" w:rsidRDefault="4369956E" w14:paraId="666604EA" w14:textId="4025DE6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Kenya / Hospital Pharmacy</w:t>
            </w:r>
          </w:p>
        </w:tc>
        <w:tc>
          <w:tcPr>
            <w:tcW w:w="1942" w:type="dxa"/>
            <w:tcMar/>
          </w:tcPr>
          <w:p w:rsidR="4369956E" w:rsidP="4369956E" w:rsidRDefault="4369956E" w14:paraId="2F9227A4" w14:textId="5B117F1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explore pharmacists’ role in antimicrobial stewardship</w:t>
            </w:r>
          </w:p>
        </w:tc>
        <w:tc>
          <w:tcPr>
            <w:tcW w:w="1438" w:type="dxa"/>
            <w:tcMar/>
          </w:tcPr>
          <w:p w:rsidR="4369956E" w:rsidP="4369956E" w:rsidRDefault="4369956E" w14:paraId="07C20D0E" w14:textId="1CA5F75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Key-informant interviews with hospital pharmacists</w:t>
            </w:r>
          </w:p>
        </w:tc>
        <w:tc>
          <w:tcPr>
            <w:tcW w:w="2422" w:type="dxa"/>
            <w:tcMar/>
          </w:tcPr>
          <w:p w:rsidR="4369956E" w:rsidP="4369956E" w:rsidRDefault="4369956E" w14:paraId="1695ADAE" w14:textId="1007773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 authority of pharmacists, hierarchical barriers</w:t>
            </w:r>
          </w:p>
        </w:tc>
        <w:tc>
          <w:tcPr>
            <w:tcW w:w="1818" w:type="dxa"/>
            <w:tcMar/>
          </w:tcPr>
          <w:p w:rsidR="4369956E" w:rsidP="4369956E" w:rsidRDefault="4369956E" w14:paraId="4A37A546" w14:textId="7A647E4C">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Interprofessional collaboration, role expansion</w:t>
            </w:r>
          </w:p>
        </w:tc>
      </w:tr>
      <w:tr w:rsidR="4369956E" w:rsidTr="3DC7A50A" w14:paraId="486BA5C0">
        <w:trPr>
          <w:trHeight w:val="300"/>
        </w:trPr>
        <w:tc>
          <w:tcPr>
            <w:tcW w:w="731" w:type="dxa"/>
            <w:tcMar/>
          </w:tcPr>
          <w:p w:rsidR="4369956E" w:rsidP="4369956E" w:rsidRDefault="4369956E" w14:paraId="32845C45" w14:textId="5901851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Mekonnen et al. (2015)</w:t>
            </w:r>
          </w:p>
        </w:tc>
        <w:tc>
          <w:tcPr>
            <w:tcW w:w="1010" w:type="dxa"/>
            <w:tcMar/>
          </w:tcPr>
          <w:p w:rsidR="4369956E" w:rsidP="4369956E" w:rsidRDefault="4369956E" w14:paraId="05C684B8" w14:textId="6BBE55A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Ethiopia / Hospital Pharmacy</w:t>
            </w:r>
          </w:p>
        </w:tc>
        <w:tc>
          <w:tcPr>
            <w:tcW w:w="1942" w:type="dxa"/>
            <w:tcMar/>
          </w:tcPr>
          <w:p w:rsidR="4369956E" w:rsidP="4369956E" w:rsidRDefault="4369956E" w14:paraId="04BE3510" w14:textId="70A24BE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examine transition to clinical pharmacy practice</w:t>
            </w:r>
          </w:p>
        </w:tc>
        <w:tc>
          <w:tcPr>
            <w:tcW w:w="1438" w:type="dxa"/>
            <w:tcMar/>
          </w:tcPr>
          <w:p w:rsidR="4369956E" w:rsidP="4369956E" w:rsidRDefault="4369956E" w14:paraId="6174A2AC" w14:textId="14C2999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Semi-structured interviews with pharmacists</w:t>
            </w:r>
          </w:p>
        </w:tc>
        <w:tc>
          <w:tcPr>
            <w:tcW w:w="2422" w:type="dxa"/>
            <w:tcMar/>
          </w:tcPr>
          <w:p w:rsidR="4369956E" w:rsidP="4369956E" w:rsidRDefault="4369956E" w14:paraId="3E6E24F2" w14:textId="00C038C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Inadequate clinical training, unclear roles</w:t>
            </w:r>
          </w:p>
        </w:tc>
        <w:tc>
          <w:tcPr>
            <w:tcW w:w="1818" w:type="dxa"/>
            <w:tcMar/>
          </w:tcPr>
          <w:p w:rsidR="4369956E" w:rsidP="4369956E" w:rsidRDefault="4369956E" w14:paraId="0BF3A0D3" w14:textId="4BD8973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Structured CPD and clinical supervision</w:t>
            </w:r>
          </w:p>
        </w:tc>
      </w:tr>
      <w:tr w:rsidR="4369956E" w:rsidTr="3DC7A50A" w14:paraId="3A9B16B4">
        <w:trPr>
          <w:trHeight w:val="300"/>
        </w:trPr>
        <w:tc>
          <w:tcPr>
            <w:tcW w:w="731" w:type="dxa"/>
            <w:tcMar/>
          </w:tcPr>
          <w:p w:rsidR="4369956E" w:rsidP="4369956E" w:rsidRDefault="4369956E" w14:paraId="3DDAC30F" w14:textId="70CF9C3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Atif et al. (2019)</w:t>
            </w:r>
          </w:p>
        </w:tc>
        <w:tc>
          <w:tcPr>
            <w:tcW w:w="1010" w:type="dxa"/>
            <w:tcMar/>
          </w:tcPr>
          <w:p w:rsidR="4369956E" w:rsidP="4369956E" w:rsidRDefault="4369956E" w14:paraId="045E898E" w14:textId="6668DAD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Pakistan / Community Pharmacies</w:t>
            </w:r>
          </w:p>
        </w:tc>
        <w:tc>
          <w:tcPr>
            <w:tcW w:w="1942" w:type="dxa"/>
            <w:tcMar/>
          </w:tcPr>
          <w:p w:rsidR="4369956E" w:rsidP="4369956E" w:rsidRDefault="4369956E" w14:paraId="5F379C54" w14:textId="1B4B161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assess antibiotic use practices</w:t>
            </w:r>
          </w:p>
        </w:tc>
        <w:tc>
          <w:tcPr>
            <w:tcW w:w="1438" w:type="dxa"/>
            <w:tcMar/>
          </w:tcPr>
          <w:p w:rsidR="4369956E" w:rsidP="4369956E" w:rsidRDefault="4369956E" w14:paraId="30E6859D" w14:textId="663CD2F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Qualitative interviews</w:t>
            </w:r>
          </w:p>
        </w:tc>
        <w:tc>
          <w:tcPr>
            <w:tcW w:w="2422" w:type="dxa"/>
            <w:tcMar/>
          </w:tcPr>
          <w:p w:rsidR="4369956E" w:rsidP="4369956E" w:rsidRDefault="4369956E" w14:paraId="1B9EB10A" w14:textId="02635EC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Knowledge gaps, weak enforcement, patient demand</w:t>
            </w:r>
          </w:p>
        </w:tc>
        <w:tc>
          <w:tcPr>
            <w:tcW w:w="1818" w:type="dxa"/>
            <w:tcMar/>
          </w:tcPr>
          <w:p w:rsidR="4369956E" w:rsidP="4369956E" w:rsidRDefault="4369956E" w14:paraId="50433D2D" w14:textId="1170EF6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Continuous education and policy enforcement</w:t>
            </w:r>
          </w:p>
        </w:tc>
      </w:tr>
      <w:tr w:rsidR="4369956E" w:rsidTr="3DC7A50A" w14:paraId="36F0BA88">
        <w:trPr>
          <w:trHeight w:val="300"/>
        </w:trPr>
        <w:tc>
          <w:tcPr>
            <w:tcW w:w="731" w:type="dxa"/>
            <w:tcMar/>
          </w:tcPr>
          <w:p w:rsidR="4369956E" w:rsidP="4369956E" w:rsidRDefault="4369956E" w14:paraId="5228F3B6" w14:textId="48C642E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Roche et al. (2021)</w:t>
            </w:r>
          </w:p>
        </w:tc>
        <w:tc>
          <w:tcPr>
            <w:tcW w:w="1010" w:type="dxa"/>
            <w:tcMar/>
          </w:tcPr>
          <w:p w:rsidR="4369956E" w:rsidP="4369956E" w:rsidRDefault="4369956E" w14:paraId="4FAEF307" w14:textId="7BCE836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Kenya / Community Pharmacies</w:t>
            </w:r>
          </w:p>
        </w:tc>
        <w:tc>
          <w:tcPr>
            <w:tcW w:w="1942" w:type="dxa"/>
            <w:tcMar/>
          </w:tcPr>
          <w:p w:rsidR="4369956E" w:rsidP="4369956E" w:rsidRDefault="4369956E" w14:paraId="5A732A40" w14:textId="3869C86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assess feasibility of pharmacy-based interventions</w:t>
            </w:r>
          </w:p>
        </w:tc>
        <w:tc>
          <w:tcPr>
            <w:tcW w:w="1438" w:type="dxa"/>
            <w:tcMar/>
          </w:tcPr>
          <w:p w:rsidR="4369956E" w:rsidP="4369956E" w:rsidRDefault="4369956E" w14:paraId="279D7EFA" w14:textId="1F8C7C7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Interviews and focus groups</w:t>
            </w:r>
          </w:p>
        </w:tc>
        <w:tc>
          <w:tcPr>
            <w:tcW w:w="2422" w:type="dxa"/>
            <w:tcMar/>
          </w:tcPr>
          <w:p w:rsidR="4369956E" w:rsidP="4369956E" w:rsidRDefault="4369956E" w14:paraId="07CCBD9E" w14:textId="7177D55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Trust issues, workload constraints</w:t>
            </w:r>
          </w:p>
        </w:tc>
        <w:tc>
          <w:tcPr>
            <w:tcW w:w="1818" w:type="dxa"/>
            <w:tcMar/>
          </w:tcPr>
          <w:p w:rsidR="4369956E" w:rsidP="4369956E" w:rsidRDefault="4369956E" w14:paraId="6D81D7D9" w14:textId="279FEEE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Workflow redesign, staff engagement</w:t>
            </w:r>
          </w:p>
        </w:tc>
      </w:tr>
      <w:tr w:rsidR="4369956E" w:rsidTr="3DC7A50A" w14:paraId="61CF73DB">
        <w:trPr>
          <w:trHeight w:val="300"/>
        </w:trPr>
        <w:tc>
          <w:tcPr>
            <w:tcW w:w="731" w:type="dxa"/>
            <w:tcMar/>
          </w:tcPr>
          <w:p w:rsidR="4369956E" w:rsidP="4369956E" w:rsidRDefault="4369956E" w14:paraId="798568ED" w14:textId="2861A5D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Crafford et al. (2024)</w:t>
            </w:r>
          </w:p>
        </w:tc>
        <w:tc>
          <w:tcPr>
            <w:tcW w:w="1010" w:type="dxa"/>
            <w:tcMar/>
          </w:tcPr>
          <w:p w:rsidR="4369956E" w:rsidP="4369956E" w:rsidRDefault="4369956E" w14:paraId="335031EA" w14:textId="19884D9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South Africa / Hospitals</w:t>
            </w:r>
          </w:p>
        </w:tc>
        <w:tc>
          <w:tcPr>
            <w:tcW w:w="1942" w:type="dxa"/>
            <w:tcMar/>
          </w:tcPr>
          <w:p w:rsidR="4369956E" w:rsidP="4369956E" w:rsidRDefault="4369956E" w14:paraId="323A73CC" w14:textId="3953C0E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 xml:space="preserve">To </w:t>
            </w:r>
            <w:r w:rsidRPr="3DC7A50A" w:rsidR="2ECFB12B">
              <w:rPr>
                <w:rFonts w:ascii="Arial" w:hAnsi="Arial" w:eastAsia="Arial" w:cs="Arial"/>
                <w:sz w:val="16"/>
                <w:szCs w:val="16"/>
              </w:rPr>
              <w:t>identify</w:t>
            </w:r>
            <w:r w:rsidRPr="3DC7A50A" w:rsidR="2ECFB12B">
              <w:rPr>
                <w:rFonts w:ascii="Arial" w:hAnsi="Arial" w:eastAsia="Arial" w:cs="Arial"/>
                <w:sz w:val="16"/>
                <w:szCs w:val="16"/>
              </w:rPr>
              <w:t xml:space="preserve"> barriers to clinical pharmacist integration</w:t>
            </w:r>
          </w:p>
        </w:tc>
        <w:tc>
          <w:tcPr>
            <w:tcW w:w="1438" w:type="dxa"/>
            <w:tcMar/>
          </w:tcPr>
          <w:p w:rsidR="4369956E" w:rsidP="4369956E" w:rsidRDefault="4369956E" w14:paraId="2C679272" w14:textId="1A4D896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Qualitative interviews</w:t>
            </w:r>
          </w:p>
        </w:tc>
        <w:tc>
          <w:tcPr>
            <w:tcW w:w="2422" w:type="dxa"/>
            <w:tcMar/>
          </w:tcPr>
          <w:p w:rsidR="4369956E" w:rsidP="4369956E" w:rsidRDefault="4369956E" w14:paraId="4F3940A3" w14:textId="4D939FD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Organisational</w:t>
            </w:r>
            <w:r w:rsidRPr="3DC7A50A" w:rsidR="2ECFB12B">
              <w:rPr>
                <w:rFonts w:ascii="Arial" w:hAnsi="Arial" w:eastAsia="Arial" w:cs="Arial"/>
                <w:sz w:val="16"/>
                <w:szCs w:val="16"/>
              </w:rPr>
              <w:t xml:space="preserve"> resistance, lack of leadership support</w:t>
            </w:r>
          </w:p>
        </w:tc>
        <w:tc>
          <w:tcPr>
            <w:tcW w:w="1818" w:type="dxa"/>
            <w:tcMar/>
          </w:tcPr>
          <w:p w:rsidR="4369956E" w:rsidP="4369956E" w:rsidRDefault="4369956E" w14:paraId="4BC498FC" w14:textId="74849C9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Leadership engagement and system redesign</w:t>
            </w:r>
          </w:p>
        </w:tc>
      </w:tr>
      <w:tr w:rsidR="4369956E" w:rsidTr="3DC7A50A" w14:paraId="336CF0C9">
        <w:trPr>
          <w:trHeight w:val="300"/>
        </w:trPr>
        <w:tc>
          <w:tcPr>
            <w:tcW w:w="731" w:type="dxa"/>
            <w:tcMar/>
          </w:tcPr>
          <w:p w:rsidR="4369956E" w:rsidP="4369956E" w:rsidRDefault="4369956E" w14:paraId="23A3BAC7" w14:textId="45626AD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Gelayee</w:t>
            </w:r>
            <w:r w:rsidRPr="3DC7A50A" w:rsidR="2ECFB12B">
              <w:rPr>
                <w:rFonts w:ascii="Arial" w:hAnsi="Arial" w:eastAsia="Arial" w:cs="Arial"/>
                <w:sz w:val="16"/>
                <w:szCs w:val="16"/>
              </w:rPr>
              <w:t xml:space="preserve"> et al. (2017)</w:t>
            </w:r>
          </w:p>
        </w:tc>
        <w:tc>
          <w:tcPr>
            <w:tcW w:w="1010" w:type="dxa"/>
            <w:tcMar/>
          </w:tcPr>
          <w:p w:rsidR="4369956E" w:rsidP="4369956E" w:rsidRDefault="4369956E" w14:paraId="77D58386" w14:textId="51C9EED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Ethiopia / Community Pharmacies</w:t>
            </w:r>
          </w:p>
        </w:tc>
        <w:tc>
          <w:tcPr>
            <w:tcW w:w="1942" w:type="dxa"/>
            <w:tcMar/>
          </w:tcPr>
          <w:p w:rsidR="4369956E" w:rsidP="4369956E" w:rsidRDefault="4369956E" w14:paraId="4C2BE10F" w14:textId="0EB5D66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 xml:space="preserve">To explore </w:t>
            </w:r>
            <w:r w:rsidRPr="3DC7A50A" w:rsidR="2ECFB12B">
              <w:rPr>
                <w:rFonts w:ascii="Arial" w:hAnsi="Arial" w:eastAsia="Arial" w:cs="Arial"/>
                <w:sz w:val="16"/>
                <w:szCs w:val="16"/>
              </w:rPr>
              <w:t>perceptions</w:t>
            </w:r>
            <w:r w:rsidRPr="3DC7A50A" w:rsidR="2ECFB12B">
              <w:rPr>
                <w:rFonts w:ascii="Arial" w:hAnsi="Arial" w:eastAsia="Arial" w:cs="Arial"/>
                <w:sz w:val="16"/>
                <w:szCs w:val="16"/>
              </w:rPr>
              <w:t xml:space="preserve"> of dispensing errors</w:t>
            </w:r>
          </w:p>
        </w:tc>
        <w:tc>
          <w:tcPr>
            <w:tcW w:w="1438" w:type="dxa"/>
            <w:tcMar/>
          </w:tcPr>
          <w:p w:rsidR="4369956E" w:rsidP="4369956E" w:rsidRDefault="4369956E" w14:paraId="6CF540DA" w14:textId="3730F04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Semi-structured interviews</w:t>
            </w:r>
          </w:p>
        </w:tc>
        <w:tc>
          <w:tcPr>
            <w:tcW w:w="2422" w:type="dxa"/>
            <w:tcMar/>
          </w:tcPr>
          <w:p w:rsidR="4369956E" w:rsidP="4369956E" w:rsidRDefault="4369956E" w14:paraId="4D0D46F1" w14:textId="31F56AE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LASA drugs, workload pressure, poor reporting culture</w:t>
            </w:r>
          </w:p>
        </w:tc>
        <w:tc>
          <w:tcPr>
            <w:tcW w:w="1818" w:type="dxa"/>
            <w:tcMar/>
          </w:tcPr>
          <w:p w:rsidR="4369956E" w:rsidP="4369956E" w:rsidRDefault="4369956E" w14:paraId="38559665" w14:textId="2F15AD8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Safety culture and reporting systems</w:t>
            </w:r>
          </w:p>
        </w:tc>
      </w:tr>
      <w:tr w:rsidR="4369956E" w:rsidTr="3DC7A50A" w14:paraId="472D4C2B">
        <w:trPr>
          <w:trHeight w:val="300"/>
        </w:trPr>
        <w:tc>
          <w:tcPr>
            <w:tcW w:w="731" w:type="dxa"/>
            <w:tcMar/>
          </w:tcPr>
          <w:p w:rsidR="4369956E" w:rsidP="4369956E" w:rsidRDefault="4369956E" w14:paraId="609829E8" w14:textId="65C41B8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Kentab</w:t>
            </w:r>
            <w:r w:rsidRPr="3DC7A50A" w:rsidR="2ECFB12B">
              <w:rPr>
                <w:rFonts w:ascii="Arial" w:hAnsi="Arial" w:eastAsia="Arial" w:cs="Arial"/>
                <w:sz w:val="16"/>
                <w:szCs w:val="16"/>
              </w:rPr>
              <w:t xml:space="preserve"> et al. (2024)</w:t>
            </w:r>
          </w:p>
        </w:tc>
        <w:tc>
          <w:tcPr>
            <w:tcW w:w="1010" w:type="dxa"/>
            <w:tcMar/>
          </w:tcPr>
          <w:p w:rsidR="4369956E" w:rsidP="4369956E" w:rsidRDefault="4369956E" w14:paraId="0E9638A9" w14:textId="04998DA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Multi-country</w:t>
            </w:r>
          </w:p>
        </w:tc>
        <w:tc>
          <w:tcPr>
            <w:tcW w:w="1942" w:type="dxa"/>
            <w:tcMar/>
          </w:tcPr>
          <w:p w:rsidR="4369956E" w:rsidP="4369956E" w:rsidRDefault="4369956E" w14:paraId="07ACE5F9" w14:textId="62C7BD9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explore dispensing for vulnerable populations</w:t>
            </w:r>
          </w:p>
        </w:tc>
        <w:tc>
          <w:tcPr>
            <w:tcW w:w="1438" w:type="dxa"/>
            <w:tcMar/>
          </w:tcPr>
          <w:p w:rsidR="4369956E" w:rsidP="4369956E" w:rsidRDefault="4369956E" w14:paraId="6DB51D20" w14:textId="0BB2B84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Qualitative interviews</w:t>
            </w:r>
          </w:p>
        </w:tc>
        <w:tc>
          <w:tcPr>
            <w:tcW w:w="2422" w:type="dxa"/>
            <w:tcMar/>
          </w:tcPr>
          <w:p w:rsidR="4369956E" w:rsidP="4369956E" w:rsidRDefault="4369956E" w14:paraId="5011F01B" w14:textId="2B424DB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Inadequate counselling, accessibility barriers</w:t>
            </w:r>
          </w:p>
        </w:tc>
        <w:tc>
          <w:tcPr>
            <w:tcW w:w="1818" w:type="dxa"/>
            <w:tcMar/>
          </w:tcPr>
          <w:p w:rsidR="4369956E" w:rsidP="4369956E" w:rsidRDefault="4369956E" w14:paraId="1F68B9FF" w14:textId="2AE69B4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Inclusive dispensing protocols</w:t>
            </w:r>
          </w:p>
        </w:tc>
      </w:tr>
      <w:tr w:rsidR="4369956E" w:rsidTr="3DC7A50A" w14:paraId="351B6F83">
        <w:trPr>
          <w:trHeight w:val="300"/>
        </w:trPr>
        <w:tc>
          <w:tcPr>
            <w:tcW w:w="731" w:type="dxa"/>
            <w:tcMar/>
          </w:tcPr>
          <w:p w:rsidR="4369956E" w:rsidP="4369956E" w:rsidRDefault="4369956E" w14:paraId="3A061AA4" w14:textId="7F8AFA9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Kamba et al. (2020)</w:t>
            </w:r>
          </w:p>
        </w:tc>
        <w:tc>
          <w:tcPr>
            <w:tcW w:w="1010" w:type="dxa"/>
            <w:tcMar/>
          </w:tcPr>
          <w:p w:rsidR="4369956E" w:rsidP="4369956E" w:rsidRDefault="4369956E" w14:paraId="42F29280" w14:textId="7948352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Uganda / Private Pharmacies</w:t>
            </w:r>
          </w:p>
        </w:tc>
        <w:tc>
          <w:tcPr>
            <w:tcW w:w="1942" w:type="dxa"/>
            <w:tcMar/>
          </w:tcPr>
          <w:p w:rsidR="4369956E" w:rsidP="4369956E" w:rsidRDefault="4369956E" w14:paraId="73BD4D07" w14:textId="28CF28A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assess regulatory compliance</w:t>
            </w:r>
          </w:p>
        </w:tc>
        <w:tc>
          <w:tcPr>
            <w:tcW w:w="1438" w:type="dxa"/>
            <w:tcMar/>
          </w:tcPr>
          <w:p w:rsidR="4369956E" w:rsidP="4369956E" w:rsidRDefault="4369956E" w14:paraId="768107E4" w14:textId="08F8129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Interviews &amp; simulated clients</w:t>
            </w:r>
          </w:p>
        </w:tc>
        <w:tc>
          <w:tcPr>
            <w:tcW w:w="2422" w:type="dxa"/>
            <w:tcMar/>
          </w:tcPr>
          <w:p w:rsidR="4369956E" w:rsidP="4369956E" w:rsidRDefault="4369956E" w14:paraId="49E2068E" w14:textId="3224B0F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Frequent non-compliance, weak inspections</w:t>
            </w:r>
          </w:p>
        </w:tc>
        <w:tc>
          <w:tcPr>
            <w:tcW w:w="1818" w:type="dxa"/>
            <w:tcMar/>
          </w:tcPr>
          <w:p w:rsidR="4369956E" w:rsidP="4369956E" w:rsidRDefault="4369956E" w14:paraId="2989969D" w14:textId="3229DB6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Regulatory audits and enforcement</w:t>
            </w:r>
          </w:p>
        </w:tc>
      </w:tr>
      <w:tr w:rsidR="4369956E" w:rsidTr="3DC7A50A" w14:paraId="3362F783">
        <w:trPr>
          <w:trHeight w:val="300"/>
        </w:trPr>
        <w:tc>
          <w:tcPr>
            <w:tcW w:w="731" w:type="dxa"/>
            <w:tcMar/>
          </w:tcPr>
          <w:p w:rsidR="4369956E" w:rsidP="4369956E" w:rsidRDefault="4369956E" w14:paraId="21B124A6" w14:textId="7534F05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Tegegn et al. (2020)</w:t>
            </w:r>
          </w:p>
        </w:tc>
        <w:tc>
          <w:tcPr>
            <w:tcW w:w="1010" w:type="dxa"/>
            <w:tcMar/>
          </w:tcPr>
          <w:p w:rsidR="4369956E" w:rsidP="4369956E" w:rsidRDefault="4369956E" w14:paraId="1E631915" w14:textId="3043B43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Ethiopia / Community Pharmacies</w:t>
            </w:r>
          </w:p>
        </w:tc>
        <w:tc>
          <w:tcPr>
            <w:tcW w:w="1942" w:type="dxa"/>
            <w:tcMar/>
          </w:tcPr>
          <w:p w:rsidR="4369956E" w:rsidP="4369956E" w:rsidRDefault="4369956E" w14:paraId="6B2A1800" w14:textId="2F2C0FB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examine ethical challenges in dispensing</w:t>
            </w:r>
          </w:p>
        </w:tc>
        <w:tc>
          <w:tcPr>
            <w:tcW w:w="1438" w:type="dxa"/>
            <w:tcMar/>
          </w:tcPr>
          <w:p w:rsidR="4369956E" w:rsidP="4369956E" w:rsidRDefault="4369956E" w14:paraId="5247DD29" w14:textId="022576C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Interviews</w:t>
            </w:r>
          </w:p>
        </w:tc>
        <w:tc>
          <w:tcPr>
            <w:tcW w:w="2422" w:type="dxa"/>
            <w:tcMar/>
          </w:tcPr>
          <w:p w:rsidR="4369956E" w:rsidP="4369956E" w:rsidRDefault="4369956E" w14:paraId="456F037C" w14:textId="56064AC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Moral distress due to shortages and patient pressure</w:t>
            </w:r>
          </w:p>
        </w:tc>
        <w:tc>
          <w:tcPr>
            <w:tcW w:w="1818" w:type="dxa"/>
            <w:tcMar/>
          </w:tcPr>
          <w:p w:rsidR="4369956E" w:rsidP="4369956E" w:rsidRDefault="4369956E" w14:paraId="0477A431" w14:textId="3547ED9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Ethical guidance and system support</w:t>
            </w:r>
          </w:p>
        </w:tc>
      </w:tr>
      <w:tr w:rsidR="4369956E" w:rsidTr="3DC7A50A" w14:paraId="51D40DAF">
        <w:trPr>
          <w:trHeight w:val="300"/>
        </w:trPr>
        <w:tc>
          <w:tcPr>
            <w:tcW w:w="731" w:type="dxa"/>
            <w:tcMar/>
          </w:tcPr>
          <w:p w:rsidR="4369956E" w:rsidP="4369956E" w:rsidRDefault="4369956E" w14:paraId="1B72CB55" w14:textId="4B5FA44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Adhikari et al. (2021)</w:t>
            </w:r>
          </w:p>
        </w:tc>
        <w:tc>
          <w:tcPr>
            <w:tcW w:w="1010" w:type="dxa"/>
            <w:tcMar/>
          </w:tcPr>
          <w:p w:rsidR="4369956E" w:rsidP="4369956E" w:rsidRDefault="4369956E" w14:paraId="16B90C81" w14:textId="4035204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Nepal / Community Pharmacies</w:t>
            </w:r>
          </w:p>
        </w:tc>
        <w:tc>
          <w:tcPr>
            <w:tcW w:w="1942" w:type="dxa"/>
            <w:tcMar/>
          </w:tcPr>
          <w:p w:rsidR="4369956E" w:rsidP="4369956E" w:rsidRDefault="4369956E" w14:paraId="579F0599" w14:textId="335785E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To explore dispensing practices</w:t>
            </w:r>
          </w:p>
        </w:tc>
        <w:tc>
          <w:tcPr>
            <w:tcW w:w="1438" w:type="dxa"/>
            <w:tcMar/>
          </w:tcPr>
          <w:p w:rsidR="4369956E" w:rsidP="4369956E" w:rsidRDefault="4369956E" w14:paraId="11BCA0F3" w14:textId="12EBD69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Qualitative interviews</w:t>
            </w:r>
          </w:p>
        </w:tc>
        <w:tc>
          <w:tcPr>
            <w:tcW w:w="2422" w:type="dxa"/>
            <w:tcMar/>
          </w:tcPr>
          <w:p w:rsidR="4369956E" w:rsidP="4369956E" w:rsidRDefault="4369956E" w14:paraId="434A1BD6" w14:textId="09BE586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 training, reliance on experience</w:t>
            </w:r>
          </w:p>
        </w:tc>
        <w:tc>
          <w:tcPr>
            <w:tcW w:w="1818" w:type="dxa"/>
            <w:tcMar/>
          </w:tcPr>
          <w:p w:rsidR="4369956E" w:rsidP="4369956E" w:rsidRDefault="4369956E" w14:paraId="7E3A4547" w14:textId="2D52735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Standardised</w:t>
            </w:r>
            <w:r w:rsidRPr="3DC7A50A" w:rsidR="2ECFB12B">
              <w:rPr>
                <w:rFonts w:ascii="Arial" w:hAnsi="Arial" w:eastAsia="Arial" w:cs="Arial"/>
                <w:sz w:val="16"/>
                <w:szCs w:val="16"/>
              </w:rPr>
              <w:t xml:space="preserve"> training and SOPs</w:t>
            </w:r>
          </w:p>
        </w:tc>
      </w:tr>
    </w:tbl>
    <w:p w:rsidR="5D3DDCEC" w:rsidP="3DC7A50A" w:rsidRDefault="5D3DDCEC" w14:paraId="17C29E99" w14:textId="44359CBA">
      <w:pPr>
        <w:pStyle w:val="Normal"/>
        <w:bidi w:val="0"/>
        <w:spacing w:before="240" w:beforeAutospacing="off" w:after="240" w:afterAutospacing="off"/>
        <w:rPr>
          <w:rFonts w:ascii="Arial" w:hAnsi="Arial" w:eastAsia="Arial" w:cs="Arial"/>
          <w:b w:val="1"/>
          <w:bCs w:val="1"/>
          <w:i w:val="0"/>
          <w:iCs w:val="0"/>
          <w:caps w:val="0"/>
          <w:smallCaps w:val="0"/>
          <w:strike w:val="0"/>
          <w:dstrike w:val="0"/>
          <w:noProof w:val="0"/>
          <w:color w:val="0F4761" w:themeColor="accent1" w:themeTint="FF" w:themeShade="BF"/>
          <w:sz w:val="31"/>
          <w:szCs w:val="31"/>
          <w:u w:val="none"/>
          <w:lang w:val="en-US"/>
        </w:rPr>
      </w:pPr>
    </w:p>
    <w:p w:rsidR="5D3DDCEC" w:rsidP="3DC7A50A" w:rsidRDefault="5D3DDCEC" w14:paraId="6B667F88" w14:textId="7912D3E6">
      <w:pPr>
        <w:pStyle w:val="Heading2"/>
        <w:bidi w:val="0"/>
        <w:rPr>
          <w:b w:val="1"/>
          <w:bCs w:val="1"/>
          <w:noProof w:val="0"/>
          <w:lang w:val="en-US"/>
        </w:rPr>
      </w:pPr>
    </w:p>
    <w:p w:rsidR="5D3DDCEC" w:rsidP="3DC7A50A" w:rsidRDefault="5D3DDCEC" w14:paraId="16375F2A" w14:textId="767DA0D9">
      <w:pPr>
        <w:pStyle w:val="Heading2"/>
        <w:bidi w:val="0"/>
        <w:rPr>
          <w:b w:val="1"/>
          <w:bCs w:val="1"/>
          <w:noProof w:val="0"/>
          <w:color w:val="auto"/>
          <w:lang w:val="en-US"/>
        </w:rPr>
      </w:pPr>
      <w:bookmarkStart w:name="_Toc323637640" w:id="174881253"/>
      <w:r w:rsidRPr="3DC7A50A" w:rsidR="00108072">
        <w:rPr>
          <w:b w:val="1"/>
          <w:bCs w:val="1"/>
          <w:noProof w:val="0"/>
          <w:lang w:val="en-US"/>
        </w:rPr>
        <w:t>Appendix B: Quality Appraisal Table</w:t>
      </w:r>
      <w:bookmarkEnd w:id="174881253"/>
    </w:p>
    <w:p w:rsidR="4369956E" w:rsidP="4369956E" w:rsidRDefault="4369956E" w14:paraId="21E2EC2D" w14:textId="5E55CFE1">
      <w:pPr>
        <w:pStyle w:val="Normal"/>
        <w:suppressLineNumbers w:val="0"/>
        <w:bidi w:val="0"/>
        <w:spacing w:before="240" w:beforeAutospacing="off" w:after="240" w:afterAutospacing="off" w:line="279" w:lineRule="auto"/>
        <w:ind w:left="0" w:right="0"/>
        <w:jc w:val="both"/>
        <w:rPr>
          <w:rFonts w:ascii="Arial" w:hAnsi="Arial" w:eastAsia="Arial" w:cs="Arial"/>
          <w:noProof w:val="0"/>
          <w:sz w:val="16"/>
          <w:szCs w:val="16"/>
          <w:lang w:val="en-US"/>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051"/>
        <w:gridCol w:w="492"/>
        <w:gridCol w:w="1251"/>
        <w:gridCol w:w="1035"/>
        <w:gridCol w:w="743"/>
        <w:gridCol w:w="516"/>
        <w:gridCol w:w="1092"/>
        <w:gridCol w:w="860"/>
        <w:gridCol w:w="710"/>
        <w:gridCol w:w="858"/>
        <w:gridCol w:w="750"/>
      </w:tblGrid>
      <w:tr w:rsidR="4369956E" w:rsidTr="3DC7A50A" w14:paraId="63D838F2">
        <w:trPr>
          <w:trHeight w:val="300"/>
        </w:trPr>
        <w:tc>
          <w:tcPr>
            <w:tcW w:w="1051" w:type="dxa"/>
            <w:tcMar/>
            <w:vAlign w:val="center"/>
          </w:tcPr>
          <w:p w:rsidR="4369956E" w:rsidP="4369956E" w:rsidRDefault="4369956E" w14:paraId="3C62F54A" w14:textId="3B094CA1">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Study</w:t>
            </w:r>
          </w:p>
        </w:tc>
        <w:tc>
          <w:tcPr>
            <w:tcW w:w="492" w:type="dxa"/>
            <w:tcMar/>
            <w:vAlign w:val="center"/>
          </w:tcPr>
          <w:p w:rsidR="4369956E" w:rsidP="4369956E" w:rsidRDefault="4369956E" w14:paraId="15F9C263" w14:textId="5BB19C1C">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Clear Aim</w:t>
            </w:r>
          </w:p>
        </w:tc>
        <w:tc>
          <w:tcPr>
            <w:tcW w:w="1251" w:type="dxa"/>
            <w:tcMar/>
            <w:vAlign w:val="center"/>
          </w:tcPr>
          <w:p w:rsidR="4369956E" w:rsidP="4369956E" w:rsidRDefault="4369956E" w14:paraId="2E1DC096" w14:textId="0C38348D">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Appropriate Methodology</w:t>
            </w:r>
          </w:p>
        </w:tc>
        <w:tc>
          <w:tcPr>
            <w:tcW w:w="1035" w:type="dxa"/>
            <w:tcMar/>
            <w:vAlign w:val="center"/>
          </w:tcPr>
          <w:p w:rsidR="4369956E" w:rsidP="4369956E" w:rsidRDefault="4369956E" w14:paraId="07491394" w14:textId="03BEDAC9">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Recruitment Strategy</w:t>
            </w:r>
          </w:p>
        </w:tc>
        <w:tc>
          <w:tcPr>
            <w:tcW w:w="743" w:type="dxa"/>
            <w:tcMar/>
            <w:vAlign w:val="center"/>
          </w:tcPr>
          <w:p w:rsidR="4369956E" w:rsidP="4369956E" w:rsidRDefault="4369956E" w14:paraId="46FA8DE7" w14:textId="5E1C6600">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Data Collection</w:t>
            </w:r>
          </w:p>
        </w:tc>
        <w:tc>
          <w:tcPr>
            <w:tcW w:w="516" w:type="dxa"/>
            <w:tcMar/>
            <w:vAlign w:val="center"/>
          </w:tcPr>
          <w:p w:rsidR="4369956E" w:rsidP="4369956E" w:rsidRDefault="4369956E" w14:paraId="0E2E9CF9" w14:textId="50C74A10">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Reflexivity</w:t>
            </w:r>
          </w:p>
        </w:tc>
        <w:tc>
          <w:tcPr>
            <w:tcW w:w="1092" w:type="dxa"/>
            <w:tcMar/>
            <w:vAlign w:val="center"/>
          </w:tcPr>
          <w:p w:rsidR="4369956E" w:rsidP="4369956E" w:rsidRDefault="4369956E" w14:paraId="68A4E528" w14:textId="0D1CA2B9">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Ethical Considerations</w:t>
            </w:r>
          </w:p>
        </w:tc>
        <w:tc>
          <w:tcPr>
            <w:tcW w:w="860" w:type="dxa"/>
            <w:tcMar/>
            <w:vAlign w:val="center"/>
          </w:tcPr>
          <w:p w:rsidR="4369956E" w:rsidP="4369956E" w:rsidRDefault="4369956E" w14:paraId="53BD546A" w14:textId="2792CE56">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Rigorous Analysis</w:t>
            </w:r>
          </w:p>
        </w:tc>
        <w:tc>
          <w:tcPr>
            <w:tcW w:w="710" w:type="dxa"/>
            <w:tcMar/>
            <w:vAlign w:val="center"/>
          </w:tcPr>
          <w:p w:rsidR="4369956E" w:rsidP="4369956E" w:rsidRDefault="4369956E" w14:paraId="0985F6C5" w14:textId="4D4530B6">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Clear Findings</w:t>
            </w:r>
          </w:p>
        </w:tc>
        <w:tc>
          <w:tcPr>
            <w:tcW w:w="858" w:type="dxa"/>
            <w:tcMar/>
            <w:vAlign w:val="center"/>
          </w:tcPr>
          <w:p w:rsidR="4369956E" w:rsidP="4369956E" w:rsidRDefault="4369956E" w14:paraId="133FD81A" w14:textId="6833EF89">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Value of Research</w:t>
            </w:r>
          </w:p>
        </w:tc>
        <w:tc>
          <w:tcPr>
            <w:tcW w:w="750" w:type="dxa"/>
            <w:tcMar/>
            <w:vAlign w:val="center"/>
          </w:tcPr>
          <w:p w:rsidR="4369956E" w:rsidP="4369956E" w:rsidRDefault="4369956E" w14:paraId="1CD5DD05" w14:textId="659E6853">
            <w:pPr>
              <w:bidi w:val="0"/>
              <w:spacing w:before="0" w:beforeAutospacing="off" w:after="0" w:afterAutospacing="off"/>
              <w:jc w:val="center"/>
              <w:rPr>
                <w:rFonts w:ascii="Arial" w:hAnsi="Arial" w:eastAsia="Arial" w:cs="Arial"/>
                <w:b w:val="1"/>
                <w:bCs w:val="1"/>
                <w:sz w:val="16"/>
                <w:szCs w:val="16"/>
              </w:rPr>
            </w:pPr>
            <w:r w:rsidRPr="3DC7A50A" w:rsidR="2ECFB12B">
              <w:rPr>
                <w:rFonts w:ascii="Arial" w:hAnsi="Arial" w:eastAsia="Arial" w:cs="Arial"/>
                <w:b w:val="1"/>
                <w:bCs w:val="1"/>
                <w:sz w:val="16"/>
                <w:szCs w:val="16"/>
              </w:rPr>
              <w:t>Overall Quality</w:t>
            </w:r>
          </w:p>
        </w:tc>
      </w:tr>
      <w:tr w:rsidR="4369956E" w:rsidTr="3DC7A50A" w14:paraId="437E454D">
        <w:trPr>
          <w:trHeight w:val="300"/>
        </w:trPr>
        <w:tc>
          <w:tcPr>
            <w:tcW w:w="1051" w:type="dxa"/>
            <w:tcMar/>
            <w:vAlign w:val="center"/>
          </w:tcPr>
          <w:p w:rsidR="4369956E" w:rsidP="4369956E" w:rsidRDefault="4369956E" w14:paraId="1BF50AA1" w14:textId="3878FF5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Musoke et al. (2023)</w:t>
            </w:r>
          </w:p>
        </w:tc>
        <w:tc>
          <w:tcPr>
            <w:tcW w:w="492" w:type="dxa"/>
            <w:tcMar/>
            <w:vAlign w:val="center"/>
          </w:tcPr>
          <w:p w:rsidR="4369956E" w:rsidP="4369956E" w:rsidRDefault="4369956E" w14:paraId="30BBEC22" w14:textId="36DD41C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605BCC44" w14:textId="4A8B14F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6F859E46" w14:textId="7FD6F66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73635F1D" w14:textId="7C5C30D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316A247C" w14:textId="160C855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Partial</w:t>
            </w:r>
          </w:p>
        </w:tc>
        <w:tc>
          <w:tcPr>
            <w:tcW w:w="1092" w:type="dxa"/>
            <w:tcMar/>
            <w:vAlign w:val="center"/>
          </w:tcPr>
          <w:p w:rsidR="4369956E" w:rsidP="4369956E" w:rsidRDefault="4369956E" w14:paraId="700E4375" w14:textId="421AD05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492BF437" w14:textId="43F7211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177B9B77" w14:textId="4F0A435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54D8635D" w14:textId="179316E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113869CE" w14:textId="1024D52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527A30E6">
        <w:trPr>
          <w:trHeight w:val="300"/>
        </w:trPr>
        <w:tc>
          <w:tcPr>
            <w:tcW w:w="1051" w:type="dxa"/>
            <w:tcMar/>
            <w:vAlign w:val="center"/>
          </w:tcPr>
          <w:p w:rsidR="4369956E" w:rsidP="4369956E" w:rsidRDefault="4369956E" w14:paraId="4F82CF37" w14:textId="5882292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Saleem et al. (2021)</w:t>
            </w:r>
          </w:p>
        </w:tc>
        <w:tc>
          <w:tcPr>
            <w:tcW w:w="492" w:type="dxa"/>
            <w:tcMar/>
            <w:vAlign w:val="center"/>
          </w:tcPr>
          <w:p w:rsidR="4369956E" w:rsidP="4369956E" w:rsidRDefault="4369956E" w14:paraId="71B7FA06" w14:textId="52981D5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4208E937" w14:textId="48F2D09C">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20CF9D03" w14:textId="535001F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0160094A" w14:textId="573D1CE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571F0C4A" w14:textId="264DBF2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Partial</w:t>
            </w:r>
          </w:p>
        </w:tc>
        <w:tc>
          <w:tcPr>
            <w:tcW w:w="1092" w:type="dxa"/>
            <w:tcMar/>
            <w:vAlign w:val="center"/>
          </w:tcPr>
          <w:p w:rsidR="4369956E" w:rsidP="4369956E" w:rsidRDefault="4369956E" w14:paraId="3B4B9BA5" w14:textId="2CA19DC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60CDF8FF" w14:textId="51506EC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7C9F835E" w14:textId="1647AA2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466DB595" w14:textId="1AAE613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2BBB5003" w14:textId="65EE86B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5D570598">
        <w:trPr>
          <w:trHeight w:val="300"/>
        </w:trPr>
        <w:tc>
          <w:tcPr>
            <w:tcW w:w="1051" w:type="dxa"/>
            <w:tcMar/>
            <w:vAlign w:val="center"/>
          </w:tcPr>
          <w:p w:rsidR="4369956E" w:rsidP="4369956E" w:rsidRDefault="4369956E" w14:paraId="2AD3666B" w14:textId="24115B6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Mbugua et al. (2020)</w:t>
            </w:r>
          </w:p>
        </w:tc>
        <w:tc>
          <w:tcPr>
            <w:tcW w:w="492" w:type="dxa"/>
            <w:tcMar/>
            <w:vAlign w:val="center"/>
          </w:tcPr>
          <w:p w:rsidR="4369956E" w:rsidP="4369956E" w:rsidRDefault="4369956E" w14:paraId="00DDDA77" w14:textId="64EDC48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39232F8A" w14:textId="552FDBD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60F76C4D" w14:textId="606B29B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7F31F0F9" w14:textId="0C6C496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13C2D5B9" w14:textId="54199AC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Partial</w:t>
            </w:r>
          </w:p>
        </w:tc>
        <w:tc>
          <w:tcPr>
            <w:tcW w:w="1092" w:type="dxa"/>
            <w:tcMar/>
            <w:vAlign w:val="center"/>
          </w:tcPr>
          <w:p w:rsidR="4369956E" w:rsidP="4369956E" w:rsidRDefault="4369956E" w14:paraId="55206EC4" w14:textId="7F7C3B1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1516B3CD" w14:textId="173191C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10" w:type="dxa"/>
            <w:tcMar/>
            <w:vAlign w:val="center"/>
          </w:tcPr>
          <w:p w:rsidR="4369956E" w:rsidP="4369956E" w:rsidRDefault="4369956E" w14:paraId="3BF38BEF" w14:textId="3939F02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764BD040" w14:textId="2C0DD0E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4189342B" w14:textId="595D108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r>
      <w:tr w:rsidR="4369956E" w:rsidTr="3DC7A50A" w14:paraId="6D48E8C4">
        <w:trPr>
          <w:trHeight w:val="300"/>
        </w:trPr>
        <w:tc>
          <w:tcPr>
            <w:tcW w:w="1051" w:type="dxa"/>
            <w:tcMar/>
            <w:vAlign w:val="center"/>
          </w:tcPr>
          <w:p w:rsidR="4369956E" w:rsidP="4369956E" w:rsidRDefault="4369956E" w14:paraId="6F84B8BA" w14:textId="7931FFE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Mekonnen et al. (2015)</w:t>
            </w:r>
          </w:p>
        </w:tc>
        <w:tc>
          <w:tcPr>
            <w:tcW w:w="492" w:type="dxa"/>
            <w:tcMar/>
            <w:vAlign w:val="center"/>
          </w:tcPr>
          <w:p w:rsidR="4369956E" w:rsidP="4369956E" w:rsidRDefault="4369956E" w14:paraId="6FB9722B" w14:textId="2970FD2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57FE9C93" w14:textId="0B36370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7657803E" w14:textId="1AD98A0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7EC25578" w14:textId="4683A74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21EB2A8D" w14:textId="23AEB8D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w:t>
            </w:r>
          </w:p>
        </w:tc>
        <w:tc>
          <w:tcPr>
            <w:tcW w:w="1092" w:type="dxa"/>
            <w:tcMar/>
            <w:vAlign w:val="center"/>
          </w:tcPr>
          <w:p w:rsidR="4369956E" w:rsidP="4369956E" w:rsidRDefault="4369956E" w14:paraId="3D17D324" w14:textId="734F0E3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21BA0C48" w14:textId="7365FCB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10" w:type="dxa"/>
            <w:tcMar/>
            <w:vAlign w:val="center"/>
          </w:tcPr>
          <w:p w:rsidR="4369956E" w:rsidP="4369956E" w:rsidRDefault="4369956E" w14:paraId="26AD4CB8" w14:textId="5F72051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03EA8F5D" w14:textId="10E2412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50" w:type="dxa"/>
            <w:tcMar/>
            <w:vAlign w:val="center"/>
          </w:tcPr>
          <w:p w:rsidR="4369956E" w:rsidP="4369956E" w:rsidRDefault="4369956E" w14:paraId="63D29F6B" w14:textId="698FCA7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r>
      <w:tr w:rsidR="4369956E" w:rsidTr="3DC7A50A" w14:paraId="4F3B18FE">
        <w:trPr>
          <w:trHeight w:val="300"/>
        </w:trPr>
        <w:tc>
          <w:tcPr>
            <w:tcW w:w="1051" w:type="dxa"/>
            <w:tcMar/>
            <w:vAlign w:val="center"/>
          </w:tcPr>
          <w:p w:rsidR="4369956E" w:rsidP="4369956E" w:rsidRDefault="4369956E" w14:paraId="4A0B73DC" w14:textId="4FDBD5AC">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Atif et al. (2019)</w:t>
            </w:r>
          </w:p>
        </w:tc>
        <w:tc>
          <w:tcPr>
            <w:tcW w:w="492" w:type="dxa"/>
            <w:tcMar/>
            <w:vAlign w:val="center"/>
          </w:tcPr>
          <w:p w:rsidR="4369956E" w:rsidP="4369956E" w:rsidRDefault="4369956E" w14:paraId="033AD617" w14:textId="756CC75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4FD70EDB" w14:textId="0A88DA5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404AC933" w14:textId="15310E8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158FED94" w14:textId="1B81617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3DDA7F08" w14:textId="3571198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w:t>
            </w:r>
          </w:p>
        </w:tc>
        <w:tc>
          <w:tcPr>
            <w:tcW w:w="1092" w:type="dxa"/>
            <w:tcMar/>
            <w:vAlign w:val="center"/>
          </w:tcPr>
          <w:p w:rsidR="4369956E" w:rsidP="4369956E" w:rsidRDefault="4369956E" w14:paraId="079E19E1" w14:textId="5844AB3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56D8F5E4" w14:textId="1700045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1C5A0820" w14:textId="3C30AB5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56319352" w14:textId="28975B4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0F209746" w14:textId="3EF148A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7507F1AE">
        <w:trPr>
          <w:trHeight w:val="300"/>
        </w:trPr>
        <w:tc>
          <w:tcPr>
            <w:tcW w:w="1051" w:type="dxa"/>
            <w:tcMar/>
            <w:vAlign w:val="center"/>
          </w:tcPr>
          <w:p w:rsidR="4369956E" w:rsidP="4369956E" w:rsidRDefault="4369956E" w14:paraId="33CEABF0" w14:textId="47B1DD3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Roche et al. (2021)</w:t>
            </w:r>
          </w:p>
        </w:tc>
        <w:tc>
          <w:tcPr>
            <w:tcW w:w="492" w:type="dxa"/>
            <w:tcMar/>
            <w:vAlign w:val="center"/>
          </w:tcPr>
          <w:p w:rsidR="4369956E" w:rsidP="4369956E" w:rsidRDefault="4369956E" w14:paraId="253D6008" w14:textId="2295BA9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58D3EC6E" w14:textId="25FD80E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1C609EAC" w14:textId="1CDC4ED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358D210E" w14:textId="69A9BAD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69B32516" w14:textId="489F029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Partial</w:t>
            </w:r>
          </w:p>
        </w:tc>
        <w:tc>
          <w:tcPr>
            <w:tcW w:w="1092" w:type="dxa"/>
            <w:tcMar/>
            <w:vAlign w:val="center"/>
          </w:tcPr>
          <w:p w:rsidR="4369956E" w:rsidP="4369956E" w:rsidRDefault="4369956E" w14:paraId="6B7057B4" w14:textId="23687D7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017A0CE1" w14:textId="4EDCB5E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5FC8B36E" w14:textId="1AB8AE2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4CC5CA20" w14:textId="1F982B3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25512752" w14:textId="7A15C9A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22A39506">
        <w:trPr>
          <w:trHeight w:val="300"/>
        </w:trPr>
        <w:tc>
          <w:tcPr>
            <w:tcW w:w="1051" w:type="dxa"/>
            <w:tcMar/>
            <w:vAlign w:val="center"/>
          </w:tcPr>
          <w:p w:rsidR="4369956E" w:rsidP="4369956E" w:rsidRDefault="4369956E" w14:paraId="7BBCED01" w14:textId="5AE69D4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Crafford et al. (2024)</w:t>
            </w:r>
          </w:p>
        </w:tc>
        <w:tc>
          <w:tcPr>
            <w:tcW w:w="492" w:type="dxa"/>
            <w:tcMar/>
            <w:vAlign w:val="center"/>
          </w:tcPr>
          <w:p w:rsidR="4369956E" w:rsidP="4369956E" w:rsidRDefault="4369956E" w14:paraId="2F7099A9" w14:textId="5E92612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0B338C3D" w14:textId="7413469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78E0F604" w14:textId="305B3D4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44368DB9" w14:textId="30773C7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7DF7171B" w14:textId="51F7027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92" w:type="dxa"/>
            <w:tcMar/>
            <w:vAlign w:val="center"/>
          </w:tcPr>
          <w:p w:rsidR="4369956E" w:rsidP="4369956E" w:rsidRDefault="4369956E" w14:paraId="23DFEE9C" w14:textId="52EA87E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3A8E31E2" w14:textId="15C0E38C">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7C107B5F" w14:textId="544BC35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25D5160E" w14:textId="6EEA8E9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55031706" w14:textId="4AD17C8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2F45DF67">
        <w:trPr>
          <w:trHeight w:val="300"/>
        </w:trPr>
        <w:tc>
          <w:tcPr>
            <w:tcW w:w="1051" w:type="dxa"/>
            <w:tcMar/>
            <w:vAlign w:val="center"/>
          </w:tcPr>
          <w:p w:rsidR="4369956E" w:rsidP="4369956E" w:rsidRDefault="4369956E" w14:paraId="476A64BD" w14:textId="615B6D2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Gelayee</w:t>
            </w:r>
            <w:r w:rsidRPr="3DC7A50A" w:rsidR="2ECFB12B">
              <w:rPr>
                <w:rFonts w:ascii="Arial" w:hAnsi="Arial" w:eastAsia="Arial" w:cs="Arial"/>
                <w:sz w:val="16"/>
                <w:szCs w:val="16"/>
              </w:rPr>
              <w:t xml:space="preserve"> et al. (2017)</w:t>
            </w:r>
          </w:p>
        </w:tc>
        <w:tc>
          <w:tcPr>
            <w:tcW w:w="492" w:type="dxa"/>
            <w:tcMar/>
            <w:vAlign w:val="center"/>
          </w:tcPr>
          <w:p w:rsidR="4369956E" w:rsidP="4369956E" w:rsidRDefault="4369956E" w14:paraId="099798F4" w14:textId="33B4EB2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6B575ED1" w14:textId="20B47B2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39F01035" w14:textId="4921035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10DE42A3" w14:textId="22B60AC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15D69C4F" w14:textId="083B312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w:t>
            </w:r>
          </w:p>
        </w:tc>
        <w:tc>
          <w:tcPr>
            <w:tcW w:w="1092" w:type="dxa"/>
            <w:tcMar/>
            <w:vAlign w:val="center"/>
          </w:tcPr>
          <w:p w:rsidR="4369956E" w:rsidP="4369956E" w:rsidRDefault="4369956E" w14:paraId="7D5DE4A7" w14:textId="31F86C5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4BC9029C" w14:textId="0E30586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10" w:type="dxa"/>
            <w:tcMar/>
            <w:vAlign w:val="center"/>
          </w:tcPr>
          <w:p w:rsidR="4369956E" w:rsidP="4369956E" w:rsidRDefault="4369956E" w14:paraId="33B16ECC" w14:textId="5B7AB2B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1BF8B67B" w14:textId="5D33B70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50" w:type="dxa"/>
            <w:tcMar/>
            <w:vAlign w:val="center"/>
          </w:tcPr>
          <w:p w:rsidR="4369956E" w:rsidP="4369956E" w:rsidRDefault="4369956E" w14:paraId="7072396A" w14:textId="4BDF24E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r>
      <w:tr w:rsidR="4369956E" w:rsidTr="3DC7A50A" w14:paraId="158D1F31">
        <w:trPr>
          <w:trHeight w:val="300"/>
        </w:trPr>
        <w:tc>
          <w:tcPr>
            <w:tcW w:w="1051" w:type="dxa"/>
            <w:tcMar/>
            <w:vAlign w:val="center"/>
          </w:tcPr>
          <w:p w:rsidR="4369956E" w:rsidP="4369956E" w:rsidRDefault="4369956E" w14:paraId="022C6BB0" w14:textId="7D24BF1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Kentab</w:t>
            </w:r>
            <w:r w:rsidRPr="3DC7A50A" w:rsidR="2ECFB12B">
              <w:rPr>
                <w:rFonts w:ascii="Arial" w:hAnsi="Arial" w:eastAsia="Arial" w:cs="Arial"/>
                <w:sz w:val="16"/>
                <w:szCs w:val="16"/>
              </w:rPr>
              <w:t xml:space="preserve"> et al. (2024)</w:t>
            </w:r>
          </w:p>
        </w:tc>
        <w:tc>
          <w:tcPr>
            <w:tcW w:w="492" w:type="dxa"/>
            <w:tcMar/>
            <w:vAlign w:val="center"/>
          </w:tcPr>
          <w:p w:rsidR="4369956E" w:rsidP="4369956E" w:rsidRDefault="4369956E" w14:paraId="79746A17" w14:textId="3B6C50DA">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7221A462" w14:textId="1EF0044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789B11C0" w14:textId="5FA61CA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6582B9B1" w14:textId="6DBC70D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7EE48B03" w14:textId="01D8886B">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Partial</w:t>
            </w:r>
          </w:p>
        </w:tc>
        <w:tc>
          <w:tcPr>
            <w:tcW w:w="1092" w:type="dxa"/>
            <w:tcMar/>
            <w:vAlign w:val="center"/>
          </w:tcPr>
          <w:p w:rsidR="4369956E" w:rsidP="4369956E" w:rsidRDefault="4369956E" w14:paraId="11D07576" w14:textId="6EB328B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6235C189" w14:textId="0CA7AC4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201310B0" w14:textId="7113610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32BC045B" w14:textId="226F2AF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540323F2" w14:textId="2C383CB7">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7CE7218C">
        <w:trPr>
          <w:trHeight w:val="300"/>
        </w:trPr>
        <w:tc>
          <w:tcPr>
            <w:tcW w:w="1051" w:type="dxa"/>
            <w:tcMar/>
            <w:vAlign w:val="center"/>
          </w:tcPr>
          <w:p w:rsidR="4369956E" w:rsidP="4369956E" w:rsidRDefault="4369956E" w14:paraId="28904372" w14:textId="388CEB6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Kamba et al. (2020)</w:t>
            </w:r>
          </w:p>
        </w:tc>
        <w:tc>
          <w:tcPr>
            <w:tcW w:w="492" w:type="dxa"/>
            <w:tcMar/>
            <w:vAlign w:val="center"/>
          </w:tcPr>
          <w:p w:rsidR="4369956E" w:rsidP="4369956E" w:rsidRDefault="4369956E" w14:paraId="440EC2C3" w14:textId="4A6D37FE">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4B25F091" w14:textId="299E9B3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3A11BB16" w14:textId="1E60FD7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20AFE258" w14:textId="51FBB619">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6A46EC2B" w14:textId="670D11E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Partial</w:t>
            </w:r>
          </w:p>
        </w:tc>
        <w:tc>
          <w:tcPr>
            <w:tcW w:w="1092" w:type="dxa"/>
            <w:tcMar/>
            <w:vAlign w:val="center"/>
          </w:tcPr>
          <w:p w:rsidR="4369956E" w:rsidP="4369956E" w:rsidRDefault="4369956E" w14:paraId="0C78320C" w14:textId="3DD774E0">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1C41B043" w14:textId="01C57D3D">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10" w:type="dxa"/>
            <w:tcMar/>
            <w:vAlign w:val="center"/>
          </w:tcPr>
          <w:p w:rsidR="4369956E" w:rsidP="4369956E" w:rsidRDefault="4369956E" w14:paraId="0CDBEDD5" w14:textId="46B3CF3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039B1F1D" w14:textId="4889313C">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c>
          <w:tcPr>
            <w:tcW w:w="750" w:type="dxa"/>
            <w:tcMar/>
            <w:vAlign w:val="center"/>
          </w:tcPr>
          <w:p w:rsidR="4369956E" w:rsidP="4369956E" w:rsidRDefault="4369956E" w14:paraId="013D0E76" w14:textId="4895746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High</w:t>
            </w:r>
          </w:p>
        </w:tc>
      </w:tr>
      <w:tr w:rsidR="4369956E" w:rsidTr="3DC7A50A" w14:paraId="247C849A">
        <w:trPr>
          <w:trHeight w:val="300"/>
        </w:trPr>
        <w:tc>
          <w:tcPr>
            <w:tcW w:w="1051" w:type="dxa"/>
            <w:tcMar/>
            <w:vAlign w:val="center"/>
          </w:tcPr>
          <w:p w:rsidR="4369956E" w:rsidP="4369956E" w:rsidRDefault="4369956E" w14:paraId="7DB4DFAB" w14:textId="7B3707E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Tegegn et al. (2020)</w:t>
            </w:r>
          </w:p>
        </w:tc>
        <w:tc>
          <w:tcPr>
            <w:tcW w:w="492" w:type="dxa"/>
            <w:tcMar/>
            <w:vAlign w:val="center"/>
          </w:tcPr>
          <w:p w:rsidR="4369956E" w:rsidP="4369956E" w:rsidRDefault="4369956E" w14:paraId="669E5888" w14:textId="7F29132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2BED1622" w14:textId="5647910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1F493828" w14:textId="44F27085">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363909EF" w14:textId="04DFD08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0987774B" w14:textId="77176B9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w:t>
            </w:r>
          </w:p>
        </w:tc>
        <w:tc>
          <w:tcPr>
            <w:tcW w:w="1092" w:type="dxa"/>
            <w:tcMar/>
            <w:vAlign w:val="center"/>
          </w:tcPr>
          <w:p w:rsidR="4369956E" w:rsidP="4369956E" w:rsidRDefault="4369956E" w14:paraId="418F45D7" w14:textId="7A632581">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3A556C6A" w14:textId="60ACE2F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10" w:type="dxa"/>
            <w:tcMar/>
            <w:vAlign w:val="center"/>
          </w:tcPr>
          <w:p w:rsidR="4369956E" w:rsidP="4369956E" w:rsidRDefault="4369956E" w14:paraId="060B43E2" w14:textId="2F93D48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1AB141E1" w14:textId="5280CCF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50" w:type="dxa"/>
            <w:tcMar/>
            <w:vAlign w:val="center"/>
          </w:tcPr>
          <w:p w:rsidR="4369956E" w:rsidP="4369956E" w:rsidRDefault="4369956E" w14:paraId="6D16FD81" w14:textId="5DCFB36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r>
      <w:tr w:rsidR="4369956E" w:rsidTr="3DC7A50A" w14:paraId="76A25F5C">
        <w:trPr>
          <w:trHeight w:val="300"/>
        </w:trPr>
        <w:tc>
          <w:tcPr>
            <w:tcW w:w="1051" w:type="dxa"/>
            <w:tcMar/>
            <w:vAlign w:val="center"/>
          </w:tcPr>
          <w:p w:rsidR="4369956E" w:rsidP="4369956E" w:rsidRDefault="4369956E" w14:paraId="7BF64035" w14:textId="07DCDB2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Adhikari et al. (2021)</w:t>
            </w:r>
          </w:p>
        </w:tc>
        <w:tc>
          <w:tcPr>
            <w:tcW w:w="492" w:type="dxa"/>
            <w:tcMar/>
            <w:vAlign w:val="center"/>
          </w:tcPr>
          <w:p w:rsidR="4369956E" w:rsidP="4369956E" w:rsidRDefault="4369956E" w14:paraId="09A097E0" w14:textId="4367F708">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251" w:type="dxa"/>
            <w:tcMar/>
            <w:vAlign w:val="center"/>
          </w:tcPr>
          <w:p w:rsidR="4369956E" w:rsidP="4369956E" w:rsidRDefault="4369956E" w14:paraId="477759EA" w14:textId="092006D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1035" w:type="dxa"/>
            <w:tcMar/>
            <w:vAlign w:val="center"/>
          </w:tcPr>
          <w:p w:rsidR="4369956E" w:rsidP="4369956E" w:rsidRDefault="4369956E" w14:paraId="75378208" w14:textId="0C4FDD6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743" w:type="dxa"/>
            <w:tcMar/>
            <w:vAlign w:val="center"/>
          </w:tcPr>
          <w:p w:rsidR="4369956E" w:rsidP="4369956E" w:rsidRDefault="4369956E" w14:paraId="3B498DE3" w14:textId="5E62EF93">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516" w:type="dxa"/>
            <w:tcMar/>
            <w:vAlign w:val="center"/>
          </w:tcPr>
          <w:p w:rsidR="4369956E" w:rsidP="4369956E" w:rsidRDefault="4369956E" w14:paraId="7520ACA7" w14:textId="19FFD7F6">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Limited</w:t>
            </w:r>
          </w:p>
        </w:tc>
        <w:tc>
          <w:tcPr>
            <w:tcW w:w="1092" w:type="dxa"/>
            <w:tcMar/>
            <w:vAlign w:val="center"/>
          </w:tcPr>
          <w:p w:rsidR="4369956E" w:rsidP="4369956E" w:rsidRDefault="4369956E" w14:paraId="1CA16D22" w14:textId="2C0DDD6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60" w:type="dxa"/>
            <w:tcMar/>
            <w:vAlign w:val="center"/>
          </w:tcPr>
          <w:p w:rsidR="4369956E" w:rsidP="4369956E" w:rsidRDefault="4369956E" w14:paraId="4EE56808" w14:textId="02B80E0F">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10" w:type="dxa"/>
            <w:tcMar/>
            <w:vAlign w:val="center"/>
          </w:tcPr>
          <w:p w:rsidR="4369956E" w:rsidP="4369956E" w:rsidRDefault="4369956E" w14:paraId="3CBF48DC" w14:textId="02D009EC">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Yes</w:t>
            </w:r>
          </w:p>
        </w:tc>
        <w:tc>
          <w:tcPr>
            <w:tcW w:w="858" w:type="dxa"/>
            <w:tcMar/>
            <w:vAlign w:val="center"/>
          </w:tcPr>
          <w:p w:rsidR="4369956E" w:rsidP="4369956E" w:rsidRDefault="4369956E" w14:paraId="4AA9C042" w14:textId="01A078E4">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c>
          <w:tcPr>
            <w:tcW w:w="750" w:type="dxa"/>
            <w:tcMar/>
            <w:vAlign w:val="center"/>
          </w:tcPr>
          <w:p w:rsidR="4369956E" w:rsidP="4369956E" w:rsidRDefault="4369956E" w14:paraId="3043E430" w14:textId="7C64DD52">
            <w:pPr>
              <w:bidi w:val="0"/>
              <w:spacing w:before="0" w:beforeAutospacing="off" w:after="0" w:afterAutospacing="off"/>
              <w:rPr>
                <w:rFonts w:ascii="Arial" w:hAnsi="Arial" w:eastAsia="Arial" w:cs="Arial"/>
                <w:sz w:val="16"/>
                <w:szCs w:val="16"/>
              </w:rPr>
            </w:pPr>
            <w:r w:rsidRPr="3DC7A50A" w:rsidR="2ECFB12B">
              <w:rPr>
                <w:rFonts w:ascii="Arial" w:hAnsi="Arial" w:eastAsia="Arial" w:cs="Arial"/>
                <w:sz w:val="16"/>
                <w:szCs w:val="16"/>
              </w:rPr>
              <w:t>Moderate</w:t>
            </w:r>
          </w:p>
        </w:tc>
      </w:tr>
    </w:tbl>
    <w:p w:rsidR="4369956E" w:rsidP="4369956E" w:rsidRDefault="4369956E" w14:paraId="73CE0789" w14:textId="24C6C48C">
      <w:pPr>
        <w:pStyle w:val="Normal"/>
        <w:bidi w:val="0"/>
        <w:spacing w:before="240" w:beforeAutospacing="off" w:after="240" w:afterAutospacing="off"/>
        <w:jc w:val="both"/>
        <w:rPr>
          <w:rFonts w:ascii="Arial" w:hAnsi="Arial" w:eastAsia="Arial" w:cs="Arial"/>
          <w:noProof w:val="0"/>
          <w:sz w:val="24"/>
          <w:szCs w:val="24"/>
          <w:lang w:val="en-US"/>
        </w:rPr>
      </w:pPr>
    </w:p>
    <w:p w:rsidR="3DC7A50A" w:rsidP="3DC7A50A" w:rsidRDefault="3DC7A50A" w14:paraId="7729EE4B" w14:textId="0A38F83E">
      <w:pPr>
        <w:bidi w:val="0"/>
        <w:spacing w:before="240" w:beforeAutospacing="off" w:after="240" w:afterAutospacing="off"/>
        <w:rPr>
          <w:noProof w:val="0"/>
          <w:lang w:val="en-US"/>
        </w:rPr>
      </w:pPr>
    </w:p>
    <w:p w:rsidR="7FFEE153" w:rsidP="3DC7A50A" w:rsidRDefault="7FFEE153" w14:paraId="523D2915" w14:textId="0BDBDDE4">
      <w:pPr>
        <w:pStyle w:val="Heading1"/>
        <w:bidi w:val="0"/>
        <w:rPr>
          <w:rFonts w:ascii="Arial" w:hAnsi="Arial" w:eastAsia="Arial" w:cs="Arial"/>
          <w:b w:val="1"/>
          <w:bCs w:val="1"/>
          <w:noProof w:val="0"/>
          <w:color w:val="auto"/>
          <w:sz w:val="32"/>
          <w:szCs w:val="32"/>
          <w:lang w:val="en-US"/>
        </w:rPr>
      </w:pPr>
      <w:bookmarkStart w:name="_Toc518203920" w:id="673765241"/>
      <w:r w:rsidRPr="3DC7A50A" w:rsidR="7FFEE153">
        <w:rPr>
          <w:rFonts w:ascii="Arial" w:hAnsi="Arial" w:eastAsia="Arial" w:cs="Arial"/>
          <w:b w:val="1"/>
          <w:bCs w:val="1"/>
          <w:noProof w:val="0"/>
          <w:color w:val="auto"/>
          <w:lang w:val="en-US"/>
        </w:rPr>
        <w:t>Reference</w:t>
      </w:r>
      <w:bookmarkEnd w:id="673765241"/>
    </w:p>
    <w:p w:rsidR="14B7E0A9" w:rsidP="3DC7A50A" w:rsidRDefault="14B7E0A9" w14:paraId="11EAFD1D" w14:textId="13E87C6E">
      <w:pPr>
        <w:pStyle w:val="Normal"/>
        <w:bidi w:val="0"/>
        <w:spacing w:before="240" w:beforeAutospacing="off" w:after="240" w:afterAutospacing="off"/>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Adhikari, B., et al. (2021) ‘Why do people </w:t>
      </w:r>
      <w:r w:rsidRPr="3DC7A50A" w:rsidR="14B7E0A9">
        <w:rPr>
          <w:rFonts w:ascii="Arial" w:hAnsi="Arial" w:eastAsia="Arial" w:cs="Arial"/>
          <w:noProof w:val="0"/>
          <w:sz w:val="24"/>
          <w:szCs w:val="24"/>
          <w:lang w:val="en-US"/>
        </w:rPr>
        <w:t>purchase</w:t>
      </w:r>
      <w:r w:rsidRPr="3DC7A50A" w:rsidR="14B7E0A9">
        <w:rPr>
          <w:rFonts w:ascii="Arial" w:hAnsi="Arial" w:eastAsia="Arial" w:cs="Arial"/>
          <w:noProof w:val="0"/>
          <w:sz w:val="24"/>
          <w:szCs w:val="24"/>
          <w:lang w:val="en-US"/>
        </w:rPr>
        <w:t xml:space="preserve"> antibiotics </w:t>
      </w:r>
      <w:r w:rsidRPr="3DC7A50A" w:rsidR="14B7E0A9">
        <w:rPr>
          <w:rFonts w:ascii="Arial" w:hAnsi="Arial" w:eastAsia="Arial" w:cs="Arial"/>
          <w:noProof w:val="0"/>
          <w:sz w:val="24"/>
          <w:szCs w:val="24"/>
          <w:lang w:val="en-US"/>
        </w:rPr>
        <w:t>over-the-counter</w:t>
      </w:r>
      <w:r w:rsidRPr="3DC7A50A" w:rsidR="14B7E0A9">
        <w:rPr>
          <w:rFonts w:ascii="Arial" w:hAnsi="Arial" w:eastAsia="Arial" w:cs="Arial"/>
          <w:noProof w:val="0"/>
          <w:sz w:val="24"/>
          <w:szCs w:val="24"/>
          <w:lang w:val="en-US"/>
        </w:rPr>
        <w:t xml:space="preserve">? A qualitative study of patients and dispensers in South </w:t>
      </w:r>
      <w:r w:rsidRPr="3DC7A50A" w:rsidR="14B7E0A9">
        <w:rPr>
          <w:rFonts w:ascii="Arial" w:hAnsi="Arial" w:eastAsia="Arial" w:cs="Arial"/>
          <w:noProof w:val="0"/>
          <w:sz w:val="24"/>
          <w:szCs w:val="24"/>
          <w:lang w:val="en-US"/>
        </w:rPr>
        <w:t>Asia’,</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Antibiotics</w:t>
      </w:r>
      <w:r w:rsidRPr="3DC7A50A" w:rsidR="14B7E0A9">
        <w:rPr>
          <w:rFonts w:ascii="Arial" w:hAnsi="Arial" w:eastAsia="Arial" w:cs="Arial"/>
          <w:noProof w:val="0"/>
          <w:sz w:val="24"/>
          <w:szCs w:val="24"/>
          <w:lang w:val="en-US"/>
        </w:rPr>
        <w:t xml:space="preserve">, 10(5):539. Available at: </w:t>
      </w:r>
      <w:hyperlink r:id="R64db2c49f42042cc">
        <w:r w:rsidRPr="3DC7A50A" w:rsidR="14B7E0A9">
          <w:rPr>
            <w:rStyle w:val="Hyperlink"/>
            <w:rFonts w:ascii="Arial" w:hAnsi="Arial" w:eastAsia="Arial" w:cs="Arial"/>
            <w:noProof w:val="0"/>
            <w:sz w:val="24"/>
            <w:szCs w:val="24"/>
            <w:lang w:val="en-US"/>
          </w:rPr>
          <w:t>https://www.ncbi.nlm.nih.gov/pmc/articles/PMC8118002/</w:t>
        </w:r>
      </w:hyperlink>
      <w:r w:rsidRPr="3DC7A50A" w:rsidR="14B7E0A9">
        <w:rPr>
          <w:rFonts w:ascii="Arial" w:hAnsi="Arial" w:eastAsia="Arial" w:cs="Arial"/>
          <w:noProof w:val="0"/>
          <w:sz w:val="24"/>
          <w:szCs w:val="24"/>
          <w:lang w:val="en-US"/>
        </w:rPr>
        <w:t xml:space="preserve"> (Accessed: 11 December 2025).</w:t>
      </w:r>
    </w:p>
    <w:p w:rsidR="14B7E0A9" w:rsidP="3DC7A50A" w:rsidRDefault="14B7E0A9" w14:paraId="3CDF2CCA" w14:textId="0212B69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Alir, A., et al. (2021) ‘Factors contributing to dispensing errors among dispensers in Gulu Regional Referral Hospital: a qualitative study’, </w:t>
      </w:r>
      <w:r w:rsidRPr="3DC7A50A" w:rsidR="14B7E0A9">
        <w:rPr>
          <w:rFonts w:ascii="Arial" w:hAnsi="Arial" w:eastAsia="Arial" w:cs="Arial"/>
          <w:i w:val="1"/>
          <w:iCs w:val="1"/>
          <w:noProof w:val="0"/>
          <w:sz w:val="24"/>
          <w:szCs w:val="24"/>
          <w:lang w:val="en-US"/>
        </w:rPr>
        <w:t>SJHR Africa</w:t>
      </w:r>
      <w:r w:rsidRPr="3DC7A50A" w:rsidR="14B7E0A9">
        <w:rPr>
          <w:rFonts w:ascii="Arial" w:hAnsi="Arial" w:eastAsia="Arial" w:cs="Arial"/>
          <w:noProof w:val="0"/>
          <w:sz w:val="24"/>
          <w:szCs w:val="24"/>
          <w:lang w:val="en-US"/>
        </w:rPr>
        <w:t xml:space="preserve">, 4(2). Available at: </w:t>
      </w:r>
      <w:hyperlink r:id="Raf918e85747e4dae">
        <w:r w:rsidRPr="3DC7A50A" w:rsidR="14B7E0A9">
          <w:rPr>
            <w:rStyle w:val="Hyperlink"/>
            <w:rFonts w:ascii="Arial" w:hAnsi="Arial" w:eastAsia="Arial" w:cs="Arial"/>
            <w:noProof w:val="0"/>
            <w:sz w:val="24"/>
            <w:szCs w:val="24"/>
            <w:lang w:val="en-US"/>
          </w:rPr>
          <w:t>https://sjhresearchafrica.org/index.php/public-html/article/download/130/137/818</w:t>
        </w:r>
      </w:hyperlink>
      <w:r w:rsidRPr="3DC7A50A" w:rsidR="14B7E0A9">
        <w:rPr>
          <w:rFonts w:ascii="Arial" w:hAnsi="Arial" w:eastAsia="Arial" w:cs="Arial"/>
          <w:noProof w:val="0"/>
          <w:sz w:val="24"/>
          <w:szCs w:val="24"/>
          <w:lang w:val="en-US"/>
        </w:rPr>
        <w:t xml:space="preserve"> (Accessed: 27 December 2025).</w:t>
      </w:r>
    </w:p>
    <w:p w:rsidR="14B7E0A9" w:rsidP="3DC7A50A" w:rsidRDefault="14B7E0A9" w14:paraId="440D3CF1" w14:textId="3EB2DD07">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Atif, M., et al. (2019) ‘A qualitative study exploring antibiotic use practices at community pharmacies’, </w:t>
      </w:r>
      <w:r w:rsidRPr="3DC7A50A" w:rsidR="14B7E0A9">
        <w:rPr>
          <w:rFonts w:ascii="Arial" w:hAnsi="Arial" w:eastAsia="Arial" w:cs="Arial"/>
          <w:i w:val="1"/>
          <w:iCs w:val="1"/>
          <w:noProof w:val="0"/>
          <w:sz w:val="24"/>
          <w:szCs w:val="24"/>
          <w:lang w:val="en-US"/>
        </w:rPr>
        <w:t>Infection and Drug Resistance</w:t>
      </w:r>
      <w:r w:rsidRPr="3DC7A50A" w:rsidR="14B7E0A9">
        <w:rPr>
          <w:rFonts w:ascii="Arial" w:hAnsi="Arial" w:eastAsia="Arial" w:cs="Arial"/>
          <w:noProof w:val="0"/>
          <w:sz w:val="24"/>
          <w:szCs w:val="24"/>
          <w:lang w:val="en-US"/>
        </w:rPr>
        <w:t xml:space="preserve">, 12, pp. 313–322. Available at: </w:t>
      </w:r>
      <w:hyperlink r:id="Rc78a05dd474a43cd">
        <w:r w:rsidRPr="3DC7A50A" w:rsidR="14B7E0A9">
          <w:rPr>
            <w:rStyle w:val="Hyperlink"/>
            <w:rFonts w:ascii="Arial" w:hAnsi="Arial" w:eastAsia="Arial" w:cs="Arial"/>
            <w:noProof w:val="0"/>
            <w:sz w:val="24"/>
            <w:szCs w:val="24"/>
            <w:lang w:val="en-US"/>
          </w:rPr>
          <w:t>https://www.sciencedirect.com/science/article/pii/S1876034119302369</w:t>
        </w:r>
      </w:hyperlink>
      <w:r w:rsidRPr="3DC7A50A" w:rsidR="14B7E0A9">
        <w:rPr>
          <w:rFonts w:ascii="Arial" w:hAnsi="Arial" w:eastAsia="Arial" w:cs="Arial"/>
          <w:noProof w:val="0"/>
          <w:sz w:val="24"/>
          <w:szCs w:val="24"/>
          <w:lang w:val="en-US"/>
        </w:rPr>
        <w:t xml:space="preserve"> (Accessed: 20 December 2025).</w:t>
      </w:r>
    </w:p>
    <w:p w:rsidR="14B7E0A9" w:rsidP="3DC7A50A" w:rsidRDefault="14B7E0A9" w14:paraId="10D5EB85" w14:textId="1EF78C1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Atif, M., et al. (2019) ‘Community pharmacists’ perceptions of antibiotic use in Pakistan’, </w:t>
      </w:r>
      <w:r w:rsidRPr="3DC7A50A" w:rsidR="14B7E0A9">
        <w:rPr>
          <w:rFonts w:ascii="Arial" w:hAnsi="Arial" w:eastAsia="Arial" w:cs="Arial"/>
          <w:i w:val="1"/>
          <w:iCs w:val="1"/>
          <w:noProof w:val="0"/>
          <w:sz w:val="24"/>
          <w:szCs w:val="24"/>
          <w:lang w:val="en-US"/>
        </w:rPr>
        <w:t>Infection and Drug Resistance</w:t>
      </w:r>
      <w:r w:rsidRPr="3DC7A50A" w:rsidR="14B7E0A9">
        <w:rPr>
          <w:rFonts w:ascii="Arial" w:hAnsi="Arial" w:eastAsia="Arial" w:cs="Arial"/>
          <w:noProof w:val="0"/>
          <w:sz w:val="24"/>
          <w:szCs w:val="24"/>
          <w:lang w:val="en-US"/>
        </w:rPr>
        <w:t xml:space="preserve">, 12, pp. 1625–1636. Available at: </w:t>
      </w:r>
      <w:hyperlink r:id="Rabfe518d726a4c33">
        <w:r w:rsidRPr="3DC7A50A" w:rsidR="14B7E0A9">
          <w:rPr>
            <w:rStyle w:val="Hyperlink"/>
            <w:rFonts w:ascii="Arial" w:hAnsi="Arial" w:eastAsia="Arial" w:cs="Arial"/>
            <w:noProof w:val="0"/>
            <w:sz w:val="24"/>
            <w:szCs w:val="24"/>
            <w:lang w:val="en-US"/>
          </w:rPr>
          <w:t>https://www.dovepress.com/articles.php?article_id=45860</w:t>
        </w:r>
      </w:hyperlink>
      <w:r w:rsidRPr="3DC7A50A" w:rsidR="14B7E0A9">
        <w:rPr>
          <w:rFonts w:ascii="Arial" w:hAnsi="Arial" w:eastAsia="Arial" w:cs="Arial"/>
          <w:noProof w:val="0"/>
          <w:sz w:val="24"/>
          <w:szCs w:val="24"/>
          <w:lang w:val="en-US"/>
        </w:rPr>
        <w:t xml:space="preserve"> (Accessed: 7 December 2025).</w:t>
      </w:r>
    </w:p>
    <w:p w:rsidR="14B7E0A9" w:rsidP="3DC7A50A" w:rsidRDefault="14B7E0A9" w14:paraId="7F9CE8E2" w14:textId="2088C87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Atif, M., et al. (2019) ‘Current status of antibiotic dispensing practices in community pharmacies: a qualitative study’, </w:t>
      </w:r>
      <w:r w:rsidRPr="3DC7A50A" w:rsidR="14B7E0A9">
        <w:rPr>
          <w:rFonts w:ascii="Arial" w:hAnsi="Arial" w:eastAsia="Arial" w:cs="Arial"/>
          <w:i w:val="1"/>
          <w:iCs w:val="1"/>
          <w:noProof w:val="0"/>
          <w:sz w:val="24"/>
          <w:szCs w:val="24"/>
          <w:lang w:val="en-US"/>
        </w:rPr>
        <w:t>Infection and Drug Resistance</w:t>
      </w:r>
      <w:r w:rsidRPr="3DC7A50A" w:rsidR="14B7E0A9">
        <w:rPr>
          <w:rFonts w:ascii="Arial" w:hAnsi="Arial" w:eastAsia="Arial" w:cs="Arial"/>
          <w:noProof w:val="0"/>
          <w:sz w:val="24"/>
          <w:szCs w:val="24"/>
          <w:lang w:val="en-US"/>
        </w:rPr>
        <w:t xml:space="preserve">, 12, pp. 313–322. Available at: </w:t>
      </w:r>
      <w:hyperlink r:id="R69c60cee9dba422d">
        <w:r w:rsidRPr="3DC7A50A" w:rsidR="14B7E0A9">
          <w:rPr>
            <w:rStyle w:val="Hyperlink"/>
            <w:rFonts w:ascii="Arial" w:hAnsi="Arial" w:eastAsia="Arial" w:cs="Arial"/>
            <w:noProof w:val="0"/>
            <w:sz w:val="24"/>
            <w:szCs w:val="24"/>
            <w:lang w:val="en-US"/>
          </w:rPr>
          <w:t>https://www.sciencedirect.com/science/article/pii/S1876034119302369</w:t>
        </w:r>
      </w:hyperlink>
      <w:r w:rsidRPr="3DC7A50A" w:rsidR="14B7E0A9">
        <w:rPr>
          <w:rFonts w:ascii="Arial" w:hAnsi="Arial" w:eastAsia="Arial" w:cs="Arial"/>
          <w:noProof w:val="0"/>
          <w:sz w:val="24"/>
          <w:szCs w:val="24"/>
          <w:lang w:val="en-US"/>
        </w:rPr>
        <w:t xml:space="preserve"> (Accessed: 21 December 2025).</w:t>
      </w:r>
    </w:p>
    <w:p w:rsidR="14B7E0A9" w:rsidP="3DC7A50A" w:rsidRDefault="14B7E0A9" w14:paraId="4C455967" w14:textId="2C5C9C4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Australian Commission on Safety and Quality in Health Care (2021) </w:t>
      </w:r>
      <w:r w:rsidRPr="3DC7A50A" w:rsidR="14B7E0A9">
        <w:rPr>
          <w:rFonts w:ascii="Arial" w:hAnsi="Arial" w:eastAsia="Arial" w:cs="Arial"/>
          <w:i w:val="1"/>
          <w:iCs w:val="1"/>
          <w:noProof w:val="0"/>
          <w:sz w:val="24"/>
          <w:szCs w:val="24"/>
          <w:lang w:val="en-US"/>
        </w:rPr>
        <w:t>National Medication Safety Strategy</w:t>
      </w:r>
      <w:r w:rsidRPr="3DC7A50A" w:rsidR="14B7E0A9">
        <w:rPr>
          <w:rFonts w:ascii="Arial" w:hAnsi="Arial" w:eastAsia="Arial" w:cs="Arial"/>
          <w:noProof w:val="0"/>
          <w:sz w:val="24"/>
          <w:szCs w:val="24"/>
          <w:lang w:val="en-US"/>
        </w:rPr>
        <w:t xml:space="preserve">. Available at: </w:t>
      </w:r>
      <w:hyperlink r:id="R7e00752037c44ed1">
        <w:r w:rsidRPr="3DC7A50A" w:rsidR="14B7E0A9">
          <w:rPr>
            <w:rStyle w:val="Hyperlink"/>
            <w:rFonts w:ascii="Arial" w:hAnsi="Arial" w:eastAsia="Arial" w:cs="Arial"/>
            <w:noProof w:val="0"/>
            <w:sz w:val="24"/>
            <w:szCs w:val="24"/>
            <w:lang w:val="en-US"/>
          </w:rPr>
          <w:t>https://www.safetyandquality.gov.au</w:t>
        </w:r>
      </w:hyperlink>
      <w:r w:rsidRPr="3DC7A50A" w:rsidR="14B7E0A9">
        <w:rPr>
          <w:rFonts w:ascii="Arial" w:hAnsi="Arial" w:eastAsia="Arial" w:cs="Arial"/>
          <w:noProof w:val="0"/>
          <w:sz w:val="24"/>
          <w:szCs w:val="24"/>
          <w:lang w:val="en-US"/>
        </w:rPr>
        <w:t xml:space="preserve"> (Accessed: 7 December 2025).</w:t>
      </w:r>
    </w:p>
    <w:p w:rsidR="14B7E0A9" w:rsidP="3DC7A50A" w:rsidRDefault="14B7E0A9" w14:paraId="17BA1E23" w14:textId="51A4FAB6">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Awan, S., et al. (2020) ‘Dispensing practices and antibiotic use in community pharmacies’, </w:t>
      </w:r>
      <w:r w:rsidRPr="3DC7A50A" w:rsidR="14B7E0A9">
        <w:rPr>
          <w:rFonts w:ascii="Arial" w:hAnsi="Arial" w:eastAsia="Arial" w:cs="Arial"/>
          <w:i w:val="1"/>
          <w:iCs w:val="1"/>
          <w:noProof w:val="0"/>
          <w:sz w:val="24"/>
          <w:szCs w:val="24"/>
          <w:lang w:val="en-US"/>
        </w:rPr>
        <w:t xml:space="preserve">Journal of Pharmaceutical </w:t>
      </w:r>
      <w:r w:rsidRPr="3DC7A50A" w:rsidR="14B7E0A9">
        <w:rPr>
          <w:rFonts w:ascii="Arial" w:hAnsi="Arial" w:eastAsia="Arial" w:cs="Arial"/>
          <w:i w:val="1"/>
          <w:iCs w:val="1"/>
          <w:noProof w:val="0"/>
          <w:sz w:val="24"/>
          <w:szCs w:val="24"/>
          <w:lang w:val="en-US"/>
        </w:rPr>
        <w:t>Policy</w:t>
      </w:r>
      <w:r w:rsidRPr="3DC7A50A" w:rsidR="14B7E0A9">
        <w:rPr>
          <w:rFonts w:ascii="Arial" w:hAnsi="Arial" w:eastAsia="Arial" w:cs="Arial"/>
          <w:i w:val="1"/>
          <w:iCs w:val="1"/>
          <w:noProof w:val="0"/>
          <w:sz w:val="24"/>
          <w:szCs w:val="24"/>
          <w:lang w:val="en-US"/>
        </w:rPr>
        <w:t xml:space="preserve"> and Practice</w:t>
      </w:r>
      <w:r w:rsidRPr="3DC7A50A" w:rsidR="14B7E0A9">
        <w:rPr>
          <w:rFonts w:ascii="Arial" w:hAnsi="Arial" w:eastAsia="Arial" w:cs="Arial"/>
          <w:noProof w:val="0"/>
          <w:sz w:val="24"/>
          <w:szCs w:val="24"/>
          <w:lang w:val="en-US"/>
        </w:rPr>
        <w:t xml:space="preserve">, 13:31. Available at: </w:t>
      </w:r>
      <w:hyperlink r:id="R4ea484100cce4a84">
        <w:r w:rsidRPr="3DC7A50A" w:rsidR="14B7E0A9">
          <w:rPr>
            <w:rStyle w:val="Hyperlink"/>
            <w:rFonts w:ascii="Arial" w:hAnsi="Arial" w:eastAsia="Arial" w:cs="Arial"/>
            <w:noProof w:val="0"/>
            <w:sz w:val="24"/>
            <w:szCs w:val="24"/>
            <w:lang w:val="en-US"/>
          </w:rPr>
          <w:t>https://joppp.biomedcentral.com/articles/10.1186/s40545-020-00232-5</w:t>
        </w:r>
      </w:hyperlink>
      <w:r w:rsidRPr="3DC7A50A" w:rsidR="14B7E0A9">
        <w:rPr>
          <w:rFonts w:ascii="Arial" w:hAnsi="Arial" w:eastAsia="Arial" w:cs="Arial"/>
          <w:noProof w:val="0"/>
          <w:sz w:val="24"/>
          <w:szCs w:val="24"/>
          <w:lang w:val="en-US"/>
        </w:rPr>
        <w:t xml:space="preserve"> (Accessed: 18 December 2025).</w:t>
      </w:r>
    </w:p>
    <w:p w:rsidR="14B7E0A9" w:rsidP="3DC7A50A" w:rsidRDefault="14B7E0A9" w14:paraId="457C4CE4" w14:textId="042398C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Bates, D.W., Cullen, D.J., Laird, N. et al. (1995) ‘Incidence of adverse drug events and potential adverse drug events’, </w:t>
      </w:r>
      <w:r w:rsidRPr="3DC7A50A" w:rsidR="14B7E0A9">
        <w:rPr>
          <w:rFonts w:ascii="Arial" w:hAnsi="Arial" w:eastAsia="Arial" w:cs="Arial"/>
          <w:i w:val="1"/>
          <w:iCs w:val="1"/>
          <w:noProof w:val="0"/>
          <w:sz w:val="24"/>
          <w:szCs w:val="24"/>
          <w:lang w:val="en-US"/>
        </w:rPr>
        <w:t>JAMA</w:t>
      </w:r>
      <w:r w:rsidRPr="3DC7A50A" w:rsidR="14B7E0A9">
        <w:rPr>
          <w:rFonts w:ascii="Arial" w:hAnsi="Arial" w:eastAsia="Arial" w:cs="Arial"/>
          <w:noProof w:val="0"/>
          <w:sz w:val="24"/>
          <w:szCs w:val="24"/>
          <w:lang w:val="en-US"/>
        </w:rPr>
        <w:t xml:space="preserve">, 274(1), pp. 29–34. Available at: </w:t>
      </w:r>
      <w:hyperlink r:id="R91243c2fa6684379">
        <w:r w:rsidRPr="3DC7A50A" w:rsidR="14B7E0A9">
          <w:rPr>
            <w:rStyle w:val="Hyperlink"/>
            <w:rFonts w:ascii="Arial" w:hAnsi="Arial" w:eastAsia="Arial" w:cs="Arial"/>
            <w:noProof w:val="0"/>
            <w:sz w:val="24"/>
            <w:szCs w:val="24"/>
            <w:lang w:val="en-US"/>
          </w:rPr>
          <w:t>https://jamanetwork.com/journals/jama/article-abstract/388185</w:t>
        </w:r>
      </w:hyperlink>
      <w:r w:rsidRPr="3DC7A50A" w:rsidR="14B7E0A9">
        <w:rPr>
          <w:rFonts w:ascii="Arial" w:hAnsi="Arial" w:eastAsia="Arial" w:cs="Arial"/>
          <w:noProof w:val="0"/>
          <w:sz w:val="24"/>
          <w:szCs w:val="24"/>
          <w:lang w:val="en-US"/>
        </w:rPr>
        <w:t xml:space="preserve"> (Accessed: 3 December 2025).</w:t>
      </w:r>
    </w:p>
    <w:p w:rsidR="14B7E0A9" w:rsidP="3DC7A50A" w:rsidRDefault="14B7E0A9" w14:paraId="3D6E3C93" w14:textId="62031EC9">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Bates, D.W. et al. (2003) ‘The costs of adverse drug events’, </w:t>
      </w:r>
      <w:r w:rsidRPr="3DC7A50A" w:rsidR="14B7E0A9">
        <w:rPr>
          <w:rFonts w:ascii="Arial" w:hAnsi="Arial" w:eastAsia="Arial" w:cs="Arial"/>
          <w:i w:val="1"/>
          <w:iCs w:val="1"/>
          <w:noProof w:val="0"/>
          <w:sz w:val="24"/>
          <w:szCs w:val="24"/>
          <w:lang w:val="en-US"/>
        </w:rPr>
        <w:t>Journal of the American Medical Association</w:t>
      </w:r>
      <w:r w:rsidRPr="3DC7A50A" w:rsidR="14B7E0A9">
        <w:rPr>
          <w:rFonts w:ascii="Arial" w:hAnsi="Arial" w:eastAsia="Arial" w:cs="Arial"/>
          <w:noProof w:val="0"/>
          <w:sz w:val="24"/>
          <w:szCs w:val="24"/>
          <w:lang w:val="en-US"/>
        </w:rPr>
        <w:t>, 289(3), pp. 284–291.</w:t>
      </w:r>
    </w:p>
    <w:p w:rsidR="14B7E0A9" w:rsidP="3DC7A50A" w:rsidRDefault="14B7E0A9" w14:paraId="5C564B06" w14:textId="4646965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Bond, C.A. and Raehl, C.L. (2007) ‘Clinical pharmacy services and health outcomes’, </w:t>
      </w:r>
      <w:r w:rsidRPr="3DC7A50A" w:rsidR="14B7E0A9">
        <w:rPr>
          <w:rFonts w:ascii="Arial" w:hAnsi="Arial" w:eastAsia="Arial" w:cs="Arial"/>
          <w:i w:val="1"/>
          <w:iCs w:val="1"/>
          <w:noProof w:val="0"/>
          <w:sz w:val="24"/>
          <w:szCs w:val="24"/>
          <w:lang w:val="en-US"/>
        </w:rPr>
        <w:t>Pharmacotherapy</w:t>
      </w:r>
      <w:r w:rsidRPr="3DC7A50A" w:rsidR="14B7E0A9">
        <w:rPr>
          <w:rFonts w:ascii="Arial" w:hAnsi="Arial" w:eastAsia="Arial" w:cs="Arial"/>
          <w:noProof w:val="0"/>
          <w:sz w:val="24"/>
          <w:szCs w:val="24"/>
          <w:lang w:val="en-US"/>
        </w:rPr>
        <w:t>, 27(3), pp. 356–368.</w:t>
      </w:r>
    </w:p>
    <w:p w:rsidR="14B7E0A9" w:rsidP="3DC7A50A" w:rsidRDefault="14B7E0A9" w14:paraId="5B25E1CF" w14:textId="1B5B19E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Braun, </w:t>
      </w:r>
      <w:r w:rsidRPr="3DC7A50A" w:rsidR="14B7E0A9">
        <w:rPr>
          <w:rFonts w:ascii="Arial" w:hAnsi="Arial" w:eastAsia="Arial" w:cs="Arial"/>
          <w:noProof w:val="0"/>
          <w:sz w:val="24"/>
          <w:szCs w:val="24"/>
          <w:lang w:val="en-US"/>
        </w:rPr>
        <w:t>V.</w:t>
      </w:r>
      <w:r w:rsidRPr="3DC7A50A" w:rsidR="14B7E0A9">
        <w:rPr>
          <w:rFonts w:ascii="Arial" w:hAnsi="Arial" w:eastAsia="Arial" w:cs="Arial"/>
          <w:noProof w:val="0"/>
          <w:sz w:val="24"/>
          <w:szCs w:val="24"/>
          <w:lang w:val="en-US"/>
        </w:rPr>
        <w:t xml:space="preserve"> and Clarke, V. (2006) ‘Using thematic analysis in psychology’, </w:t>
      </w:r>
      <w:r w:rsidRPr="3DC7A50A" w:rsidR="14B7E0A9">
        <w:rPr>
          <w:rFonts w:ascii="Arial" w:hAnsi="Arial" w:eastAsia="Arial" w:cs="Arial"/>
          <w:i w:val="1"/>
          <w:iCs w:val="1"/>
          <w:noProof w:val="0"/>
          <w:sz w:val="24"/>
          <w:szCs w:val="24"/>
          <w:lang w:val="en-US"/>
        </w:rPr>
        <w:t>Qualitative Research in Psychology</w:t>
      </w:r>
      <w:r w:rsidRPr="3DC7A50A" w:rsidR="14B7E0A9">
        <w:rPr>
          <w:rFonts w:ascii="Arial" w:hAnsi="Arial" w:eastAsia="Arial" w:cs="Arial"/>
          <w:noProof w:val="0"/>
          <w:sz w:val="24"/>
          <w:szCs w:val="24"/>
          <w:lang w:val="en-US"/>
        </w:rPr>
        <w:t xml:space="preserve">, 3(2), pp. 77–101. Available at: </w:t>
      </w:r>
      <w:hyperlink r:id="R4cc59dd15adc4b03">
        <w:r w:rsidRPr="3DC7A50A" w:rsidR="14B7E0A9">
          <w:rPr>
            <w:rStyle w:val="Hyperlink"/>
            <w:rFonts w:ascii="Arial" w:hAnsi="Arial" w:eastAsia="Arial" w:cs="Arial"/>
            <w:noProof w:val="0"/>
            <w:sz w:val="24"/>
            <w:szCs w:val="24"/>
            <w:lang w:val="en-US"/>
          </w:rPr>
          <w:t>https://www.tandfonline.com/doi/10.1191/1478088706qp063oa</w:t>
        </w:r>
      </w:hyperlink>
      <w:r w:rsidRPr="3DC7A50A" w:rsidR="14B7E0A9">
        <w:rPr>
          <w:rFonts w:ascii="Arial" w:hAnsi="Arial" w:eastAsia="Arial" w:cs="Arial"/>
          <w:noProof w:val="0"/>
          <w:sz w:val="24"/>
          <w:szCs w:val="24"/>
          <w:lang w:val="en-US"/>
        </w:rPr>
        <w:t xml:space="preserve"> (Accessed: 15 December 2025).</w:t>
      </w:r>
    </w:p>
    <w:p w:rsidR="14B7E0A9" w:rsidP="3DC7A50A" w:rsidRDefault="14B7E0A9" w14:paraId="0C760050" w14:textId="258A2A80">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Buccheri, R.K. and Sharifi, C. (2017) ‘Critical appraisal tools in qualitative research’, </w:t>
      </w:r>
      <w:r w:rsidRPr="3DC7A50A" w:rsidR="14B7E0A9">
        <w:rPr>
          <w:rFonts w:ascii="Arial" w:hAnsi="Arial" w:eastAsia="Arial" w:cs="Arial"/>
          <w:i w:val="1"/>
          <w:iCs w:val="1"/>
          <w:noProof w:val="0"/>
          <w:sz w:val="24"/>
          <w:szCs w:val="24"/>
          <w:lang w:val="en-US"/>
        </w:rPr>
        <w:t>Journal of Nursing Education</w:t>
      </w:r>
      <w:r w:rsidRPr="3DC7A50A" w:rsidR="14B7E0A9">
        <w:rPr>
          <w:rFonts w:ascii="Arial" w:hAnsi="Arial" w:eastAsia="Arial" w:cs="Arial"/>
          <w:noProof w:val="0"/>
          <w:sz w:val="24"/>
          <w:szCs w:val="24"/>
          <w:lang w:val="en-US"/>
        </w:rPr>
        <w:t xml:space="preserve">, 56(4), pp. 234–238. Available at: </w:t>
      </w:r>
      <w:hyperlink r:id="R4838743471114d5d">
        <w:r w:rsidRPr="3DC7A50A" w:rsidR="14B7E0A9">
          <w:rPr>
            <w:rStyle w:val="Hyperlink"/>
            <w:rFonts w:ascii="Arial" w:hAnsi="Arial" w:eastAsia="Arial" w:cs="Arial"/>
            <w:noProof w:val="0"/>
            <w:sz w:val="24"/>
            <w:szCs w:val="24"/>
            <w:lang w:val="en-US"/>
          </w:rPr>
          <w:t>https://journals.healio.com/doi/10.3928/01484834-20170323-09</w:t>
        </w:r>
      </w:hyperlink>
      <w:r w:rsidRPr="3DC7A50A" w:rsidR="14B7E0A9">
        <w:rPr>
          <w:rFonts w:ascii="Arial" w:hAnsi="Arial" w:eastAsia="Arial" w:cs="Arial"/>
          <w:noProof w:val="0"/>
          <w:sz w:val="24"/>
          <w:szCs w:val="24"/>
          <w:lang w:val="en-US"/>
        </w:rPr>
        <w:t xml:space="preserve"> (Accessed: 27 December 2025).</w:t>
      </w:r>
    </w:p>
    <w:p w:rsidR="14B7E0A9" w:rsidP="3DC7A50A" w:rsidRDefault="14B7E0A9" w14:paraId="2C5A8600" w14:textId="02202BF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Campbell, E.M., Sittig, D.F., Ash, J.S. et al. (2006) ‘Types of unintended consequences related to CPOE’, </w:t>
      </w:r>
      <w:r w:rsidRPr="3DC7A50A" w:rsidR="14B7E0A9">
        <w:rPr>
          <w:rFonts w:ascii="Arial" w:hAnsi="Arial" w:eastAsia="Arial" w:cs="Arial"/>
          <w:i w:val="1"/>
          <w:iCs w:val="1"/>
          <w:noProof w:val="0"/>
          <w:sz w:val="24"/>
          <w:szCs w:val="24"/>
          <w:lang w:val="en-US"/>
        </w:rPr>
        <w:t>Journal of the American Medical Informatics Association</w:t>
      </w:r>
      <w:r w:rsidRPr="3DC7A50A" w:rsidR="14B7E0A9">
        <w:rPr>
          <w:rFonts w:ascii="Arial" w:hAnsi="Arial" w:eastAsia="Arial" w:cs="Arial"/>
          <w:noProof w:val="0"/>
          <w:sz w:val="24"/>
          <w:szCs w:val="24"/>
          <w:lang w:val="en-US"/>
        </w:rPr>
        <w:t xml:space="preserve">, 13(5), pp. 547–556. Available at: </w:t>
      </w:r>
      <w:hyperlink r:id="R696f69d0818d4565">
        <w:r w:rsidRPr="3DC7A50A" w:rsidR="14B7E0A9">
          <w:rPr>
            <w:rStyle w:val="Hyperlink"/>
            <w:rFonts w:ascii="Arial" w:hAnsi="Arial" w:eastAsia="Arial" w:cs="Arial"/>
            <w:noProof w:val="0"/>
            <w:sz w:val="24"/>
            <w:szCs w:val="24"/>
            <w:lang w:val="en-US"/>
          </w:rPr>
          <w:t>https://academic.oup.com/jamia/article/13/5/547/780732</w:t>
        </w:r>
      </w:hyperlink>
      <w:r w:rsidRPr="3DC7A50A" w:rsidR="14B7E0A9">
        <w:rPr>
          <w:rFonts w:ascii="Arial" w:hAnsi="Arial" w:eastAsia="Arial" w:cs="Arial"/>
          <w:noProof w:val="0"/>
          <w:sz w:val="24"/>
          <w:szCs w:val="24"/>
          <w:lang w:val="en-US"/>
        </w:rPr>
        <w:t xml:space="preserve"> (Accessed: 30 December 2025).</w:t>
      </w:r>
    </w:p>
    <w:p w:rsidR="14B7E0A9" w:rsidP="3DC7A50A" w:rsidRDefault="14B7E0A9" w14:paraId="2AAF1F62" w14:textId="276815E2">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Carayon</w:t>
      </w:r>
      <w:r w:rsidRPr="3DC7A50A" w:rsidR="14B7E0A9">
        <w:rPr>
          <w:rFonts w:ascii="Arial" w:hAnsi="Arial" w:eastAsia="Arial" w:cs="Arial"/>
          <w:noProof w:val="0"/>
          <w:sz w:val="24"/>
          <w:szCs w:val="24"/>
          <w:lang w:val="en-US"/>
        </w:rPr>
        <w:t xml:space="preserve">, P. and Wood, K.E. (2010) ‘Patient safety – the role of human factors’, </w:t>
      </w:r>
      <w:r w:rsidRPr="3DC7A50A" w:rsidR="14B7E0A9">
        <w:rPr>
          <w:rFonts w:ascii="Arial" w:hAnsi="Arial" w:eastAsia="Arial" w:cs="Arial"/>
          <w:i w:val="1"/>
          <w:iCs w:val="1"/>
          <w:noProof w:val="0"/>
          <w:sz w:val="24"/>
          <w:szCs w:val="24"/>
          <w:lang w:val="en-US"/>
        </w:rPr>
        <w:t>BMJ Quality &amp; Safety</w:t>
      </w:r>
      <w:r w:rsidRPr="3DC7A50A" w:rsidR="14B7E0A9">
        <w:rPr>
          <w:rFonts w:ascii="Arial" w:hAnsi="Arial" w:eastAsia="Arial" w:cs="Arial"/>
          <w:noProof w:val="0"/>
          <w:sz w:val="24"/>
          <w:szCs w:val="24"/>
          <w:lang w:val="en-US"/>
        </w:rPr>
        <w:t>, 19(6), pp. 529–531.</w:t>
      </w:r>
    </w:p>
    <w:p w:rsidR="14B7E0A9" w:rsidP="3DC7A50A" w:rsidRDefault="14B7E0A9" w14:paraId="12446C5C" w14:textId="3CB056D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Carayon</w:t>
      </w:r>
      <w:r w:rsidRPr="3DC7A50A" w:rsidR="14B7E0A9">
        <w:rPr>
          <w:rFonts w:ascii="Arial" w:hAnsi="Arial" w:eastAsia="Arial" w:cs="Arial"/>
          <w:noProof w:val="0"/>
          <w:sz w:val="24"/>
          <w:szCs w:val="24"/>
          <w:lang w:val="en-US"/>
        </w:rPr>
        <w:t xml:space="preserve">, P., Hundt, A.S., Karsh, B.-T. et al. (2006) ‘Work system design for patient safety’, </w:t>
      </w:r>
      <w:r w:rsidRPr="3DC7A50A" w:rsidR="14B7E0A9">
        <w:rPr>
          <w:rFonts w:ascii="Arial" w:hAnsi="Arial" w:eastAsia="Arial" w:cs="Arial"/>
          <w:i w:val="1"/>
          <w:iCs w:val="1"/>
          <w:noProof w:val="0"/>
          <w:sz w:val="24"/>
          <w:szCs w:val="24"/>
          <w:lang w:val="en-US"/>
        </w:rPr>
        <w:t>Human Factors</w:t>
      </w:r>
      <w:r w:rsidRPr="3DC7A50A" w:rsidR="14B7E0A9">
        <w:rPr>
          <w:rFonts w:ascii="Arial" w:hAnsi="Arial" w:eastAsia="Arial" w:cs="Arial"/>
          <w:noProof w:val="0"/>
          <w:sz w:val="24"/>
          <w:szCs w:val="24"/>
          <w:lang w:val="en-US"/>
        </w:rPr>
        <w:t xml:space="preserve">, 48(1), pp. 51–66. Available at: </w:t>
      </w:r>
      <w:hyperlink r:id="R8ac26aed9fb3453d">
        <w:r w:rsidRPr="3DC7A50A" w:rsidR="14B7E0A9">
          <w:rPr>
            <w:rStyle w:val="Hyperlink"/>
            <w:rFonts w:ascii="Arial" w:hAnsi="Arial" w:eastAsia="Arial" w:cs="Arial"/>
            <w:noProof w:val="0"/>
            <w:sz w:val="24"/>
            <w:szCs w:val="24"/>
            <w:lang w:val="en-US"/>
          </w:rPr>
          <w:t>https://journals.sagepub.com/doi/10.1518/001872006776412252</w:t>
        </w:r>
      </w:hyperlink>
      <w:r w:rsidRPr="3DC7A50A" w:rsidR="14B7E0A9">
        <w:rPr>
          <w:rFonts w:ascii="Arial" w:hAnsi="Arial" w:eastAsia="Arial" w:cs="Arial"/>
          <w:noProof w:val="0"/>
          <w:sz w:val="24"/>
          <w:szCs w:val="24"/>
          <w:lang w:val="en-US"/>
        </w:rPr>
        <w:t xml:space="preserve"> (Accessed: 12 December 2025).</w:t>
      </w:r>
    </w:p>
    <w:p w:rsidR="14B7E0A9" w:rsidP="3DC7A50A" w:rsidRDefault="14B7E0A9" w14:paraId="2055B76A" w14:textId="11C2F1A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CASP (2018) </w:t>
      </w:r>
      <w:r w:rsidRPr="3DC7A50A" w:rsidR="14B7E0A9">
        <w:rPr>
          <w:rFonts w:ascii="Arial" w:hAnsi="Arial" w:eastAsia="Arial" w:cs="Arial"/>
          <w:i w:val="1"/>
          <w:iCs w:val="1"/>
          <w:noProof w:val="0"/>
          <w:sz w:val="24"/>
          <w:szCs w:val="24"/>
          <w:lang w:val="en-US"/>
        </w:rPr>
        <w:t>CASP Qualitative Checklist</w:t>
      </w:r>
      <w:r w:rsidRPr="3DC7A50A" w:rsidR="14B7E0A9">
        <w:rPr>
          <w:rFonts w:ascii="Arial" w:hAnsi="Arial" w:eastAsia="Arial" w:cs="Arial"/>
          <w:noProof w:val="0"/>
          <w:sz w:val="24"/>
          <w:szCs w:val="24"/>
          <w:lang w:val="en-US"/>
        </w:rPr>
        <w:t xml:space="preserve">. Available at: </w:t>
      </w:r>
      <w:hyperlink r:id="R2f31d8ec027e465c">
        <w:r w:rsidRPr="3DC7A50A" w:rsidR="14B7E0A9">
          <w:rPr>
            <w:rStyle w:val="Hyperlink"/>
            <w:rFonts w:ascii="Arial" w:hAnsi="Arial" w:eastAsia="Arial" w:cs="Arial"/>
            <w:noProof w:val="0"/>
            <w:sz w:val="24"/>
            <w:szCs w:val="24"/>
            <w:lang w:val="en-US"/>
          </w:rPr>
          <w:t>https://casp-uk.net/casp-tools-checklists/</w:t>
        </w:r>
      </w:hyperlink>
      <w:r w:rsidRPr="3DC7A50A" w:rsidR="14B7E0A9">
        <w:rPr>
          <w:rFonts w:ascii="Arial" w:hAnsi="Arial" w:eastAsia="Arial" w:cs="Arial"/>
          <w:noProof w:val="0"/>
          <w:sz w:val="24"/>
          <w:szCs w:val="24"/>
          <w:lang w:val="en-US"/>
        </w:rPr>
        <w:t xml:space="preserve"> (Accessed: 6 December 2025).</w:t>
      </w:r>
    </w:p>
    <w:p w:rsidR="14B7E0A9" w:rsidP="3DC7A50A" w:rsidRDefault="14B7E0A9" w14:paraId="539EE404" w14:textId="6CD13FD1">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Crafford, L., et al. (2024) ‘Barriers to integrating clinical pharmacists’, </w:t>
      </w:r>
      <w:r w:rsidRPr="3DC7A50A" w:rsidR="14B7E0A9">
        <w:rPr>
          <w:rFonts w:ascii="Arial" w:hAnsi="Arial" w:eastAsia="Arial" w:cs="Arial"/>
          <w:i w:val="1"/>
          <w:iCs w:val="1"/>
          <w:noProof w:val="0"/>
          <w:sz w:val="24"/>
          <w:szCs w:val="24"/>
          <w:lang w:val="en-US"/>
        </w:rPr>
        <w:t>Research in Social and Administrative Pharmacy</w:t>
      </w:r>
      <w:r w:rsidRPr="3DC7A50A" w:rsidR="14B7E0A9">
        <w:rPr>
          <w:rFonts w:ascii="Arial" w:hAnsi="Arial" w:eastAsia="Arial" w:cs="Arial"/>
          <w:noProof w:val="0"/>
          <w:sz w:val="24"/>
          <w:szCs w:val="24"/>
          <w:lang w:val="en-US"/>
        </w:rPr>
        <w:t xml:space="preserve">, 20(3), pp. 234–241. Available at: </w:t>
      </w:r>
      <w:hyperlink r:id="R760842bd0bde4ea0">
        <w:r w:rsidRPr="3DC7A50A" w:rsidR="14B7E0A9">
          <w:rPr>
            <w:rStyle w:val="Hyperlink"/>
            <w:rFonts w:ascii="Arial" w:hAnsi="Arial" w:eastAsia="Arial" w:cs="Arial"/>
            <w:noProof w:val="0"/>
            <w:sz w:val="24"/>
            <w:szCs w:val="24"/>
            <w:lang w:val="en-US"/>
          </w:rPr>
          <w:t>https://www.sciencedirect.com/science/article/pii/S1551741123002516</w:t>
        </w:r>
      </w:hyperlink>
      <w:r w:rsidRPr="3DC7A50A" w:rsidR="14B7E0A9">
        <w:rPr>
          <w:rFonts w:ascii="Arial" w:hAnsi="Arial" w:eastAsia="Arial" w:cs="Arial"/>
          <w:noProof w:val="0"/>
          <w:sz w:val="24"/>
          <w:szCs w:val="24"/>
          <w:lang w:val="en-US"/>
        </w:rPr>
        <w:t xml:space="preserve"> (Accessed: 4 January 2026).</w:t>
      </w:r>
    </w:p>
    <w:p w:rsidR="14B7E0A9" w:rsidP="3DC7A50A" w:rsidRDefault="14B7E0A9" w14:paraId="51617B95" w14:textId="1D525169">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Crafford, L., et al. (2024) ‘Getting time and building trust: unveiling systemic barriers to integrating clinical pharmacists in South Africa’, </w:t>
      </w:r>
      <w:r w:rsidRPr="3DC7A50A" w:rsidR="14B7E0A9">
        <w:rPr>
          <w:rFonts w:ascii="Arial" w:hAnsi="Arial" w:eastAsia="Arial" w:cs="Arial"/>
          <w:i w:val="1"/>
          <w:iCs w:val="1"/>
          <w:noProof w:val="0"/>
          <w:sz w:val="24"/>
          <w:szCs w:val="24"/>
          <w:lang w:val="en-US"/>
        </w:rPr>
        <w:t>BMC Medical Education</w:t>
      </w:r>
      <w:r w:rsidRPr="3DC7A50A" w:rsidR="14B7E0A9">
        <w:rPr>
          <w:rFonts w:ascii="Arial" w:hAnsi="Arial" w:eastAsia="Arial" w:cs="Arial"/>
          <w:noProof w:val="0"/>
          <w:sz w:val="24"/>
          <w:szCs w:val="24"/>
          <w:lang w:val="en-US"/>
        </w:rPr>
        <w:t xml:space="preserve">, 24:112. Available at: </w:t>
      </w:r>
      <w:hyperlink r:id="R5e8b8d76026c4b6d">
        <w:r w:rsidRPr="3DC7A50A" w:rsidR="14B7E0A9">
          <w:rPr>
            <w:rStyle w:val="Hyperlink"/>
            <w:rFonts w:ascii="Arial" w:hAnsi="Arial" w:eastAsia="Arial" w:cs="Arial"/>
            <w:noProof w:val="0"/>
            <w:sz w:val="24"/>
            <w:szCs w:val="24"/>
            <w:lang w:val="en-US"/>
          </w:rPr>
          <w:t>https://bmchealthmededuc.biomedcentral.com/articles/10.1186/s12909-024-06187-3</w:t>
        </w:r>
      </w:hyperlink>
      <w:r w:rsidRPr="3DC7A50A" w:rsidR="14B7E0A9">
        <w:rPr>
          <w:rFonts w:ascii="Arial" w:hAnsi="Arial" w:eastAsia="Arial" w:cs="Arial"/>
          <w:noProof w:val="0"/>
          <w:sz w:val="24"/>
          <w:szCs w:val="24"/>
          <w:lang w:val="en-US"/>
        </w:rPr>
        <w:t xml:space="preserve"> (Accessed: 3 January 2026).</w:t>
      </w:r>
    </w:p>
    <w:p w:rsidR="14B7E0A9" w:rsidP="3DC7A50A" w:rsidRDefault="14B7E0A9" w14:paraId="00F0CF7B" w14:textId="31F6D08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Dean, B., Schachter, M., Vincent, </w:t>
      </w:r>
      <w:r w:rsidRPr="3DC7A50A" w:rsidR="14B7E0A9">
        <w:rPr>
          <w:rFonts w:ascii="Arial" w:hAnsi="Arial" w:eastAsia="Arial" w:cs="Arial"/>
          <w:noProof w:val="0"/>
          <w:sz w:val="24"/>
          <w:szCs w:val="24"/>
          <w:lang w:val="en-US"/>
        </w:rPr>
        <w:t>C.</w:t>
      </w:r>
      <w:r w:rsidRPr="3DC7A50A" w:rsidR="14B7E0A9">
        <w:rPr>
          <w:rFonts w:ascii="Arial" w:hAnsi="Arial" w:eastAsia="Arial" w:cs="Arial"/>
          <w:noProof w:val="0"/>
          <w:sz w:val="24"/>
          <w:szCs w:val="24"/>
          <w:lang w:val="en-US"/>
        </w:rPr>
        <w:t xml:space="preserve"> and Barber, N. (2002) ‘Causes of prescribing errors’, </w:t>
      </w:r>
      <w:r w:rsidRPr="3DC7A50A" w:rsidR="14B7E0A9">
        <w:rPr>
          <w:rFonts w:ascii="Arial" w:hAnsi="Arial" w:eastAsia="Arial" w:cs="Arial"/>
          <w:i w:val="1"/>
          <w:iCs w:val="1"/>
          <w:noProof w:val="0"/>
          <w:sz w:val="24"/>
          <w:szCs w:val="24"/>
          <w:lang w:val="en-US"/>
        </w:rPr>
        <w:t>Quality in Health Care</w:t>
      </w:r>
      <w:r w:rsidRPr="3DC7A50A" w:rsidR="14B7E0A9">
        <w:rPr>
          <w:rFonts w:ascii="Arial" w:hAnsi="Arial" w:eastAsia="Arial" w:cs="Arial"/>
          <w:noProof w:val="0"/>
          <w:sz w:val="24"/>
          <w:szCs w:val="24"/>
          <w:lang w:val="en-US"/>
        </w:rPr>
        <w:t xml:space="preserve">, 11(1), pp. 9–15. Available at: </w:t>
      </w:r>
      <w:hyperlink r:id="Rfda0139c2586401c">
        <w:r w:rsidRPr="3DC7A50A" w:rsidR="14B7E0A9">
          <w:rPr>
            <w:rStyle w:val="Hyperlink"/>
            <w:rFonts w:ascii="Arial" w:hAnsi="Arial" w:eastAsia="Arial" w:cs="Arial"/>
            <w:noProof w:val="0"/>
            <w:sz w:val="24"/>
            <w:szCs w:val="24"/>
            <w:lang w:val="en-US"/>
          </w:rPr>
          <w:t>https://qualitysafety.bmj.com/content/11/1/9</w:t>
        </w:r>
      </w:hyperlink>
      <w:r w:rsidRPr="3DC7A50A" w:rsidR="14B7E0A9">
        <w:rPr>
          <w:rFonts w:ascii="Arial" w:hAnsi="Arial" w:eastAsia="Arial" w:cs="Arial"/>
          <w:noProof w:val="0"/>
          <w:sz w:val="24"/>
          <w:szCs w:val="24"/>
          <w:lang w:val="en-US"/>
        </w:rPr>
        <w:t xml:space="preserve"> (Accessed: 3 December 2025).</w:t>
      </w:r>
    </w:p>
    <w:p w:rsidR="14B7E0A9" w:rsidP="3DC7A50A" w:rsidRDefault="14B7E0A9" w14:paraId="0DF1A81C" w14:textId="33021CB3">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Dean, B. et al. (2002) ‘Causes of prescribing errors in hospital inpatients: a prospective study’, </w:t>
      </w:r>
      <w:r w:rsidRPr="3DC7A50A" w:rsidR="14B7E0A9">
        <w:rPr>
          <w:rFonts w:ascii="Arial" w:hAnsi="Arial" w:eastAsia="Arial" w:cs="Arial"/>
          <w:i w:val="1"/>
          <w:iCs w:val="1"/>
          <w:noProof w:val="0"/>
          <w:sz w:val="24"/>
          <w:szCs w:val="24"/>
          <w:lang w:val="en-US"/>
        </w:rPr>
        <w:t>The Lancet</w:t>
      </w:r>
      <w:r w:rsidRPr="3DC7A50A" w:rsidR="14B7E0A9">
        <w:rPr>
          <w:rFonts w:ascii="Arial" w:hAnsi="Arial" w:eastAsia="Arial" w:cs="Arial"/>
          <w:noProof w:val="0"/>
          <w:sz w:val="24"/>
          <w:szCs w:val="24"/>
          <w:lang w:val="en-US"/>
        </w:rPr>
        <w:t>, 359(9315), pp. 1373–1378.</w:t>
      </w:r>
    </w:p>
    <w:p w:rsidR="14B7E0A9" w:rsidP="3DC7A50A" w:rsidRDefault="14B7E0A9" w14:paraId="161EB178" w14:textId="0AE59235">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Donaldson, L.J. et al. (2017) ‘Medication Without Harm: WHO’s Third Global Patient Safety Challenge’, </w:t>
      </w:r>
      <w:r w:rsidRPr="3DC7A50A" w:rsidR="14B7E0A9">
        <w:rPr>
          <w:rFonts w:ascii="Arial" w:hAnsi="Arial" w:eastAsia="Arial" w:cs="Arial"/>
          <w:i w:val="1"/>
          <w:iCs w:val="1"/>
          <w:noProof w:val="0"/>
          <w:sz w:val="24"/>
          <w:szCs w:val="24"/>
          <w:lang w:val="en-US"/>
        </w:rPr>
        <w:t>The Lancet</w:t>
      </w:r>
      <w:r w:rsidRPr="3DC7A50A" w:rsidR="14B7E0A9">
        <w:rPr>
          <w:rFonts w:ascii="Arial" w:hAnsi="Arial" w:eastAsia="Arial" w:cs="Arial"/>
          <w:noProof w:val="0"/>
          <w:sz w:val="24"/>
          <w:szCs w:val="24"/>
          <w:lang w:val="en-US"/>
        </w:rPr>
        <w:t>, 389(10080), pp. 1680–1681.</w:t>
      </w:r>
    </w:p>
    <w:p w:rsidR="14B7E0A9" w:rsidP="3DC7A50A" w:rsidRDefault="14B7E0A9" w14:paraId="451DA9CF" w14:textId="3447B252">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Elliott, R.A. et al. (2018) ‘The prevalence and economic burden of medication errors in the NHS in England’, </w:t>
      </w:r>
      <w:r w:rsidRPr="3DC7A50A" w:rsidR="14B7E0A9">
        <w:rPr>
          <w:rFonts w:ascii="Arial" w:hAnsi="Arial" w:eastAsia="Arial" w:cs="Arial"/>
          <w:i w:val="1"/>
          <w:iCs w:val="1"/>
          <w:noProof w:val="0"/>
          <w:sz w:val="24"/>
          <w:szCs w:val="24"/>
          <w:lang w:val="en-US"/>
        </w:rPr>
        <w:t>BMJ Quality &amp; Safety</w:t>
      </w:r>
      <w:r w:rsidRPr="3DC7A50A" w:rsidR="14B7E0A9">
        <w:rPr>
          <w:rFonts w:ascii="Arial" w:hAnsi="Arial" w:eastAsia="Arial" w:cs="Arial"/>
          <w:noProof w:val="0"/>
          <w:sz w:val="24"/>
          <w:szCs w:val="24"/>
          <w:lang w:val="en-US"/>
        </w:rPr>
        <w:t>, 30(2), pp. 96–105.</w:t>
      </w:r>
    </w:p>
    <w:p w:rsidR="14B7E0A9" w:rsidP="3DC7A50A" w:rsidRDefault="14B7E0A9" w14:paraId="0A4673D9" w14:textId="067C7E80">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Fischer, M.A. et al. (2010) ‘Primary medication non-adherence’, </w:t>
      </w:r>
      <w:r w:rsidRPr="3DC7A50A" w:rsidR="14B7E0A9">
        <w:rPr>
          <w:rFonts w:ascii="Arial" w:hAnsi="Arial" w:eastAsia="Arial" w:cs="Arial"/>
          <w:i w:val="1"/>
          <w:iCs w:val="1"/>
          <w:noProof w:val="0"/>
          <w:sz w:val="24"/>
          <w:szCs w:val="24"/>
          <w:lang w:val="en-US"/>
        </w:rPr>
        <w:t>Journal of General Internal Medicine</w:t>
      </w:r>
      <w:r w:rsidRPr="3DC7A50A" w:rsidR="14B7E0A9">
        <w:rPr>
          <w:rFonts w:ascii="Arial" w:hAnsi="Arial" w:eastAsia="Arial" w:cs="Arial"/>
          <w:noProof w:val="0"/>
          <w:sz w:val="24"/>
          <w:szCs w:val="24"/>
          <w:lang w:val="en-US"/>
        </w:rPr>
        <w:t>, 25(4), pp. 284–290.</w:t>
      </w:r>
    </w:p>
    <w:p w:rsidR="14B7E0A9" w:rsidP="3DC7A50A" w:rsidRDefault="14B7E0A9" w14:paraId="18E19447" w14:textId="50F8F9C7">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Gandhi, T.K. et al. (2003) ‘Adverse drug events in ambulatory care’, </w:t>
      </w:r>
      <w:r w:rsidRPr="3DC7A50A" w:rsidR="14B7E0A9">
        <w:rPr>
          <w:rFonts w:ascii="Arial" w:hAnsi="Arial" w:eastAsia="Arial" w:cs="Arial"/>
          <w:i w:val="1"/>
          <w:iCs w:val="1"/>
          <w:noProof w:val="0"/>
          <w:sz w:val="24"/>
          <w:szCs w:val="24"/>
          <w:lang w:val="en-US"/>
        </w:rPr>
        <w:t>New England Journal of Medicine</w:t>
      </w:r>
      <w:r w:rsidRPr="3DC7A50A" w:rsidR="14B7E0A9">
        <w:rPr>
          <w:rFonts w:ascii="Arial" w:hAnsi="Arial" w:eastAsia="Arial" w:cs="Arial"/>
          <w:noProof w:val="0"/>
          <w:sz w:val="24"/>
          <w:szCs w:val="24"/>
          <w:lang w:val="en-US"/>
        </w:rPr>
        <w:t>, 348(16), pp. 1556–1564.</w:t>
      </w:r>
    </w:p>
    <w:p w:rsidR="14B7E0A9" w:rsidP="3DC7A50A" w:rsidRDefault="14B7E0A9" w14:paraId="36E61637" w14:textId="133B6F11">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Gelayee</w:t>
      </w:r>
      <w:r w:rsidRPr="3DC7A50A" w:rsidR="14B7E0A9">
        <w:rPr>
          <w:rFonts w:ascii="Arial" w:hAnsi="Arial" w:eastAsia="Arial" w:cs="Arial"/>
          <w:noProof w:val="0"/>
          <w:sz w:val="24"/>
          <w:szCs w:val="24"/>
          <w:lang w:val="en-US"/>
        </w:rPr>
        <w:t xml:space="preserve">, D.A. (2017) ‘Medication errors in community pharmacy’, </w:t>
      </w:r>
      <w:r w:rsidRPr="3DC7A50A" w:rsidR="14B7E0A9">
        <w:rPr>
          <w:rFonts w:ascii="Arial" w:hAnsi="Arial" w:eastAsia="Arial" w:cs="Arial"/>
          <w:i w:val="1"/>
          <w:iCs w:val="1"/>
          <w:noProof w:val="0"/>
          <w:sz w:val="24"/>
          <w:szCs w:val="24"/>
          <w:lang w:val="en-US"/>
        </w:rPr>
        <w:t>Integrated Pharmacy Research and Practice</w:t>
      </w:r>
      <w:r w:rsidRPr="3DC7A50A" w:rsidR="14B7E0A9">
        <w:rPr>
          <w:rFonts w:ascii="Arial" w:hAnsi="Arial" w:eastAsia="Arial" w:cs="Arial"/>
          <w:noProof w:val="0"/>
          <w:sz w:val="24"/>
          <w:szCs w:val="24"/>
          <w:lang w:val="en-US"/>
        </w:rPr>
        <w:t xml:space="preserve">, 6, pp. 1–8. Available at: </w:t>
      </w:r>
      <w:hyperlink r:id="R016476de103c41de">
        <w:r w:rsidRPr="3DC7A50A" w:rsidR="14B7E0A9">
          <w:rPr>
            <w:rStyle w:val="Hyperlink"/>
            <w:rFonts w:ascii="Arial" w:hAnsi="Arial" w:eastAsia="Arial" w:cs="Arial"/>
            <w:noProof w:val="0"/>
            <w:sz w:val="24"/>
            <w:szCs w:val="24"/>
            <w:lang w:val="en-US"/>
          </w:rPr>
          <w:t>https://www.dovepress.com/articles.php?article_id=33327</w:t>
        </w:r>
      </w:hyperlink>
      <w:r w:rsidRPr="3DC7A50A" w:rsidR="14B7E0A9">
        <w:rPr>
          <w:rFonts w:ascii="Arial" w:hAnsi="Arial" w:eastAsia="Arial" w:cs="Arial"/>
          <w:noProof w:val="0"/>
          <w:sz w:val="24"/>
          <w:szCs w:val="24"/>
          <w:lang w:val="en-US"/>
        </w:rPr>
        <w:t xml:space="preserve"> (Accessed: 8 December 2025).</w:t>
      </w:r>
    </w:p>
    <w:p w:rsidR="14B7E0A9" w:rsidP="3DC7A50A" w:rsidRDefault="14B7E0A9" w14:paraId="360F26A9" w14:textId="32C874CE">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Gelayee</w:t>
      </w:r>
      <w:r w:rsidRPr="3DC7A50A" w:rsidR="14B7E0A9">
        <w:rPr>
          <w:rFonts w:ascii="Arial" w:hAnsi="Arial" w:eastAsia="Arial" w:cs="Arial"/>
          <w:noProof w:val="0"/>
          <w:sz w:val="24"/>
          <w:szCs w:val="24"/>
          <w:lang w:val="en-US"/>
        </w:rPr>
        <w:t xml:space="preserve">, D.A. (2017) ‘Perceptions of community pharmacists towards dispensing errors: a qualitative study’, </w:t>
      </w:r>
      <w:r w:rsidRPr="3DC7A50A" w:rsidR="14B7E0A9">
        <w:rPr>
          <w:rFonts w:ascii="Arial" w:hAnsi="Arial" w:eastAsia="Arial" w:cs="Arial"/>
          <w:i w:val="1"/>
          <w:iCs w:val="1"/>
          <w:noProof w:val="0"/>
          <w:sz w:val="24"/>
          <w:szCs w:val="24"/>
          <w:lang w:val="en-US"/>
        </w:rPr>
        <w:t>Integrated Pharmacy Research and Practice</w:t>
      </w:r>
      <w:r w:rsidRPr="3DC7A50A" w:rsidR="14B7E0A9">
        <w:rPr>
          <w:rFonts w:ascii="Arial" w:hAnsi="Arial" w:eastAsia="Arial" w:cs="Arial"/>
          <w:noProof w:val="0"/>
          <w:sz w:val="24"/>
          <w:szCs w:val="24"/>
          <w:lang w:val="en-US"/>
        </w:rPr>
        <w:t xml:space="preserve">, 6, pp. 1–8. Available at: </w:t>
      </w:r>
      <w:hyperlink r:id="Rf2317f9e7ab14575">
        <w:r w:rsidRPr="3DC7A50A" w:rsidR="14B7E0A9">
          <w:rPr>
            <w:rStyle w:val="Hyperlink"/>
            <w:rFonts w:ascii="Arial" w:hAnsi="Arial" w:eastAsia="Arial" w:cs="Arial"/>
            <w:noProof w:val="0"/>
            <w:sz w:val="24"/>
            <w:szCs w:val="24"/>
            <w:lang w:val="en-US"/>
          </w:rPr>
          <w:t>https://www.ncbi.nlm.nih.gov/pmc/articles/PMC5458368/</w:t>
        </w:r>
      </w:hyperlink>
      <w:r w:rsidRPr="3DC7A50A" w:rsidR="14B7E0A9">
        <w:rPr>
          <w:rFonts w:ascii="Arial" w:hAnsi="Arial" w:eastAsia="Arial" w:cs="Arial"/>
          <w:noProof w:val="0"/>
          <w:sz w:val="24"/>
          <w:szCs w:val="24"/>
          <w:lang w:val="en-US"/>
        </w:rPr>
        <w:t xml:space="preserve"> (Accessed: 8 December 2025).</w:t>
      </w:r>
    </w:p>
    <w:p w:rsidR="14B7E0A9" w:rsidP="3DC7A50A" w:rsidRDefault="14B7E0A9" w14:paraId="28799E32" w14:textId="2AD69C3A">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Grissinger, M. (2014) ‘Too many abandon the basics of safe medication use’, </w:t>
      </w:r>
      <w:r w:rsidRPr="3DC7A50A" w:rsidR="14B7E0A9">
        <w:rPr>
          <w:rFonts w:ascii="Arial" w:hAnsi="Arial" w:eastAsia="Arial" w:cs="Arial"/>
          <w:i w:val="1"/>
          <w:iCs w:val="1"/>
          <w:noProof w:val="0"/>
          <w:sz w:val="24"/>
          <w:szCs w:val="24"/>
          <w:lang w:val="en-US"/>
        </w:rPr>
        <w:t>Pharmacy and Therapeutics</w:t>
      </w:r>
      <w:r w:rsidRPr="3DC7A50A" w:rsidR="14B7E0A9">
        <w:rPr>
          <w:rFonts w:ascii="Arial" w:hAnsi="Arial" w:eastAsia="Arial" w:cs="Arial"/>
          <w:noProof w:val="0"/>
          <w:sz w:val="24"/>
          <w:szCs w:val="24"/>
          <w:lang w:val="en-US"/>
        </w:rPr>
        <w:t xml:space="preserve">, 39(4), pp. 265–268. Available at: </w:t>
      </w:r>
      <w:hyperlink r:id="R8ebf5df414b74b5d">
        <w:r w:rsidRPr="3DC7A50A" w:rsidR="14B7E0A9">
          <w:rPr>
            <w:rStyle w:val="Hyperlink"/>
            <w:rFonts w:ascii="Arial" w:hAnsi="Arial" w:eastAsia="Arial" w:cs="Arial"/>
            <w:noProof w:val="0"/>
            <w:sz w:val="24"/>
            <w:szCs w:val="24"/>
            <w:lang w:val="en-US"/>
          </w:rPr>
          <w:t>https://www.ncbi.nlm.nih.gov/pmc/articles/PMC3985519/</w:t>
        </w:r>
      </w:hyperlink>
      <w:r w:rsidRPr="3DC7A50A" w:rsidR="14B7E0A9">
        <w:rPr>
          <w:rFonts w:ascii="Arial" w:hAnsi="Arial" w:eastAsia="Arial" w:cs="Arial"/>
          <w:noProof w:val="0"/>
          <w:sz w:val="24"/>
          <w:szCs w:val="24"/>
          <w:lang w:val="en-US"/>
        </w:rPr>
        <w:t xml:space="preserve"> (Accessed: 18 December 2025).</w:t>
      </w:r>
    </w:p>
    <w:p w:rsidR="14B7E0A9" w:rsidP="3DC7A50A" w:rsidRDefault="14B7E0A9" w14:paraId="704ECC3C" w14:textId="0D90004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Haddaway, N.R. et al. (2020) ‘The role of Google Scholar in evidence reviews’, </w:t>
      </w:r>
      <w:r w:rsidRPr="3DC7A50A" w:rsidR="14B7E0A9">
        <w:rPr>
          <w:rFonts w:ascii="Arial" w:hAnsi="Arial" w:eastAsia="Arial" w:cs="Arial"/>
          <w:i w:val="1"/>
          <w:iCs w:val="1"/>
          <w:noProof w:val="0"/>
          <w:sz w:val="24"/>
          <w:szCs w:val="24"/>
          <w:lang w:val="en-US"/>
        </w:rPr>
        <w:t>PLOS ONE</w:t>
      </w:r>
      <w:r w:rsidRPr="3DC7A50A" w:rsidR="14B7E0A9">
        <w:rPr>
          <w:rFonts w:ascii="Arial" w:hAnsi="Arial" w:eastAsia="Arial" w:cs="Arial"/>
          <w:noProof w:val="0"/>
          <w:sz w:val="24"/>
          <w:szCs w:val="24"/>
          <w:lang w:val="en-US"/>
        </w:rPr>
        <w:t>, 10(9), e0138237.</w:t>
      </w:r>
    </w:p>
    <w:p w:rsidR="14B7E0A9" w:rsidP="3DC7A50A" w:rsidRDefault="14B7E0A9" w14:paraId="69596F29" w14:textId="6A9AE5C6">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Harris, R. et al. (2020) ‘Understanding patient safety risks in LMIC pharmacies’, </w:t>
      </w:r>
      <w:r w:rsidRPr="3DC7A50A" w:rsidR="14B7E0A9">
        <w:rPr>
          <w:rFonts w:ascii="Arial" w:hAnsi="Arial" w:eastAsia="Arial" w:cs="Arial"/>
          <w:i w:val="1"/>
          <w:iCs w:val="1"/>
          <w:noProof w:val="0"/>
          <w:sz w:val="24"/>
          <w:szCs w:val="24"/>
          <w:lang w:val="en-US"/>
        </w:rPr>
        <w:t>BMJ Global Health</w:t>
      </w:r>
      <w:r w:rsidRPr="3DC7A50A" w:rsidR="14B7E0A9">
        <w:rPr>
          <w:rFonts w:ascii="Arial" w:hAnsi="Arial" w:eastAsia="Arial" w:cs="Arial"/>
          <w:noProof w:val="0"/>
          <w:sz w:val="24"/>
          <w:szCs w:val="24"/>
          <w:lang w:val="en-US"/>
        </w:rPr>
        <w:t>, 5(5), e002246.</w:t>
      </w:r>
    </w:p>
    <w:p w:rsidR="14B7E0A9" w:rsidP="3DC7A50A" w:rsidRDefault="14B7E0A9" w14:paraId="72419675" w14:textId="7FC03570">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Hughes, R.G. (2008)</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Patient</w:t>
      </w:r>
      <w:r w:rsidRPr="3DC7A50A" w:rsidR="14B7E0A9">
        <w:rPr>
          <w:rFonts w:ascii="Arial" w:hAnsi="Arial" w:eastAsia="Arial" w:cs="Arial"/>
          <w:i w:val="1"/>
          <w:iCs w:val="1"/>
          <w:noProof w:val="0"/>
          <w:sz w:val="24"/>
          <w:szCs w:val="24"/>
          <w:lang w:val="en-US"/>
        </w:rPr>
        <w:t xml:space="preserve"> Safety and Quality: An Evidence-Based Handbook for Nurses</w:t>
      </w:r>
      <w:r w:rsidRPr="3DC7A50A" w:rsidR="14B7E0A9">
        <w:rPr>
          <w:rFonts w:ascii="Arial" w:hAnsi="Arial" w:eastAsia="Arial" w:cs="Arial"/>
          <w:noProof w:val="0"/>
          <w:sz w:val="24"/>
          <w:szCs w:val="24"/>
          <w:lang w:val="en-US"/>
        </w:rPr>
        <w:t xml:space="preserve">. Rockville, MD: AHRQ. Available at: </w:t>
      </w:r>
      <w:hyperlink r:id="R7e48adbbc36b47ee">
        <w:r w:rsidRPr="3DC7A50A" w:rsidR="14B7E0A9">
          <w:rPr>
            <w:rStyle w:val="Hyperlink"/>
            <w:rFonts w:ascii="Arial" w:hAnsi="Arial" w:eastAsia="Arial" w:cs="Arial"/>
            <w:noProof w:val="0"/>
            <w:sz w:val="24"/>
            <w:szCs w:val="24"/>
            <w:lang w:val="en-US"/>
          </w:rPr>
          <w:t>https://www.ncbi.nlm.nih.gov/books/NBK2651/</w:t>
        </w:r>
      </w:hyperlink>
      <w:r w:rsidRPr="3DC7A50A" w:rsidR="14B7E0A9">
        <w:rPr>
          <w:rFonts w:ascii="Arial" w:hAnsi="Arial" w:eastAsia="Arial" w:cs="Arial"/>
          <w:noProof w:val="0"/>
          <w:sz w:val="24"/>
          <w:szCs w:val="24"/>
          <w:lang w:val="en-US"/>
        </w:rPr>
        <w:t xml:space="preserve"> (Accessed: 10 December 2025).</w:t>
      </w:r>
    </w:p>
    <w:p w:rsidR="14B7E0A9" w:rsidP="3DC7A50A" w:rsidRDefault="14B7E0A9" w14:paraId="1561CE67" w14:textId="51B07CD6">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Institute for Healthcare Improvement (2018) </w:t>
      </w:r>
      <w:r w:rsidRPr="3DC7A50A" w:rsidR="14B7E0A9">
        <w:rPr>
          <w:rFonts w:ascii="Arial" w:hAnsi="Arial" w:eastAsia="Arial" w:cs="Arial"/>
          <w:i w:val="1"/>
          <w:iCs w:val="1"/>
          <w:noProof w:val="0"/>
          <w:sz w:val="24"/>
          <w:szCs w:val="24"/>
          <w:lang w:val="en-US"/>
        </w:rPr>
        <w:t>Quality Improvement Essentials Toolkit</w:t>
      </w:r>
      <w:r w:rsidRPr="3DC7A50A" w:rsidR="14B7E0A9">
        <w:rPr>
          <w:rFonts w:ascii="Arial" w:hAnsi="Arial" w:eastAsia="Arial" w:cs="Arial"/>
          <w:noProof w:val="0"/>
          <w:sz w:val="24"/>
          <w:szCs w:val="24"/>
          <w:lang w:val="en-US"/>
        </w:rPr>
        <w:t xml:space="preserve">. Available at: </w:t>
      </w:r>
      <w:hyperlink r:id="R9487b245a7894add">
        <w:r w:rsidRPr="3DC7A50A" w:rsidR="14B7E0A9">
          <w:rPr>
            <w:rStyle w:val="Hyperlink"/>
            <w:rFonts w:ascii="Arial" w:hAnsi="Arial" w:eastAsia="Arial" w:cs="Arial"/>
            <w:noProof w:val="0"/>
            <w:sz w:val="24"/>
            <w:szCs w:val="24"/>
            <w:lang w:val="en-US"/>
          </w:rPr>
          <w:t>https://www.ihi.org/resources/Pages/Tools/Quality-Improvement-Essentials-Toolkit.aspx</w:t>
        </w:r>
      </w:hyperlink>
      <w:r w:rsidRPr="3DC7A50A" w:rsidR="14B7E0A9">
        <w:rPr>
          <w:rFonts w:ascii="Arial" w:hAnsi="Arial" w:eastAsia="Arial" w:cs="Arial"/>
          <w:noProof w:val="0"/>
          <w:sz w:val="24"/>
          <w:szCs w:val="24"/>
          <w:lang w:val="en-US"/>
        </w:rPr>
        <w:t xml:space="preserve"> (Accessed: 6 December 2025).</w:t>
      </w:r>
    </w:p>
    <w:p w:rsidR="14B7E0A9" w:rsidP="3DC7A50A" w:rsidRDefault="14B7E0A9" w14:paraId="7AFD1BCA" w14:textId="5C1F8B2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Institute for Safe Medication Practices (2019) </w:t>
      </w:r>
      <w:r w:rsidRPr="3DC7A50A" w:rsidR="14B7E0A9">
        <w:rPr>
          <w:rFonts w:ascii="Arial" w:hAnsi="Arial" w:eastAsia="Arial" w:cs="Arial"/>
          <w:i w:val="1"/>
          <w:iCs w:val="1"/>
          <w:noProof w:val="0"/>
          <w:sz w:val="24"/>
          <w:szCs w:val="24"/>
          <w:lang w:val="en-US"/>
        </w:rPr>
        <w:t>Medication Safety in Community Pharmacy</w:t>
      </w:r>
      <w:r w:rsidRPr="3DC7A50A" w:rsidR="14B7E0A9">
        <w:rPr>
          <w:rFonts w:ascii="Arial" w:hAnsi="Arial" w:eastAsia="Arial" w:cs="Arial"/>
          <w:noProof w:val="0"/>
          <w:sz w:val="24"/>
          <w:szCs w:val="24"/>
          <w:lang w:val="en-US"/>
        </w:rPr>
        <w:t>. Pennsylvania: ISMP.</w:t>
      </w:r>
    </w:p>
    <w:p w:rsidR="14B7E0A9" w:rsidP="3DC7A50A" w:rsidRDefault="14B7E0A9" w14:paraId="2873E13F" w14:textId="73E4430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Institute of Medicine (2000) </w:t>
      </w:r>
      <w:r w:rsidRPr="3DC7A50A" w:rsidR="14B7E0A9">
        <w:rPr>
          <w:rFonts w:ascii="Arial" w:hAnsi="Arial" w:eastAsia="Arial" w:cs="Arial"/>
          <w:i w:val="1"/>
          <w:iCs w:val="1"/>
          <w:noProof w:val="0"/>
          <w:sz w:val="24"/>
          <w:szCs w:val="24"/>
          <w:lang w:val="en-US"/>
        </w:rPr>
        <w:t>To Err Is Human: Building a Safer Health System</w:t>
      </w:r>
      <w:r w:rsidRPr="3DC7A50A" w:rsidR="14B7E0A9">
        <w:rPr>
          <w:rFonts w:ascii="Arial" w:hAnsi="Arial" w:eastAsia="Arial" w:cs="Arial"/>
          <w:noProof w:val="0"/>
          <w:sz w:val="24"/>
          <w:szCs w:val="24"/>
          <w:lang w:val="en-US"/>
        </w:rPr>
        <w:t xml:space="preserve">. Washington, DC: National Academies Press. Available at: </w:t>
      </w:r>
      <w:hyperlink r:id="R28d04e547efb4b59">
        <w:r w:rsidRPr="3DC7A50A" w:rsidR="14B7E0A9">
          <w:rPr>
            <w:rStyle w:val="Hyperlink"/>
            <w:rFonts w:ascii="Arial" w:hAnsi="Arial" w:eastAsia="Arial" w:cs="Arial"/>
            <w:noProof w:val="0"/>
            <w:sz w:val="24"/>
            <w:szCs w:val="24"/>
            <w:lang w:val="en-US"/>
          </w:rPr>
          <w:t>https://nap.nationalacademies.org/catalog/9728/to-err-is-human-building-a-safer-health-system</w:t>
        </w:r>
      </w:hyperlink>
      <w:r w:rsidRPr="3DC7A50A" w:rsidR="14B7E0A9">
        <w:rPr>
          <w:rFonts w:ascii="Arial" w:hAnsi="Arial" w:eastAsia="Arial" w:cs="Arial"/>
          <w:noProof w:val="0"/>
          <w:sz w:val="24"/>
          <w:szCs w:val="24"/>
          <w:lang w:val="en-US"/>
        </w:rPr>
        <w:t xml:space="preserve"> (Accessed: 4 December 2025).</w:t>
      </w:r>
    </w:p>
    <w:p w:rsidR="14B7E0A9" w:rsidP="3DC7A50A" w:rsidRDefault="14B7E0A9" w14:paraId="015B26CB" w14:textId="6876271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James, K.L., Barlow, D. and </w:t>
      </w:r>
      <w:r w:rsidRPr="3DC7A50A" w:rsidR="14B7E0A9">
        <w:rPr>
          <w:rFonts w:ascii="Arial" w:hAnsi="Arial" w:eastAsia="Arial" w:cs="Arial"/>
          <w:noProof w:val="0"/>
          <w:sz w:val="24"/>
          <w:szCs w:val="24"/>
          <w:lang w:val="en-US"/>
        </w:rPr>
        <w:t>McArtney</w:t>
      </w:r>
      <w:r w:rsidRPr="3DC7A50A" w:rsidR="14B7E0A9">
        <w:rPr>
          <w:rFonts w:ascii="Arial" w:hAnsi="Arial" w:eastAsia="Arial" w:cs="Arial"/>
          <w:noProof w:val="0"/>
          <w:sz w:val="24"/>
          <w:szCs w:val="24"/>
          <w:lang w:val="en-US"/>
        </w:rPr>
        <w:t xml:space="preserve">, R. (2009) ‘Incidence, type and causes of dispensing errors’, </w:t>
      </w:r>
      <w:r w:rsidRPr="3DC7A50A" w:rsidR="14B7E0A9">
        <w:rPr>
          <w:rFonts w:ascii="Arial" w:hAnsi="Arial" w:eastAsia="Arial" w:cs="Arial"/>
          <w:i w:val="1"/>
          <w:iCs w:val="1"/>
          <w:noProof w:val="0"/>
          <w:sz w:val="24"/>
          <w:szCs w:val="24"/>
          <w:lang w:val="en-US"/>
        </w:rPr>
        <w:t>International Journal of Pharmacy Practice</w:t>
      </w:r>
      <w:r w:rsidRPr="3DC7A50A" w:rsidR="14B7E0A9">
        <w:rPr>
          <w:rFonts w:ascii="Arial" w:hAnsi="Arial" w:eastAsia="Arial" w:cs="Arial"/>
          <w:noProof w:val="0"/>
          <w:sz w:val="24"/>
          <w:szCs w:val="24"/>
          <w:lang w:val="en-US"/>
        </w:rPr>
        <w:t>, 17(1), pp. 9–30.</w:t>
      </w:r>
    </w:p>
    <w:p w:rsidR="14B7E0A9" w:rsidP="3DC7A50A" w:rsidRDefault="14B7E0A9" w14:paraId="24C007F9" w14:textId="78E3358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James, K.L., et al. (2011) ‘A systematic review of the prevalence, causes and severity of dispensing errors’, </w:t>
      </w:r>
      <w:r w:rsidRPr="3DC7A50A" w:rsidR="14B7E0A9">
        <w:rPr>
          <w:rFonts w:ascii="Arial" w:hAnsi="Arial" w:eastAsia="Arial" w:cs="Arial"/>
          <w:i w:val="1"/>
          <w:iCs w:val="1"/>
          <w:noProof w:val="0"/>
          <w:sz w:val="24"/>
          <w:szCs w:val="24"/>
          <w:lang w:val="en-US"/>
        </w:rPr>
        <w:t>International Journal of Pharmacy Practice</w:t>
      </w:r>
      <w:r w:rsidRPr="3DC7A50A" w:rsidR="14B7E0A9">
        <w:rPr>
          <w:rFonts w:ascii="Arial" w:hAnsi="Arial" w:eastAsia="Arial" w:cs="Arial"/>
          <w:noProof w:val="0"/>
          <w:sz w:val="24"/>
          <w:szCs w:val="24"/>
          <w:lang w:val="en-US"/>
        </w:rPr>
        <w:t xml:space="preserve">, 19(1), pp. 1–12. Available at: </w:t>
      </w:r>
      <w:hyperlink r:id="R199b8964e6094e9a">
        <w:r w:rsidRPr="3DC7A50A" w:rsidR="14B7E0A9">
          <w:rPr>
            <w:rStyle w:val="Hyperlink"/>
            <w:rFonts w:ascii="Arial" w:hAnsi="Arial" w:eastAsia="Arial" w:cs="Arial"/>
            <w:noProof w:val="0"/>
            <w:sz w:val="24"/>
            <w:szCs w:val="24"/>
            <w:lang w:val="en-US"/>
          </w:rPr>
          <w:t>https://onlinelibrary.wiley.com/doi/10.1111/j.2042-7174.2010.00081.x</w:t>
        </w:r>
      </w:hyperlink>
      <w:r w:rsidRPr="3DC7A50A" w:rsidR="14B7E0A9">
        <w:rPr>
          <w:rFonts w:ascii="Arial" w:hAnsi="Arial" w:eastAsia="Arial" w:cs="Arial"/>
          <w:noProof w:val="0"/>
          <w:sz w:val="24"/>
          <w:szCs w:val="24"/>
          <w:lang w:val="en-US"/>
        </w:rPr>
        <w:t xml:space="preserve"> (Accessed: 14 December 2025).</w:t>
      </w:r>
    </w:p>
    <w:p w:rsidR="14B7E0A9" w:rsidP="3DC7A50A" w:rsidRDefault="14B7E0A9" w14:paraId="01E55A65" w14:textId="65B1AF5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Kamba, P.F. et al. (2020) ‘Compliance of private pharmacies in Uganda with regulatory requirements’, </w:t>
      </w:r>
      <w:r w:rsidRPr="3DC7A50A" w:rsidR="14B7E0A9">
        <w:rPr>
          <w:rFonts w:ascii="Arial" w:hAnsi="Arial" w:eastAsia="Arial" w:cs="Arial"/>
          <w:i w:val="1"/>
          <w:iCs w:val="1"/>
          <w:noProof w:val="0"/>
          <w:sz w:val="24"/>
          <w:szCs w:val="24"/>
          <w:lang w:val="en-US"/>
        </w:rPr>
        <w:t>Journal of Pharmaceutical Policy and Practice</w:t>
      </w:r>
      <w:r w:rsidRPr="3DC7A50A" w:rsidR="14B7E0A9">
        <w:rPr>
          <w:rFonts w:ascii="Arial" w:hAnsi="Arial" w:eastAsia="Arial" w:cs="Arial"/>
          <w:noProof w:val="0"/>
          <w:sz w:val="24"/>
          <w:szCs w:val="24"/>
          <w:lang w:val="en-US"/>
        </w:rPr>
        <w:t xml:space="preserve">, 13:14. Available at: </w:t>
      </w:r>
      <w:hyperlink r:id="R6e3248be0d284667">
        <w:r w:rsidRPr="3DC7A50A" w:rsidR="14B7E0A9">
          <w:rPr>
            <w:rStyle w:val="Hyperlink"/>
            <w:rFonts w:ascii="Arial" w:hAnsi="Arial" w:eastAsia="Arial" w:cs="Arial"/>
            <w:noProof w:val="0"/>
            <w:sz w:val="24"/>
            <w:szCs w:val="24"/>
            <w:lang w:val="en-US"/>
          </w:rPr>
          <w:t>https://www.ncbi.nlm.nih.gov/pmc/articles/PMC7027211/</w:t>
        </w:r>
      </w:hyperlink>
      <w:r w:rsidRPr="3DC7A50A" w:rsidR="14B7E0A9">
        <w:rPr>
          <w:rFonts w:ascii="Arial" w:hAnsi="Arial" w:eastAsia="Arial" w:cs="Arial"/>
          <w:noProof w:val="0"/>
          <w:sz w:val="24"/>
          <w:szCs w:val="24"/>
          <w:lang w:val="en-US"/>
        </w:rPr>
        <w:t xml:space="preserve"> (Accessed: 10 December 2025).</w:t>
      </w:r>
    </w:p>
    <w:p w:rsidR="14B7E0A9" w:rsidP="3DC7A50A" w:rsidRDefault="14B7E0A9" w14:paraId="74E7B096" w14:textId="33AFBA2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Kentab</w:t>
      </w:r>
      <w:r w:rsidRPr="3DC7A50A" w:rsidR="14B7E0A9">
        <w:rPr>
          <w:rFonts w:ascii="Arial" w:hAnsi="Arial" w:eastAsia="Arial" w:cs="Arial"/>
          <w:noProof w:val="0"/>
          <w:sz w:val="24"/>
          <w:szCs w:val="24"/>
          <w:lang w:val="en-US"/>
        </w:rPr>
        <w:t xml:space="preserve">, B.Y. et al. (2024) ‘Dispensing for visually impaired patients: challenges and strategies’, </w:t>
      </w:r>
      <w:r w:rsidRPr="3DC7A50A" w:rsidR="14B7E0A9">
        <w:rPr>
          <w:rFonts w:ascii="Arial" w:hAnsi="Arial" w:eastAsia="Arial" w:cs="Arial"/>
          <w:i w:val="1"/>
          <w:iCs w:val="1"/>
          <w:noProof w:val="0"/>
          <w:sz w:val="24"/>
          <w:szCs w:val="24"/>
          <w:lang w:val="en-US"/>
        </w:rPr>
        <w:t>Research in Social and Administrative Pharmacy</w:t>
      </w:r>
      <w:r w:rsidRPr="3DC7A50A" w:rsidR="14B7E0A9">
        <w:rPr>
          <w:rFonts w:ascii="Arial" w:hAnsi="Arial" w:eastAsia="Arial" w:cs="Arial"/>
          <w:noProof w:val="0"/>
          <w:sz w:val="24"/>
          <w:szCs w:val="24"/>
          <w:lang w:val="en-US"/>
        </w:rPr>
        <w:t>, 20(2), pp. 255–262.</w:t>
      </w:r>
    </w:p>
    <w:p w:rsidR="14B7E0A9" w:rsidP="3DC7A50A" w:rsidRDefault="14B7E0A9" w14:paraId="38D0397D" w14:textId="34B387B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Kibira</w:t>
      </w:r>
      <w:r w:rsidRPr="3DC7A50A" w:rsidR="14B7E0A9">
        <w:rPr>
          <w:rFonts w:ascii="Arial" w:hAnsi="Arial" w:eastAsia="Arial" w:cs="Arial"/>
          <w:noProof w:val="0"/>
          <w:sz w:val="24"/>
          <w:szCs w:val="24"/>
          <w:lang w:val="en-US"/>
        </w:rPr>
        <w:t xml:space="preserve">, D. et al. (2020) ‘Language barriers and safe medication use’, </w:t>
      </w:r>
      <w:r w:rsidRPr="3DC7A50A" w:rsidR="14B7E0A9">
        <w:rPr>
          <w:rFonts w:ascii="Arial" w:hAnsi="Arial" w:eastAsia="Arial" w:cs="Arial"/>
          <w:i w:val="1"/>
          <w:iCs w:val="1"/>
          <w:noProof w:val="0"/>
          <w:sz w:val="24"/>
          <w:szCs w:val="24"/>
          <w:lang w:val="en-US"/>
        </w:rPr>
        <w:t>Patient Education and Counseling</w:t>
      </w:r>
      <w:r w:rsidRPr="3DC7A50A" w:rsidR="14B7E0A9">
        <w:rPr>
          <w:rFonts w:ascii="Arial" w:hAnsi="Arial" w:eastAsia="Arial" w:cs="Arial"/>
          <w:noProof w:val="0"/>
          <w:sz w:val="24"/>
          <w:szCs w:val="24"/>
          <w:lang w:val="en-US"/>
        </w:rPr>
        <w:t>, 103(6), pp. 1153–1159.</w:t>
      </w:r>
    </w:p>
    <w:p w:rsidR="14B7E0A9" w:rsidP="3DC7A50A" w:rsidRDefault="14B7E0A9" w14:paraId="29A9FFA0" w14:textId="3390994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Kifle, Z.D., et al. (2021) ‘Medication dispensing errors and associated factors in Ethiopia’, </w:t>
      </w:r>
      <w:r w:rsidRPr="3DC7A50A" w:rsidR="14B7E0A9">
        <w:rPr>
          <w:rFonts w:ascii="Arial" w:hAnsi="Arial" w:eastAsia="Arial" w:cs="Arial"/>
          <w:i w:val="1"/>
          <w:iCs w:val="1"/>
          <w:noProof w:val="0"/>
          <w:sz w:val="24"/>
          <w:szCs w:val="24"/>
          <w:lang w:val="en-US"/>
        </w:rPr>
        <w:t>BMC Health Services Research</w:t>
      </w:r>
      <w:r w:rsidRPr="3DC7A50A" w:rsidR="14B7E0A9">
        <w:rPr>
          <w:rFonts w:ascii="Arial" w:hAnsi="Arial" w:eastAsia="Arial" w:cs="Arial"/>
          <w:noProof w:val="0"/>
          <w:sz w:val="24"/>
          <w:szCs w:val="24"/>
          <w:lang w:val="en-US"/>
        </w:rPr>
        <w:t xml:space="preserve">, 21:122. Available at: </w:t>
      </w:r>
      <w:hyperlink r:id="R7470a0c70e9641db">
        <w:r w:rsidRPr="3DC7A50A" w:rsidR="14B7E0A9">
          <w:rPr>
            <w:rStyle w:val="Hyperlink"/>
            <w:rFonts w:ascii="Arial" w:hAnsi="Arial" w:eastAsia="Arial" w:cs="Arial"/>
            <w:noProof w:val="0"/>
            <w:sz w:val="24"/>
            <w:szCs w:val="24"/>
            <w:lang w:val="en-US"/>
          </w:rPr>
          <w:t>https://bmchealthservres.biomedcentral.com/articles/10.1186/s12913-021-06109-9</w:t>
        </w:r>
      </w:hyperlink>
      <w:r w:rsidRPr="3DC7A50A" w:rsidR="14B7E0A9">
        <w:rPr>
          <w:rFonts w:ascii="Arial" w:hAnsi="Arial" w:eastAsia="Arial" w:cs="Arial"/>
          <w:noProof w:val="0"/>
          <w:sz w:val="24"/>
          <w:szCs w:val="24"/>
          <w:lang w:val="en-US"/>
        </w:rPr>
        <w:t xml:space="preserve"> (Accessed: 15 December 2025).</w:t>
      </w:r>
    </w:p>
    <w:p w:rsidR="14B7E0A9" w:rsidP="3DC7A50A" w:rsidRDefault="14B7E0A9" w14:paraId="1B76A888" w14:textId="13EA61E5">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Kohn, L.T., Corrigan, J.M. and Donaldson, M.S. (2000) </w:t>
      </w:r>
      <w:r w:rsidRPr="3DC7A50A" w:rsidR="14B7E0A9">
        <w:rPr>
          <w:rFonts w:ascii="Arial" w:hAnsi="Arial" w:eastAsia="Arial" w:cs="Arial"/>
          <w:i w:val="1"/>
          <w:iCs w:val="1"/>
          <w:noProof w:val="0"/>
          <w:sz w:val="24"/>
          <w:szCs w:val="24"/>
          <w:lang w:val="en-US"/>
        </w:rPr>
        <w:t>To Err Is Human: Building a Safer Health System</w:t>
      </w:r>
      <w:r w:rsidRPr="3DC7A50A" w:rsidR="14B7E0A9">
        <w:rPr>
          <w:rFonts w:ascii="Arial" w:hAnsi="Arial" w:eastAsia="Arial" w:cs="Arial"/>
          <w:noProof w:val="0"/>
          <w:sz w:val="24"/>
          <w:szCs w:val="24"/>
          <w:lang w:val="en-US"/>
        </w:rPr>
        <w:t>. Washington, DC: National Academies Press.</w:t>
      </w:r>
    </w:p>
    <w:p w:rsidR="14B7E0A9" w:rsidP="3DC7A50A" w:rsidRDefault="14B7E0A9" w14:paraId="132D9ECB" w14:textId="1494937E">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Larson, E. et al. (2019) ‘Global health workforce shortages’, </w:t>
      </w:r>
      <w:r w:rsidRPr="3DC7A50A" w:rsidR="14B7E0A9">
        <w:rPr>
          <w:rFonts w:ascii="Arial" w:hAnsi="Arial" w:eastAsia="Arial" w:cs="Arial"/>
          <w:i w:val="1"/>
          <w:iCs w:val="1"/>
          <w:noProof w:val="0"/>
          <w:sz w:val="24"/>
          <w:szCs w:val="24"/>
          <w:lang w:val="en-US"/>
        </w:rPr>
        <w:t>Human Resources for Health</w:t>
      </w:r>
      <w:r w:rsidRPr="3DC7A50A" w:rsidR="14B7E0A9">
        <w:rPr>
          <w:rFonts w:ascii="Arial" w:hAnsi="Arial" w:eastAsia="Arial" w:cs="Arial"/>
          <w:noProof w:val="0"/>
          <w:sz w:val="24"/>
          <w:szCs w:val="24"/>
          <w:lang w:val="en-US"/>
        </w:rPr>
        <w:t>, 17(1), pp. 1–7.</w:t>
      </w:r>
    </w:p>
    <w:p w:rsidR="14B7E0A9" w:rsidP="3DC7A50A" w:rsidRDefault="14B7E0A9" w14:paraId="27B84BFE" w14:textId="2F23DE8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Mbugua, S.M., et al. (2020) ‘Exploring perspectives on antimicrobial stewardship: qualitative key-informant interviews in Kenyan hospitals’, </w:t>
      </w:r>
      <w:r w:rsidRPr="3DC7A50A" w:rsidR="14B7E0A9">
        <w:rPr>
          <w:rFonts w:ascii="Arial" w:hAnsi="Arial" w:eastAsia="Arial" w:cs="Arial"/>
          <w:i w:val="1"/>
          <w:iCs w:val="1"/>
          <w:noProof w:val="0"/>
          <w:sz w:val="24"/>
          <w:szCs w:val="24"/>
          <w:lang w:val="en-US"/>
        </w:rPr>
        <w:t>Pharmacy Practice</w:t>
      </w:r>
      <w:r w:rsidRPr="3DC7A50A" w:rsidR="14B7E0A9">
        <w:rPr>
          <w:rFonts w:ascii="Arial" w:hAnsi="Arial" w:eastAsia="Arial" w:cs="Arial"/>
          <w:noProof w:val="0"/>
          <w:sz w:val="24"/>
          <w:szCs w:val="24"/>
          <w:lang w:val="en-US"/>
        </w:rPr>
        <w:t xml:space="preserve">, 18(4):2033. Available at: </w:t>
      </w:r>
      <w:hyperlink r:id="R464f97f6dc304c56">
        <w:r w:rsidRPr="3DC7A50A" w:rsidR="14B7E0A9">
          <w:rPr>
            <w:rStyle w:val="Hyperlink"/>
            <w:rFonts w:ascii="Arial" w:hAnsi="Arial" w:eastAsia="Arial" w:cs="Arial"/>
            <w:noProof w:val="0"/>
            <w:sz w:val="24"/>
            <w:szCs w:val="24"/>
            <w:lang w:val="en-US"/>
          </w:rPr>
          <w:t>https://www.ncbi.nlm.nih.gov/pmc/articles/PMC7670798/</w:t>
        </w:r>
      </w:hyperlink>
      <w:r w:rsidRPr="3DC7A50A" w:rsidR="14B7E0A9">
        <w:rPr>
          <w:rFonts w:ascii="Arial" w:hAnsi="Arial" w:eastAsia="Arial" w:cs="Arial"/>
          <w:noProof w:val="0"/>
          <w:sz w:val="24"/>
          <w:szCs w:val="24"/>
          <w:lang w:val="en-US"/>
        </w:rPr>
        <w:t xml:space="preserve"> (Accessed: 12 December 2025).</w:t>
      </w:r>
    </w:p>
    <w:p w:rsidR="14B7E0A9" w:rsidP="3DC7A50A" w:rsidRDefault="14B7E0A9" w14:paraId="694C536C" w14:textId="57D84210">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Mbugua, S.M., et al. (2020) ‘Pharmacists’ role in antimicrobial stewardship in Kenya’, </w:t>
      </w:r>
      <w:r w:rsidRPr="3DC7A50A" w:rsidR="14B7E0A9">
        <w:rPr>
          <w:rFonts w:ascii="Arial" w:hAnsi="Arial" w:eastAsia="Arial" w:cs="Arial"/>
          <w:i w:val="1"/>
          <w:iCs w:val="1"/>
          <w:noProof w:val="0"/>
          <w:sz w:val="24"/>
          <w:szCs w:val="24"/>
          <w:lang w:val="en-US"/>
        </w:rPr>
        <w:t>Pharmacy Practice</w:t>
      </w:r>
      <w:r w:rsidRPr="3DC7A50A" w:rsidR="14B7E0A9">
        <w:rPr>
          <w:rFonts w:ascii="Arial" w:hAnsi="Arial" w:eastAsia="Arial" w:cs="Arial"/>
          <w:noProof w:val="0"/>
          <w:sz w:val="24"/>
          <w:szCs w:val="24"/>
          <w:lang w:val="en-US"/>
        </w:rPr>
        <w:t xml:space="preserve">, 18(2):1818. Available at: </w:t>
      </w:r>
      <w:hyperlink r:id="R2817ab59187d41a5">
        <w:r w:rsidRPr="3DC7A50A" w:rsidR="14B7E0A9">
          <w:rPr>
            <w:rStyle w:val="Hyperlink"/>
            <w:rFonts w:ascii="Arial" w:hAnsi="Arial" w:eastAsia="Arial" w:cs="Arial"/>
            <w:noProof w:val="0"/>
            <w:sz w:val="24"/>
            <w:szCs w:val="24"/>
            <w:lang w:val="en-US"/>
          </w:rPr>
          <w:t>https://pharmacypractice.org/index.php/pp/article/view/1818</w:t>
        </w:r>
      </w:hyperlink>
      <w:r w:rsidRPr="3DC7A50A" w:rsidR="14B7E0A9">
        <w:rPr>
          <w:rFonts w:ascii="Arial" w:hAnsi="Arial" w:eastAsia="Arial" w:cs="Arial"/>
          <w:noProof w:val="0"/>
          <w:sz w:val="24"/>
          <w:szCs w:val="24"/>
          <w:lang w:val="en-US"/>
        </w:rPr>
        <w:t xml:space="preserve"> (Accessed: 13 December 2025).</w:t>
      </w:r>
    </w:p>
    <w:p w:rsidR="14B7E0A9" w:rsidP="3DC7A50A" w:rsidRDefault="14B7E0A9" w14:paraId="19CCEBB3" w14:textId="1F4864E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Mekonnen, A.B., et al. (2015) ‘Pharmacists’ journey to clinical pharmacy practice in Ethiopia: a qualitative study’, </w:t>
      </w:r>
      <w:r w:rsidRPr="3DC7A50A" w:rsidR="14B7E0A9">
        <w:rPr>
          <w:rFonts w:ascii="Arial" w:hAnsi="Arial" w:eastAsia="Arial" w:cs="Arial"/>
          <w:i w:val="1"/>
          <w:iCs w:val="1"/>
          <w:noProof w:val="0"/>
          <w:sz w:val="24"/>
          <w:szCs w:val="24"/>
          <w:lang w:val="en-US"/>
        </w:rPr>
        <w:t>BMC Medical Education</w:t>
      </w:r>
      <w:r w:rsidRPr="3DC7A50A" w:rsidR="14B7E0A9">
        <w:rPr>
          <w:rFonts w:ascii="Arial" w:hAnsi="Arial" w:eastAsia="Arial" w:cs="Arial"/>
          <w:noProof w:val="0"/>
          <w:sz w:val="24"/>
          <w:szCs w:val="24"/>
          <w:lang w:val="en-US"/>
        </w:rPr>
        <w:t xml:space="preserve">, 15:174. Available at: </w:t>
      </w:r>
      <w:hyperlink r:id="R71ba9fe3ba7d49a3">
        <w:r w:rsidRPr="3DC7A50A" w:rsidR="14B7E0A9">
          <w:rPr>
            <w:rStyle w:val="Hyperlink"/>
            <w:rFonts w:ascii="Arial" w:hAnsi="Arial" w:eastAsia="Arial" w:cs="Arial"/>
            <w:noProof w:val="0"/>
            <w:sz w:val="24"/>
            <w:szCs w:val="24"/>
            <w:lang w:val="en-US"/>
          </w:rPr>
          <w:t>https://www.ncbi.nlm.nih.gov/pmc/articles/PMC4687774/</w:t>
        </w:r>
      </w:hyperlink>
      <w:r w:rsidRPr="3DC7A50A" w:rsidR="14B7E0A9">
        <w:rPr>
          <w:rFonts w:ascii="Arial" w:hAnsi="Arial" w:eastAsia="Arial" w:cs="Arial"/>
          <w:noProof w:val="0"/>
          <w:sz w:val="24"/>
          <w:szCs w:val="24"/>
          <w:lang w:val="en-US"/>
        </w:rPr>
        <w:t xml:space="preserve"> (Accessed: 6 December 2025).</w:t>
      </w:r>
    </w:p>
    <w:p w:rsidR="14B7E0A9" w:rsidP="3DC7A50A" w:rsidRDefault="14B7E0A9" w14:paraId="020031E4" w14:textId="6B7DB162">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Moher, D. et al. (2009) ‘PRISMA Statement’, </w:t>
      </w:r>
      <w:r w:rsidRPr="3DC7A50A" w:rsidR="14B7E0A9">
        <w:rPr>
          <w:rFonts w:ascii="Arial" w:hAnsi="Arial" w:eastAsia="Arial" w:cs="Arial"/>
          <w:i w:val="1"/>
          <w:iCs w:val="1"/>
          <w:noProof w:val="0"/>
          <w:sz w:val="24"/>
          <w:szCs w:val="24"/>
          <w:lang w:val="en-US"/>
        </w:rPr>
        <w:t>PLOS Medicine</w:t>
      </w:r>
      <w:r w:rsidRPr="3DC7A50A" w:rsidR="14B7E0A9">
        <w:rPr>
          <w:rFonts w:ascii="Arial" w:hAnsi="Arial" w:eastAsia="Arial" w:cs="Arial"/>
          <w:noProof w:val="0"/>
          <w:sz w:val="24"/>
          <w:szCs w:val="24"/>
          <w:lang w:val="en-US"/>
        </w:rPr>
        <w:t>, 6(7), e1000097.</w:t>
      </w:r>
    </w:p>
    <w:p w:rsidR="14B7E0A9" w:rsidP="3DC7A50A" w:rsidRDefault="14B7E0A9" w14:paraId="7D43598B" w14:textId="2F4BA4E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Moher, D. et al. (2021) ‘PRISMA 2020 statement’, </w:t>
      </w:r>
      <w:r w:rsidRPr="3DC7A50A" w:rsidR="14B7E0A9">
        <w:rPr>
          <w:rFonts w:ascii="Arial" w:hAnsi="Arial" w:eastAsia="Arial" w:cs="Arial"/>
          <w:i w:val="1"/>
          <w:iCs w:val="1"/>
          <w:noProof w:val="0"/>
          <w:sz w:val="24"/>
          <w:szCs w:val="24"/>
          <w:lang w:val="en-US"/>
        </w:rPr>
        <w:t>BMJ</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noProof w:val="0"/>
          <w:sz w:val="24"/>
          <w:szCs w:val="24"/>
          <w:lang w:val="en-US"/>
        </w:rPr>
        <w:t>372:n</w:t>
      </w:r>
      <w:r w:rsidRPr="3DC7A50A" w:rsidR="14B7E0A9">
        <w:rPr>
          <w:rFonts w:ascii="Arial" w:hAnsi="Arial" w:eastAsia="Arial" w:cs="Arial"/>
          <w:noProof w:val="0"/>
          <w:sz w:val="24"/>
          <w:szCs w:val="24"/>
          <w:lang w:val="en-US"/>
        </w:rPr>
        <w:t xml:space="preserve">71. Available at: </w:t>
      </w:r>
      <w:hyperlink r:id="R36b86db7ca414fe4">
        <w:r w:rsidRPr="3DC7A50A" w:rsidR="14B7E0A9">
          <w:rPr>
            <w:rStyle w:val="Hyperlink"/>
            <w:rFonts w:ascii="Arial" w:hAnsi="Arial" w:eastAsia="Arial" w:cs="Arial"/>
            <w:noProof w:val="0"/>
            <w:sz w:val="24"/>
            <w:szCs w:val="24"/>
            <w:lang w:val="en-US"/>
          </w:rPr>
          <w:t>https://www.bmj.com/content/372/bmj.n71</w:t>
        </w:r>
      </w:hyperlink>
      <w:r w:rsidRPr="3DC7A50A" w:rsidR="14B7E0A9">
        <w:rPr>
          <w:rFonts w:ascii="Arial" w:hAnsi="Arial" w:eastAsia="Arial" w:cs="Arial"/>
          <w:noProof w:val="0"/>
          <w:sz w:val="24"/>
          <w:szCs w:val="24"/>
          <w:lang w:val="en-US"/>
        </w:rPr>
        <w:t xml:space="preserve"> (Accessed: 17 December 2025).</w:t>
      </w:r>
    </w:p>
    <w:p w:rsidR="14B7E0A9" w:rsidP="3DC7A50A" w:rsidRDefault="14B7E0A9" w14:paraId="157FC5C8" w14:textId="5736D097">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Murray, C.J.L. et al. (2022) ‘Global burden of antimicrobial resistance’, </w:t>
      </w:r>
      <w:r w:rsidRPr="3DC7A50A" w:rsidR="14B7E0A9">
        <w:rPr>
          <w:rFonts w:ascii="Arial" w:hAnsi="Arial" w:eastAsia="Arial" w:cs="Arial"/>
          <w:i w:val="1"/>
          <w:iCs w:val="1"/>
          <w:noProof w:val="0"/>
          <w:sz w:val="24"/>
          <w:szCs w:val="24"/>
          <w:lang w:val="en-US"/>
        </w:rPr>
        <w:t>The Lancet</w:t>
      </w:r>
      <w:r w:rsidRPr="3DC7A50A" w:rsidR="14B7E0A9">
        <w:rPr>
          <w:rFonts w:ascii="Arial" w:hAnsi="Arial" w:eastAsia="Arial" w:cs="Arial"/>
          <w:noProof w:val="0"/>
          <w:sz w:val="24"/>
          <w:szCs w:val="24"/>
          <w:lang w:val="en-US"/>
        </w:rPr>
        <w:t>, 399(10325), pp. 629–655.</w:t>
      </w:r>
    </w:p>
    <w:p w:rsidR="14B7E0A9" w:rsidP="3DC7A50A" w:rsidRDefault="14B7E0A9" w14:paraId="6D963A12" w14:textId="32BFDD9A">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Musoke, D., et al. (2023) ‘Antimicrobial stewardship in private pharmacies in Wakiso District, Uganda: a qualitative study using in-depth interviews’, </w:t>
      </w:r>
      <w:r w:rsidRPr="3DC7A50A" w:rsidR="14B7E0A9">
        <w:rPr>
          <w:rFonts w:ascii="Arial" w:hAnsi="Arial" w:eastAsia="Arial" w:cs="Arial"/>
          <w:i w:val="1"/>
          <w:iCs w:val="1"/>
          <w:noProof w:val="0"/>
          <w:sz w:val="24"/>
          <w:szCs w:val="24"/>
          <w:lang w:val="en-US"/>
        </w:rPr>
        <w:t>BMC Health Services Research</w:t>
      </w:r>
      <w:r w:rsidRPr="3DC7A50A" w:rsidR="14B7E0A9">
        <w:rPr>
          <w:rFonts w:ascii="Arial" w:hAnsi="Arial" w:eastAsia="Arial" w:cs="Arial"/>
          <w:noProof w:val="0"/>
          <w:sz w:val="24"/>
          <w:szCs w:val="24"/>
          <w:lang w:val="en-US"/>
        </w:rPr>
        <w:t xml:space="preserve">, 23:1045. Available at: </w:t>
      </w:r>
      <w:hyperlink r:id="R45e0582c58f84c33">
        <w:r w:rsidRPr="3DC7A50A" w:rsidR="14B7E0A9">
          <w:rPr>
            <w:rStyle w:val="Hyperlink"/>
            <w:rFonts w:ascii="Arial" w:hAnsi="Arial" w:eastAsia="Arial" w:cs="Arial"/>
            <w:noProof w:val="0"/>
            <w:sz w:val="24"/>
            <w:szCs w:val="24"/>
            <w:lang w:val="en-US"/>
          </w:rPr>
          <w:t>https://www.ncbi.nlm.nih.gov/pmc/articles/PMC10655315/</w:t>
        </w:r>
      </w:hyperlink>
      <w:r w:rsidRPr="3DC7A50A" w:rsidR="14B7E0A9">
        <w:rPr>
          <w:rFonts w:ascii="Arial" w:hAnsi="Arial" w:eastAsia="Arial" w:cs="Arial"/>
          <w:noProof w:val="0"/>
          <w:sz w:val="24"/>
          <w:szCs w:val="24"/>
          <w:lang w:val="en-US"/>
        </w:rPr>
        <w:t xml:space="preserve"> (Accessed: 4 December 2025).</w:t>
      </w:r>
    </w:p>
    <w:p w:rsidR="14B7E0A9" w:rsidP="3DC7A50A" w:rsidRDefault="14B7E0A9" w14:paraId="03CE7AF0" w14:textId="4F3E044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Musoke, D. et al. (2023) ‘Antimicrobial dispensing practices in private pharmacies in Uganda’, </w:t>
      </w:r>
      <w:r w:rsidRPr="3DC7A50A" w:rsidR="14B7E0A9">
        <w:rPr>
          <w:rFonts w:ascii="Arial" w:hAnsi="Arial" w:eastAsia="Arial" w:cs="Arial"/>
          <w:i w:val="1"/>
          <w:iCs w:val="1"/>
          <w:noProof w:val="0"/>
          <w:sz w:val="24"/>
          <w:szCs w:val="24"/>
          <w:lang w:val="en-US"/>
        </w:rPr>
        <w:t>BMC Public Health</w:t>
      </w:r>
      <w:r w:rsidRPr="3DC7A50A" w:rsidR="14B7E0A9">
        <w:rPr>
          <w:rFonts w:ascii="Arial" w:hAnsi="Arial" w:eastAsia="Arial" w:cs="Arial"/>
          <w:noProof w:val="0"/>
          <w:sz w:val="24"/>
          <w:szCs w:val="24"/>
          <w:lang w:val="en-US"/>
        </w:rPr>
        <w:t>, 23(1), pp. 1–12.</w:t>
      </w:r>
    </w:p>
    <w:p w:rsidR="14B7E0A9" w:rsidP="3DC7A50A" w:rsidRDefault="14B7E0A9" w14:paraId="6598E231" w14:textId="4905D6C3">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Nsimba, S. (2019) ‘Counterfeit medicines and patient safety in developing countries’, </w:t>
      </w:r>
      <w:r w:rsidRPr="3DC7A50A" w:rsidR="14B7E0A9">
        <w:rPr>
          <w:rFonts w:ascii="Arial" w:hAnsi="Arial" w:eastAsia="Arial" w:cs="Arial"/>
          <w:i w:val="1"/>
          <w:iCs w:val="1"/>
          <w:noProof w:val="0"/>
          <w:sz w:val="24"/>
          <w:szCs w:val="24"/>
          <w:lang w:val="en-US"/>
        </w:rPr>
        <w:t>Journal of Public Health Policy</w:t>
      </w:r>
      <w:r w:rsidRPr="3DC7A50A" w:rsidR="14B7E0A9">
        <w:rPr>
          <w:rFonts w:ascii="Arial" w:hAnsi="Arial" w:eastAsia="Arial" w:cs="Arial"/>
          <w:noProof w:val="0"/>
          <w:sz w:val="24"/>
          <w:szCs w:val="24"/>
          <w:lang w:val="en-US"/>
        </w:rPr>
        <w:t>, 40(1), pp. 68–81.</w:t>
      </w:r>
    </w:p>
    <w:p w:rsidR="14B7E0A9" w:rsidP="3DC7A50A" w:rsidRDefault="14B7E0A9" w14:paraId="0B05A241" w14:textId="4E6D77B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Okumura, J. et al. (2021) ‘Workload and medication error risk in pharmacies’, </w:t>
      </w:r>
      <w:r w:rsidRPr="3DC7A50A" w:rsidR="14B7E0A9">
        <w:rPr>
          <w:rFonts w:ascii="Arial" w:hAnsi="Arial" w:eastAsia="Arial" w:cs="Arial"/>
          <w:i w:val="1"/>
          <w:iCs w:val="1"/>
          <w:noProof w:val="0"/>
          <w:sz w:val="24"/>
          <w:szCs w:val="24"/>
          <w:lang w:val="en-US"/>
        </w:rPr>
        <w:t>International Journal for Quality in Health Care</w:t>
      </w:r>
      <w:r w:rsidRPr="3DC7A50A" w:rsidR="14B7E0A9">
        <w:rPr>
          <w:rFonts w:ascii="Arial" w:hAnsi="Arial" w:eastAsia="Arial" w:cs="Arial"/>
          <w:noProof w:val="0"/>
          <w:sz w:val="24"/>
          <w:szCs w:val="24"/>
          <w:lang w:val="en-US"/>
        </w:rPr>
        <w:t>, 33(1), mzaa138.</w:t>
      </w:r>
    </w:p>
    <w:p w:rsidR="14B7E0A9" w:rsidP="3DC7A50A" w:rsidRDefault="14B7E0A9" w14:paraId="21044853" w14:textId="28E164F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Okumura, L.M., et al. (2021) ‘Workload and medication errors’, </w:t>
      </w:r>
      <w:r w:rsidRPr="3DC7A50A" w:rsidR="14B7E0A9">
        <w:rPr>
          <w:rFonts w:ascii="Arial" w:hAnsi="Arial" w:eastAsia="Arial" w:cs="Arial"/>
          <w:i w:val="1"/>
          <w:iCs w:val="1"/>
          <w:noProof w:val="0"/>
          <w:sz w:val="24"/>
          <w:szCs w:val="24"/>
          <w:lang w:val="en-US"/>
        </w:rPr>
        <w:t>Journal of Patient Safety</w:t>
      </w:r>
      <w:r w:rsidRPr="3DC7A50A" w:rsidR="14B7E0A9">
        <w:rPr>
          <w:rFonts w:ascii="Arial" w:hAnsi="Arial" w:eastAsia="Arial" w:cs="Arial"/>
          <w:noProof w:val="0"/>
          <w:sz w:val="24"/>
          <w:szCs w:val="24"/>
          <w:lang w:val="en-US"/>
        </w:rPr>
        <w:t xml:space="preserve">, 17(3), pp. 191–198. Available at: </w:t>
      </w:r>
      <w:hyperlink r:id="R22ded7f873e74a8a">
        <w:r w:rsidRPr="3DC7A50A" w:rsidR="14B7E0A9">
          <w:rPr>
            <w:rStyle w:val="Hyperlink"/>
            <w:rFonts w:ascii="Arial" w:hAnsi="Arial" w:eastAsia="Arial" w:cs="Arial"/>
            <w:noProof w:val="0"/>
            <w:sz w:val="24"/>
            <w:szCs w:val="24"/>
            <w:lang w:val="en-US"/>
          </w:rPr>
          <w:t>https://journals.lww.com/journalpatientsafety/Fulltext/2021/06000/Workload_and_Medication_Errors.5.aspx</w:t>
        </w:r>
      </w:hyperlink>
      <w:r w:rsidRPr="3DC7A50A" w:rsidR="14B7E0A9">
        <w:rPr>
          <w:rFonts w:ascii="Arial" w:hAnsi="Arial" w:eastAsia="Arial" w:cs="Arial"/>
          <w:noProof w:val="0"/>
          <w:sz w:val="24"/>
          <w:szCs w:val="24"/>
          <w:lang w:val="en-US"/>
        </w:rPr>
        <w:t xml:space="preserve"> (Accessed: 29 December 2025).</w:t>
      </w:r>
    </w:p>
    <w:p w:rsidR="14B7E0A9" w:rsidP="3DC7A50A" w:rsidRDefault="14B7E0A9" w14:paraId="787BD625" w14:textId="34AA17EC">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Organisation</w:t>
      </w:r>
      <w:r w:rsidRPr="3DC7A50A" w:rsidR="14B7E0A9">
        <w:rPr>
          <w:rFonts w:ascii="Arial" w:hAnsi="Arial" w:eastAsia="Arial" w:cs="Arial"/>
          <w:noProof w:val="0"/>
          <w:sz w:val="24"/>
          <w:szCs w:val="24"/>
          <w:lang w:val="en-US"/>
        </w:rPr>
        <w:t xml:space="preserve"> for Economic Co-operation and Development (OECD) (2020) </w:t>
      </w:r>
      <w:r w:rsidRPr="3DC7A50A" w:rsidR="14B7E0A9">
        <w:rPr>
          <w:rFonts w:ascii="Arial" w:hAnsi="Arial" w:eastAsia="Arial" w:cs="Arial"/>
          <w:i w:val="1"/>
          <w:iCs w:val="1"/>
          <w:noProof w:val="0"/>
          <w:sz w:val="24"/>
          <w:szCs w:val="24"/>
          <w:lang w:val="en-US"/>
        </w:rPr>
        <w:t xml:space="preserve">Health </w:t>
      </w:r>
      <w:r w:rsidRPr="3DC7A50A" w:rsidR="14B7E0A9">
        <w:rPr>
          <w:rFonts w:ascii="Arial" w:hAnsi="Arial" w:eastAsia="Arial" w:cs="Arial"/>
          <w:i w:val="1"/>
          <w:iCs w:val="1"/>
          <w:noProof w:val="0"/>
          <w:sz w:val="24"/>
          <w:szCs w:val="24"/>
          <w:lang w:val="en-US"/>
        </w:rPr>
        <w:t>at a Glance</w:t>
      </w:r>
      <w:r w:rsidRPr="3DC7A50A" w:rsidR="14B7E0A9">
        <w:rPr>
          <w:rFonts w:ascii="Arial" w:hAnsi="Arial" w:eastAsia="Arial" w:cs="Arial"/>
          <w:i w:val="1"/>
          <w:iCs w:val="1"/>
          <w:noProof w:val="0"/>
          <w:sz w:val="24"/>
          <w:szCs w:val="24"/>
          <w:lang w:val="en-US"/>
        </w:rPr>
        <w:t>: Europe</w:t>
      </w:r>
      <w:r w:rsidRPr="3DC7A50A" w:rsidR="14B7E0A9">
        <w:rPr>
          <w:rFonts w:ascii="Arial" w:hAnsi="Arial" w:eastAsia="Arial" w:cs="Arial"/>
          <w:noProof w:val="0"/>
          <w:sz w:val="24"/>
          <w:szCs w:val="24"/>
          <w:lang w:val="en-US"/>
        </w:rPr>
        <w:t xml:space="preserve">. Paris: OECD. Available at: </w:t>
      </w:r>
      <w:hyperlink r:id="R9ef413c2998a4b5c">
        <w:r w:rsidRPr="3DC7A50A" w:rsidR="14B7E0A9">
          <w:rPr>
            <w:rStyle w:val="Hyperlink"/>
            <w:rFonts w:ascii="Arial" w:hAnsi="Arial" w:eastAsia="Arial" w:cs="Arial"/>
            <w:noProof w:val="0"/>
            <w:sz w:val="24"/>
            <w:szCs w:val="24"/>
            <w:lang w:val="en-US"/>
          </w:rPr>
          <w:t>https://www.oecd.org/health/health-at-a-glance-europe/</w:t>
        </w:r>
      </w:hyperlink>
      <w:r w:rsidRPr="3DC7A50A" w:rsidR="14B7E0A9">
        <w:rPr>
          <w:rFonts w:ascii="Arial" w:hAnsi="Arial" w:eastAsia="Arial" w:cs="Arial"/>
          <w:noProof w:val="0"/>
          <w:sz w:val="24"/>
          <w:szCs w:val="24"/>
          <w:lang w:val="en-US"/>
        </w:rPr>
        <w:t xml:space="preserve"> (Accessed: 15 December 2025).</w:t>
      </w:r>
    </w:p>
    <w:p w:rsidR="14B7E0A9" w:rsidP="3DC7A50A" w:rsidRDefault="14B7E0A9" w14:paraId="79A9893F" w14:textId="0C5C53EB">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Page, M.J. et al. (2021) ‘PRISMA 2020: </w:t>
      </w:r>
      <w:r w:rsidRPr="3DC7A50A" w:rsidR="14B7E0A9">
        <w:rPr>
          <w:rFonts w:ascii="Arial" w:hAnsi="Arial" w:eastAsia="Arial" w:cs="Arial"/>
          <w:noProof w:val="0"/>
          <w:sz w:val="24"/>
          <w:szCs w:val="24"/>
          <w:lang w:val="en-US"/>
        </w:rPr>
        <w:t>updated reporting guideline</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BMJ</w:t>
      </w:r>
      <w:r w:rsidRPr="3DC7A50A" w:rsidR="14B7E0A9">
        <w:rPr>
          <w:rFonts w:ascii="Arial" w:hAnsi="Arial" w:eastAsia="Arial" w:cs="Arial"/>
          <w:noProof w:val="0"/>
          <w:sz w:val="24"/>
          <w:szCs w:val="24"/>
          <w:lang w:val="en-US"/>
        </w:rPr>
        <w:t>, 372, n71.</w:t>
      </w:r>
    </w:p>
    <w:p w:rsidR="14B7E0A9" w:rsidP="3DC7A50A" w:rsidRDefault="14B7E0A9" w14:paraId="6CAC18DF" w14:textId="1D2E9E5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Panagioti</w:t>
      </w:r>
      <w:r w:rsidRPr="3DC7A50A" w:rsidR="14B7E0A9">
        <w:rPr>
          <w:rFonts w:ascii="Arial" w:hAnsi="Arial" w:eastAsia="Arial" w:cs="Arial"/>
          <w:noProof w:val="0"/>
          <w:sz w:val="24"/>
          <w:szCs w:val="24"/>
          <w:lang w:val="en-US"/>
        </w:rPr>
        <w:t xml:space="preserve">, M. et al. (2019) ‘Prevalence and nature of preventable patient harm’, </w:t>
      </w:r>
      <w:r w:rsidRPr="3DC7A50A" w:rsidR="14B7E0A9">
        <w:rPr>
          <w:rFonts w:ascii="Arial" w:hAnsi="Arial" w:eastAsia="Arial" w:cs="Arial"/>
          <w:i w:val="1"/>
          <w:iCs w:val="1"/>
          <w:noProof w:val="0"/>
          <w:sz w:val="24"/>
          <w:szCs w:val="24"/>
          <w:lang w:val="en-US"/>
        </w:rPr>
        <w:t>BMJ</w:t>
      </w:r>
      <w:r w:rsidRPr="3DC7A50A" w:rsidR="14B7E0A9">
        <w:rPr>
          <w:rFonts w:ascii="Arial" w:hAnsi="Arial" w:eastAsia="Arial" w:cs="Arial"/>
          <w:noProof w:val="0"/>
          <w:sz w:val="24"/>
          <w:szCs w:val="24"/>
          <w:lang w:val="en-US"/>
        </w:rPr>
        <w:t>, 366, l4185.</w:t>
      </w:r>
    </w:p>
    <w:p w:rsidR="14B7E0A9" w:rsidP="3DC7A50A" w:rsidRDefault="14B7E0A9" w14:paraId="424B5673" w14:textId="200E2AF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Polit, D.F. and Beck, C.T. (2020)</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Nursing</w:t>
      </w:r>
      <w:r w:rsidRPr="3DC7A50A" w:rsidR="14B7E0A9">
        <w:rPr>
          <w:rFonts w:ascii="Arial" w:hAnsi="Arial" w:eastAsia="Arial" w:cs="Arial"/>
          <w:i w:val="1"/>
          <w:iCs w:val="1"/>
          <w:noProof w:val="0"/>
          <w:sz w:val="24"/>
          <w:szCs w:val="24"/>
          <w:lang w:val="en-US"/>
        </w:rPr>
        <w:t xml:space="preserve"> Research</w:t>
      </w:r>
      <w:r w:rsidRPr="3DC7A50A" w:rsidR="14B7E0A9">
        <w:rPr>
          <w:rFonts w:ascii="Arial" w:hAnsi="Arial" w:eastAsia="Arial" w:cs="Arial"/>
          <w:noProof w:val="0"/>
          <w:sz w:val="24"/>
          <w:szCs w:val="24"/>
          <w:lang w:val="en-US"/>
        </w:rPr>
        <w:t xml:space="preserve">. 11th </w:t>
      </w:r>
      <w:r w:rsidRPr="3DC7A50A" w:rsidR="14B7E0A9">
        <w:rPr>
          <w:rFonts w:ascii="Arial" w:hAnsi="Arial" w:eastAsia="Arial" w:cs="Arial"/>
          <w:noProof w:val="0"/>
          <w:sz w:val="24"/>
          <w:szCs w:val="24"/>
          <w:lang w:val="en-US"/>
        </w:rPr>
        <w:t>edn</w:t>
      </w:r>
      <w:r w:rsidRPr="3DC7A50A" w:rsidR="14B7E0A9">
        <w:rPr>
          <w:rFonts w:ascii="Arial" w:hAnsi="Arial" w:eastAsia="Arial" w:cs="Arial"/>
          <w:noProof w:val="0"/>
          <w:sz w:val="24"/>
          <w:szCs w:val="24"/>
          <w:lang w:val="en-US"/>
        </w:rPr>
        <w:t>. Philadelphia: Wolters Kluwer.</w:t>
      </w:r>
    </w:p>
    <w:p w:rsidR="14B7E0A9" w:rsidP="3DC7A50A" w:rsidRDefault="14B7E0A9" w14:paraId="5CF1B95C" w14:textId="27297AE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Quigley, A. et al. (2019) ‘Critical appraisal in qualitative evidence synthesis’, </w:t>
      </w:r>
      <w:r w:rsidRPr="3DC7A50A" w:rsidR="14B7E0A9">
        <w:rPr>
          <w:rFonts w:ascii="Arial" w:hAnsi="Arial" w:eastAsia="Arial" w:cs="Arial"/>
          <w:i w:val="1"/>
          <w:iCs w:val="1"/>
          <w:noProof w:val="0"/>
          <w:sz w:val="24"/>
          <w:szCs w:val="24"/>
          <w:lang w:val="en-US"/>
        </w:rPr>
        <w:t>Journal of Advanced Nursing</w:t>
      </w:r>
      <w:r w:rsidRPr="3DC7A50A" w:rsidR="14B7E0A9">
        <w:rPr>
          <w:rFonts w:ascii="Arial" w:hAnsi="Arial" w:eastAsia="Arial" w:cs="Arial"/>
          <w:noProof w:val="0"/>
          <w:sz w:val="24"/>
          <w:szCs w:val="24"/>
          <w:lang w:val="en-US"/>
        </w:rPr>
        <w:t>, 75(12), pp. 3580–3590.</w:t>
      </w:r>
    </w:p>
    <w:p w:rsidR="14B7E0A9" w:rsidP="3DC7A50A" w:rsidRDefault="14B7E0A9" w14:paraId="635383C0" w14:textId="23168F8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Reason, J. (2000) ‘Human error: models and management’, </w:t>
      </w:r>
      <w:r w:rsidRPr="3DC7A50A" w:rsidR="14B7E0A9">
        <w:rPr>
          <w:rFonts w:ascii="Arial" w:hAnsi="Arial" w:eastAsia="Arial" w:cs="Arial"/>
          <w:i w:val="1"/>
          <w:iCs w:val="1"/>
          <w:noProof w:val="0"/>
          <w:sz w:val="24"/>
          <w:szCs w:val="24"/>
          <w:lang w:val="en-US"/>
        </w:rPr>
        <w:t>BMJ</w:t>
      </w:r>
      <w:r w:rsidRPr="3DC7A50A" w:rsidR="14B7E0A9">
        <w:rPr>
          <w:rFonts w:ascii="Arial" w:hAnsi="Arial" w:eastAsia="Arial" w:cs="Arial"/>
          <w:noProof w:val="0"/>
          <w:sz w:val="24"/>
          <w:szCs w:val="24"/>
          <w:lang w:val="en-US"/>
        </w:rPr>
        <w:t>, 320(7237), pp. 768–770.</w:t>
      </w:r>
    </w:p>
    <w:p w:rsidR="14B7E0A9" w:rsidP="3DC7A50A" w:rsidRDefault="14B7E0A9" w14:paraId="010EB71C" w14:textId="0D6753E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Reason, </w:t>
      </w:r>
      <w:r w:rsidRPr="3DC7A50A" w:rsidR="14B7E0A9">
        <w:rPr>
          <w:rFonts w:ascii="Arial" w:hAnsi="Arial" w:eastAsia="Arial" w:cs="Arial"/>
          <w:noProof w:val="0"/>
          <w:sz w:val="24"/>
          <w:szCs w:val="24"/>
          <w:lang w:val="en-US"/>
        </w:rPr>
        <w:t>J.</w:t>
      </w:r>
      <w:r w:rsidRPr="3DC7A50A" w:rsidR="14B7E0A9">
        <w:rPr>
          <w:rFonts w:ascii="Arial" w:hAnsi="Arial" w:eastAsia="Arial" w:cs="Arial"/>
          <w:noProof w:val="0"/>
          <w:sz w:val="24"/>
          <w:szCs w:val="24"/>
          <w:lang w:val="en-US"/>
        </w:rPr>
        <w:t xml:space="preserve"> and Hobbs, A. (2017)</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Managing</w:t>
      </w:r>
      <w:r w:rsidRPr="3DC7A50A" w:rsidR="14B7E0A9">
        <w:rPr>
          <w:rFonts w:ascii="Arial" w:hAnsi="Arial" w:eastAsia="Arial" w:cs="Arial"/>
          <w:i w:val="1"/>
          <w:iCs w:val="1"/>
          <w:noProof w:val="0"/>
          <w:sz w:val="24"/>
          <w:szCs w:val="24"/>
          <w:lang w:val="en-US"/>
        </w:rPr>
        <w:t xml:space="preserve"> Maintenance Error</w:t>
      </w:r>
      <w:r w:rsidRPr="3DC7A50A" w:rsidR="14B7E0A9">
        <w:rPr>
          <w:rFonts w:ascii="Arial" w:hAnsi="Arial" w:eastAsia="Arial" w:cs="Arial"/>
          <w:noProof w:val="0"/>
          <w:sz w:val="24"/>
          <w:szCs w:val="24"/>
          <w:lang w:val="en-US"/>
        </w:rPr>
        <w:t>. Boca Raton: CRC Press.</w:t>
      </w:r>
    </w:p>
    <w:p w:rsidR="14B7E0A9" w:rsidP="3DC7A50A" w:rsidRDefault="14B7E0A9" w14:paraId="5492C41C" w14:textId="378D43D9">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Roche, S.D. et al. (2021) ‘Acceptability and feasibility of pharmacy-based delivery of public health interventions’, </w:t>
      </w:r>
      <w:r w:rsidRPr="3DC7A50A" w:rsidR="14B7E0A9">
        <w:rPr>
          <w:rFonts w:ascii="Arial" w:hAnsi="Arial" w:eastAsia="Arial" w:cs="Arial"/>
          <w:i w:val="1"/>
          <w:iCs w:val="1"/>
          <w:noProof w:val="0"/>
          <w:sz w:val="24"/>
          <w:szCs w:val="24"/>
          <w:lang w:val="en-US"/>
        </w:rPr>
        <w:t>BMC Public Health</w:t>
      </w:r>
      <w:r w:rsidRPr="3DC7A50A" w:rsidR="14B7E0A9">
        <w:rPr>
          <w:rFonts w:ascii="Arial" w:hAnsi="Arial" w:eastAsia="Arial" w:cs="Arial"/>
          <w:noProof w:val="0"/>
          <w:sz w:val="24"/>
          <w:szCs w:val="24"/>
          <w:lang w:val="en-US"/>
        </w:rPr>
        <w:t xml:space="preserve">, 21:1967. Available at: </w:t>
      </w:r>
      <w:hyperlink r:id="R366d7dc1d0344690">
        <w:r w:rsidRPr="3DC7A50A" w:rsidR="14B7E0A9">
          <w:rPr>
            <w:rStyle w:val="Hyperlink"/>
            <w:rFonts w:ascii="Arial" w:hAnsi="Arial" w:eastAsia="Arial" w:cs="Arial"/>
            <w:noProof w:val="0"/>
            <w:sz w:val="24"/>
            <w:szCs w:val="24"/>
            <w:lang w:val="en-US"/>
          </w:rPr>
          <w:t>https://www.ncbi.nlm.nih.gov/pmc/articles/PMC8602157/</w:t>
        </w:r>
      </w:hyperlink>
      <w:r w:rsidRPr="3DC7A50A" w:rsidR="14B7E0A9">
        <w:rPr>
          <w:rFonts w:ascii="Arial" w:hAnsi="Arial" w:eastAsia="Arial" w:cs="Arial"/>
          <w:noProof w:val="0"/>
          <w:sz w:val="24"/>
          <w:szCs w:val="24"/>
          <w:lang w:val="en-US"/>
        </w:rPr>
        <w:t xml:space="preserve"> (Accessed: 22 December 2025).</w:t>
      </w:r>
    </w:p>
    <w:p w:rsidR="14B7E0A9" w:rsidP="3DC7A50A" w:rsidRDefault="14B7E0A9" w14:paraId="2B05BD64" w14:textId="491EA8BE">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Saleem, N.H. et al. (2021) ‘Determinants of antibiotic dispensing in community pharmacies’, </w:t>
      </w:r>
      <w:r w:rsidRPr="3DC7A50A" w:rsidR="14B7E0A9">
        <w:rPr>
          <w:rFonts w:ascii="Arial" w:hAnsi="Arial" w:eastAsia="Arial" w:cs="Arial"/>
          <w:i w:val="1"/>
          <w:iCs w:val="1"/>
          <w:noProof w:val="0"/>
          <w:sz w:val="24"/>
          <w:szCs w:val="24"/>
          <w:lang w:val="en-US"/>
        </w:rPr>
        <w:t>Antibiotics</w:t>
      </w:r>
      <w:r w:rsidRPr="3DC7A50A" w:rsidR="14B7E0A9">
        <w:rPr>
          <w:rFonts w:ascii="Arial" w:hAnsi="Arial" w:eastAsia="Arial" w:cs="Arial"/>
          <w:noProof w:val="0"/>
          <w:sz w:val="24"/>
          <w:szCs w:val="24"/>
          <w:lang w:val="en-US"/>
        </w:rPr>
        <w:t>, 10(3), 245.</w:t>
      </w:r>
    </w:p>
    <w:p w:rsidR="14B7E0A9" w:rsidP="3DC7A50A" w:rsidRDefault="14B7E0A9" w14:paraId="5F7A6FDF" w14:textId="442B9D51">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Saleem, N.H., et al. (2020) ‘Community pharmacists’ determinants of antimicrobial dispensing in Pakistan: a qualitative study’, </w:t>
      </w:r>
      <w:r w:rsidRPr="3DC7A50A" w:rsidR="14B7E0A9">
        <w:rPr>
          <w:rFonts w:ascii="Arial" w:hAnsi="Arial" w:eastAsia="Arial" w:cs="Arial"/>
          <w:i w:val="1"/>
          <w:iCs w:val="1"/>
          <w:noProof w:val="0"/>
          <w:sz w:val="24"/>
          <w:szCs w:val="24"/>
          <w:lang w:val="en-US"/>
        </w:rPr>
        <w:t>Journal of Pharmaceutical Policy and Practice</w:t>
      </w:r>
      <w:r w:rsidRPr="3DC7A50A" w:rsidR="14B7E0A9">
        <w:rPr>
          <w:rFonts w:ascii="Arial" w:hAnsi="Arial" w:eastAsia="Arial" w:cs="Arial"/>
          <w:noProof w:val="0"/>
          <w:sz w:val="24"/>
          <w:szCs w:val="24"/>
          <w:lang w:val="en-US"/>
        </w:rPr>
        <w:t xml:space="preserve">, 13:15. Available at: </w:t>
      </w:r>
      <w:hyperlink r:id="R1f34c79166874f18">
        <w:r w:rsidRPr="3DC7A50A" w:rsidR="14B7E0A9">
          <w:rPr>
            <w:rStyle w:val="Hyperlink"/>
            <w:rFonts w:ascii="Arial" w:hAnsi="Arial" w:eastAsia="Arial" w:cs="Arial"/>
            <w:noProof w:val="0"/>
            <w:sz w:val="24"/>
            <w:szCs w:val="24"/>
            <w:lang w:val="en-US"/>
          </w:rPr>
          <w:t>https://pubmed.ncbi.nlm.nih.gov/32148717/</w:t>
        </w:r>
      </w:hyperlink>
      <w:r w:rsidRPr="3DC7A50A" w:rsidR="14B7E0A9">
        <w:rPr>
          <w:rFonts w:ascii="Arial" w:hAnsi="Arial" w:eastAsia="Arial" w:cs="Arial"/>
          <w:noProof w:val="0"/>
          <w:sz w:val="24"/>
          <w:szCs w:val="24"/>
          <w:lang w:val="en-US"/>
        </w:rPr>
        <w:t xml:space="preserve"> (Accessed: 18 December 2025).</w:t>
      </w:r>
    </w:p>
    <w:p w:rsidR="14B7E0A9" w:rsidP="3DC7A50A" w:rsidRDefault="14B7E0A9" w14:paraId="7323EE1B" w14:textId="615DCE9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Saleem, Z., et al. (2021) ‘Factors influencing antibiotic dispensing without prescription’, </w:t>
      </w:r>
      <w:r w:rsidRPr="3DC7A50A" w:rsidR="14B7E0A9">
        <w:rPr>
          <w:rFonts w:ascii="Arial" w:hAnsi="Arial" w:eastAsia="Arial" w:cs="Arial"/>
          <w:i w:val="1"/>
          <w:iCs w:val="1"/>
          <w:noProof w:val="0"/>
          <w:sz w:val="24"/>
          <w:szCs w:val="24"/>
          <w:lang w:val="en-US"/>
        </w:rPr>
        <w:t>Antibiotics</w:t>
      </w:r>
      <w:r w:rsidRPr="3DC7A50A" w:rsidR="14B7E0A9">
        <w:rPr>
          <w:rFonts w:ascii="Arial" w:hAnsi="Arial" w:eastAsia="Arial" w:cs="Arial"/>
          <w:noProof w:val="0"/>
          <w:sz w:val="24"/>
          <w:szCs w:val="24"/>
          <w:lang w:val="en-US"/>
        </w:rPr>
        <w:t xml:space="preserve">, 10(5):539. Available at: </w:t>
      </w:r>
      <w:hyperlink r:id="Re84736b2e0e248ae">
        <w:r w:rsidRPr="3DC7A50A" w:rsidR="14B7E0A9">
          <w:rPr>
            <w:rStyle w:val="Hyperlink"/>
            <w:rFonts w:ascii="Arial" w:hAnsi="Arial" w:eastAsia="Arial" w:cs="Arial"/>
            <w:noProof w:val="0"/>
            <w:sz w:val="24"/>
            <w:szCs w:val="24"/>
            <w:lang w:val="en-US"/>
          </w:rPr>
          <w:t>https://www.mdpi.com/2079-6382/10/5/539</w:t>
        </w:r>
      </w:hyperlink>
      <w:r w:rsidRPr="3DC7A50A" w:rsidR="14B7E0A9">
        <w:rPr>
          <w:rFonts w:ascii="Arial" w:hAnsi="Arial" w:eastAsia="Arial" w:cs="Arial"/>
          <w:noProof w:val="0"/>
          <w:sz w:val="24"/>
          <w:szCs w:val="24"/>
          <w:lang w:val="en-US"/>
        </w:rPr>
        <w:t xml:space="preserve"> (Accessed: 9 December 2025).</w:t>
      </w:r>
    </w:p>
    <w:p w:rsidR="14B7E0A9" w:rsidP="3DC7A50A" w:rsidRDefault="14B7E0A9" w14:paraId="503E9D1A" w14:textId="4489991E">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Saleem, Z., et al. (2021) ‘Why do people </w:t>
      </w:r>
      <w:r w:rsidRPr="3DC7A50A" w:rsidR="14B7E0A9">
        <w:rPr>
          <w:rFonts w:ascii="Arial" w:hAnsi="Arial" w:eastAsia="Arial" w:cs="Arial"/>
          <w:noProof w:val="0"/>
          <w:sz w:val="24"/>
          <w:szCs w:val="24"/>
          <w:lang w:val="en-US"/>
        </w:rPr>
        <w:t>purchase</w:t>
      </w:r>
      <w:r w:rsidRPr="3DC7A50A" w:rsidR="14B7E0A9">
        <w:rPr>
          <w:rFonts w:ascii="Arial" w:hAnsi="Arial" w:eastAsia="Arial" w:cs="Arial"/>
          <w:noProof w:val="0"/>
          <w:sz w:val="24"/>
          <w:szCs w:val="24"/>
          <w:lang w:val="en-US"/>
        </w:rPr>
        <w:t xml:space="preserve"> antibiotics </w:t>
      </w:r>
      <w:r w:rsidRPr="3DC7A50A" w:rsidR="14B7E0A9">
        <w:rPr>
          <w:rFonts w:ascii="Arial" w:hAnsi="Arial" w:eastAsia="Arial" w:cs="Arial"/>
          <w:noProof w:val="0"/>
          <w:sz w:val="24"/>
          <w:szCs w:val="24"/>
          <w:lang w:val="en-US"/>
        </w:rPr>
        <w:t>over-the-counter</w:t>
      </w:r>
      <w:r w:rsidRPr="3DC7A50A" w:rsidR="14B7E0A9">
        <w:rPr>
          <w:rFonts w:ascii="Arial" w:hAnsi="Arial" w:eastAsia="Arial" w:cs="Arial"/>
          <w:noProof w:val="0"/>
          <w:sz w:val="24"/>
          <w:szCs w:val="24"/>
          <w:lang w:val="en-US"/>
        </w:rPr>
        <w:t xml:space="preserve">? A qualitative study with patients, dispensers and </w:t>
      </w:r>
      <w:r w:rsidRPr="3DC7A50A" w:rsidR="14B7E0A9">
        <w:rPr>
          <w:rFonts w:ascii="Arial" w:hAnsi="Arial" w:eastAsia="Arial" w:cs="Arial"/>
          <w:noProof w:val="0"/>
          <w:sz w:val="24"/>
          <w:szCs w:val="24"/>
          <w:lang w:val="en-US"/>
        </w:rPr>
        <w:t>clinicians’,</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Antibiotics</w:t>
      </w:r>
      <w:r w:rsidRPr="3DC7A50A" w:rsidR="14B7E0A9">
        <w:rPr>
          <w:rFonts w:ascii="Arial" w:hAnsi="Arial" w:eastAsia="Arial" w:cs="Arial"/>
          <w:noProof w:val="0"/>
          <w:sz w:val="24"/>
          <w:szCs w:val="24"/>
          <w:lang w:val="en-US"/>
        </w:rPr>
        <w:t xml:space="preserve">, 10(5):539. Available at: </w:t>
      </w:r>
      <w:hyperlink r:id="R7c4b9b24d8a64974">
        <w:r w:rsidRPr="3DC7A50A" w:rsidR="14B7E0A9">
          <w:rPr>
            <w:rStyle w:val="Hyperlink"/>
            <w:rFonts w:ascii="Arial" w:hAnsi="Arial" w:eastAsia="Arial" w:cs="Arial"/>
            <w:noProof w:val="0"/>
            <w:sz w:val="24"/>
            <w:szCs w:val="24"/>
            <w:lang w:val="en-US"/>
          </w:rPr>
          <w:t>https://www.ncbi.nlm.nih.gov/pmc/articles/PMC8118002/</w:t>
        </w:r>
      </w:hyperlink>
      <w:r w:rsidRPr="3DC7A50A" w:rsidR="14B7E0A9">
        <w:rPr>
          <w:rFonts w:ascii="Arial" w:hAnsi="Arial" w:eastAsia="Arial" w:cs="Arial"/>
          <w:noProof w:val="0"/>
          <w:sz w:val="24"/>
          <w:szCs w:val="24"/>
          <w:lang w:val="en-US"/>
        </w:rPr>
        <w:t xml:space="preserve"> (Accessed: 9 December 2025).</w:t>
      </w:r>
    </w:p>
    <w:p w:rsidR="14B7E0A9" w:rsidP="3DC7A50A" w:rsidRDefault="14B7E0A9" w14:paraId="760C6312" w14:textId="00D2AA0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Saleem, Z. et al. (2021) ‘Drivers of OTC antibiotic purchases in Pakistan’, </w:t>
      </w:r>
      <w:r w:rsidRPr="3DC7A50A" w:rsidR="14B7E0A9">
        <w:rPr>
          <w:rFonts w:ascii="Arial" w:hAnsi="Arial" w:eastAsia="Arial" w:cs="Arial"/>
          <w:i w:val="1"/>
          <w:iCs w:val="1"/>
          <w:noProof w:val="0"/>
          <w:sz w:val="24"/>
          <w:szCs w:val="24"/>
          <w:lang w:val="en-US"/>
        </w:rPr>
        <w:t>BMJ Open</w:t>
      </w:r>
      <w:r w:rsidRPr="3DC7A50A" w:rsidR="14B7E0A9">
        <w:rPr>
          <w:rFonts w:ascii="Arial" w:hAnsi="Arial" w:eastAsia="Arial" w:cs="Arial"/>
          <w:noProof w:val="0"/>
          <w:sz w:val="24"/>
          <w:szCs w:val="24"/>
          <w:lang w:val="en-US"/>
        </w:rPr>
        <w:t>, 11(3), e045511.</w:t>
      </w:r>
    </w:p>
    <w:p w:rsidR="14B7E0A9" w:rsidP="3DC7A50A" w:rsidRDefault="14B7E0A9" w14:paraId="4CD8745C" w14:textId="472EFD9B">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Schardt, C. et al. (2019) ‘Utilization of PICO in evidence searches’, </w:t>
      </w:r>
      <w:r w:rsidRPr="3DC7A50A" w:rsidR="14B7E0A9">
        <w:rPr>
          <w:rFonts w:ascii="Arial" w:hAnsi="Arial" w:eastAsia="Arial" w:cs="Arial"/>
          <w:i w:val="1"/>
          <w:iCs w:val="1"/>
          <w:noProof w:val="0"/>
          <w:sz w:val="24"/>
          <w:szCs w:val="24"/>
          <w:lang w:val="en-US"/>
        </w:rPr>
        <w:t>Journal of the Medical Library Association</w:t>
      </w:r>
      <w:r w:rsidRPr="3DC7A50A" w:rsidR="14B7E0A9">
        <w:rPr>
          <w:rFonts w:ascii="Arial" w:hAnsi="Arial" w:eastAsia="Arial" w:cs="Arial"/>
          <w:noProof w:val="0"/>
          <w:sz w:val="24"/>
          <w:szCs w:val="24"/>
          <w:lang w:val="en-US"/>
        </w:rPr>
        <w:t>, 95(4), pp. 474–477.</w:t>
      </w:r>
    </w:p>
    <w:p w:rsidR="14B7E0A9" w:rsidP="3DC7A50A" w:rsidRDefault="14B7E0A9" w14:paraId="47ACCA74" w14:textId="68A58BB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Schmidt, F.L. (2021)</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Meta</w:t>
      </w:r>
      <w:r w:rsidRPr="3DC7A50A" w:rsidR="14B7E0A9">
        <w:rPr>
          <w:rFonts w:ascii="Arial" w:hAnsi="Arial" w:eastAsia="Arial" w:cs="Arial"/>
          <w:i w:val="1"/>
          <w:iCs w:val="1"/>
          <w:noProof w:val="0"/>
          <w:sz w:val="24"/>
          <w:szCs w:val="24"/>
          <w:lang w:val="en-US"/>
        </w:rPr>
        <w:t>-analysis: A Practical Guide</w:t>
      </w:r>
      <w:r w:rsidRPr="3DC7A50A" w:rsidR="14B7E0A9">
        <w:rPr>
          <w:rFonts w:ascii="Arial" w:hAnsi="Arial" w:eastAsia="Arial" w:cs="Arial"/>
          <w:noProof w:val="0"/>
          <w:sz w:val="24"/>
          <w:szCs w:val="24"/>
          <w:lang w:val="en-US"/>
        </w:rPr>
        <w:t>. London: Sage.</w:t>
      </w:r>
    </w:p>
    <w:p w:rsidR="14B7E0A9" w:rsidP="3DC7A50A" w:rsidRDefault="14B7E0A9" w14:paraId="2C65708E" w14:textId="033D7995">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Scott, S.D. et al. (2009) ‘Second victim phenomenon’, </w:t>
      </w:r>
      <w:r w:rsidRPr="3DC7A50A" w:rsidR="14B7E0A9">
        <w:rPr>
          <w:rFonts w:ascii="Arial" w:hAnsi="Arial" w:eastAsia="Arial" w:cs="Arial"/>
          <w:i w:val="1"/>
          <w:iCs w:val="1"/>
          <w:noProof w:val="0"/>
          <w:sz w:val="24"/>
          <w:szCs w:val="24"/>
          <w:lang w:val="en-US"/>
        </w:rPr>
        <w:t>Quality &amp; Safety in Health Care</w:t>
      </w:r>
      <w:r w:rsidRPr="3DC7A50A" w:rsidR="14B7E0A9">
        <w:rPr>
          <w:rFonts w:ascii="Arial" w:hAnsi="Arial" w:eastAsia="Arial" w:cs="Arial"/>
          <w:noProof w:val="0"/>
          <w:sz w:val="24"/>
          <w:szCs w:val="24"/>
          <w:lang w:val="en-US"/>
        </w:rPr>
        <w:t>, 18(5), pp. 325–330.</w:t>
      </w:r>
    </w:p>
    <w:p w:rsidR="14B7E0A9" w:rsidP="3DC7A50A" w:rsidRDefault="14B7E0A9" w14:paraId="2F7298A3" w14:textId="72E36BEA">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Shojania</w:t>
      </w:r>
      <w:r w:rsidRPr="3DC7A50A" w:rsidR="14B7E0A9">
        <w:rPr>
          <w:rFonts w:ascii="Arial" w:hAnsi="Arial" w:eastAsia="Arial" w:cs="Arial"/>
          <w:noProof w:val="0"/>
          <w:sz w:val="24"/>
          <w:szCs w:val="24"/>
          <w:lang w:val="en-US"/>
        </w:rPr>
        <w:t xml:space="preserve">, K.G. et al. (2001) ‘Medication errors: problems and solutions’, </w:t>
      </w:r>
      <w:r w:rsidRPr="3DC7A50A" w:rsidR="14B7E0A9">
        <w:rPr>
          <w:rFonts w:ascii="Arial" w:hAnsi="Arial" w:eastAsia="Arial" w:cs="Arial"/>
          <w:i w:val="1"/>
          <w:iCs w:val="1"/>
          <w:noProof w:val="0"/>
          <w:sz w:val="24"/>
          <w:szCs w:val="24"/>
          <w:lang w:val="en-US"/>
        </w:rPr>
        <w:t>BMJ</w:t>
      </w:r>
      <w:r w:rsidRPr="3DC7A50A" w:rsidR="14B7E0A9">
        <w:rPr>
          <w:rFonts w:ascii="Arial" w:hAnsi="Arial" w:eastAsia="Arial" w:cs="Arial"/>
          <w:noProof w:val="0"/>
          <w:sz w:val="24"/>
          <w:szCs w:val="24"/>
          <w:lang w:val="en-US"/>
        </w:rPr>
        <w:t>, 322(7287), pp. 112–115.</w:t>
      </w:r>
    </w:p>
    <w:p w:rsidR="14B7E0A9" w:rsidP="3DC7A50A" w:rsidRDefault="14B7E0A9" w14:paraId="26E52142" w14:textId="53D947AA">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Singh, J. et al. (2021) ‘Use of CASP in qualitative research appraisal’, </w:t>
      </w:r>
      <w:r w:rsidRPr="3DC7A50A" w:rsidR="14B7E0A9">
        <w:rPr>
          <w:rFonts w:ascii="Arial" w:hAnsi="Arial" w:eastAsia="Arial" w:cs="Arial"/>
          <w:i w:val="1"/>
          <w:iCs w:val="1"/>
          <w:noProof w:val="0"/>
          <w:sz w:val="24"/>
          <w:szCs w:val="24"/>
          <w:lang w:val="en-US"/>
        </w:rPr>
        <w:t>Nurse Researcher</w:t>
      </w:r>
      <w:r w:rsidRPr="3DC7A50A" w:rsidR="14B7E0A9">
        <w:rPr>
          <w:rFonts w:ascii="Arial" w:hAnsi="Arial" w:eastAsia="Arial" w:cs="Arial"/>
          <w:noProof w:val="0"/>
          <w:sz w:val="24"/>
          <w:szCs w:val="24"/>
          <w:lang w:val="en-US"/>
        </w:rPr>
        <w:t>, 28(3), pp. 19–26.</w:t>
      </w:r>
    </w:p>
    <w:p w:rsidR="14B7E0A9" w:rsidP="3DC7A50A" w:rsidRDefault="14B7E0A9" w14:paraId="7A717B55" w14:textId="664B1688">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Tegegn, H.G. (2020) ‘Dispensing practices in Ethiopian community pharmacies’, </w:t>
      </w:r>
      <w:r w:rsidRPr="3DC7A50A" w:rsidR="14B7E0A9">
        <w:rPr>
          <w:rFonts w:ascii="Arial" w:hAnsi="Arial" w:eastAsia="Arial" w:cs="Arial"/>
          <w:i w:val="1"/>
          <w:iCs w:val="1"/>
          <w:noProof w:val="0"/>
          <w:sz w:val="24"/>
          <w:szCs w:val="24"/>
          <w:lang w:val="en-US"/>
        </w:rPr>
        <w:t>Integrated Pharmacy Research &amp; Practice</w:t>
      </w:r>
      <w:r w:rsidRPr="3DC7A50A" w:rsidR="14B7E0A9">
        <w:rPr>
          <w:rFonts w:ascii="Arial" w:hAnsi="Arial" w:eastAsia="Arial" w:cs="Arial"/>
          <w:noProof w:val="0"/>
          <w:sz w:val="24"/>
          <w:szCs w:val="24"/>
          <w:lang w:val="en-US"/>
        </w:rPr>
        <w:t>, 9, pp. 43–51.</w:t>
      </w:r>
    </w:p>
    <w:p w:rsidR="14B7E0A9" w:rsidP="3DC7A50A" w:rsidRDefault="14B7E0A9" w14:paraId="4081F3FA" w14:textId="3C14EA8E">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Tegegn, H.G. (2023) ‘Clinical pharmacists’ perspectives on medication adherence: a qualitative study in Ethiopia’, </w:t>
      </w:r>
      <w:r w:rsidRPr="3DC7A50A" w:rsidR="14B7E0A9">
        <w:rPr>
          <w:rFonts w:ascii="Arial" w:hAnsi="Arial" w:eastAsia="Arial" w:cs="Arial"/>
          <w:i w:val="1"/>
          <w:iCs w:val="1"/>
          <w:noProof w:val="0"/>
          <w:sz w:val="24"/>
          <w:szCs w:val="24"/>
          <w:lang w:val="en-US"/>
        </w:rPr>
        <w:t>International Journal of Pharmacy Practice</w:t>
      </w:r>
      <w:r w:rsidRPr="3DC7A50A" w:rsidR="14B7E0A9">
        <w:rPr>
          <w:rFonts w:ascii="Arial" w:hAnsi="Arial" w:eastAsia="Arial" w:cs="Arial"/>
          <w:noProof w:val="0"/>
          <w:sz w:val="24"/>
          <w:szCs w:val="24"/>
          <w:lang w:val="en-US"/>
        </w:rPr>
        <w:t xml:space="preserve">, 31(6), pp. 617–625. Available at: </w:t>
      </w:r>
      <w:hyperlink r:id="R0b55e00d59274fdf">
        <w:r w:rsidRPr="3DC7A50A" w:rsidR="14B7E0A9">
          <w:rPr>
            <w:rStyle w:val="Hyperlink"/>
            <w:rFonts w:ascii="Arial" w:hAnsi="Arial" w:eastAsia="Arial" w:cs="Arial"/>
            <w:noProof w:val="0"/>
            <w:sz w:val="24"/>
            <w:szCs w:val="24"/>
            <w:lang w:val="en-US"/>
          </w:rPr>
          <w:t>https://academic.oup.com/ijpp/article/31/6/617/7276452</w:t>
        </w:r>
      </w:hyperlink>
      <w:r w:rsidRPr="3DC7A50A" w:rsidR="14B7E0A9">
        <w:rPr>
          <w:rFonts w:ascii="Arial" w:hAnsi="Arial" w:eastAsia="Arial" w:cs="Arial"/>
          <w:noProof w:val="0"/>
          <w:sz w:val="24"/>
          <w:szCs w:val="24"/>
          <w:lang w:val="en-US"/>
        </w:rPr>
        <w:t xml:space="preserve"> (Accessed: 2 January 2026).</w:t>
      </w:r>
    </w:p>
    <w:p w:rsidR="14B7E0A9" w:rsidP="3DC7A50A" w:rsidRDefault="14B7E0A9" w14:paraId="4A7AA6DB" w14:textId="18D78111">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Tod, A.M., Booth, </w:t>
      </w:r>
      <w:r w:rsidRPr="3DC7A50A" w:rsidR="14B7E0A9">
        <w:rPr>
          <w:rFonts w:ascii="Arial" w:hAnsi="Arial" w:eastAsia="Arial" w:cs="Arial"/>
          <w:noProof w:val="0"/>
          <w:sz w:val="24"/>
          <w:szCs w:val="24"/>
          <w:lang w:val="en-US"/>
        </w:rPr>
        <w:t>A.</w:t>
      </w:r>
      <w:r w:rsidRPr="3DC7A50A" w:rsidR="14B7E0A9">
        <w:rPr>
          <w:rFonts w:ascii="Arial" w:hAnsi="Arial" w:eastAsia="Arial" w:cs="Arial"/>
          <w:noProof w:val="0"/>
          <w:sz w:val="24"/>
          <w:szCs w:val="24"/>
          <w:lang w:val="en-US"/>
        </w:rPr>
        <w:t xml:space="preserve"> and Smith, R. (2022)</w:t>
      </w:r>
      <w:r w:rsidRPr="3DC7A50A" w:rsidR="14B7E0A9">
        <w:rPr>
          <w:rFonts w:ascii="Arial" w:hAnsi="Arial" w:eastAsia="Arial" w:cs="Arial"/>
          <w:noProof w:val="0"/>
          <w:sz w:val="24"/>
          <w:szCs w:val="24"/>
          <w:lang w:val="en-US"/>
        </w:rPr>
        <w:t xml:space="preserve"> </w:t>
      </w:r>
      <w:r w:rsidRPr="3DC7A50A" w:rsidR="14B7E0A9">
        <w:rPr>
          <w:rFonts w:ascii="Arial" w:hAnsi="Arial" w:eastAsia="Arial" w:cs="Arial"/>
          <w:i w:val="1"/>
          <w:iCs w:val="1"/>
          <w:noProof w:val="0"/>
          <w:sz w:val="24"/>
          <w:szCs w:val="24"/>
          <w:lang w:val="en-US"/>
        </w:rPr>
        <w:t>Evidence</w:t>
      </w:r>
      <w:r w:rsidRPr="3DC7A50A" w:rsidR="14B7E0A9">
        <w:rPr>
          <w:rFonts w:ascii="Arial" w:hAnsi="Arial" w:eastAsia="Arial" w:cs="Arial"/>
          <w:i w:val="1"/>
          <w:iCs w:val="1"/>
          <w:noProof w:val="0"/>
          <w:sz w:val="24"/>
          <w:szCs w:val="24"/>
          <w:lang w:val="en-US"/>
        </w:rPr>
        <w:t>-based Practice for Healthcare Professionals</w:t>
      </w:r>
      <w:r w:rsidRPr="3DC7A50A" w:rsidR="14B7E0A9">
        <w:rPr>
          <w:rFonts w:ascii="Arial" w:hAnsi="Arial" w:eastAsia="Arial" w:cs="Arial"/>
          <w:noProof w:val="0"/>
          <w:sz w:val="24"/>
          <w:szCs w:val="24"/>
          <w:lang w:val="en-US"/>
        </w:rPr>
        <w:t>. London: Routledge.</w:t>
      </w:r>
    </w:p>
    <w:p w:rsidR="14B7E0A9" w:rsidP="3DC7A50A" w:rsidRDefault="14B7E0A9" w14:paraId="5CD24E5C" w14:textId="15A33EEF">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Um, I.S. et al. (2024) ‘Dispensing error rates in pharmacies’, </w:t>
      </w:r>
      <w:r w:rsidRPr="3DC7A50A" w:rsidR="14B7E0A9">
        <w:rPr>
          <w:rFonts w:ascii="Arial" w:hAnsi="Arial" w:eastAsia="Arial" w:cs="Arial"/>
          <w:i w:val="1"/>
          <w:iCs w:val="1"/>
          <w:noProof w:val="0"/>
          <w:sz w:val="24"/>
          <w:szCs w:val="24"/>
          <w:lang w:val="en-US"/>
        </w:rPr>
        <w:t>Research in Social and Administrative Pharmacy</w:t>
      </w:r>
      <w:r w:rsidRPr="3DC7A50A" w:rsidR="14B7E0A9">
        <w:rPr>
          <w:rFonts w:ascii="Arial" w:hAnsi="Arial" w:eastAsia="Arial" w:cs="Arial"/>
          <w:noProof w:val="0"/>
          <w:sz w:val="24"/>
          <w:szCs w:val="24"/>
          <w:lang w:val="en-US"/>
        </w:rPr>
        <w:t>, 20(1), pp. 1–12.</w:t>
      </w:r>
    </w:p>
    <w:p w:rsidR="14B7E0A9" w:rsidP="3DC7A50A" w:rsidRDefault="14B7E0A9" w14:paraId="09367C97" w14:textId="42F66DC3">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Westbrook, J.I., Woods, A., Rob, M.I. et al. (2010) ‘Association of interruptions with medication administration errors’, </w:t>
      </w:r>
      <w:r w:rsidRPr="3DC7A50A" w:rsidR="14B7E0A9">
        <w:rPr>
          <w:rFonts w:ascii="Arial" w:hAnsi="Arial" w:eastAsia="Arial" w:cs="Arial"/>
          <w:i w:val="1"/>
          <w:iCs w:val="1"/>
          <w:noProof w:val="0"/>
          <w:sz w:val="24"/>
          <w:szCs w:val="24"/>
          <w:lang w:val="en-US"/>
        </w:rPr>
        <w:t>Archives of Internal Medicine</w:t>
      </w:r>
      <w:r w:rsidRPr="3DC7A50A" w:rsidR="14B7E0A9">
        <w:rPr>
          <w:rFonts w:ascii="Arial" w:hAnsi="Arial" w:eastAsia="Arial" w:cs="Arial"/>
          <w:noProof w:val="0"/>
          <w:sz w:val="24"/>
          <w:szCs w:val="24"/>
          <w:lang w:val="en-US"/>
        </w:rPr>
        <w:t xml:space="preserve">, 170(8), pp. 683–690. Available at: </w:t>
      </w:r>
      <w:hyperlink r:id="Rab21a4a11ef84cc8">
        <w:r w:rsidRPr="3DC7A50A" w:rsidR="14B7E0A9">
          <w:rPr>
            <w:rStyle w:val="Hyperlink"/>
            <w:rFonts w:ascii="Arial" w:hAnsi="Arial" w:eastAsia="Arial" w:cs="Arial"/>
            <w:noProof w:val="0"/>
            <w:sz w:val="24"/>
            <w:szCs w:val="24"/>
            <w:lang w:val="en-US"/>
          </w:rPr>
          <w:t>https://jamanetwork.com/journals/jamainternalmedicine/fullarticle/415119</w:t>
        </w:r>
      </w:hyperlink>
      <w:r w:rsidRPr="3DC7A50A" w:rsidR="14B7E0A9">
        <w:rPr>
          <w:rFonts w:ascii="Arial" w:hAnsi="Arial" w:eastAsia="Arial" w:cs="Arial"/>
          <w:noProof w:val="0"/>
          <w:sz w:val="24"/>
          <w:szCs w:val="24"/>
          <w:lang w:val="en-US"/>
        </w:rPr>
        <w:t xml:space="preserve"> (Accessed: 16 December 2025).</w:t>
      </w:r>
    </w:p>
    <w:p w:rsidR="14B7E0A9" w:rsidP="3DC7A50A" w:rsidRDefault="14B7E0A9" w14:paraId="40CF8589" w14:textId="3C69F555">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World Bank (2024) </w:t>
      </w:r>
      <w:r w:rsidRPr="3DC7A50A" w:rsidR="14B7E0A9">
        <w:rPr>
          <w:rFonts w:ascii="Arial" w:hAnsi="Arial" w:eastAsia="Arial" w:cs="Arial"/>
          <w:i w:val="1"/>
          <w:iCs w:val="1"/>
          <w:noProof w:val="0"/>
          <w:sz w:val="24"/>
          <w:szCs w:val="24"/>
          <w:lang w:val="en-US"/>
        </w:rPr>
        <w:t>World Bank Country and Lending Groups</w:t>
      </w:r>
      <w:r w:rsidRPr="3DC7A50A" w:rsidR="14B7E0A9">
        <w:rPr>
          <w:rFonts w:ascii="Arial" w:hAnsi="Arial" w:eastAsia="Arial" w:cs="Arial"/>
          <w:noProof w:val="0"/>
          <w:sz w:val="24"/>
          <w:szCs w:val="24"/>
          <w:lang w:val="en-US"/>
        </w:rPr>
        <w:t xml:space="preserve">. Available at: </w:t>
      </w:r>
      <w:hyperlink r:id="Rd208b61ad31a4535">
        <w:r w:rsidRPr="3DC7A50A" w:rsidR="14B7E0A9">
          <w:rPr>
            <w:rStyle w:val="Hyperlink"/>
            <w:rFonts w:ascii="Arial" w:hAnsi="Arial" w:eastAsia="Arial" w:cs="Arial"/>
            <w:noProof w:val="0"/>
            <w:sz w:val="24"/>
            <w:szCs w:val="24"/>
            <w:lang w:val="en-US"/>
          </w:rPr>
          <w:t>https://datahelpdesk.worldbank.org/knowledgebase/articles/906519</w:t>
        </w:r>
      </w:hyperlink>
      <w:r w:rsidRPr="3DC7A50A" w:rsidR="14B7E0A9">
        <w:rPr>
          <w:rFonts w:ascii="Arial" w:hAnsi="Arial" w:eastAsia="Arial" w:cs="Arial"/>
          <w:noProof w:val="0"/>
          <w:sz w:val="24"/>
          <w:szCs w:val="24"/>
          <w:lang w:val="en-US"/>
        </w:rPr>
        <w:t xml:space="preserve"> (Accessed: 9 December 2025).</w:t>
      </w:r>
    </w:p>
    <w:p w:rsidR="14B7E0A9" w:rsidP="3DC7A50A" w:rsidRDefault="14B7E0A9" w14:paraId="21E037E1" w14:textId="64D80B30">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World Health Organization (2017) </w:t>
      </w:r>
      <w:r w:rsidRPr="3DC7A50A" w:rsidR="14B7E0A9">
        <w:rPr>
          <w:rFonts w:ascii="Arial" w:hAnsi="Arial" w:eastAsia="Arial" w:cs="Arial"/>
          <w:i w:val="1"/>
          <w:iCs w:val="1"/>
          <w:noProof w:val="0"/>
          <w:sz w:val="24"/>
          <w:szCs w:val="24"/>
          <w:lang w:val="en-US"/>
        </w:rPr>
        <w:t>Medication Without Harm: WHO Global Patient Safety Challenge</w:t>
      </w:r>
      <w:r w:rsidRPr="3DC7A50A" w:rsidR="14B7E0A9">
        <w:rPr>
          <w:rFonts w:ascii="Arial" w:hAnsi="Arial" w:eastAsia="Arial" w:cs="Arial"/>
          <w:noProof w:val="0"/>
          <w:sz w:val="24"/>
          <w:szCs w:val="24"/>
          <w:lang w:val="en-US"/>
        </w:rPr>
        <w:t xml:space="preserve">. Geneva: WHO. Available at: </w:t>
      </w:r>
      <w:hyperlink r:id="R2297d3deee3c4c2f">
        <w:r w:rsidRPr="3DC7A50A" w:rsidR="14B7E0A9">
          <w:rPr>
            <w:rStyle w:val="Hyperlink"/>
            <w:rFonts w:ascii="Arial" w:hAnsi="Arial" w:eastAsia="Arial" w:cs="Arial"/>
            <w:noProof w:val="0"/>
            <w:sz w:val="24"/>
            <w:szCs w:val="24"/>
            <w:lang w:val="en-US"/>
          </w:rPr>
          <w:t>https://www.who.int/initiatives/medication-without-harm</w:t>
        </w:r>
      </w:hyperlink>
      <w:r w:rsidRPr="3DC7A50A" w:rsidR="14B7E0A9">
        <w:rPr>
          <w:rFonts w:ascii="Arial" w:hAnsi="Arial" w:eastAsia="Arial" w:cs="Arial"/>
          <w:noProof w:val="0"/>
          <w:sz w:val="24"/>
          <w:szCs w:val="24"/>
          <w:lang w:val="en-US"/>
        </w:rPr>
        <w:t xml:space="preserve"> (Accessed: 4 December 2025).</w:t>
      </w:r>
    </w:p>
    <w:p w:rsidR="14B7E0A9" w:rsidP="3DC7A50A" w:rsidRDefault="14B7E0A9" w14:paraId="692FF4DE" w14:textId="4BE01A93">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World Health Organization (2019) </w:t>
      </w:r>
      <w:r w:rsidRPr="3DC7A50A" w:rsidR="14B7E0A9">
        <w:rPr>
          <w:rFonts w:ascii="Arial" w:hAnsi="Arial" w:eastAsia="Arial" w:cs="Arial"/>
          <w:i w:val="1"/>
          <w:iCs w:val="1"/>
          <w:noProof w:val="0"/>
          <w:sz w:val="24"/>
          <w:szCs w:val="24"/>
          <w:lang w:val="en-US"/>
        </w:rPr>
        <w:t>WHO Patient Safety Fact File: Medication Errors</w:t>
      </w:r>
      <w:r w:rsidRPr="3DC7A50A" w:rsidR="14B7E0A9">
        <w:rPr>
          <w:rFonts w:ascii="Arial" w:hAnsi="Arial" w:eastAsia="Arial" w:cs="Arial"/>
          <w:noProof w:val="0"/>
          <w:sz w:val="24"/>
          <w:szCs w:val="24"/>
          <w:lang w:val="en-US"/>
        </w:rPr>
        <w:t xml:space="preserve">. Geneva: WHO. Available at: </w:t>
      </w:r>
      <w:hyperlink r:id="Re0066deff51a4221">
        <w:r w:rsidRPr="3DC7A50A" w:rsidR="14B7E0A9">
          <w:rPr>
            <w:rStyle w:val="Hyperlink"/>
            <w:rFonts w:ascii="Arial" w:hAnsi="Arial" w:eastAsia="Arial" w:cs="Arial"/>
            <w:noProof w:val="0"/>
            <w:sz w:val="24"/>
            <w:szCs w:val="24"/>
            <w:lang w:val="en-US"/>
          </w:rPr>
          <w:t>https://www.who.int/publications/i/item/WHO-UHC-SDS-2019.11</w:t>
        </w:r>
      </w:hyperlink>
      <w:r w:rsidRPr="3DC7A50A" w:rsidR="14B7E0A9">
        <w:rPr>
          <w:rFonts w:ascii="Arial" w:hAnsi="Arial" w:eastAsia="Arial" w:cs="Arial"/>
          <w:noProof w:val="0"/>
          <w:sz w:val="24"/>
          <w:szCs w:val="24"/>
          <w:lang w:val="en-US"/>
        </w:rPr>
        <w:t xml:space="preserve"> (Accessed: 12 December 2025).</w:t>
      </w:r>
    </w:p>
    <w:p w:rsidR="14B7E0A9" w:rsidP="3DC7A50A" w:rsidRDefault="14B7E0A9" w14:paraId="4BD3156E" w14:textId="035588FD">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World Health Organization (2021) </w:t>
      </w:r>
      <w:r w:rsidRPr="3DC7A50A" w:rsidR="14B7E0A9">
        <w:rPr>
          <w:rFonts w:ascii="Arial" w:hAnsi="Arial" w:eastAsia="Arial" w:cs="Arial"/>
          <w:i w:val="1"/>
          <w:iCs w:val="1"/>
          <w:noProof w:val="0"/>
          <w:sz w:val="24"/>
          <w:szCs w:val="24"/>
          <w:lang w:val="en-US"/>
        </w:rPr>
        <w:t>Global Patient Safety Action Plan 2021–2030</w:t>
      </w:r>
      <w:r w:rsidRPr="3DC7A50A" w:rsidR="14B7E0A9">
        <w:rPr>
          <w:rFonts w:ascii="Arial" w:hAnsi="Arial" w:eastAsia="Arial" w:cs="Arial"/>
          <w:noProof w:val="0"/>
          <w:sz w:val="24"/>
          <w:szCs w:val="24"/>
          <w:lang w:val="en-US"/>
        </w:rPr>
        <w:t xml:space="preserve">. Geneva: WHO. Available at: </w:t>
      </w:r>
      <w:hyperlink r:id="R33276bbba4544116">
        <w:r w:rsidRPr="3DC7A50A" w:rsidR="14B7E0A9">
          <w:rPr>
            <w:rStyle w:val="Hyperlink"/>
            <w:rFonts w:ascii="Arial" w:hAnsi="Arial" w:eastAsia="Arial" w:cs="Arial"/>
            <w:noProof w:val="0"/>
            <w:sz w:val="24"/>
            <w:szCs w:val="24"/>
            <w:lang w:val="en-US"/>
          </w:rPr>
          <w:t>https://www.who.int/publications/i/item/9789240032705</w:t>
        </w:r>
      </w:hyperlink>
      <w:r w:rsidRPr="3DC7A50A" w:rsidR="14B7E0A9">
        <w:rPr>
          <w:rFonts w:ascii="Arial" w:hAnsi="Arial" w:eastAsia="Arial" w:cs="Arial"/>
          <w:noProof w:val="0"/>
          <w:sz w:val="24"/>
          <w:szCs w:val="24"/>
          <w:lang w:val="en-US"/>
        </w:rPr>
        <w:t xml:space="preserve"> (Accessed: 9 December 2025).</w:t>
      </w:r>
    </w:p>
    <w:p w:rsidR="14B7E0A9" w:rsidP="3DC7A50A" w:rsidRDefault="14B7E0A9" w14:paraId="5F24A97D" w14:textId="17B94AD6">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World Health Organization (2023) </w:t>
      </w:r>
      <w:r w:rsidRPr="3DC7A50A" w:rsidR="14B7E0A9">
        <w:rPr>
          <w:rFonts w:ascii="Arial" w:hAnsi="Arial" w:eastAsia="Arial" w:cs="Arial"/>
          <w:i w:val="1"/>
          <w:iCs w:val="1"/>
          <w:noProof w:val="0"/>
          <w:sz w:val="24"/>
          <w:szCs w:val="24"/>
          <w:lang w:val="en-US"/>
        </w:rPr>
        <w:t>Antimicrobial resistance</w:t>
      </w:r>
      <w:r w:rsidRPr="3DC7A50A" w:rsidR="14B7E0A9">
        <w:rPr>
          <w:rFonts w:ascii="Arial" w:hAnsi="Arial" w:eastAsia="Arial" w:cs="Arial"/>
          <w:noProof w:val="0"/>
          <w:sz w:val="24"/>
          <w:szCs w:val="24"/>
          <w:lang w:val="en-US"/>
        </w:rPr>
        <w:t xml:space="preserve">. Geneva: WHO. Available at: </w:t>
      </w:r>
      <w:hyperlink r:id="Re3222582f98d49c1">
        <w:r w:rsidRPr="3DC7A50A" w:rsidR="14B7E0A9">
          <w:rPr>
            <w:rStyle w:val="Hyperlink"/>
            <w:rFonts w:ascii="Arial" w:hAnsi="Arial" w:eastAsia="Arial" w:cs="Arial"/>
            <w:noProof w:val="0"/>
            <w:sz w:val="24"/>
            <w:szCs w:val="24"/>
            <w:lang w:val="en-US"/>
          </w:rPr>
          <w:t>https://www.who.int/news-room/fact-sheets/detail/antimicrobial-resistance</w:t>
        </w:r>
      </w:hyperlink>
      <w:r w:rsidRPr="3DC7A50A" w:rsidR="14B7E0A9">
        <w:rPr>
          <w:rFonts w:ascii="Arial" w:hAnsi="Arial" w:eastAsia="Arial" w:cs="Arial"/>
          <w:noProof w:val="0"/>
          <w:sz w:val="24"/>
          <w:szCs w:val="24"/>
          <w:lang w:val="en-US"/>
        </w:rPr>
        <w:t xml:space="preserve"> (Accessed: 12 December 2025).</w:t>
      </w:r>
    </w:p>
    <w:p w:rsidR="14B7E0A9" w:rsidP="3DC7A50A" w:rsidRDefault="14B7E0A9" w14:paraId="66363C50" w14:textId="3FD5F9A4">
      <w:pPr>
        <w:bidi w:val="0"/>
        <w:spacing w:before="240" w:beforeAutospacing="off" w:after="240" w:afterAutospacing="off"/>
        <w:jc w:val="both"/>
        <w:rPr>
          <w:rFonts w:ascii="Arial" w:hAnsi="Arial" w:eastAsia="Arial" w:cs="Arial"/>
          <w:noProof w:val="0"/>
          <w:sz w:val="24"/>
          <w:szCs w:val="24"/>
          <w:lang w:val="en-US"/>
        </w:rPr>
      </w:pPr>
      <w:r w:rsidRPr="3DC7A50A" w:rsidR="14B7E0A9">
        <w:rPr>
          <w:rFonts w:ascii="Arial" w:hAnsi="Arial" w:eastAsia="Arial" w:cs="Arial"/>
          <w:noProof w:val="0"/>
          <w:sz w:val="24"/>
          <w:szCs w:val="24"/>
          <w:lang w:val="en-US"/>
        </w:rPr>
        <w:t xml:space="preserve">Yousaf, M., et al. (2022) ‘Factors influencing dispensing errors in LMICs’, </w:t>
      </w:r>
      <w:r w:rsidRPr="3DC7A50A" w:rsidR="14B7E0A9">
        <w:rPr>
          <w:rFonts w:ascii="Arial" w:hAnsi="Arial" w:eastAsia="Arial" w:cs="Arial"/>
          <w:i w:val="1"/>
          <w:iCs w:val="1"/>
          <w:noProof w:val="0"/>
          <w:sz w:val="24"/>
          <w:szCs w:val="24"/>
          <w:lang w:val="en-US"/>
        </w:rPr>
        <w:t>Pharmacy Practice</w:t>
      </w:r>
      <w:r w:rsidRPr="3DC7A50A" w:rsidR="14B7E0A9">
        <w:rPr>
          <w:rFonts w:ascii="Arial" w:hAnsi="Arial" w:eastAsia="Arial" w:cs="Arial"/>
          <w:noProof w:val="0"/>
          <w:sz w:val="24"/>
          <w:szCs w:val="24"/>
          <w:lang w:val="en-US"/>
        </w:rPr>
        <w:t xml:space="preserve">, 20(2):2665. Available at: </w:t>
      </w:r>
      <w:hyperlink r:id="R182cc077e3904782">
        <w:r w:rsidRPr="3DC7A50A" w:rsidR="14B7E0A9">
          <w:rPr>
            <w:rStyle w:val="Hyperlink"/>
            <w:rFonts w:ascii="Arial" w:hAnsi="Arial" w:eastAsia="Arial" w:cs="Arial"/>
            <w:noProof w:val="0"/>
            <w:sz w:val="24"/>
            <w:szCs w:val="24"/>
            <w:lang w:val="en-US"/>
          </w:rPr>
          <w:t>https://pharmacypractice.org/index.php/pp/article/view/2665</w:t>
        </w:r>
      </w:hyperlink>
      <w:r w:rsidRPr="3DC7A50A" w:rsidR="14B7E0A9">
        <w:rPr>
          <w:rFonts w:ascii="Arial" w:hAnsi="Arial" w:eastAsia="Arial" w:cs="Arial"/>
          <w:noProof w:val="0"/>
          <w:sz w:val="24"/>
          <w:szCs w:val="24"/>
          <w:lang w:val="en-US"/>
        </w:rPr>
        <w:t xml:space="preserve"> (Accessed: 22 December 2025).</w:t>
      </w:r>
    </w:p>
    <w:p w:rsidR="3DC7A50A" w:rsidP="3DC7A50A" w:rsidRDefault="3DC7A50A" w14:paraId="73908F1F" w14:textId="7FF5CBD0">
      <w:pPr>
        <w:pStyle w:val="Normal"/>
        <w:bidi w:val="0"/>
        <w:jc w:val="both"/>
        <w:rPr>
          <w:rFonts w:ascii="Arial" w:hAnsi="Arial" w:eastAsia="Arial" w:cs="Arial"/>
          <w:noProof w:val="0"/>
          <w:sz w:val="24"/>
          <w:szCs w:val="24"/>
          <w:lang w:val="en-US"/>
        </w:rPr>
      </w:pPr>
    </w:p>
    <w:p w:rsidR="3DC7A50A" w:rsidP="3DC7A50A" w:rsidRDefault="3DC7A50A" w14:paraId="2476B6B1" w14:textId="0174EECC">
      <w:pPr>
        <w:pStyle w:val="Heading1"/>
        <w:bidi w:val="0"/>
        <w:spacing w:before="240" w:beforeAutospacing="off" w:after="240" w:afterAutospacing="off"/>
        <w:jc w:val="both"/>
        <w:rPr>
          <w:rFonts w:ascii="Arial" w:hAnsi="Arial" w:eastAsia="Arial" w:cs="Arial"/>
          <w:b w:val="1"/>
          <w:bCs w:val="1"/>
          <w:noProof w:val="0"/>
          <w:color w:val="auto"/>
          <w:sz w:val="24"/>
          <w:szCs w:val="24"/>
          <w:lang w:val="en-US"/>
        </w:rPr>
      </w:pPr>
    </w:p>
    <w:p w:rsidR="3DC7A50A" w:rsidP="3DC7A50A" w:rsidRDefault="3DC7A50A" w14:paraId="2E7742D1" w14:textId="4B1BF306">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0B62B4B0" w14:textId="5B11C859">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479FCC8F" w14:textId="6040B234">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26931083" w14:textId="42478C19">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298915E8" w14:textId="179B829E">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0F6AE791" w14:textId="26CAF9A7">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2AC4BA8F" w14:textId="269D4E43">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4A83859F" w14:textId="748EC75E">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7B02BBBB" w14:textId="502BE36E">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3CE902D0" w14:textId="28A6F420">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4837A066" w14:textId="4794070A">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5EBEA327" w14:textId="3BF3023F">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534FC418" w14:textId="3F4C9BF3">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165085E6" w14:textId="220402A7">
      <w:pPr>
        <w:pStyle w:val="Heading1"/>
        <w:bidi w:val="0"/>
        <w:spacing w:before="240" w:beforeAutospacing="off" w:after="240" w:afterAutospacing="off"/>
        <w:jc w:val="both"/>
        <w:rPr>
          <w:rFonts w:ascii="Arial" w:hAnsi="Arial" w:eastAsia="Arial" w:cs="Arial"/>
          <w:b w:val="1"/>
          <w:bCs w:val="1"/>
          <w:noProof w:val="0"/>
          <w:color w:val="auto"/>
          <w:lang w:val="en-US"/>
        </w:rPr>
      </w:pPr>
    </w:p>
    <w:p w:rsidR="3DC7A50A" w:rsidP="3DC7A50A" w:rsidRDefault="3DC7A50A" w14:paraId="58265619" w14:textId="48FA0380">
      <w:pPr>
        <w:pStyle w:val="Heading1"/>
        <w:bidi w:val="0"/>
        <w:spacing w:before="240" w:beforeAutospacing="off" w:after="240" w:afterAutospacing="off"/>
        <w:jc w:val="both"/>
        <w:rPr>
          <w:rFonts w:ascii="Arial" w:hAnsi="Arial" w:eastAsia="Arial" w:cs="Arial"/>
          <w:b w:val="1"/>
          <w:bCs w:val="1"/>
          <w:noProof w:val="0"/>
          <w:color w:val="auto"/>
          <w:lang w:val="en-US"/>
        </w:rPr>
      </w:pPr>
    </w:p>
    <w:sectPr>
      <w:pgSz w:w="12240" w:h="15840" w:orient="portrait"/>
      <w:pgMar w:top="1440" w:right="1440" w:bottom="1440" w:left="1440" w:header="720" w:footer="720" w:gutter="0"/>
      <w:cols w:space="720"/>
      <w:docGrid w:linePitch="360"/>
      <w:headerReference w:type="default" r:id="R75d75697e284493b"/>
      <w:footerReference w:type="default" r:id="Re2bf179ca3b34f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DC7A50A" w:rsidTr="3DC7A50A" w14:paraId="6F5818E4">
      <w:trPr>
        <w:trHeight w:val="300"/>
      </w:trPr>
      <w:tc>
        <w:tcPr>
          <w:tcW w:w="3120" w:type="dxa"/>
          <w:tcMar/>
        </w:tcPr>
        <w:p w:rsidR="3DC7A50A" w:rsidP="3DC7A50A" w:rsidRDefault="3DC7A50A" w14:paraId="662577F0" w14:textId="2E10B44F">
          <w:pPr>
            <w:pStyle w:val="Header"/>
            <w:bidi w:val="0"/>
            <w:ind w:left="-115"/>
            <w:jc w:val="left"/>
          </w:pPr>
        </w:p>
      </w:tc>
      <w:tc>
        <w:tcPr>
          <w:tcW w:w="3120" w:type="dxa"/>
          <w:tcMar/>
        </w:tcPr>
        <w:p w:rsidR="3DC7A50A" w:rsidP="3DC7A50A" w:rsidRDefault="3DC7A50A" w14:paraId="2829CFAE" w14:textId="06540EFF">
          <w:pPr>
            <w:pStyle w:val="Header"/>
            <w:bidi w:val="0"/>
            <w:jc w:val="center"/>
          </w:pPr>
        </w:p>
      </w:tc>
      <w:tc>
        <w:tcPr>
          <w:tcW w:w="3120" w:type="dxa"/>
          <w:tcMar/>
        </w:tcPr>
        <w:p w:rsidR="3DC7A50A" w:rsidP="3DC7A50A" w:rsidRDefault="3DC7A50A" w14:paraId="3C9AD9D6" w14:textId="0E8EE8C8">
          <w:pPr>
            <w:pStyle w:val="Header"/>
            <w:bidi w:val="0"/>
            <w:ind w:right="-115"/>
            <w:jc w:val="right"/>
          </w:pPr>
        </w:p>
      </w:tc>
    </w:tr>
  </w:tbl>
  <w:p w:rsidR="3DC7A50A" w:rsidP="3DC7A50A" w:rsidRDefault="3DC7A50A" w14:paraId="334DEF5B" w14:textId="055B91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DC7A50A" w:rsidTr="3DC7A50A" w14:paraId="1FC27B04">
      <w:trPr>
        <w:trHeight w:val="300"/>
      </w:trPr>
      <w:tc>
        <w:tcPr>
          <w:tcW w:w="3120" w:type="dxa"/>
          <w:tcMar/>
        </w:tcPr>
        <w:p w:rsidR="3DC7A50A" w:rsidP="3DC7A50A" w:rsidRDefault="3DC7A50A" w14:paraId="6FBE17D8" w14:textId="3EB6EB9E">
          <w:pPr>
            <w:pStyle w:val="Header"/>
            <w:bidi w:val="0"/>
            <w:ind w:left="-115"/>
            <w:jc w:val="left"/>
          </w:pPr>
        </w:p>
      </w:tc>
      <w:tc>
        <w:tcPr>
          <w:tcW w:w="3120" w:type="dxa"/>
          <w:tcMar/>
        </w:tcPr>
        <w:p w:rsidR="3DC7A50A" w:rsidP="3DC7A50A" w:rsidRDefault="3DC7A50A" w14:paraId="75A8AE17" w14:textId="55AB0AC1">
          <w:pPr>
            <w:pStyle w:val="Header"/>
            <w:bidi w:val="0"/>
            <w:jc w:val="center"/>
          </w:pPr>
        </w:p>
      </w:tc>
      <w:tc>
        <w:tcPr>
          <w:tcW w:w="3120" w:type="dxa"/>
          <w:tcMar/>
        </w:tcPr>
        <w:p w:rsidR="3DC7A50A" w:rsidP="3DC7A50A" w:rsidRDefault="3DC7A50A" w14:paraId="601940CD" w14:textId="72ED8F83">
          <w:pPr>
            <w:pStyle w:val="Header"/>
            <w:bidi w:val="0"/>
            <w:ind w:right="-115"/>
            <w:jc w:val="right"/>
          </w:pPr>
        </w:p>
      </w:tc>
    </w:tr>
  </w:tbl>
  <w:p w:rsidR="3DC7A50A" w:rsidP="3DC7A50A" w:rsidRDefault="3DC7A50A" w14:paraId="115F91B9" w14:textId="6FC26B82">
    <w:pPr>
      <w:pStyle w:val="Header"/>
      <w:bidi w:val="0"/>
    </w:pPr>
  </w:p>
</w:hdr>
</file>

<file path=word/intelligence2.xml><?xml version="1.0" encoding="utf-8"?>
<int2:intelligence xmlns:int2="http://schemas.microsoft.com/office/intelligence/2020/intelligence">
  <int2:observations>
    <int2:textHash int2:hashCode="kv4UVae7TQCfC0" int2:id="mbHVNOUQ">
      <int2:state int2:type="spell" int2:value="Rejected"/>
    </int2:textHash>
    <int2:textHash int2:hashCode="XSUiEPxXFZ9tOg" int2:id="eJPNmG9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41b7227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5c5d4e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c9340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fcbadb4"/>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1dffb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26d6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5d18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3c635"/>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e41986"/>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9d376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7c239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4664b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0398eb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6afa5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d9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c3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21ec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49c80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c3b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b656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9B46DD"/>
    <w:rsid w:val="000E5480"/>
    <w:rsid w:val="00108072"/>
    <w:rsid w:val="001FEE48"/>
    <w:rsid w:val="00765DF5"/>
    <w:rsid w:val="0077FAA8"/>
    <w:rsid w:val="0088E941"/>
    <w:rsid w:val="00918683"/>
    <w:rsid w:val="00DE9849"/>
    <w:rsid w:val="011F0E51"/>
    <w:rsid w:val="012AEA28"/>
    <w:rsid w:val="0136FC97"/>
    <w:rsid w:val="015E114E"/>
    <w:rsid w:val="016C07E7"/>
    <w:rsid w:val="01913AA5"/>
    <w:rsid w:val="0197445A"/>
    <w:rsid w:val="01A31D59"/>
    <w:rsid w:val="01BBBD82"/>
    <w:rsid w:val="01C4E08F"/>
    <w:rsid w:val="01E58B9B"/>
    <w:rsid w:val="01F98884"/>
    <w:rsid w:val="0202FF12"/>
    <w:rsid w:val="0235161B"/>
    <w:rsid w:val="02524101"/>
    <w:rsid w:val="026FEA65"/>
    <w:rsid w:val="0275B7B2"/>
    <w:rsid w:val="02C93228"/>
    <w:rsid w:val="02F2D1C4"/>
    <w:rsid w:val="02F4DEED"/>
    <w:rsid w:val="031B0944"/>
    <w:rsid w:val="03418DDB"/>
    <w:rsid w:val="0369EC96"/>
    <w:rsid w:val="03711A7E"/>
    <w:rsid w:val="037DF393"/>
    <w:rsid w:val="03A6B6E1"/>
    <w:rsid w:val="03C708E4"/>
    <w:rsid w:val="03FD45C2"/>
    <w:rsid w:val="044E5A33"/>
    <w:rsid w:val="044F47D8"/>
    <w:rsid w:val="045A47D5"/>
    <w:rsid w:val="0470ECB3"/>
    <w:rsid w:val="04802217"/>
    <w:rsid w:val="048B7E23"/>
    <w:rsid w:val="04AAEBA2"/>
    <w:rsid w:val="04B16CE1"/>
    <w:rsid w:val="04D0E4EF"/>
    <w:rsid w:val="04FA77D1"/>
    <w:rsid w:val="050EF032"/>
    <w:rsid w:val="052B39B4"/>
    <w:rsid w:val="0541A709"/>
    <w:rsid w:val="057AE503"/>
    <w:rsid w:val="05AAA503"/>
    <w:rsid w:val="062A1613"/>
    <w:rsid w:val="063007ED"/>
    <w:rsid w:val="0659A634"/>
    <w:rsid w:val="065C1920"/>
    <w:rsid w:val="066A0B9E"/>
    <w:rsid w:val="067DDF93"/>
    <w:rsid w:val="0687A2AE"/>
    <w:rsid w:val="06B98C24"/>
    <w:rsid w:val="06E942F4"/>
    <w:rsid w:val="06EE69E4"/>
    <w:rsid w:val="06F95C6B"/>
    <w:rsid w:val="070280FF"/>
    <w:rsid w:val="0713AD1D"/>
    <w:rsid w:val="07249AB6"/>
    <w:rsid w:val="07298E9C"/>
    <w:rsid w:val="0733FCCF"/>
    <w:rsid w:val="074AB82D"/>
    <w:rsid w:val="0769DEA0"/>
    <w:rsid w:val="0797AE01"/>
    <w:rsid w:val="07B7299E"/>
    <w:rsid w:val="07C56A7B"/>
    <w:rsid w:val="07C7B742"/>
    <w:rsid w:val="07CDF85B"/>
    <w:rsid w:val="07DECA0B"/>
    <w:rsid w:val="080A70C0"/>
    <w:rsid w:val="083354A6"/>
    <w:rsid w:val="08487732"/>
    <w:rsid w:val="08930320"/>
    <w:rsid w:val="08B2C92F"/>
    <w:rsid w:val="08E18D13"/>
    <w:rsid w:val="08E72146"/>
    <w:rsid w:val="08ED7720"/>
    <w:rsid w:val="09028FE3"/>
    <w:rsid w:val="09909DCD"/>
    <w:rsid w:val="09AB743E"/>
    <w:rsid w:val="09B3E8EA"/>
    <w:rsid w:val="09B551E1"/>
    <w:rsid w:val="09D79683"/>
    <w:rsid w:val="09EF04EE"/>
    <w:rsid w:val="0A1694EB"/>
    <w:rsid w:val="0A243170"/>
    <w:rsid w:val="0A31ABF3"/>
    <w:rsid w:val="0A5FF33F"/>
    <w:rsid w:val="0AA85EA6"/>
    <w:rsid w:val="0AC7285E"/>
    <w:rsid w:val="0ACA8135"/>
    <w:rsid w:val="0B35CD4A"/>
    <w:rsid w:val="0B4A7591"/>
    <w:rsid w:val="0B76DD14"/>
    <w:rsid w:val="0BA5F334"/>
    <w:rsid w:val="0BA6B140"/>
    <w:rsid w:val="0BC5A4F3"/>
    <w:rsid w:val="0BFA71BB"/>
    <w:rsid w:val="0C1D1EE2"/>
    <w:rsid w:val="0C4A2081"/>
    <w:rsid w:val="0C4FAF57"/>
    <w:rsid w:val="0C638B0E"/>
    <w:rsid w:val="0C6EDE45"/>
    <w:rsid w:val="0C9C0B1B"/>
    <w:rsid w:val="0CAE1C6E"/>
    <w:rsid w:val="0CF61B90"/>
    <w:rsid w:val="0D13C92B"/>
    <w:rsid w:val="0D1E5F94"/>
    <w:rsid w:val="0D221BBF"/>
    <w:rsid w:val="0D3102DF"/>
    <w:rsid w:val="0D50F987"/>
    <w:rsid w:val="0D59627F"/>
    <w:rsid w:val="0DCBBA08"/>
    <w:rsid w:val="0DF3F63E"/>
    <w:rsid w:val="0DF7A7AD"/>
    <w:rsid w:val="0DFC7799"/>
    <w:rsid w:val="0E1D79FE"/>
    <w:rsid w:val="0F01ABA2"/>
    <w:rsid w:val="0F1C06F3"/>
    <w:rsid w:val="0F5C4491"/>
    <w:rsid w:val="0F6F8FBE"/>
    <w:rsid w:val="0F8FAFD4"/>
    <w:rsid w:val="0FA2695F"/>
    <w:rsid w:val="0FE2650C"/>
    <w:rsid w:val="1002A4D7"/>
    <w:rsid w:val="100A10FD"/>
    <w:rsid w:val="100DEED8"/>
    <w:rsid w:val="100FC474"/>
    <w:rsid w:val="101A5F60"/>
    <w:rsid w:val="105C2899"/>
    <w:rsid w:val="1072B64E"/>
    <w:rsid w:val="114FB231"/>
    <w:rsid w:val="115CAF01"/>
    <w:rsid w:val="115D0894"/>
    <w:rsid w:val="115D7AED"/>
    <w:rsid w:val="116DA930"/>
    <w:rsid w:val="116F66CD"/>
    <w:rsid w:val="11A02E1F"/>
    <w:rsid w:val="11CD4899"/>
    <w:rsid w:val="11E58550"/>
    <w:rsid w:val="120E3EBB"/>
    <w:rsid w:val="121577EB"/>
    <w:rsid w:val="12270899"/>
    <w:rsid w:val="12D8B6F7"/>
    <w:rsid w:val="12DB44BC"/>
    <w:rsid w:val="130A9C2E"/>
    <w:rsid w:val="131678E3"/>
    <w:rsid w:val="131E1E60"/>
    <w:rsid w:val="1328DEA4"/>
    <w:rsid w:val="133BE439"/>
    <w:rsid w:val="13464062"/>
    <w:rsid w:val="134B38D1"/>
    <w:rsid w:val="13812A2B"/>
    <w:rsid w:val="139A0334"/>
    <w:rsid w:val="13BD3F41"/>
    <w:rsid w:val="13BD3F41"/>
    <w:rsid w:val="13C13F37"/>
    <w:rsid w:val="13D366BE"/>
    <w:rsid w:val="13DDCAE9"/>
    <w:rsid w:val="13EFD257"/>
    <w:rsid w:val="13FC4740"/>
    <w:rsid w:val="143E4684"/>
    <w:rsid w:val="147258D8"/>
    <w:rsid w:val="1494CEEB"/>
    <w:rsid w:val="14B7E0A9"/>
    <w:rsid w:val="14C3341E"/>
    <w:rsid w:val="1532C551"/>
    <w:rsid w:val="153D3EAE"/>
    <w:rsid w:val="15424731"/>
    <w:rsid w:val="154F539A"/>
    <w:rsid w:val="15908AAD"/>
    <w:rsid w:val="15A07639"/>
    <w:rsid w:val="15A3F740"/>
    <w:rsid w:val="16021E3D"/>
    <w:rsid w:val="161CBBEE"/>
    <w:rsid w:val="162235DD"/>
    <w:rsid w:val="1653005E"/>
    <w:rsid w:val="166746E3"/>
    <w:rsid w:val="17256787"/>
    <w:rsid w:val="1734FBF6"/>
    <w:rsid w:val="1792DD47"/>
    <w:rsid w:val="17C447BF"/>
    <w:rsid w:val="17E91ABE"/>
    <w:rsid w:val="17F0DFD3"/>
    <w:rsid w:val="1831B817"/>
    <w:rsid w:val="18783137"/>
    <w:rsid w:val="18BAB3E7"/>
    <w:rsid w:val="18F3D7F1"/>
    <w:rsid w:val="1929A47E"/>
    <w:rsid w:val="192BEDD5"/>
    <w:rsid w:val="193D13AA"/>
    <w:rsid w:val="196302D5"/>
    <w:rsid w:val="198C6FDB"/>
    <w:rsid w:val="19C5569C"/>
    <w:rsid w:val="19E0F3AB"/>
    <w:rsid w:val="19FC86FC"/>
    <w:rsid w:val="1A0DC3E2"/>
    <w:rsid w:val="1A188D25"/>
    <w:rsid w:val="1B611029"/>
    <w:rsid w:val="1B9B529D"/>
    <w:rsid w:val="1BAD9659"/>
    <w:rsid w:val="1C162FEC"/>
    <w:rsid w:val="1C23B669"/>
    <w:rsid w:val="1C5D10A0"/>
    <w:rsid w:val="1C839237"/>
    <w:rsid w:val="1CB4DD61"/>
    <w:rsid w:val="1CC0DF91"/>
    <w:rsid w:val="1D0A7957"/>
    <w:rsid w:val="1D30A722"/>
    <w:rsid w:val="1DAA1FA7"/>
    <w:rsid w:val="1DB9F8B7"/>
    <w:rsid w:val="1DF4405D"/>
    <w:rsid w:val="1E5E2031"/>
    <w:rsid w:val="1E97E7E0"/>
    <w:rsid w:val="1EBC6676"/>
    <w:rsid w:val="1F01F631"/>
    <w:rsid w:val="1F13024C"/>
    <w:rsid w:val="1F1E2A6E"/>
    <w:rsid w:val="1F3B7B8F"/>
    <w:rsid w:val="1F4AE04E"/>
    <w:rsid w:val="1F70F0CE"/>
    <w:rsid w:val="1F72B3E7"/>
    <w:rsid w:val="1FCAE880"/>
    <w:rsid w:val="1FDB66A6"/>
    <w:rsid w:val="2018FDDC"/>
    <w:rsid w:val="20407925"/>
    <w:rsid w:val="20684572"/>
    <w:rsid w:val="206AEF44"/>
    <w:rsid w:val="2099CB12"/>
    <w:rsid w:val="20AB2EA7"/>
    <w:rsid w:val="20D287F2"/>
    <w:rsid w:val="20DD7C2E"/>
    <w:rsid w:val="20DFD881"/>
    <w:rsid w:val="210B6614"/>
    <w:rsid w:val="211D3DBC"/>
    <w:rsid w:val="213EAD87"/>
    <w:rsid w:val="21644B75"/>
    <w:rsid w:val="216B56CB"/>
    <w:rsid w:val="2185827B"/>
    <w:rsid w:val="21AEB706"/>
    <w:rsid w:val="21C0E970"/>
    <w:rsid w:val="21D37E1C"/>
    <w:rsid w:val="21D6AB21"/>
    <w:rsid w:val="21F50E82"/>
    <w:rsid w:val="220E1E53"/>
    <w:rsid w:val="2221C39F"/>
    <w:rsid w:val="22250002"/>
    <w:rsid w:val="2235923C"/>
    <w:rsid w:val="223CC4C4"/>
    <w:rsid w:val="2278AFCF"/>
    <w:rsid w:val="22B8D022"/>
    <w:rsid w:val="22DC4DCE"/>
    <w:rsid w:val="22E2F271"/>
    <w:rsid w:val="22EA7288"/>
    <w:rsid w:val="231455BD"/>
    <w:rsid w:val="23233A46"/>
    <w:rsid w:val="234BB833"/>
    <w:rsid w:val="23618F03"/>
    <w:rsid w:val="2408653B"/>
    <w:rsid w:val="24566B80"/>
    <w:rsid w:val="24745A0A"/>
    <w:rsid w:val="24D47E60"/>
    <w:rsid w:val="24DCB4FA"/>
    <w:rsid w:val="2510345F"/>
    <w:rsid w:val="252B1349"/>
    <w:rsid w:val="25D2E127"/>
    <w:rsid w:val="25E0EB8B"/>
    <w:rsid w:val="25FE5F1B"/>
    <w:rsid w:val="260050E9"/>
    <w:rsid w:val="260B3972"/>
    <w:rsid w:val="2613930D"/>
    <w:rsid w:val="261BA0E5"/>
    <w:rsid w:val="261E9F2E"/>
    <w:rsid w:val="263C7982"/>
    <w:rsid w:val="264C11E8"/>
    <w:rsid w:val="26556A65"/>
    <w:rsid w:val="26562424"/>
    <w:rsid w:val="26D9B312"/>
    <w:rsid w:val="26FADCE5"/>
    <w:rsid w:val="271A28E4"/>
    <w:rsid w:val="274FABFB"/>
    <w:rsid w:val="276D89DD"/>
    <w:rsid w:val="2777BC83"/>
    <w:rsid w:val="27A84FF0"/>
    <w:rsid w:val="28376966"/>
    <w:rsid w:val="284374EE"/>
    <w:rsid w:val="28658C82"/>
    <w:rsid w:val="28706EAF"/>
    <w:rsid w:val="28715F97"/>
    <w:rsid w:val="28809049"/>
    <w:rsid w:val="288B243E"/>
    <w:rsid w:val="28C7B860"/>
    <w:rsid w:val="28CDBE17"/>
    <w:rsid w:val="28E80AE1"/>
    <w:rsid w:val="290E5F20"/>
    <w:rsid w:val="29309E3D"/>
    <w:rsid w:val="2936C666"/>
    <w:rsid w:val="299B725A"/>
    <w:rsid w:val="299CBAAF"/>
    <w:rsid w:val="29A93AF3"/>
    <w:rsid w:val="29EC09E5"/>
    <w:rsid w:val="2A547416"/>
    <w:rsid w:val="2AA5DDC9"/>
    <w:rsid w:val="2AB0389A"/>
    <w:rsid w:val="2ADD4504"/>
    <w:rsid w:val="2B1BEA4A"/>
    <w:rsid w:val="2B5E2189"/>
    <w:rsid w:val="2B6612D4"/>
    <w:rsid w:val="2BA4D0AE"/>
    <w:rsid w:val="2C0CDB39"/>
    <w:rsid w:val="2C7EBBA7"/>
    <w:rsid w:val="2CAD1C28"/>
    <w:rsid w:val="2CCED2DB"/>
    <w:rsid w:val="2D0FC700"/>
    <w:rsid w:val="2D2CF338"/>
    <w:rsid w:val="2D3FD5A4"/>
    <w:rsid w:val="2D4CB302"/>
    <w:rsid w:val="2D77F7C3"/>
    <w:rsid w:val="2D983186"/>
    <w:rsid w:val="2D9E8377"/>
    <w:rsid w:val="2DC190DD"/>
    <w:rsid w:val="2DDEEBB4"/>
    <w:rsid w:val="2DF4C6A8"/>
    <w:rsid w:val="2E2B1847"/>
    <w:rsid w:val="2E7D5F7C"/>
    <w:rsid w:val="2EB7EA02"/>
    <w:rsid w:val="2ECBCC45"/>
    <w:rsid w:val="2ECFB12B"/>
    <w:rsid w:val="2F00C84D"/>
    <w:rsid w:val="2F141601"/>
    <w:rsid w:val="2F24E7D2"/>
    <w:rsid w:val="2F28865F"/>
    <w:rsid w:val="2F3357BC"/>
    <w:rsid w:val="2F74C18B"/>
    <w:rsid w:val="2F9AF715"/>
    <w:rsid w:val="2FA93C7C"/>
    <w:rsid w:val="2FB7FF87"/>
    <w:rsid w:val="300B594D"/>
    <w:rsid w:val="301A90C8"/>
    <w:rsid w:val="305D18C6"/>
    <w:rsid w:val="305EB45F"/>
    <w:rsid w:val="306B0C3F"/>
    <w:rsid w:val="30DC3DA8"/>
    <w:rsid w:val="3138EAC3"/>
    <w:rsid w:val="315B7B66"/>
    <w:rsid w:val="319A91FA"/>
    <w:rsid w:val="31ADA46F"/>
    <w:rsid w:val="31AFB4D4"/>
    <w:rsid w:val="31D9B350"/>
    <w:rsid w:val="3230E7BB"/>
    <w:rsid w:val="32537BD3"/>
    <w:rsid w:val="3258C97B"/>
    <w:rsid w:val="32993E11"/>
    <w:rsid w:val="32DCCFA1"/>
    <w:rsid w:val="32EF60AC"/>
    <w:rsid w:val="32FBFED1"/>
    <w:rsid w:val="330A34A8"/>
    <w:rsid w:val="3323B63E"/>
    <w:rsid w:val="335433E6"/>
    <w:rsid w:val="335CCB88"/>
    <w:rsid w:val="336CE83E"/>
    <w:rsid w:val="336ED88A"/>
    <w:rsid w:val="33C61A17"/>
    <w:rsid w:val="33FB9C33"/>
    <w:rsid w:val="34048010"/>
    <w:rsid w:val="34154F29"/>
    <w:rsid w:val="342B83C0"/>
    <w:rsid w:val="343F6423"/>
    <w:rsid w:val="3440164A"/>
    <w:rsid w:val="348A78EA"/>
    <w:rsid w:val="34A49724"/>
    <w:rsid w:val="34AC1651"/>
    <w:rsid w:val="34D59335"/>
    <w:rsid w:val="34F3BA6A"/>
    <w:rsid w:val="350C02D3"/>
    <w:rsid w:val="354D6C9D"/>
    <w:rsid w:val="356004BE"/>
    <w:rsid w:val="35CB373F"/>
    <w:rsid w:val="36017CEE"/>
    <w:rsid w:val="3608E09D"/>
    <w:rsid w:val="3616C5B2"/>
    <w:rsid w:val="366BDB86"/>
    <w:rsid w:val="36871C11"/>
    <w:rsid w:val="36D66868"/>
    <w:rsid w:val="36EC9026"/>
    <w:rsid w:val="375BB368"/>
    <w:rsid w:val="375CBAD9"/>
    <w:rsid w:val="376B43EE"/>
    <w:rsid w:val="3788F3BF"/>
    <w:rsid w:val="37B345AC"/>
    <w:rsid w:val="37C2A776"/>
    <w:rsid w:val="38243E90"/>
    <w:rsid w:val="383B5B53"/>
    <w:rsid w:val="3842CC5D"/>
    <w:rsid w:val="38438BEF"/>
    <w:rsid w:val="395AB0CD"/>
    <w:rsid w:val="3964B8A6"/>
    <w:rsid w:val="39B63811"/>
    <w:rsid w:val="39BBE91A"/>
    <w:rsid w:val="39CC39E6"/>
    <w:rsid w:val="3A0D19CD"/>
    <w:rsid w:val="3A14D366"/>
    <w:rsid w:val="3A31322A"/>
    <w:rsid w:val="3A5556D1"/>
    <w:rsid w:val="3A5FEBB2"/>
    <w:rsid w:val="3A611E58"/>
    <w:rsid w:val="3A735840"/>
    <w:rsid w:val="3A951010"/>
    <w:rsid w:val="3AAC3198"/>
    <w:rsid w:val="3AD28CB3"/>
    <w:rsid w:val="3B24B6F6"/>
    <w:rsid w:val="3B42868D"/>
    <w:rsid w:val="3B7BAD25"/>
    <w:rsid w:val="3BA9DC7E"/>
    <w:rsid w:val="3BB8C88F"/>
    <w:rsid w:val="3BE50517"/>
    <w:rsid w:val="3C1D18AF"/>
    <w:rsid w:val="3C6F66AE"/>
    <w:rsid w:val="3C709981"/>
    <w:rsid w:val="3CA0636D"/>
    <w:rsid w:val="3CA5C9B6"/>
    <w:rsid w:val="3CBFD3AB"/>
    <w:rsid w:val="3CDE784C"/>
    <w:rsid w:val="3D0EB9E7"/>
    <w:rsid w:val="3D2779EB"/>
    <w:rsid w:val="3D4698DC"/>
    <w:rsid w:val="3D5C2763"/>
    <w:rsid w:val="3D661914"/>
    <w:rsid w:val="3D775D17"/>
    <w:rsid w:val="3DC7A50A"/>
    <w:rsid w:val="3DF42FE2"/>
    <w:rsid w:val="3E2443DC"/>
    <w:rsid w:val="3E2E1D5E"/>
    <w:rsid w:val="3E522FB3"/>
    <w:rsid w:val="3E7A5D00"/>
    <w:rsid w:val="3E8A7FDC"/>
    <w:rsid w:val="3E9C921B"/>
    <w:rsid w:val="3EAE2E70"/>
    <w:rsid w:val="3F04003C"/>
    <w:rsid w:val="3F45F2DE"/>
    <w:rsid w:val="3FF6788B"/>
    <w:rsid w:val="40115D1B"/>
    <w:rsid w:val="4040C953"/>
    <w:rsid w:val="406B6E0D"/>
    <w:rsid w:val="407E75B8"/>
    <w:rsid w:val="408C96B3"/>
    <w:rsid w:val="40D10845"/>
    <w:rsid w:val="40D10845"/>
    <w:rsid w:val="40D4C41A"/>
    <w:rsid w:val="40D57298"/>
    <w:rsid w:val="40D6E4F8"/>
    <w:rsid w:val="40EFC5D6"/>
    <w:rsid w:val="41003645"/>
    <w:rsid w:val="4148CF32"/>
    <w:rsid w:val="4149FD1E"/>
    <w:rsid w:val="41831090"/>
    <w:rsid w:val="418A16B7"/>
    <w:rsid w:val="41BD9068"/>
    <w:rsid w:val="41F418D5"/>
    <w:rsid w:val="422F3E36"/>
    <w:rsid w:val="4257425E"/>
    <w:rsid w:val="4258168E"/>
    <w:rsid w:val="425A8F14"/>
    <w:rsid w:val="4278F8BC"/>
    <w:rsid w:val="4279A835"/>
    <w:rsid w:val="42AE061C"/>
    <w:rsid w:val="42C04866"/>
    <w:rsid w:val="42C84AF1"/>
    <w:rsid w:val="43076734"/>
    <w:rsid w:val="4314ADE6"/>
    <w:rsid w:val="4369956E"/>
    <w:rsid w:val="43D5F306"/>
    <w:rsid w:val="447A38EE"/>
    <w:rsid w:val="451543B3"/>
    <w:rsid w:val="457BEE51"/>
    <w:rsid w:val="45A35F15"/>
    <w:rsid w:val="45AB335C"/>
    <w:rsid w:val="45C02F84"/>
    <w:rsid w:val="45D34835"/>
    <w:rsid w:val="46199C48"/>
    <w:rsid w:val="4627D7CF"/>
    <w:rsid w:val="46572284"/>
    <w:rsid w:val="469C4E08"/>
    <w:rsid w:val="46B240BA"/>
    <w:rsid w:val="46BAC146"/>
    <w:rsid w:val="470C3271"/>
    <w:rsid w:val="4714A4F5"/>
    <w:rsid w:val="4722F86C"/>
    <w:rsid w:val="472D5164"/>
    <w:rsid w:val="474AB8AE"/>
    <w:rsid w:val="478E8E46"/>
    <w:rsid w:val="47C44E21"/>
    <w:rsid w:val="47DBCAC5"/>
    <w:rsid w:val="47DF2B0B"/>
    <w:rsid w:val="4836EBAA"/>
    <w:rsid w:val="485E373B"/>
    <w:rsid w:val="486063FA"/>
    <w:rsid w:val="48E28949"/>
    <w:rsid w:val="48EF53A9"/>
    <w:rsid w:val="4903177C"/>
    <w:rsid w:val="494764CF"/>
    <w:rsid w:val="49536EEF"/>
    <w:rsid w:val="4959AEFF"/>
    <w:rsid w:val="49602B64"/>
    <w:rsid w:val="496E655B"/>
    <w:rsid w:val="4983F5A8"/>
    <w:rsid w:val="49B5FB2A"/>
    <w:rsid w:val="49BF556F"/>
    <w:rsid w:val="4A109493"/>
    <w:rsid w:val="4A1BF17C"/>
    <w:rsid w:val="4A6D3432"/>
    <w:rsid w:val="4A6F1FE0"/>
    <w:rsid w:val="4A9048EB"/>
    <w:rsid w:val="4AA3818D"/>
    <w:rsid w:val="4AED12A7"/>
    <w:rsid w:val="4AFC91D1"/>
    <w:rsid w:val="4B020760"/>
    <w:rsid w:val="4B3535E6"/>
    <w:rsid w:val="4B636B94"/>
    <w:rsid w:val="4B7FB0B2"/>
    <w:rsid w:val="4B8A720D"/>
    <w:rsid w:val="4BF5A5B5"/>
    <w:rsid w:val="4C130825"/>
    <w:rsid w:val="4C2F8080"/>
    <w:rsid w:val="4C3CCECA"/>
    <w:rsid w:val="4C418B0A"/>
    <w:rsid w:val="4C4DC901"/>
    <w:rsid w:val="4C6A958C"/>
    <w:rsid w:val="4CB801F1"/>
    <w:rsid w:val="4CF71714"/>
    <w:rsid w:val="4CF7C63F"/>
    <w:rsid w:val="4D3525BD"/>
    <w:rsid w:val="4D7B8C3D"/>
    <w:rsid w:val="4DDC7B1C"/>
    <w:rsid w:val="4DED2F29"/>
    <w:rsid w:val="4E102FE4"/>
    <w:rsid w:val="4E3828A2"/>
    <w:rsid w:val="4E77DE26"/>
    <w:rsid w:val="4E80200D"/>
    <w:rsid w:val="4EDF093F"/>
    <w:rsid w:val="4EFA8FEA"/>
    <w:rsid w:val="4EFD92B2"/>
    <w:rsid w:val="4F516E6A"/>
    <w:rsid w:val="4F7A9DA6"/>
    <w:rsid w:val="4FA23535"/>
    <w:rsid w:val="4FB414BA"/>
    <w:rsid w:val="4FB705B6"/>
    <w:rsid w:val="5010DA30"/>
    <w:rsid w:val="502F8D06"/>
    <w:rsid w:val="50611452"/>
    <w:rsid w:val="5079235D"/>
    <w:rsid w:val="50810E47"/>
    <w:rsid w:val="509C3DAC"/>
    <w:rsid w:val="50C65511"/>
    <w:rsid w:val="50DDE59C"/>
    <w:rsid w:val="51332E21"/>
    <w:rsid w:val="5139FDE8"/>
    <w:rsid w:val="51580A15"/>
    <w:rsid w:val="515AE018"/>
    <w:rsid w:val="516CE2DE"/>
    <w:rsid w:val="51725354"/>
    <w:rsid w:val="519B46DD"/>
    <w:rsid w:val="51D6EABB"/>
    <w:rsid w:val="51EAE8F9"/>
    <w:rsid w:val="52035427"/>
    <w:rsid w:val="5224F6BA"/>
    <w:rsid w:val="524ADBC3"/>
    <w:rsid w:val="5260A8A2"/>
    <w:rsid w:val="52A3E716"/>
    <w:rsid w:val="52BB7064"/>
    <w:rsid w:val="52CD1880"/>
    <w:rsid w:val="52E140AB"/>
    <w:rsid w:val="532F9364"/>
    <w:rsid w:val="5331F40E"/>
    <w:rsid w:val="534808A3"/>
    <w:rsid w:val="53679707"/>
    <w:rsid w:val="53C65AEF"/>
    <w:rsid w:val="54037F8C"/>
    <w:rsid w:val="544E7032"/>
    <w:rsid w:val="544EBE09"/>
    <w:rsid w:val="54B2BACD"/>
    <w:rsid w:val="54C50A0F"/>
    <w:rsid w:val="54E5B96C"/>
    <w:rsid w:val="55145737"/>
    <w:rsid w:val="5516558D"/>
    <w:rsid w:val="55190DA9"/>
    <w:rsid w:val="5551B981"/>
    <w:rsid w:val="555ECD33"/>
    <w:rsid w:val="55646C9D"/>
    <w:rsid w:val="55AF17D9"/>
    <w:rsid w:val="55C51858"/>
    <w:rsid w:val="55C9FC83"/>
    <w:rsid w:val="55CEEE62"/>
    <w:rsid w:val="55F39821"/>
    <w:rsid w:val="56002A12"/>
    <w:rsid w:val="560F8D9E"/>
    <w:rsid w:val="563CA506"/>
    <w:rsid w:val="566BF533"/>
    <w:rsid w:val="5680151E"/>
    <w:rsid w:val="56820531"/>
    <w:rsid w:val="56B4AA69"/>
    <w:rsid w:val="56B93E26"/>
    <w:rsid w:val="56F39539"/>
    <w:rsid w:val="572581CB"/>
    <w:rsid w:val="572D5A52"/>
    <w:rsid w:val="575BDA73"/>
    <w:rsid w:val="57986781"/>
    <w:rsid w:val="579B3CA1"/>
    <w:rsid w:val="57B4D82F"/>
    <w:rsid w:val="57DB42AA"/>
    <w:rsid w:val="5848FE67"/>
    <w:rsid w:val="584EC4A8"/>
    <w:rsid w:val="58A6A5A0"/>
    <w:rsid w:val="58BA8D78"/>
    <w:rsid w:val="58C16C47"/>
    <w:rsid w:val="58C27AAA"/>
    <w:rsid w:val="58C5C9EA"/>
    <w:rsid w:val="58D4F0FB"/>
    <w:rsid w:val="590DDB68"/>
    <w:rsid w:val="594CE80D"/>
    <w:rsid w:val="59AF2437"/>
    <w:rsid w:val="5A139DD7"/>
    <w:rsid w:val="5A159C83"/>
    <w:rsid w:val="5A1DE59A"/>
    <w:rsid w:val="5A340E80"/>
    <w:rsid w:val="5A5D442D"/>
    <w:rsid w:val="5A759E79"/>
    <w:rsid w:val="5A86FC4B"/>
    <w:rsid w:val="5AA3D9EC"/>
    <w:rsid w:val="5AE0AA23"/>
    <w:rsid w:val="5AEBA52F"/>
    <w:rsid w:val="5AECAF1A"/>
    <w:rsid w:val="5AF86CA0"/>
    <w:rsid w:val="5AFE45F3"/>
    <w:rsid w:val="5B0F0516"/>
    <w:rsid w:val="5B1B1221"/>
    <w:rsid w:val="5B23EBA9"/>
    <w:rsid w:val="5B409AF8"/>
    <w:rsid w:val="5B42FA2C"/>
    <w:rsid w:val="5B769163"/>
    <w:rsid w:val="5B971295"/>
    <w:rsid w:val="5BAF4810"/>
    <w:rsid w:val="5BB6AD16"/>
    <w:rsid w:val="5BFA48C8"/>
    <w:rsid w:val="5C01BA4F"/>
    <w:rsid w:val="5C0647BA"/>
    <w:rsid w:val="5C15A167"/>
    <w:rsid w:val="5C162770"/>
    <w:rsid w:val="5C30BF9E"/>
    <w:rsid w:val="5C93D9EB"/>
    <w:rsid w:val="5D161D5A"/>
    <w:rsid w:val="5D3DDCEC"/>
    <w:rsid w:val="5D633FD4"/>
    <w:rsid w:val="5D7CAC7B"/>
    <w:rsid w:val="5D91F441"/>
    <w:rsid w:val="5DC30C7B"/>
    <w:rsid w:val="5DD75B57"/>
    <w:rsid w:val="5DE773B2"/>
    <w:rsid w:val="5DECB3B9"/>
    <w:rsid w:val="5E02D048"/>
    <w:rsid w:val="5E32ED57"/>
    <w:rsid w:val="5E52C840"/>
    <w:rsid w:val="5E62B67B"/>
    <w:rsid w:val="5E632932"/>
    <w:rsid w:val="5EA8FFBD"/>
    <w:rsid w:val="5EBDC629"/>
    <w:rsid w:val="5ED41C7C"/>
    <w:rsid w:val="5F0B1117"/>
    <w:rsid w:val="5F1E60A1"/>
    <w:rsid w:val="5F218F34"/>
    <w:rsid w:val="5F6A3663"/>
    <w:rsid w:val="5F7A6DA8"/>
    <w:rsid w:val="5F87DC33"/>
    <w:rsid w:val="5F95209D"/>
    <w:rsid w:val="5FA4A4BC"/>
    <w:rsid w:val="5FB3A535"/>
    <w:rsid w:val="5FC68338"/>
    <w:rsid w:val="604017D3"/>
    <w:rsid w:val="60582665"/>
    <w:rsid w:val="60CA6FC1"/>
    <w:rsid w:val="60E1C513"/>
    <w:rsid w:val="60F4092C"/>
    <w:rsid w:val="60FECEAF"/>
    <w:rsid w:val="60FF64BB"/>
    <w:rsid w:val="612DE50B"/>
    <w:rsid w:val="612EAC95"/>
    <w:rsid w:val="613F635A"/>
    <w:rsid w:val="6140A6EC"/>
    <w:rsid w:val="614E1C52"/>
    <w:rsid w:val="61521B2F"/>
    <w:rsid w:val="6182356A"/>
    <w:rsid w:val="61DD48AC"/>
    <w:rsid w:val="61EC4B91"/>
    <w:rsid w:val="626127B1"/>
    <w:rsid w:val="6264C8D5"/>
    <w:rsid w:val="62A93030"/>
    <w:rsid w:val="62B731C3"/>
    <w:rsid w:val="62D6C210"/>
    <w:rsid w:val="6302A2C0"/>
    <w:rsid w:val="63502C2A"/>
    <w:rsid w:val="63535F44"/>
    <w:rsid w:val="63C547A2"/>
    <w:rsid w:val="63D0925E"/>
    <w:rsid w:val="63D93C05"/>
    <w:rsid w:val="63E74E02"/>
    <w:rsid w:val="63F1E9AC"/>
    <w:rsid w:val="64014205"/>
    <w:rsid w:val="645303FE"/>
    <w:rsid w:val="6457A397"/>
    <w:rsid w:val="645BC55D"/>
    <w:rsid w:val="647B50CB"/>
    <w:rsid w:val="6490C78B"/>
    <w:rsid w:val="6495F17B"/>
    <w:rsid w:val="649CDAFF"/>
    <w:rsid w:val="64CB1A3C"/>
    <w:rsid w:val="64CFB82C"/>
    <w:rsid w:val="64EC3309"/>
    <w:rsid w:val="6500F15D"/>
    <w:rsid w:val="6543536A"/>
    <w:rsid w:val="6557BE2A"/>
    <w:rsid w:val="657E56C2"/>
    <w:rsid w:val="65AFC6BD"/>
    <w:rsid w:val="65BCCDCD"/>
    <w:rsid w:val="65F64AD0"/>
    <w:rsid w:val="65FD39CD"/>
    <w:rsid w:val="660D1FE6"/>
    <w:rsid w:val="668EA0FB"/>
    <w:rsid w:val="6697DD9A"/>
    <w:rsid w:val="66B4F37A"/>
    <w:rsid w:val="66B7D9C1"/>
    <w:rsid w:val="66C28D27"/>
    <w:rsid w:val="66F8DB2C"/>
    <w:rsid w:val="670ADB46"/>
    <w:rsid w:val="6720B6C4"/>
    <w:rsid w:val="672A4837"/>
    <w:rsid w:val="6750EB6F"/>
    <w:rsid w:val="675AC1A2"/>
    <w:rsid w:val="67627230"/>
    <w:rsid w:val="6763B51F"/>
    <w:rsid w:val="67B6D181"/>
    <w:rsid w:val="68146830"/>
    <w:rsid w:val="68565568"/>
    <w:rsid w:val="6887DBD8"/>
    <w:rsid w:val="68C318A9"/>
    <w:rsid w:val="68E3C224"/>
    <w:rsid w:val="6918A341"/>
    <w:rsid w:val="691CB41C"/>
    <w:rsid w:val="69288458"/>
    <w:rsid w:val="6942D7DB"/>
    <w:rsid w:val="69587C92"/>
    <w:rsid w:val="698F0D7C"/>
    <w:rsid w:val="6991207A"/>
    <w:rsid w:val="69A57AF9"/>
    <w:rsid w:val="69BFDBD6"/>
    <w:rsid w:val="6A7B4D6D"/>
    <w:rsid w:val="6AA0D88F"/>
    <w:rsid w:val="6AAFC739"/>
    <w:rsid w:val="6AB177D7"/>
    <w:rsid w:val="6ACBE163"/>
    <w:rsid w:val="6ACD1271"/>
    <w:rsid w:val="6AF16435"/>
    <w:rsid w:val="6B06075B"/>
    <w:rsid w:val="6B0D25FA"/>
    <w:rsid w:val="6B10FCA9"/>
    <w:rsid w:val="6B1E0A2F"/>
    <w:rsid w:val="6B280F68"/>
    <w:rsid w:val="6B630044"/>
    <w:rsid w:val="6B7F1A09"/>
    <w:rsid w:val="6BAB046C"/>
    <w:rsid w:val="6BC210D8"/>
    <w:rsid w:val="6BDD9819"/>
    <w:rsid w:val="6BF26150"/>
    <w:rsid w:val="6C0C9C89"/>
    <w:rsid w:val="6C4AF6EA"/>
    <w:rsid w:val="6C6FC3F9"/>
    <w:rsid w:val="6C72EBD9"/>
    <w:rsid w:val="6CB3D440"/>
    <w:rsid w:val="6D006E8B"/>
    <w:rsid w:val="6D11A6F1"/>
    <w:rsid w:val="6D1996B2"/>
    <w:rsid w:val="6D1D9F54"/>
    <w:rsid w:val="6D2BEC43"/>
    <w:rsid w:val="6D310D07"/>
    <w:rsid w:val="6D9BAAC0"/>
    <w:rsid w:val="6DBE41F3"/>
    <w:rsid w:val="6DC3D37E"/>
    <w:rsid w:val="6DC7B2A7"/>
    <w:rsid w:val="6E226613"/>
    <w:rsid w:val="6E4E50D2"/>
    <w:rsid w:val="6E5169CC"/>
    <w:rsid w:val="6E8EED87"/>
    <w:rsid w:val="6EC6FBBF"/>
    <w:rsid w:val="6F290619"/>
    <w:rsid w:val="6F5BD6D3"/>
    <w:rsid w:val="6F6950F7"/>
    <w:rsid w:val="6F6EED9A"/>
    <w:rsid w:val="6F7A2ACF"/>
    <w:rsid w:val="6F800958"/>
    <w:rsid w:val="6F95AB37"/>
    <w:rsid w:val="6FA51D6A"/>
    <w:rsid w:val="6FCFD29F"/>
    <w:rsid w:val="6FD03103"/>
    <w:rsid w:val="6FD83692"/>
    <w:rsid w:val="707C0E90"/>
    <w:rsid w:val="7080DA0A"/>
    <w:rsid w:val="708325EA"/>
    <w:rsid w:val="70928C19"/>
    <w:rsid w:val="70A07B21"/>
    <w:rsid w:val="70B0CFAE"/>
    <w:rsid w:val="70B4E403"/>
    <w:rsid w:val="70F0FD31"/>
    <w:rsid w:val="7126A136"/>
    <w:rsid w:val="7170F0C1"/>
    <w:rsid w:val="717B9109"/>
    <w:rsid w:val="717E0A9B"/>
    <w:rsid w:val="719BF897"/>
    <w:rsid w:val="71BA2F0D"/>
    <w:rsid w:val="71EE02CB"/>
    <w:rsid w:val="71F53036"/>
    <w:rsid w:val="721AC4FA"/>
    <w:rsid w:val="722FFED0"/>
    <w:rsid w:val="723117A2"/>
    <w:rsid w:val="7261C393"/>
    <w:rsid w:val="729E44F4"/>
    <w:rsid w:val="72B53CAE"/>
    <w:rsid w:val="72BADBC1"/>
    <w:rsid w:val="732F608B"/>
    <w:rsid w:val="73769941"/>
    <w:rsid w:val="737FFED1"/>
    <w:rsid w:val="738BFCC7"/>
    <w:rsid w:val="73AF1854"/>
    <w:rsid w:val="73D10ED1"/>
    <w:rsid w:val="73DDA32C"/>
    <w:rsid w:val="7415F93E"/>
    <w:rsid w:val="74176933"/>
    <w:rsid w:val="7454D8F7"/>
    <w:rsid w:val="746E565C"/>
    <w:rsid w:val="7484E49F"/>
    <w:rsid w:val="74EC2C01"/>
    <w:rsid w:val="74F27CC5"/>
    <w:rsid w:val="750CD0FA"/>
    <w:rsid w:val="757B95BA"/>
    <w:rsid w:val="75ED6692"/>
    <w:rsid w:val="7660FD62"/>
    <w:rsid w:val="7663C089"/>
    <w:rsid w:val="767EB332"/>
    <w:rsid w:val="76BF7099"/>
    <w:rsid w:val="76D054D8"/>
    <w:rsid w:val="7705A3EC"/>
    <w:rsid w:val="7709BA68"/>
    <w:rsid w:val="77113184"/>
    <w:rsid w:val="7716CAC6"/>
    <w:rsid w:val="773F59DC"/>
    <w:rsid w:val="774ECE54"/>
    <w:rsid w:val="77872E31"/>
    <w:rsid w:val="77A0995E"/>
    <w:rsid w:val="77DED756"/>
    <w:rsid w:val="780E4615"/>
    <w:rsid w:val="78172F2F"/>
    <w:rsid w:val="7830A2AE"/>
    <w:rsid w:val="783FB866"/>
    <w:rsid w:val="78863AC5"/>
    <w:rsid w:val="78878782"/>
    <w:rsid w:val="78D7E8D6"/>
    <w:rsid w:val="78F5F8FB"/>
    <w:rsid w:val="79501B89"/>
    <w:rsid w:val="7987BCEA"/>
    <w:rsid w:val="799E54F2"/>
    <w:rsid w:val="799E8AFF"/>
    <w:rsid w:val="79B82A44"/>
    <w:rsid w:val="79CD6945"/>
    <w:rsid w:val="79E11FEC"/>
    <w:rsid w:val="7A4F0049"/>
    <w:rsid w:val="7AB01BE2"/>
    <w:rsid w:val="7ADABFFA"/>
    <w:rsid w:val="7B160670"/>
    <w:rsid w:val="7B38CA83"/>
    <w:rsid w:val="7B38D628"/>
    <w:rsid w:val="7B3A2342"/>
    <w:rsid w:val="7B4A4786"/>
    <w:rsid w:val="7B7DB405"/>
    <w:rsid w:val="7B7DB405"/>
    <w:rsid w:val="7B7E465F"/>
    <w:rsid w:val="7B909DD9"/>
    <w:rsid w:val="7BAF8C5C"/>
    <w:rsid w:val="7BC7FC79"/>
    <w:rsid w:val="7BEF36D6"/>
    <w:rsid w:val="7C018FD1"/>
    <w:rsid w:val="7C2C83BA"/>
    <w:rsid w:val="7C9C8D2B"/>
    <w:rsid w:val="7CB986C1"/>
    <w:rsid w:val="7D01F8C4"/>
    <w:rsid w:val="7D0629C9"/>
    <w:rsid w:val="7D0C4FE4"/>
    <w:rsid w:val="7D1F4A3C"/>
    <w:rsid w:val="7D46EE65"/>
    <w:rsid w:val="7D81654C"/>
    <w:rsid w:val="7D826A98"/>
    <w:rsid w:val="7D9449EB"/>
    <w:rsid w:val="7DC01709"/>
    <w:rsid w:val="7DED2D4D"/>
    <w:rsid w:val="7E04A4AE"/>
    <w:rsid w:val="7E468B1F"/>
    <w:rsid w:val="7E731CC9"/>
    <w:rsid w:val="7F28B173"/>
    <w:rsid w:val="7F3ACBDA"/>
    <w:rsid w:val="7F57E3BC"/>
    <w:rsid w:val="7FBE3ECE"/>
    <w:rsid w:val="7FC1F4C0"/>
    <w:rsid w:val="7FC44A68"/>
    <w:rsid w:val="7FFEE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46DD"/>
  <w15:chartTrackingRefBased/>
  <w15:docId w15:val="{0817192D-F6BF-41D1-B263-DCB692C060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22FFED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407E75B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07E75B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407E75B8"/>
    <w:rPr>
      <w:rFonts w:eastAsia="" w:cs="" w:eastAsiaTheme="majorEastAsia" w:cstheme="majorBidi"/>
      <w:color w:val="0F4761" w:themeColor="accent1" w:themeTint="FF" w:themeShade="BF"/>
      <w:sz w:val="28"/>
      <w:szCs w:val="28"/>
    </w:rPr>
  </w:style>
  <w:style w:type="paragraph" w:styleId="Heading4">
    <w:uiPriority w:val="9"/>
    <w:name w:val="heading 4"/>
    <w:basedOn w:val="Normal"/>
    <w:next w:val="Normal"/>
    <w:unhideWhenUsed/>
    <w:qFormat/>
    <w:rsid w:val="407E75B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407E75B8"/>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407E75B8"/>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407E75B8"/>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407E75B8"/>
    <w:rPr>
      <w:rFonts w:eastAsia="" w:cs="" w:eastAsiaTheme="majorEastAsia" w:cstheme="majorBidi"/>
      <w:i w:val="1"/>
      <w:iCs w:val="1"/>
      <w:color w:val="272727"/>
    </w:rPr>
    <w:pPr>
      <w:keepNext w:val="1"/>
      <w:keepLines w:val="1"/>
      <w:spacing w:after="0"/>
      <w:outlineLvl w:val="7"/>
    </w:pPr>
  </w:style>
  <w:style w:type="paragraph" w:styleId="TOC1">
    <w:uiPriority w:val="39"/>
    <w:name w:val="toc 1"/>
    <w:basedOn w:val="Normal"/>
    <w:next w:val="Normal"/>
    <w:unhideWhenUsed/>
    <w:rsid w:val="407E75B8"/>
    <w:pPr>
      <w:spacing w:after="100"/>
    </w:pPr>
  </w:style>
  <w:style w:type="character" w:styleId="Hyperlink">
    <w:uiPriority w:val="99"/>
    <w:name w:val="Hyperlink"/>
    <w:basedOn w:val="DefaultParagraphFont"/>
    <w:unhideWhenUsed/>
    <w:rsid w:val="407E75B8"/>
    <w:rPr>
      <w:color w:val="467886"/>
      <w:u w:val="single"/>
    </w:rPr>
  </w:style>
  <w:style w:type="paragraph" w:styleId="TOC2">
    <w:uiPriority w:val="39"/>
    <w:name w:val="toc 2"/>
    <w:basedOn w:val="Normal"/>
    <w:next w:val="Normal"/>
    <w:unhideWhenUsed/>
    <w:rsid w:val="407E75B8"/>
    <w:pPr>
      <w:spacing w:after="100"/>
      <w:ind w:left="220"/>
    </w:pPr>
  </w:style>
  <w:style w:type="paragraph" w:styleId="TOC3">
    <w:uiPriority w:val="39"/>
    <w:name w:val="toc 3"/>
    <w:basedOn w:val="Normal"/>
    <w:next w:val="Normal"/>
    <w:unhideWhenUsed/>
    <w:rsid w:val="407E75B8"/>
    <w:pPr>
      <w:spacing w:after="100"/>
      <w:ind w:left="440"/>
    </w:pPr>
  </w:style>
  <w:style w:type="paragraph" w:styleId="TOC4">
    <w:uiPriority w:val="39"/>
    <w:name w:val="toc 4"/>
    <w:basedOn w:val="Normal"/>
    <w:next w:val="Normal"/>
    <w:unhideWhenUsed/>
    <w:rsid w:val="407E75B8"/>
    <w:pPr>
      <w:spacing w:after="100"/>
      <w:ind w:left="660"/>
    </w:pPr>
  </w:style>
  <w:style w:type="paragraph" w:styleId="TOC5">
    <w:uiPriority w:val="39"/>
    <w:name w:val="toc 5"/>
    <w:basedOn w:val="Normal"/>
    <w:next w:val="Normal"/>
    <w:unhideWhenUsed/>
    <w:rsid w:val="407E75B8"/>
    <w:pPr>
      <w:spacing w:after="100"/>
      <w:ind w:left="880"/>
    </w:pPr>
  </w:style>
  <w:style w:type="paragraph" w:styleId="Heading3">
    <w:uiPriority w:val="9"/>
    <w:name w:val="heading 3"/>
    <w:basedOn w:val="Normal"/>
    <w:next w:val="Normal"/>
    <w:unhideWhenUsed/>
    <w:link w:val="Heading3Char"/>
    <w:qFormat/>
    <w:rsid w:val="407E75B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2Char" w:customStyle="true">
    <w:uiPriority w:val="9"/>
    <w:name w:val="Heading 2 Char"/>
    <w:basedOn w:val="DefaultParagraphFont"/>
    <w:link w:val="Heading2"/>
    <w:rsid w:val="407E75B8"/>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407E75B8"/>
    <w:rPr>
      <w:rFonts w:ascii="Aptos Display" w:hAnsi="Aptos Display" w:eastAsia="" w:cs="" w:asciiTheme="majorAscii" w:hAnsiTheme="majorAscii" w:eastAsiaTheme="majorEastAsia" w:cstheme="majorBidi"/>
      <w:color w:val="0F4761" w:themeColor="accent1" w:themeTint="FF" w:themeShade="BF"/>
      <w:sz w:val="40"/>
      <w:szCs w:val="40"/>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Header">
    <w:uiPriority w:val="99"/>
    <w:name w:val="header"/>
    <w:basedOn w:val="Normal"/>
    <w:unhideWhenUsed/>
    <w:rsid w:val="3DC7A50A"/>
    <w:pPr>
      <w:tabs>
        <w:tab w:val="center" w:leader="none" w:pos="4680"/>
        <w:tab w:val="right" w:leader="none" w:pos="9360"/>
      </w:tabs>
      <w:spacing w:after="0" w:line="240" w:lineRule="auto"/>
    </w:pPr>
  </w:style>
  <w:style w:type="paragraph" w:styleId="Footer">
    <w:uiPriority w:val="99"/>
    <w:name w:val="footer"/>
    <w:basedOn w:val="Normal"/>
    <w:unhideWhenUsed/>
    <w:rsid w:val="3DC7A50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d31a34d3e24434e" /><Relationship Type="http://schemas.openxmlformats.org/officeDocument/2006/relationships/image" Target="/media/image2.png" Id="rId1762004302" /><Relationship Type="http://schemas.openxmlformats.org/officeDocument/2006/relationships/image" Target="/media/image3.png" Id="rId338477953" /><Relationship Type="http://schemas.microsoft.com/office/2020/10/relationships/intelligence" Target="intelligence2.xml" Id="Re8dff44ada1b4f8f" /><Relationship Type="http://schemas.openxmlformats.org/officeDocument/2006/relationships/hyperlink" Target="https://www.ncbi.nlm.nih.gov/pmc/articles/PMC8118002/" TargetMode="External" Id="R64db2c49f42042cc" /><Relationship Type="http://schemas.openxmlformats.org/officeDocument/2006/relationships/hyperlink" Target="https://sjhresearchafrica.org/index.php/public-html/article/download/130/137/818" TargetMode="External" Id="Raf918e85747e4dae" /><Relationship Type="http://schemas.openxmlformats.org/officeDocument/2006/relationships/hyperlink" Target="https://www.sciencedirect.com/science/article/pii/S1876034119302369" TargetMode="External" Id="Rc78a05dd474a43cd" /><Relationship Type="http://schemas.openxmlformats.org/officeDocument/2006/relationships/hyperlink" Target="https://www.dovepress.com/articles.php?article_id=45860" TargetMode="External" Id="Rabfe518d726a4c33" /><Relationship Type="http://schemas.openxmlformats.org/officeDocument/2006/relationships/hyperlink" Target="https://www.sciencedirect.com/science/article/pii/S1876034119302369" TargetMode="External" Id="R69c60cee9dba422d" /><Relationship Type="http://schemas.openxmlformats.org/officeDocument/2006/relationships/hyperlink" Target="https://www.safetyandquality.gov.au/" TargetMode="External" Id="R7e00752037c44ed1" /><Relationship Type="http://schemas.openxmlformats.org/officeDocument/2006/relationships/hyperlink" Target="https://joppp.biomedcentral.com/articles/10.1186/s40545-020-00232-5" TargetMode="External" Id="R4ea484100cce4a84" /><Relationship Type="http://schemas.openxmlformats.org/officeDocument/2006/relationships/hyperlink" Target="https://jamanetwork.com/journals/jama/article-abstract/388185" TargetMode="External" Id="R91243c2fa6684379" /><Relationship Type="http://schemas.openxmlformats.org/officeDocument/2006/relationships/hyperlink" Target="https://www.tandfonline.com/doi/10.1191/1478088706qp063oa" TargetMode="External" Id="R4cc59dd15adc4b03" /><Relationship Type="http://schemas.openxmlformats.org/officeDocument/2006/relationships/hyperlink" Target="https://journals.healio.com/doi/10.3928/01484834-20170323-09" TargetMode="External" Id="R4838743471114d5d" /><Relationship Type="http://schemas.openxmlformats.org/officeDocument/2006/relationships/hyperlink" Target="https://academic.oup.com/jamia/article/13/5/547/780732" TargetMode="External" Id="R696f69d0818d4565" /><Relationship Type="http://schemas.openxmlformats.org/officeDocument/2006/relationships/hyperlink" Target="https://journals.sagepub.com/doi/10.1518/001872006776412252" TargetMode="External" Id="R8ac26aed9fb3453d" /><Relationship Type="http://schemas.openxmlformats.org/officeDocument/2006/relationships/hyperlink" Target="https://casp-uk.net/casp-tools-checklists/" TargetMode="External" Id="R2f31d8ec027e465c" /><Relationship Type="http://schemas.openxmlformats.org/officeDocument/2006/relationships/hyperlink" Target="https://www.sciencedirect.com/science/article/pii/S1551741123002516" TargetMode="External" Id="R760842bd0bde4ea0" /><Relationship Type="http://schemas.openxmlformats.org/officeDocument/2006/relationships/hyperlink" Target="https://bmchealthmededuc.biomedcentral.com/articles/10.1186/s12909-024-06187-3" TargetMode="External" Id="R5e8b8d76026c4b6d" /><Relationship Type="http://schemas.openxmlformats.org/officeDocument/2006/relationships/hyperlink" Target="https://qualitysafety.bmj.com/content/11/1/9" TargetMode="External" Id="Rfda0139c2586401c" /><Relationship Type="http://schemas.openxmlformats.org/officeDocument/2006/relationships/hyperlink" Target="https://www.dovepress.com/articles.php?article_id=33327" TargetMode="External" Id="R016476de103c41de" /><Relationship Type="http://schemas.openxmlformats.org/officeDocument/2006/relationships/hyperlink" Target="https://www.ncbi.nlm.nih.gov/pmc/articles/PMC5458368/" TargetMode="External" Id="Rf2317f9e7ab14575" /><Relationship Type="http://schemas.openxmlformats.org/officeDocument/2006/relationships/hyperlink" Target="https://www.ncbi.nlm.nih.gov/pmc/articles/PMC3985519/" TargetMode="External" Id="R8ebf5df414b74b5d" /><Relationship Type="http://schemas.openxmlformats.org/officeDocument/2006/relationships/hyperlink" Target="https://www.ncbi.nlm.nih.gov/books/NBK2651/" TargetMode="External" Id="R7e48adbbc36b47ee" /><Relationship Type="http://schemas.openxmlformats.org/officeDocument/2006/relationships/hyperlink" Target="https://www.ihi.org/resources/Pages/Tools/Quality-Improvement-Essentials-Toolkit.aspx" TargetMode="External" Id="R9487b245a7894add" /><Relationship Type="http://schemas.openxmlformats.org/officeDocument/2006/relationships/hyperlink" Target="https://nap.nationalacademies.org/catalog/9728/to-err-is-human-building-a-safer-health-system" TargetMode="External" Id="R28d04e547efb4b59" /><Relationship Type="http://schemas.openxmlformats.org/officeDocument/2006/relationships/hyperlink" Target="https://onlinelibrary.wiley.com/doi/10.1111/j.2042-7174.2010.00081.x" TargetMode="External" Id="R199b8964e6094e9a" /><Relationship Type="http://schemas.openxmlformats.org/officeDocument/2006/relationships/hyperlink" Target="https://www.ncbi.nlm.nih.gov/pmc/articles/PMC7027211/" TargetMode="External" Id="R6e3248be0d284667" /><Relationship Type="http://schemas.openxmlformats.org/officeDocument/2006/relationships/hyperlink" Target="https://bmchealthservres.biomedcentral.com/articles/10.1186/s12913-021-06109-9" TargetMode="External" Id="R7470a0c70e9641db" /><Relationship Type="http://schemas.openxmlformats.org/officeDocument/2006/relationships/hyperlink" Target="https://www.ncbi.nlm.nih.gov/pmc/articles/PMC7670798/" TargetMode="External" Id="R464f97f6dc304c56" /><Relationship Type="http://schemas.openxmlformats.org/officeDocument/2006/relationships/hyperlink" Target="https://pharmacypractice.org/index.php/pp/article/view/1818" TargetMode="External" Id="R2817ab59187d41a5" /><Relationship Type="http://schemas.openxmlformats.org/officeDocument/2006/relationships/hyperlink" Target="https://www.ncbi.nlm.nih.gov/pmc/articles/PMC4687774/" TargetMode="External" Id="R71ba9fe3ba7d49a3" /><Relationship Type="http://schemas.openxmlformats.org/officeDocument/2006/relationships/hyperlink" Target="https://www.bmj.com/content/372/bmj.n71" TargetMode="External" Id="R36b86db7ca414fe4" /><Relationship Type="http://schemas.openxmlformats.org/officeDocument/2006/relationships/hyperlink" Target="https://www.ncbi.nlm.nih.gov/pmc/articles/PMC10655315/" TargetMode="External" Id="R45e0582c58f84c33" /><Relationship Type="http://schemas.openxmlformats.org/officeDocument/2006/relationships/hyperlink" Target="https://journals.lww.com/journalpatientsafety/Fulltext/2021/06000/Workload_and_Medication_Errors.5.aspx" TargetMode="External" Id="R22ded7f873e74a8a" /><Relationship Type="http://schemas.openxmlformats.org/officeDocument/2006/relationships/hyperlink" Target="https://www.oecd.org/health/health-at-a-glance-europe/" TargetMode="External" Id="R9ef413c2998a4b5c" /><Relationship Type="http://schemas.openxmlformats.org/officeDocument/2006/relationships/hyperlink" Target="https://www.ncbi.nlm.nih.gov/pmc/articles/PMC8602157/" TargetMode="External" Id="R366d7dc1d0344690" /><Relationship Type="http://schemas.openxmlformats.org/officeDocument/2006/relationships/hyperlink" Target="https://pubmed.ncbi.nlm.nih.gov/32148717/" TargetMode="External" Id="R1f34c79166874f18" /><Relationship Type="http://schemas.openxmlformats.org/officeDocument/2006/relationships/hyperlink" Target="https://www.mdpi.com/2079-6382/10/5/539" TargetMode="External" Id="Re84736b2e0e248ae" /><Relationship Type="http://schemas.openxmlformats.org/officeDocument/2006/relationships/hyperlink" Target="https://www.ncbi.nlm.nih.gov/pmc/articles/PMC8118002/" TargetMode="External" Id="R7c4b9b24d8a64974" /><Relationship Type="http://schemas.openxmlformats.org/officeDocument/2006/relationships/hyperlink" Target="https://academic.oup.com/ijpp/article/31/6/617/7276452" TargetMode="External" Id="R0b55e00d59274fdf" /><Relationship Type="http://schemas.openxmlformats.org/officeDocument/2006/relationships/hyperlink" Target="https://jamanetwork.com/journals/jamainternalmedicine/fullarticle/415119" TargetMode="External" Id="Rab21a4a11ef84cc8" /><Relationship Type="http://schemas.openxmlformats.org/officeDocument/2006/relationships/hyperlink" Target="https://datahelpdesk.worldbank.org/knowledgebase/articles/906519" TargetMode="External" Id="Rd208b61ad31a4535" /><Relationship Type="http://schemas.openxmlformats.org/officeDocument/2006/relationships/hyperlink" Target="https://www.who.int/initiatives/medication-without-harm" TargetMode="External" Id="R2297d3deee3c4c2f" /><Relationship Type="http://schemas.openxmlformats.org/officeDocument/2006/relationships/hyperlink" Target="https://www.who.int/publications/i/item/WHO-UHC-SDS-2019.11" TargetMode="External" Id="Re0066deff51a4221" /><Relationship Type="http://schemas.openxmlformats.org/officeDocument/2006/relationships/hyperlink" Target="https://www.who.int/publications/i/item/9789240032705" TargetMode="External" Id="R33276bbba4544116" /><Relationship Type="http://schemas.openxmlformats.org/officeDocument/2006/relationships/hyperlink" Target="https://www.who.int/news-room/fact-sheets/detail/antimicrobial-resistance" TargetMode="External" Id="Re3222582f98d49c1" /><Relationship Type="http://schemas.openxmlformats.org/officeDocument/2006/relationships/hyperlink" Target="https://pharmacypractice.org/index.php/pp/article/view/2665" TargetMode="External" Id="R182cc077e3904782" /><Relationship Type="http://schemas.openxmlformats.org/officeDocument/2006/relationships/header" Target="header.xml" Id="R75d75697e284493b" /><Relationship Type="http://schemas.openxmlformats.org/officeDocument/2006/relationships/footer" Target="footer.xml" Id="Re2bf179ca3b34f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2025-10-08T09:47:55.0827416Z</dcterms:created>
  <dcterms:modified xsi:type="dcterms:W3CDTF">2026-01-07T13:48:03.8432703Z</dcterms:modified>
  <dc:creator>Shreyas Dineshkumar Shrimali (2418718)</dc:creator>
  <lastModifiedBy>Shreyas Dineshkumar Shrimali (2418718)</lastModifiedBy>
</coreProperties>
</file>