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F65E7" w14:textId="77777777" w:rsidR="00225596" w:rsidRDefault="00225596" w:rsidP="008C578A">
      <w:pPr>
        <w:spacing w:after="200" w:line="480" w:lineRule="auto"/>
        <w:jc w:val="center"/>
        <w:rPr>
          <w:rFonts w:ascii="Bradley Hand ITC" w:eastAsia="Calibri" w:hAnsi="Bradley Hand ITC" w:cs="Times New Roman"/>
          <w:b/>
          <w:bCs/>
          <w:sz w:val="36"/>
          <w:szCs w:val="36"/>
          <w:u w:val="single"/>
        </w:rPr>
      </w:pPr>
    </w:p>
    <w:p w14:paraId="52C66088" w14:textId="77777777" w:rsidR="00225596" w:rsidRDefault="00225596" w:rsidP="00225596">
      <w:pPr>
        <w:spacing w:after="200" w:line="480" w:lineRule="auto"/>
        <w:rPr>
          <w:rFonts w:ascii="Bradley Hand ITC" w:eastAsia="Calibri" w:hAnsi="Bradley Hand ITC" w:cs="Times New Roman"/>
          <w:b/>
          <w:bCs/>
          <w:sz w:val="36"/>
          <w:szCs w:val="36"/>
          <w:u w:val="single"/>
        </w:rPr>
      </w:pPr>
    </w:p>
    <w:p w14:paraId="7C3CF36A" w14:textId="77777777" w:rsidR="00225596" w:rsidRDefault="00225596" w:rsidP="008C578A">
      <w:pPr>
        <w:spacing w:after="200" w:line="480" w:lineRule="auto"/>
        <w:jc w:val="center"/>
        <w:rPr>
          <w:rFonts w:ascii="Bradley Hand ITC" w:eastAsia="Calibri" w:hAnsi="Bradley Hand ITC" w:cs="Times New Roman"/>
          <w:b/>
          <w:bCs/>
          <w:sz w:val="36"/>
          <w:szCs w:val="36"/>
          <w:u w:val="single"/>
        </w:rPr>
      </w:pPr>
    </w:p>
    <w:p w14:paraId="1D030399" w14:textId="6C7C6BB5" w:rsidR="008C578A" w:rsidRPr="008C578A" w:rsidRDefault="008C578A" w:rsidP="008C578A">
      <w:pPr>
        <w:spacing w:after="200" w:line="480" w:lineRule="auto"/>
        <w:jc w:val="center"/>
        <w:rPr>
          <w:rFonts w:ascii="Bradley Hand ITC" w:eastAsia="Calibri" w:hAnsi="Bradley Hand ITC" w:cs="Times New Roman"/>
          <w:b/>
          <w:bCs/>
          <w:sz w:val="36"/>
          <w:szCs w:val="36"/>
          <w:u w:val="single"/>
        </w:rPr>
      </w:pPr>
      <w:r w:rsidRPr="008C578A">
        <w:rPr>
          <w:rFonts w:ascii="Bradley Hand ITC" w:eastAsia="Calibri" w:hAnsi="Bradley Hand ITC" w:cs="Times New Roman"/>
          <w:b/>
          <w:bCs/>
          <w:sz w:val="48"/>
          <w:szCs w:val="48"/>
          <w:u w:val="single"/>
        </w:rPr>
        <w:t>C</w:t>
      </w:r>
      <w:r w:rsidRPr="008C578A">
        <w:rPr>
          <w:rFonts w:ascii="Bradley Hand ITC" w:eastAsia="Calibri" w:hAnsi="Bradley Hand ITC" w:cs="Times New Roman"/>
          <w:b/>
          <w:bCs/>
          <w:sz w:val="36"/>
          <w:szCs w:val="36"/>
          <w:u w:val="single"/>
        </w:rPr>
        <w:t xml:space="preserve">OMMUNITY </w:t>
      </w:r>
      <w:r w:rsidRPr="008C578A">
        <w:rPr>
          <w:rFonts w:ascii="Bradley Hand ITC" w:eastAsia="Calibri" w:hAnsi="Bradley Hand ITC" w:cs="Times New Roman"/>
          <w:b/>
          <w:bCs/>
          <w:sz w:val="48"/>
          <w:szCs w:val="48"/>
          <w:u w:val="single"/>
        </w:rPr>
        <w:t>E</w:t>
      </w:r>
      <w:r w:rsidRPr="008C578A">
        <w:rPr>
          <w:rFonts w:ascii="Bradley Hand ITC" w:eastAsia="Calibri" w:hAnsi="Bradley Hand ITC" w:cs="Times New Roman"/>
          <w:b/>
          <w:bCs/>
          <w:sz w:val="36"/>
          <w:szCs w:val="36"/>
          <w:u w:val="single"/>
        </w:rPr>
        <w:t xml:space="preserve">NGAGEMENT </w:t>
      </w:r>
      <w:r w:rsidRPr="00225596">
        <w:rPr>
          <w:rFonts w:ascii="Bradley Hand ITC" w:eastAsia="Calibri" w:hAnsi="Bradley Hand ITC" w:cs="Times New Roman"/>
          <w:b/>
          <w:bCs/>
          <w:sz w:val="48"/>
          <w:szCs w:val="48"/>
          <w:u w:val="single"/>
        </w:rPr>
        <w:t>A</w:t>
      </w:r>
      <w:r w:rsidRPr="00225596">
        <w:rPr>
          <w:rFonts w:ascii="Bradley Hand ITC" w:eastAsia="Calibri" w:hAnsi="Bradley Hand ITC" w:cs="Times New Roman"/>
          <w:b/>
          <w:bCs/>
          <w:sz w:val="36"/>
          <w:szCs w:val="36"/>
          <w:u w:val="single"/>
        </w:rPr>
        <w:t xml:space="preserve">SSIGNMENT </w:t>
      </w:r>
      <w:r w:rsidRPr="00225596">
        <w:rPr>
          <w:rFonts w:ascii="Bradley Hand ITC" w:eastAsia="Calibri" w:hAnsi="Bradley Hand ITC" w:cs="Times New Roman"/>
          <w:b/>
          <w:bCs/>
          <w:sz w:val="36"/>
          <w:szCs w:val="36"/>
          <w:u w:val="single"/>
        </w:rPr>
        <w:sym w:font="Symbol" w:char="F049"/>
      </w:r>
      <w:r w:rsidRPr="00225596">
        <w:rPr>
          <w:rFonts w:ascii="Bradley Hand ITC" w:eastAsia="Calibri" w:hAnsi="Bradley Hand ITC" w:cs="Times New Roman"/>
          <w:b/>
          <w:bCs/>
          <w:sz w:val="36"/>
          <w:szCs w:val="36"/>
          <w:u w:val="single"/>
        </w:rPr>
        <w:sym w:font="Symbol" w:char="F049"/>
      </w:r>
    </w:p>
    <w:p w14:paraId="17ADBB35" w14:textId="77777777" w:rsidR="008C578A" w:rsidRPr="008C578A" w:rsidRDefault="008C578A" w:rsidP="008C578A">
      <w:pPr>
        <w:spacing w:after="200" w:line="480" w:lineRule="auto"/>
        <w:jc w:val="center"/>
        <w:rPr>
          <w:rFonts w:ascii="Times New Roman" w:eastAsia="Calibri" w:hAnsi="Times New Roman" w:cs="Times New Roman"/>
          <w:sz w:val="24"/>
          <w:szCs w:val="24"/>
        </w:rPr>
      </w:pPr>
    </w:p>
    <w:p w14:paraId="7EF3A3B0" w14:textId="77777777" w:rsidR="008C578A" w:rsidRPr="008C578A" w:rsidRDefault="008C578A" w:rsidP="008C578A">
      <w:pPr>
        <w:spacing w:after="200" w:line="480" w:lineRule="auto"/>
        <w:ind w:left="1440"/>
        <w:rPr>
          <w:rFonts w:ascii="Times New Roman" w:eastAsia="Calibri" w:hAnsi="Times New Roman" w:cs="Times New Roman"/>
          <w:sz w:val="24"/>
          <w:szCs w:val="24"/>
          <w:lang w:val="en-GB"/>
        </w:rPr>
      </w:pPr>
    </w:p>
    <w:p w14:paraId="63DB830F" w14:textId="77777777" w:rsidR="008C578A" w:rsidRPr="008C578A" w:rsidRDefault="008C578A" w:rsidP="008C578A">
      <w:pPr>
        <w:spacing w:after="200" w:line="480" w:lineRule="auto"/>
        <w:jc w:val="center"/>
        <w:rPr>
          <w:rFonts w:ascii="Times New Roman" w:eastAsia="Calibri" w:hAnsi="Times New Roman" w:cs="Times New Roman"/>
          <w:sz w:val="24"/>
          <w:szCs w:val="24"/>
          <w:lang w:val="en-GB"/>
        </w:rPr>
      </w:pPr>
    </w:p>
    <w:p w14:paraId="69DAC824" w14:textId="77777777" w:rsidR="008C578A" w:rsidRPr="008C578A" w:rsidRDefault="008C578A" w:rsidP="008C578A">
      <w:pPr>
        <w:spacing w:after="200" w:line="480" w:lineRule="auto"/>
        <w:jc w:val="center"/>
        <w:rPr>
          <w:rFonts w:ascii="Times New Roman" w:eastAsia="Calibri" w:hAnsi="Times New Roman" w:cs="Times New Roman"/>
          <w:sz w:val="24"/>
          <w:szCs w:val="24"/>
          <w:lang w:val="en-GB"/>
        </w:rPr>
      </w:pPr>
    </w:p>
    <w:p w14:paraId="093CF190" w14:textId="1EE5920D" w:rsidR="008C578A" w:rsidRDefault="00225596" w:rsidP="008C578A">
      <w:pPr>
        <w:spacing w:after="200" w:line="480" w:lineRule="auto"/>
        <w:jc w:val="center"/>
        <w:rPr>
          <w:rFonts w:ascii="Bradley Hand ITC" w:eastAsia="Calibri" w:hAnsi="Bradley Hand ITC" w:cs="Times New Roman"/>
          <w:b/>
          <w:bCs/>
          <w:sz w:val="28"/>
          <w:szCs w:val="28"/>
          <w:lang w:val="en-GB"/>
        </w:rPr>
      </w:pPr>
      <w:r w:rsidRPr="00225596">
        <w:rPr>
          <w:rFonts w:ascii="Bradley Hand ITC" w:eastAsia="Calibri" w:hAnsi="Bradley Hand ITC" w:cs="Times New Roman"/>
          <w:b/>
          <w:bCs/>
          <w:sz w:val="28"/>
          <w:szCs w:val="28"/>
          <w:lang w:val="en-GB"/>
        </w:rPr>
        <w:t>Student Name:</w:t>
      </w:r>
      <w:r>
        <w:rPr>
          <w:rFonts w:ascii="Bradley Hand ITC" w:eastAsia="Calibri" w:hAnsi="Bradley Hand ITC" w:cs="Times New Roman"/>
          <w:b/>
          <w:bCs/>
          <w:sz w:val="28"/>
          <w:szCs w:val="28"/>
          <w:lang w:val="en-GB"/>
        </w:rPr>
        <w:t xml:space="preserve"> Georgiana Sima</w:t>
      </w:r>
    </w:p>
    <w:p w14:paraId="6820BD9C" w14:textId="4E7349F3" w:rsidR="00225596" w:rsidRDefault="00225596" w:rsidP="008C578A">
      <w:pPr>
        <w:spacing w:after="200" w:line="480" w:lineRule="auto"/>
        <w:jc w:val="center"/>
        <w:rPr>
          <w:rFonts w:ascii="Bradley Hand ITC" w:eastAsia="Calibri" w:hAnsi="Bradley Hand ITC" w:cs="Times New Roman"/>
          <w:b/>
          <w:bCs/>
          <w:sz w:val="28"/>
          <w:szCs w:val="28"/>
          <w:lang w:val="en-GB"/>
        </w:rPr>
      </w:pPr>
      <w:r>
        <w:rPr>
          <w:rFonts w:ascii="Bradley Hand ITC" w:eastAsia="Calibri" w:hAnsi="Bradley Hand ITC" w:cs="Times New Roman"/>
          <w:b/>
          <w:bCs/>
          <w:sz w:val="28"/>
          <w:szCs w:val="28"/>
          <w:lang w:val="en-GB"/>
        </w:rPr>
        <w:t>Student Number: 1919082</w:t>
      </w:r>
    </w:p>
    <w:p w14:paraId="0010F24E" w14:textId="74B2A668" w:rsidR="00225596" w:rsidRDefault="00225596" w:rsidP="00225596">
      <w:pPr>
        <w:spacing w:after="200" w:line="480" w:lineRule="auto"/>
        <w:jc w:val="center"/>
        <w:rPr>
          <w:rFonts w:ascii="Bradley Hand ITC" w:eastAsia="Calibri" w:hAnsi="Bradley Hand ITC" w:cs="Times New Roman"/>
          <w:b/>
          <w:bCs/>
          <w:sz w:val="28"/>
          <w:szCs w:val="28"/>
          <w:lang w:val="en-GB"/>
        </w:rPr>
      </w:pPr>
      <w:r>
        <w:rPr>
          <w:rFonts w:ascii="Bradley Hand ITC" w:eastAsia="Calibri" w:hAnsi="Bradley Hand ITC" w:cs="Times New Roman"/>
          <w:b/>
          <w:bCs/>
          <w:sz w:val="28"/>
          <w:szCs w:val="28"/>
          <w:lang w:val="en-GB"/>
        </w:rPr>
        <w:t>Lecturer Name: Rula Alousi</w:t>
      </w:r>
    </w:p>
    <w:p w14:paraId="463B5BAF" w14:textId="13F43298" w:rsidR="008C578A" w:rsidRDefault="00225596" w:rsidP="00225596">
      <w:pPr>
        <w:spacing w:after="200" w:line="480" w:lineRule="auto"/>
        <w:jc w:val="center"/>
        <w:rPr>
          <w:rFonts w:ascii="Bradley Hand ITC" w:eastAsia="Calibri" w:hAnsi="Bradley Hand ITC" w:cs="Times New Roman"/>
          <w:b/>
          <w:bCs/>
          <w:sz w:val="28"/>
          <w:szCs w:val="28"/>
          <w:lang w:val="en-GB"/>
        </w:rPr>
      </w:pPr>
      <w:r>
        <w:rPr>
          <w:rFonts w:ascii="Bradley Hand ITC" w:eastAsia="Calibri" w:hAnsi="Bradley Hand ITC" w:cs="Times New Roman"/>
          <w:b/>
          <w:bCs/>
          <w:sz w:val="28"/>
          <w:szCs w:val="28"/>
          <w:lang w:val="en-GB"/>
        </w:rPr>
        <w:t>Module: Community Engagement LCBB4002</w:t>
      </w:r>
    </w:p>
    <w:p w14:paraId="1A45B45B" w14:textId="7F24D74E" w:rsidR="00225596" w:rsidRDefault="00225596" w:rsidP="00225596">
      <w:pPr>
        <w:spacing w:after="200" w:line="480" w:lineRule="auto"/>
        <w:jc w:val="center"/>
        <w:rPr>
          <w:rFonts w:ascii="Bradley Hand ITC" w:eastAsia="Calibri" w:hAnsi="Bradley Hand ITC" w:cs="Times New Roman"/>
          <w:b/>
          <w:bCs/>
          <w:sz w:val="28"/>
          <w:szCs w:val="28"/>
          <w:lang w:val="en-GB"/>
        </w:rPr>
      </w:pPr>
    </w:p>
    <w:p w14:paraId="4364B9C8" w14:textId="77777777" w:rsidR="00225596" w:rsidRPr="00225596" w:rsidRDefault="00225596" w:rsidP="00225596">
      <w:pPr>
        <w:spacing w:after="200" w:line="480" w:lineRule="auto"/>
        <w:jc w:val="center"/>
        <w:rPr>
          <w:rFonts w:ascii="Bradley Hand ITC" w:eastAsia="Calibri" w:hAnsi="Bradley Hand ITC" w:cs="Times New Roman"/>
          <w:b/>
          <w:bCs/>
          <w:sz w:val="28"/>
          <w:szCs w:val="28"/>
          <w:lang w:val="en-GB"/>
        </w:rPr>
      </w:pPr>
    </w:p>
    <w:p w14:paraId="16E7BD2A" w14:textId="652D40A1" w:rsidR="008C578A" w:rsidRPr="008C578A" w:rsidRDefault="008C578A" w:rsidP="008C578A">
      <w:pPr>
        <w:spacing w:after="200" w:line="480" w:lineRule="auto"/>
        <w:rPr>
          <w:rFonts w:ascii="Bradley Hand ITC" w:eastAsia="Calibri" w:hAnsi="Bradley Hand ITC" w:cs="Times New Roman"/>
          <w:sz w:val="32"/>
          <w:szCs w:val="32"/>
          <w:u w:val="single"/>
        </w:rPr>
      </w:pPr>
      <w:r w:rsidRPr="008C578A">
        <w:rPr>
          <w:rFonts w:ascii="Bradley Hand ITC" w:eastAsia="Calibri" w:hAnsi="Bradley Hand ITC" w:cs="Times New Roman"/>
          <w:b/>
          <w:sz w:val="40"/>
          <w:szCs w:val="40"/>
          <w:u w:val="single"/>
        </w:rPr>
        <w:lastRenderedPageBreak/>
        <w:t>I</w:t>
      </w:r>
      <w:r w:rsidRPr="008C578A">
        <w:rPr>
          <w:rFonts w:ascii="Bradley Hand ITC" w:eastAsia="Calibri" w:hAnsi="Bradley Hand ITC" w:cs="Times New Roman"/>
          <w:b/>
          <w:sz w:val="32"/>
          <w:szCs w:val="32"/>
          <w:u w:val="single"/>
        </w:rPr>
        <w:t>ntroduction</w:t>
      </w:r>
    </w:p>
    <w:p w14:paraId="5350C388"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Reflecting on one’s actions, practices, knowledge and skills is crucial to realize personal and professional development. The job market is characterized by increased competition making it imperative for an individual to consider improving on key areas desired by employers to enhance their employability. Accordingly, </w:t>
      </w:r>
      <w:r w:rsidRPr="008C578A">
        <w:rPr>
          <w:rFonts w:ascii="Times New Roman" w:eastAsia="Calibri" w:hAnsi="Times New Roman" w:cs="Times New Roman"/>
          <w:color w:val="222222"/>
          <w:sz w:val="24"/>
          <w:szCs w:val="24"/>
          <w:shd w:val="clear" w:color="auto" w:fill="FFFFFF"/>
        </w:rPr>
        <w:t xml:space="preserve">Rowe and Zegwaard (2017) </w:t>
      </w:r>
      <w:r w:rsidRPr="008C578A">
        <w:rPr>
          <w:rFonts w:ascii="Times New Roman" w:eastAsia="Calibri" w:hAnsi="Times New Roman" w:cs="Times New Roman"/>
          <w:sz w:val="24"/>
          <w:szCs w:val="24"/>
        </w:rPr>
        <w:t xml:space="preserve">contend that an individual with the most desirable knowledge, skills and experience is likely to secure an employment compared to their counterparts with least knowledge, skills and experience in a given job. It is vital for one to focus on enhancing their skills and capabilities to increase their chances of succeeding in job search and employment. Reflection offers an opportunity for one to reflect on their employability based on their knowledge, skills and experience to inform the necessary areas of improvement to increase one’s employability. This essay provides a personal reflection on my involvement and membership to Breast Cancer Prevention Charity UK, a non-governmental organization committed to promoting and protecting the health of communities by creating awareness about breast cancer. The analysis is based on Gibb’s reflective cycle, a model that could help me learn from experiences to enhance my employability in the future while working with community engagement organizations. </w:t>
      </w:r>
    </w:p>
    <w:p w14:paraId="5C6A18FD" w14:textId="77777777" w:rsidR="008C578A" w:rsidRPr="008C578A" w:rsidRDefault="008C578A" w:rsidP="008C578A">
      <w:pPr>
        <w:spacing w:after="200" w:line="480" w:lineRule="auto"/>
        <w:jc w:val="center"/>
        <w:rPr>
          <w:rFonts w:ascii="Bradley Hand ITC" w:eastAsia="Calibri" w:hAnsi="Bradley Hand ITC" w:cs="Times New Roman"/>
          <w:b/>
          <w:sz w:val="32"/>
          <w:szCs w:val="32"/>
          <w:u w:val="single"/>
        </w:rPr>
      </w:pPr>
      <w:r w:rsidRPr="008C578A">
        <w:rPr>
          <w:rFonts w:ascii="Bradley Hand ITC" w:eastAsia="Calibri" w:hAnsi="Bradley Hand ITC" w:cs="Times New Roman"/>
          <w:b/>
          <w:sz w:val="32"/>
          <w:szCs w:val="32"/>
          <w:u w:val="single"/>
        </w:rPr>
        <w:t>Application of Gibb’s Reflection Model</w:t>
      </w:r>
    </w:p>
    <w:p w14:paraId="6D4D80EB" w14:textId="77777777" w:rsidR="008C578A" w:rsidRPr="008C578A" w:rsidRDefault="008C578A" w:rsidP="008C578A">
      <w:pPr>
        <w:spacing w:after="200" w:line="480" w:lineRule="auto"/>
        <w:jc w:val="both"/>
        <w:rPr>
          <w:rFonts w:ascii="Bradley Hand ITC" w:eastAsia="Calibri" w:hAnsi="Bradley Hand ITC" w:cs="Times New Roman"/>
          <w:sz w:val="28"/>
          <w:szCs w:val="28"/>
          <w:u w:val="single"/>
        </w:rPr>
      </w:pPr>
      <w:r w:rsidRPr="008C578A">
        <w:rPr>
          <w:rFonts w:ascii="Bradley Hand ITC" w:eastAsia="Calibri" w:hAnsi="Bradley Hand ITC" w:cs="Times New Roman"/>
          <w:b/>
          <w:sz w:val="28"/>
          <w:szCs w:val="28"/>
          <w:u w:val="single"/>
        </w:rPr>
        <w:t>Description of Experience</w:t>
      </w:r>
      <w:r w:rsidRPr="008C578A">
        <w:rPr>
          <w:rFonts w:ascii="Bradley Hand ITC" w:eastAsia="Calibri" w:hAnsi="Bradley Hand ITC" w:cs="Times New Roman"/>
          <w:sz w:val="28"/>
          <w:szCs w:val="28"/>
          <w:u w:val="single"/>
        </w:rPr>
        <w:t xml:space="preserve"> </w:t>
      </w:r>
    </w:p>
    <w:p w14:paraId="51579D7F"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Working with and through teams and people opens an individual to challenging situations that requires them to make informed decisions and employ their experience to resolve a situation at hand. My participation in a community engagement program under Breast Cancer Prevention </w:t>
      </w:r>
      <w:r w:rsidRPr="008C578A">
        <w:rPr>
          <w:rFonts w:ascii="Times New Roman" w:eastAsia="Calibri" w:hAnsi="Times New Roman" w:cs="Times New Roman"/>
          <w:sz w:val="24"/>
          <w:szCs w:val="24"/>
        </w:rPr>
        <w:lastRenderedPageBreak/>
        <w:t xml:space="preserve">Charity UK offered me an opportunity to work with youths and communities at large in the United King.dom with an aim of promoting and protecting their health and social wellbeing. I worked as a young investigator responsible for investigating the risks factors exposing the youths to breast cancer to inform the necessary measures that can help them to prevent the disease while at the same time promoting and protecting their health. I was also responsible for providing information on breast cancer to help the adolescents and youths in society to make informed decisions and choices regarding their lifestyle and behaviors to reduce their risks and susceptibility of developing breast cancer. I worked closely with community leaders, youths and their representatives alongside healthcare providers and physicians to promote the wellbeing of people in community. Working in teams exposes one to numerous challenges that require them to employ community engagement practices that can help them to succeed in their endeavors. I encountered opposition, conflicts and misunderstandings while working with the communities, an aspect that frustrated me and rendered me in a hopeless situation contemplating to quit. My experience at the organization is characterized by both the motivation and discouragements that have since shaped my thinking, community engagement practices, working in teams and enhancing my employability in the future in community engagement. </w:t>
      </w:r>
    </w:p>
    <w:p w14:paraId="29420128" w14:textId="77777777" w:rsidR="008C578A" w:rsidRPr="008C578A" w:rsidRDefault="008C578A" w:rsidP="008C578A">
      <w:pPr>
        <w:spacing w:after="200" w:line="480" w:lineRule="auto"/>
        <w:jc w:val="both"/>
        <w:rPr>
          <w:rFonts w:ascii="Bradley Hand ITC" w:eastAsia="Calibri" w:hAnsi="Bradley Hand ITC" w:cs="Times New Roman"/>
          <w:b/>
          <w:sz w:val="28"/>
          <w:szCs w:val="28"/>
          <w:u w:val="single"/>
        </w:rPr>
      </w:pPr>
      <w:r w:rsidRPr="008C578A">
        <w:rPr>
          <w:rFonts w:ascii="Bradley Hand ITC" w:eastAsia="Calibri" w:hAnsi="Bradley Hand ITC" w:cs="Times New Roman"/>
          <w:b/>
          <w:sz w:val="28"/>
          <w:szCs w:val="28"/>
          <w:u w:val="single"/>
        </w:rPr>
        <w:t xml:space="preserve">Feelings </w:t>
      </w:r>
    </w:p>
    <w:p w14:paraId="64332436"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I have always wanted to work in community engagement programs, but not until I had an opportunity to work as a young investigator at Breast Cancer Prevention Charity UK. I was happy at first and could not wait to commence working for the organization to empower communities to improve their health outcomes. Cancer is a global menace to health promotion, an aspect that has always motivated me to remain committed to improving and protecting the health of the </w:t>
      </w:r>
      <w:r w:rsidRPr="008C578A">
        <w:rPr>
          <w:rFonts w:ascii="Times New Roman" w:eastAsia="Calibri" w:hAnsi="Times New Roman" w:cs="Times New Roman"/>
          <w:sz w:val="24"/>
          <w:szCs w:val="24"/>
        </w:rPr>
        <w:lastRenderedPageBreak/>
        <w:t>populations. Therefore, I was happy to join the firm and be assigned the role of the young investigator because I knew that would help me to support and empower communities, things I have always wanted to do in my life. However, my perception and attitude regarding working in community engagement programs changed overtime because of the difficulties and obstacles I encountered that I never expected. Increased opposition and lack of cooperation from the community members rendered me frustrated contemplating to quit. I though it was going to be easy to work with communities because the program aimed at promoting and protecting their health. However, I was not happy about the negligence and reluctance of the community, especially the youth of working to support the program that meant the best for them. Although I was disappointed and frustrated with the teams I was working with that is no longer the case because I now know that one has to consider key community engagement practices and strategies to succeed in such endeavors. In fact, I cannot wait to work in another community engagement and empowerment project because of the experience and knowledge I have acquired from my previous project.</w:t>
      </w:r>
    </w:p>
    <w:p w14:paraId="19010CCD" w14:textId="77777777" w:rsidR="008C578A" w:rsidRPr="008C578A" w:rsidRDefault="008C578A" w:rsidP="008C578A">
      <w:pPr>
        <w:spacing w:after="200" w:line="480" w:lineRule="auto"/>
        <w:jc w:val="both"/>
        <w:rPr>
          <w:rFonts w:ascii="Bradley Hand ITC" w:eastAsia="Calibri" w:hAnsi="Bradley Hand ITC" w:cs="Times New Roman"/>
          <w:b/>
          <w:sz w:val="28"/>
          <w:szCs w:val="28"/>
          <w:u w:val="single"/>
        </w:rPr>
      </w:pPr>
      <w:r w:rsidRPr="008C578A">
        <w:rPr>
          <w:rFonts w:ascii="Bradley Hand ITC" w:eastAsia="Calibri" w:hAnsi="Bradley Hand ITC" w:cs="Times New Roman"/>
          <w:b/>
          <w:sz w:val="28"/>
          <w:szCs w:val="28"/>
          <w:u w:val="single"/>
        </w:rPr>
        <w:t xml:space="preserve">Evaluation </w:t>
      </w:r>
    </w:p>
    <w:p w14:paraId="5854DE80"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Working in the community engagement program in the UK that aimed at preventing breast cancer is characterized by both good and bad experiences. Lack of cooperation from the community especially the youth frustrated me and sabotaged my efforts to create awareness in the community regarding breast cancer. I found it difficult to work with and through the selected youth leaders because they were too busy and unwilling to support me throughout the program. I did not engage myself in practical activities, but instead encouraged the youth representatives to serve as role models for their teams in community to encourage them to participate in the breast awareness </w:t>
      </w:r>
      <w:r w:rsidRPr="008C578A">
        <w:rPr>
          <w:rFonts w:ascii="Times New Roman" w:eastAsia="Calibri" w:hAnsi="Times New Roman" w:cs="Times New Roman"/>
          <w:sz w:val="24"/>
          <w:szCs w:val="24"/>
        </w:rPr>
        <w:lastRenderedPageBreak/>
        <w:t xml:space="preserve">workshops, conferences and meetings. I did not seek support from my senior supervisors because of the fear that they would see me as incompetent lacking the ability to work independently to discharge his duties and responsibilities. Increased conflict with the community leaders also thwarted my efforts to engage the youths and other members of community to participate in the breast cancer prevention programs. However, I succeeded to form teams and design appropriate training and learning materials for creating awareness among the people regarding the risk factors and the preventive measures to reduce their susceptibility to developing breast cancer. I also valued relationships, an aspect that encouraged me to remain committed to establishing and maintain healthy relationships with the members of the community despite opposition and resentment from some individuals that were against my approach. Generally, I did not allow myself to be derailed from realizing the set goals even when it meant to excluding some individuals from the program. </w:t>
      </w:r>
    </w:p>
    <w:p w14:paraId="4AE8C006" w14:textId="77777777" w:rsidR="008C578A" w:rsidRPr="008C578A" w:rsidRDefault="008C578A" w:rsidP="008C578A">
      <w:pPr>
        <w:spacing w:after="200" w:line="480" w:lineRule="auto"/>
        <w:jc w:val="both"/>
        <w:rPr>
          <w:rFonts w:ascii="Bradley Hand ITC" w:eastAsia="Calibri" w:hAnsi="Bradley Hand ITC" w:cs="Times New Roman"/>
          <w:b/>
          <w:sz w:val="28"/>
          <w:szCs w:val="28"/>
          <w:u w:val="single"/>
        </w:rPr>
      </w:pPr>
      <w:r w:rsidRPr="008C578A">
        <w:rPr>
          <w:rFonts w:ascii="Bradley Hand ITC" w:eastAsia="Calibri" w:hAnsi="Bradley Hand ITC" w:cs="Times New Roman"/>
          <w:b/>
          <w:sz w:val="28"/>
          <w:szCs w:val="28"/>
          <w:u w:val="single"/>
        </w:rPr>
        <w:t xml:space="preserve">Analysis </w:t>
      </w:r>
    </w:p>
    <w:p w14:paraId="5E1B72C1"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Working with and through people requires an individual to observe key practices and behaviors to win the support of the community, something that I lacked exposing me to increased challenges. According to </w:t>
      </w:r>
      <w:r w:rsidRPr="008C578A">
        <w:rPr>
          <w:rFonts w:ascii="Times New Roman" w:eastAsia="Calibri" w:hAnsi="Times New Roman" w:cs="Times New Roman"/>
          <w:color w:val="222222"/>
          <w:sz w:val="24"/>
          <w:szCs w:val="24"/>
          <w:shd w:val="clear" w:color="auto" w:fill="FFFFFF"/>
        </w:rPr>
        <w:t>Biddison et al. (2018)</w:t>
      </w:r>
      <w:r w:rsidRPr="008C578A">
        <w:rPr>
          <w:rFonts w:ascii="Times New Roman" w:eastAsia="Calibri" w:hAnsi="Times New Roman" w:cs="Times New Roman"/>
          <w:sz w:val="24"/>
          <w:szCs w:val="24"/>
        </w:rPr>
        <w:t xml:space="preserve">, it is vital for an individual to engage and involve the members of the community in al stages of the project right from inception to conclusion to encourage them to participate and pledge their support fully. However good a health promotion program might be, it can be rendered ineffective and useless if it fails to acknowledge the contributions of the interest groups, participants and the people intended to benefit from the project. I ought to have engaged and encouraged active participation from the targeted audience instead of relying on my understanding and knowledge to deter mine what was best for them. </w:t>
      </w:r>
    </w:p>
    <w:p w14:paraId="5E0E4861"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lastRenderedPageBreak/>
        <w:t xml:space="preserve">Conflicts are also inevitable when working with diverse teams, an aspect that explains why I encountered resentment and opposition from some of the members while discharging my duties and responsibilities as the young investigator in the breast cancer project in the UK. As </w:t>
      </w:r>
      <w:r w:rsidRPr="008C578A">
        <w:rPr>
          <w:rFonts w:ascii="Times New Roman" w:eastAsia="Calibri" w:hAnsi="Times New Roman" w:cs="Times New Roman"/>
          <w:color w:val="222222"/>
          <w:sz w:val="24"/>
          <w:szCs w:val="24"/>
          <w:shd w:val="clear" w:color="auto" w:fill="FFFFFF"/>
        </w:rPr>
        <w:t>Evans</w:t>
      </w:r>
      <w:r w:rsidRPr="008C578A">
        <w:rPr>
          <w:rFonts w:ascii="Times New Roman" w:eastAsia="Calibri" w:hAnsi="Times New Roman" w:cs="Times New Roman"/>
          <w:sz w:val="24"/>
          <w:szCs w:val="24"/>
        </w:rPr>
        <w:t xml:space="preserve"> et al. (2018) posit, it is imperative for one to consider the conflict resolution methods and approaches such as dialogue, mediation and arbitration to resolve conflicts and feuds that could sabotage the implementation process of a health program. I needed to have consulted with my senior supervisors to accord me the needed support to resolve and fix strained relationships to encourage teamwork and participation. </w:t>
      </w:r>
    </w:p>
    <w:p w14:paraId="64FB8B26"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Actual involvement in activities and exercises of a project encourages others to participate and pledge their commitment and support, something that was lacking on my side. I chose to empower the community youth leaders to spear head the operations and activities in their respective teams instead of getting involved directly to serve as a role model for them. As </w:t>
      </w:r>
      <w:r w:rsidRPr="008C578A">
        <w:rPr>
          <w:rFonts w:ascii="Times New Roman" w:eastAsia="Calibri" w:hAnsi="Times New Roman" w:cs="Times New Roman"/>
          <w:color w:val="222222"/>
          <w:sz w:val="24"/>
          <w:szCs w:val="24"/>
          <w:shd w:val="clear" w:color="auto" w:fill="FFFFFF"/>
        </w:rPr>
        <w:t>Ramsbottom</w:t>
      </w:r>
      <w:r w:rsidRPr="008C578A">
        <w:rPr>
          <w:rFonts w:ascii="Times New Roman" w:eastAsia="Calibri" w:hAnsi="Times New Roman" w:cs="Times New Roman"/>
          <w:sz w:val="24"/>
          <w:szCs w:val="24"/>
        </w:rPr>
        <w:t xml:space="preserve"> et al. (2018) corroborate, one should not just tell the team what to do and expect them to do, but instead be at the forefront of doing what he or she wants to be done to encourage active participation. There is a need for one to focus on building and sustaining healthy relationships with community leaders, teams and their representatives to garner their support when implementing a healthy promotion program like the one for the prevention of breast cancer. </w:t>
      </w:r>
    </w:p>
    <w:p w14:paraId="21162FCF" w14:textId="77777777" w:rsidR="008C578A" w:rsidRPr="008C578A" w:rsidRDefault="008C578A" w:rsidP="008C578A">
      <w:pPr>
        <w:spacing w:after="200" w:line="480" w:lineRule="auto"/>
        <w:jc w:val="both"/>
        <w:rPr>
          <w:rFonts w:ascii="Bradley Hand ITC" w:eastAsia="Calibri" w:hAnsi="Bradley Hand ITC" w:cs="Times New Roman"/>
          <w:b/>
          <w:sz w:val="32"/>
          <w:szCs w:val="32"/>
          <w:u w:val="single"/>
        </w:rPr>
      </w:pPr>
      <w:r w:rsidRPr="008C578A">
        <w:rPr>
          <w:rFonts w:ascii="Bradley Hand ITC" w:eastAsia="Calibri" w:hAnsi="Bradley Hand ITC" w:cs="Times New Roman"/>
          <w:b/>
          <w:sz w:val="32"/>
          <w:szCs w:val="32"/>
          <w:u w:val="single"/>
        </w:rPr>
        <w:t xml:space="preserve">Conclusion </w:t>
      </w:r>
    </w:p>
    <w:p w14:paraId="6B34ED77"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My participation in the breast cancer project as a young investigator has opened me to learning opportunities that have helped me to appreciate what I was doing differently that contributed to my woes and failures to inform further improvement in the future. I have learned that one should involve himself or herself in project activities and not just communicate to others and expect them </w:t>
      </w:r>
      <w:r w:rsidRPr="008C578A">
        <w:rPr>
          <w:rFonts w:ascii="Times New Roman" w:eastAsia="Calibri" w:hAnsi="Times New Roman" w:cs="Times New Roman"/>
          <w:sz w:val="24"/>
          <w:szCs w:val="24"/>
        </w:rPr>
        <w:lastRenderedPageBreak/>
        <w:t xml:space="preserve">to do what one has asked them to do. I need to be a role model in everything I do to inspire my colleagues and teams to follow my footsteps. I have also come to appreciate the significance of identifying and partnering with valued and respected group of community leaders to win the support of the members of the community. It is crucial for one to work with like-minded individuals and incorporate their contributions in the project to win their support, as </w:t>
      </w:r>
      <w:r w:rsidRPr="008C578A">
        <w:rPr>
          <w:rFonts w:ascii="Times New Roman" w:eastAsia="Calibri" w:hAnsi="Times New Roman" w:cs="Times New Roman"/>
          <w:color w:val="222222"/>
          <w:sz w:val="24"/>
          <w:szCs w:val="24"/>
          <w:shd w:val="clear" w:color="auto" w:fill="FFFFFF"/>
        </w:rPr>
        <w:t>Adhikari</w:t>
      </w:r>
      <w:r w:rsidRPr="008C578A">
        <w:rPr>
          <w:rFonts w:ascii="Times New Roman" w:eastAsia="Calibri" w:hAnsi="Times New Roman" w:cs="Times New Roman"/>
          <w:sz w:val="24"/>
          <w:szCs w:val="24"/>
        </w:rPr>
        <w:t xml:space="preserve"> et al. (2017) opine. I have also learned that teams can make or break a project depending on how an individual manages them making it imperative for me to consider improving in the area to be successful in the future. </w:t>
      </w:r>
    </w:p>
    <w:p w14:paraId="6886E331" w14:textId="77777777" w:rsidR="008C578A" w:rsidRPr="008C578A" w:rsidRDefault="008C578A" w:rsidP="008C578A">
      <w:pPr>
        <w:spacing w:after="200" w:line="480" w:lineRule="auto"/>
        <w:jc w:val="both"/>
        <w:rPr>
          <w:rFonts w:ascii="Bradley Hand ITC" w:eastAsia="Calibri" w:hAnsi="Bradley Hand ITC" w:cs="Times New Roman"/>
          <w:b/>
          <w:sz w:val="28"/>
          <w:szCs w:val="28"/>
          <w:u w:val="single"/>
        </w:rPr>
      </w:pPr>
      <w:r w:rsidRPr="008C578A">
        <w:rPr>
          <w:rFonts w:ascii="Bradley Hand ITC" w:eastAsia="Calibri" w:hAnsi="Bradley Hand ITC" w:cs="Times New Roman"/>
          <w:b/>
          <w:sz w:val="28"/>
          <w:szCs w:val="28"/>
          <w:u w:val="single"/>
        </w:rPr>
        <w:t xml:space="preserve">Action Plan </w:t>
      </w:r>
    </w:p>
    <w:p w14:paraId="0423073F" w14:textId="0A37FD9C" w:rsidR="008C578A" w:rsidRPr="008C578A" w:rsidRDefault="008C578A" w:rsidP="00225596">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I am planning to engage in key activities, training and volunteering programs to enhance my knowledge, experience and skills that I have acquired from working in the community engagement program that aimed at preventing cancer. I am keen on valuing the contributions of the individual members of the community when implementing a community engagement program to offer them an opportunity to make their contributions for them to own the project. I am not just going to give orders and expect others to follow, but instead involve myself directly to serve as a role model for my followers and teams to join my efforts to implementing the intervention programs successfully. I am also planning to enroll for organizational change, conflict resolution and leadership short-term courses to enhance my knowledge and experience in working with teams to have a better and improved understanding on community engagement. I am also committed to engaging my audience and targeted community in every stage of project implementation instead of making decisions on what is best for them, but instead involves them in designing solutions for their problems because they understand themselves better than I do. </w:t>
      </w:r>
    </w:p>
    <w:p w14:paraId="4ED9BF3F" w14:textId="6E39178C" w:rsidR="008C578A" w:rsidRPr="008C578A" w:rsidRDefault="008C578A" w:rsidP="008C578A">
      <w:pPr>
        <w:spacing w:after="200" w:line="480" w:lineRule="auto"/>
        <w:rPr>
          <w:rFonts w:ascii="Bradley Hand ITC" w:eastAsia="Calibri" w:hAnsi="Bradley Hand ITC" w:cs="Times New Roman"/>
          <w:b/>
          <w:sz w:val="32"/>
          <w:szCs w:val="32"/>
          <w:u w:val="single"/>
        </w:rPr>
      </w:pPr>
      <w:r w:rsidRPr="008C578A">
        <w:rPr>
          <w:rFonts w:ascii="Bradley Hand ITC" w:eastAsia="Calibri" w:hAnsi="Bradley Hand ITC" w:cs="Times New Roman"/>
          <w:b/>
          <w:sz w:val="32"/>
          <w:szCs w:val="32"/>
          <w:u w:val="single"/>
        </w:rPr>
        <w:lastRenderedPageBreak/>
        <w:t>Conclusion</w:t>
      </w:r>
    </w:p>
    <w:p w14:paraId="128AB90B"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As illustrated in the discussion, reflection opens an individual to numerous opportunities to improve their skills, experience and knowledge in a given aspect as it is in my case and community engagement program for preventing cancer in the UK. The Gibb’s reflective model is an effective tool for reflection that can help one to analyze his or her experiences in six critical stages namely description of the experience, feelings, evaluation, analysis, conclusion and developing an action plan to inform a person’s actions should he or she face a similar or related situation like he or she encountered in the future. It is imperative to reflect on the six c critical aspects to evaluate one’s encounter and response to inform the necessary changes that should be embraced to improve on the identified areas and weaknesses.</w:t>
      </w:r>
    </w:p>
    <w:p w14:paraId="6EE996B6" w14:textId="77777777" w:rsidR="008C578A" w:rsidRPr="008C578A" w:rsidRDefault="008C578A" w:rsidP="008C578A">
      <w:pPr>
        <w:spacing w:after="200" w:line="480" w:lineRule="auto"/>
        <w:jc w:val="both"/>
        <w:rPr>
          <w:rFonts w:ascii="Times New Roman" w:eastAsia="Calibri" w:hAnsi="Times New Roman" w:cs="Times New Roman"/>
          <w:sz w:val="24"/>
          <w:szCs w:val="24"/>
        </w:rPr>
      </w:pPr>
      <w:r w:rsidRPr="008C578A">
        <w:rPr>
          <w:rFonts w:ascii="Times New Roman" w:eastAsia="Calibri" w:hAnsi="Times New Roman" w:cs="Times New Roman"/>
          <w:sz w:val="24"/>
          <w:szCs w:val="24"/>
        </w:rPr>
        <w:t xml:space="preserve">In conclusion, community engagement requires one to consider three critical aspects to be successful that I have learned from my participation in the cancer prevention program in the UK. First, it is vital to show the members of the community what the need to do while at the same time involving oneself in the activities and not just ordering them around and expecting them to act. Servant leadership is crucial to assist an individual to serve as a role model when supervising community engagement programs to encourage active participation by community members. Next, one should identify and work closely with valued and highly respected group leaders in community to garner their support and that of the members of the community. Finally, it is crucial to remember that peer to peer relationships are essential when working in community engagement programs to establish and sustain healthy relationships. </w:t>
      </w:r>
    </w:p>
    <w:p w14:paraId="1247BB68" w14:textId="77777777" w:rsidR="008C578A" w:rsidRPr="008C578A" w:rsidRDefault="008C578A" w:rsidP="008C578A">
      <w:pPr>
        <w:spacing w:after="200" w:line="480" w:lineRule="auto"/>
        <w:jc w:val="both"/>
        <w:rPr>
          <w:rFonts w:ascii="Times New Roman" w:eastAsia="Calibri" w:hAnsi="Times New Roman" w:cs="Times New Roman"/>
          <w:sz w:val="24"/>
          <w:szCs w:val="24"/>
        </w:rPr>
      </w:pPr>
    </w:p>
    <w:p w14:paraId="64ED3ED9" w14:textId="77777777" w:rsidR="008C578A" w:rsidRPr="008C578A" w:rsidRDefault="008C578A" w:rsidP="008C578A">
      <w:pPr>
        <w:spacing w:after="200" w:line="480" w:lineRule="auto"/>
        <w:jc w:val="both"/>
        <w:rPr>
          <w:rFonts w:ascii="Times New Roman" w:eastAsia="Calibri" w:hAnsi="Times New Roman" w:cs="Times New Roman"/>
          <w:sz w:val="24"/>
          <w:szCs w:val="24"/>
        </w:rPr>
      </w:pPr>
    </w:p>
    <w:p w14:paraId="6210D912" w14:textId="63B40283" w:rsidR="008C578A" w:rsidRPr="008C578A" w:rsidRDefault="008C578A" w:rsidP="008C578A">
      <w:pPr>
        <w:spacing w:after="200" w:line="480" w:lineRule="auto"/>
        <w:jc w:val="center"/>
        <w:rPr>
          <w:rFonts w:ascii="Bradley Hand ITC" w:eastAsia="Calibri" w:hAnsi="Bradley Hand ITC" w:cs="Times New Roman"/>
          <w:b/>
          <w:bCs/>
          <w:sz w:val="28"/>
          <w:szCs w:val="28"/>
          <w:u w:val="single"/>
        </w:rPr>
      </w:pPr>
      <w:r w:rsidRPr="008C578A">
        <w:rPr>
          <w:rFonts w:ascii="Bradley Hand ITC" w:eastAsia="Calibri" w:hAnsi="Bradley Hand ITC" w:cs="Times New Roman"/>
          <w:b/>
          <w:bCs/>
          <w:sz w:val="28"/>
          <w:szCs w:val="28"/>
          <w:u w:val="single"/>
        </w:rPr>
        <w:lastRenderedPageBreak/>
        <w:t>Reference List</w:t>
      </w:r>
    </w:p>
    <w:p w14:paraId="3B6476CF" w14:textId="77777777" w:rsidR="008C578A" w:rsidRPr="008C578A" w:rsidRDefault="008C578A" w:rsidP="008C578A">
      <w:pPr>
        <w:pStyle w:val="ListParagraph"/>
        <w:numPr>
          <w:ilvl w:val="0"/>
          <w:numId w:val="1"/>
        </w:numPr>
        <w:spacing w:after="200" w:line="480" w:lineRule="auto"/>
        <w:rPr>
          <w:rFonts w:ascii="Times New Roman" w:eastAsia="Calibri" w:hAnsi="Times New Roman" w:cs="Times New Roman"/>
          <w:color w:val="222222"/>
          <w:sz w:val="24"/>
          <w:szCs w:val="24"/>
          <w:shd w:val="clear" w:color="auto" w:fill="FFFFFF"/>
        </w:rPr>
      </w:pPr>
      <w:r w:rsidRPr="008C578A">
        <w:rPr>
          <w:rFonts w:ascii="Times New Roman" w:eastAsia="Calibri" w:hAnsi="Times New Roman" w:cs="Times New Roman"/>
          <w:color w:val="222222"/>
          <w:sz w:val="24"/>
          <w:szCs w:val="24"/>
          <w:shd w:val="clear" w:color="auto" w:fill="FFFFFF"/>
        </w:rPr>
        <w:t>Adhikari, B., Pell, C., Phommasone, K., Soundala, X., Kommarasy, P., Pongvongsa, T., Henriques, G., Day, N.P., Mayxay, M. and Cheah, P.Y., 2017. Elements of effective community engagement: lessons from a targeted malaria elimination study in Lao PDR (Laos). </w:t>
      </w:r>
      <w:r w:rsidRPr="008C578A">
        <w:rPr>
          <w:rFonts w:ascii="Times New Roman" w:eastAsia="Calibri" w:hAnsi="Times New Roman" w:cs="Times New Roman"/>
          <w:i/>
          <w:iCs/>
          <w:color w:val="222222"/>
          <w:sz w:val="24"/>
          <w:szCs w:val="24"/>
          <w:shd w:val="clear" w:color="auto" w:fill="FFFFFF"/>
        </w:rPr>
        <w:t>Global health action</w:t>
      </w:r>
      <w:r w:rsidRPr="008C578A">
        <w:rPr>
          <w:rFonts w:ascii="Times New Roman" w:eastAsia="Calibri" w:hAnsi="Times New Roman" w:cs="Times New Roman"/>
          <w:color w:val="222222"/>
          <w:sz w:val="24"/>
          <w:szCs w:val="24"/>
          <w:shd w:val="clear" w:color="auto" w:fill="FFFFFF"/>
        </w:rPr>
        <w:t>, </w:t>
      </w:r>
      <w:r w:rsidRPr="008C578A">
        <w:rPr>
          <w:rFonts w:ascii="Times New Roman" w:eastAsia="Calibri" w:hAnsi="Times New Roman" w:cs="Times New Roman"/>
          <w:i/>
          <w:iCs/>
          <w:color w:val="222222"/>
          <w:sz w:val="24"/>
          <w:szCs w:val="24"/>
          <w:shd w:val="clear" w:color="auto" w:fill="FFFFFF"/>
        </w:rPr>
        <w:t>10</w:t>
      </w:r>
      <w:r w:rsidRPr="008C578A">
        <w:rPr>
          <w:rFonts w:ascii="Times New Roman" w:eastAsia="Calibri" w:hAnsi="Times New Roman" w:cs="Times New Roman"/>
          <w:color w:val="222222"/>
          <w:sz w:val="24"/>
          <w:szCs w:val="24"/>
          <w:shd w:val="clear" w:color="auto" w:fill="FFFFFF"/>
        </w:rPr>
        <w:t>(1), p.1366136.</w:t>
      </w:r>
    </w:p>
    <w:p w14:paraId="182EB2ED" w14:textId="77777777" w:rsidR="008C578A" w:rsidRPr="008C578A" w:rsidRDefault="008C578A" w:rsidP="008C578A">
      <w:pPr>
        <w:pStyle w:val="ListParagraph"/>
        <w:numPr>
          <w:ilvl w:val="0"/>
          <w:numId w:val="1"/>
        </w:numPr>
        <w:spacing w:after="200" w:line="480" w:lineRule="auto"/>
        <w:rPr>
          <w:rFonts w:ascii="Times New Roman" w:eastAsia="Calibri" w:hAnsi="Times New Roman" w:cs="Times New Roman"/>
          <w:color w:val="222222"/>
          <w:sz w:val="24"/>
          <w:szCs w:val="24"/>
          <w:shd w:val="clear" w:color="auto" w:fill="FFFFFF"/>
        </w:rPr>
      </w:pPr>
      <w:r w:rsidRPr="008C578A">
        <w:rPr>
          <w:rFonts w:ascii="Times New Roman" w:eastAsia="Calibri" w:hAnsi="Times New Roman" w:cs="Times New Roman"/>
          <w:color w:val="222222"/>
          <w:sz w:val="24"/>
          <w:szCs w:val="24"/>
          <w:shd w:val="clear" w:color="auto" w:fill="FFFFFF"/>
        </w:rPr>
        <w:t>Biddison, E.L.D., Gwon, H.S., Schoch-Spana, M., Regenberg, A.C., Juliano, C., Faden, R.R. and Toner, E.S., 2018. Scarce resource allocation during disasters: a mixed-method community engagement study. </w:t>
      </w:r>
      <w:r w:rsidRPr="008C578A">
        <w:rPr>
          <w:rFonts w:ascii="Times New Roman" w:eastAsia="Calibri" w:hAnsi="Times New Roman" w:cs="Times New Roman"/>
          <w:i/>
          <w:iCs/>
          <w:color w:val="222222"/>
          <w:sz w:val="24"/>
          <w:szCs w:val="24"/>
          <w:shd w:val="clear" w:color="auto" w:fill="FFFFFF"/>
        </w:rPr>
        <w:t>Chest</w:t>
      </w:r>
      <w:r w:rsidRPr="008C578A">
        <w:rPr>
          <w:rFonts w:ascii="Times New Roman" w:eastAsia="Calibri" w:hAnsi="Times New Roman" w:cs="Times New Roman"/>
          <w:color w:val="222222"/>
          <w:sz w:val="24"/>
          <w:szCs w:val="24"/>
          <w:shd w:val="clear" w:color="auto" w:fill="FFFFFF"/>
        </w:rPr>
        <w:t>, </w:t>
      </w:r>
      <w:r w:rsidRPr="008C578A">
        <w:rPr>
          <w:rFonts w:ascii="Times New Roman" w:eastAsia="Calibri" w:hAnsi="Times New Roman" w:cs="Times New Roman"/>
          <w:i/>
          <w:iCs/>
          <w:color w:val="222222"/>
          <w:sz w:val="24"/>
          <w:szCs w:val="24"/>
          <w:shd w:val="clear" w:color="auto" w:fill="FFFFFF"/>
        </w:rPr>
        <w:t>153</w:t>
      </w:r>
      <w:r w:rsidRPr="008C578A">
        <w:rPr>
          <w:rFonts w:ascii="Times New Roman" w:eastAsia="Calibri" w:hAnsi="Times New Roman" w:cs="Times New Roman"/>
          <w:color w:val="222222"/>
          <w:sz w:val="24"/>
          <w:szCs w:val="24"/>
          <w:shd w:val="clear" w:color="auto" w:fill="FFFFFF"/>
        </w:rPr>
        <w:t>(1), pp.187-195.</w:t>
      </w:r>
    </w:p>
    <w:p w14:paraId="5292EBC3" w14:textId="77777777" w:rsidR="008C578A" w:rsidRPr="008C578A" w:rsidRDefault="008C578A" w:rsidP="008C578A">
      <w:pPr>
        <w:pStyle w:val="ListParagraph"/>
        <w:numPr>
          <w:ilvl w:val="0"/>
          <w:numId w:val="1"/>
        </w:numPr>
        <w:spacing w:after="200" w:line="480" w:lineRule="auto"/>
        <w:rPr>
          <w:rFonts w:ascii="Times New Roman" w:eastAsia="Calibri" w:hAnsi="Times New Roman" w:cs="Times New Roman"/>
          <w:color w:val="222222"/>
          <w:sz w:val="24"/>
          <w:szCs w:val="24"/>
          <w:shd w:val="clear" w:color="auto" w:fill="FFFFFF"/>
        </w:rPr>
      </w:pPr>
      <w:r w:rsidRPr="008C578A">
        <w:rPr>
          <w:rFonts w:ascii="Times New Roman" w:eastAsia="Calibri" w:hAnsi="Times New Roman" w:cs="Times New Roman"/>
          <w:color w:val="222222"/>
          <w:sz w:val="24"/>
          <w:szCs w:val="24"/>
          <w:shd w:val="clear" w:color="auto" w:fill="FFFFFF"/>
        </w:rPr>
        <w:t>Evans, E., Funes, M., Hong, H., Reuter, K., Ahmed, S., Calhoun, K., Corbie-Smith, G., Dave, G., DeFino, M., Harwood, E. and Kissack, A., 2018. Defining and measuring community engagement and community-engaged research: Clinical and translational science institutional practices. </w:t>
      </w:r>
      <w:r w:rsidRPr="008C578A">
        <w:rPr>
          <w:rFonts w:ascii="Times New Roman" w:eastAsia="Calibri" w:hAnsi="Times New Roman" w:cs="Times New Roman"/>
          <w:i/>
          <w:iCs/>
          <w:color w:val="222222"/>
          <w:sz w:val="24"/>
          <w:szCs w:val="24"/>
          <w:shd w:val="clear" w:color="auto" w:fill="FFFFFF"/>
        </w:rPr>
        <w:t>Progress in community health partnerships: research, education, and action</w:t>
      </w:r>
      <w:r w:rsidRPr="008C578A">
        <w:rPr>
          <w:rFonts w:ascii="Times New Roman" w:eastAsia="Calibri" w:hAnsi="Times New Roman" w:cs="Times New Roman"/>
          <w:color w:val="222222"/>
          <w:sz w:val="24"/>
          <w:szCs w:val="24"/>
          <w:shd w:val="clear" w:color="auto" w:fill="FFFFFF"/>
        </w:rPr>
        <w:t>, </w:t>
      </w:r>
      <w:r w:rsidRPr="008C578A">
        <w:rPr>
          <w:rFonts w:ascii="Times New Roman" w:eastAsia="Calibri" w:hAnsi="Times New Roman" w:cs="Times New Roman"/>
          <w:i/>
          <w:iCs/>
          <w:color w:val="222222"/>
          <w:sz w:val="24"/>
          <w:szCs w:val="24"/>
          <w:shd w:val="clear" w:color="auto" w:fill="FFFFFF"/>
        </w:rPr>
        <w:t>12</w:t>
      </w:r>
      <w:r w:rsidRPr="008C578A">
        <w:rPr>
          <w:rFonts w:ascii="Times New Roman" w:eastAsia="Calibri" w:hAnsi="Times New Roman" w:cs="Times New Roman"/>
          <w:color w:val="222222"/>
          <w:sz w:val="24"/>
          <w:szCs w:val="24"/>
          <w:shd w:val="clear" w:color="auto" w:fill="FFFFFF"/>
        </w:rPr>
        <w:t>(2), pp.145-156.</w:t>
      </w:r>
    </w:p>
    <w:p w14:paraId="696B847C" w14:textId="77777777" w:rsidR="008C578A" w:rsidRPr="008C578A" w:rsidRDefault="008C578A" w:rsidP="008C578A">
      <w:pPr>
        <w:pStyle w:val="ListParagraph"/>
        <w:numPr>
          <w:ilvl w:val="0"/>
          <w:numId w:val="1"/>
        </w:numPr>
        <w:spacing w:after="200" w:line="480" w:lineRule="auto"/>
        <w:rPr>
          <w:rFonts w:ascii="Times New Roman" w:eastAsia="Calibri" w:hAnsi="Times New Roman" w:cs="Times New Roman"/>
          <w:color w:val="222222"/>
          <w:sz w:val="24"/>
          <w:szCs w:val="24"/>
          <w:shd w:val="clear" w:color="auto" w:fill="FFFFFF"/>
        </w:rPr>
      </w:pPr>
      <w:r w:rsidRPr="008C578A">
        <w:rPr>
          <w:rFonts w:ascii="Times New Roman" w:eastAsia="Calibri" w:hAnsi="Times New Roman" w:cs="Times New Roman"/>
          <w:color w:val="222222"/>
          <w:sz w:val="24"/>
          <w:szCs w:val="24"/>
          <w:shd w:val="clear" w:color="auto" w:fill="FFFFFF"/>
        </w:rPr>
        <w:t>Ramsbottom, A., O’Brien, E., Ciotti, L. and Takacs, J., 2018. Enablers and barriers to community engagement in public health emergency preparedness: a literature review. </w:t>
      </w:r>
      <w:r w:rsidRPr="008C578A">
        <w:rPr>
          <w:rFonts w:ascii="Times New Roman" w:eastAsia="Calibri" w:hAnsi="Times New Roman" w:cs="Times New Roman"/>
          <w:i/>
          <w:iCs/>
          <w:color w:val="222222"/>
          <w:sz w:val="24"/>
          <w:szCs w:val="24"/>
          <w:shd w:val="clear" w:color="auto" w:fill="FFFFFF"/>
        </w:rPr>
        <w:t>Journal of community health</w:t>
      </w:r>
      <w:r w:rsidRPr="008C578A">
        <w:rPr>
          <w:rFonts w:ascii="Times New Roman" w:eastAsia="Calibri" w:hAnsi="Times New Roman" w:cs="Times New Roman"/>
          <w:color w:val="222222"/>
          <w:sz w:val="24"/>
          <w:szCs w:val="24"/>
          <w:shd w:val="clear" w:color="auto" w:fill="FFFFFF"/>
        </w:rPr>
        <w:t>, </w:t>
      </w:r>
      <w:r w:rsidRPr="008C578A">
        <w:rPr>
          <w:rFonts w:ascii="Times New Roman" w:eastAsia="Calibri" w:hAnsi="Times New Roman" w:cs="Times New Roman"/>
          <w:i/>
          <w:iCs/>
          <w:color w:val="222222"/>
          <w:sz w:val="24"/>
          <w:szCs w:val="24"/>
          <w:shd w:val="clear" w:color="auto" w:fill="FFFFFF"/>
        </w:rPr>
        <w:t>43</w:t>
      </w:r>
      <w:r w:rsidRPr="008C578A">
        <w:rPr>
          <w:rFonts w:ascii="Times New Roman" w:eastAsia="Calibri" w:hAnsi="Times New Roman" w:cs="Times New Roman"/>
          <w:color w:val="222222"/>
          <w:sz w:val="24"/>
          <w:szCs w:val="24"/>
          <w:shd w:val="clear" w:color="auto" w:fill="FFFFFF"/>
        </w:rPr>
        <w:t>(2), pp.412-420.</w:t>
      </w:r>
    </w:p>
    <w:p w14:paraId="5CC6716C" w14:textId="77777777" w:rsidR="008C578A" w:rsidRPr="008C578A" w:rsidRDefault="008C578A" w:rsidP="008C578A">
      <w:pPr>
        <w:pStyle w:val="ListParagraph"/>
        <w:numPr>
          <w:ilvl w:val="0"/>
          <w:numId w:val="1"/>
        </w:numPr>
        <w:spacing w:after="200" w:line="480" w:lineRule="auto"/>
        <w:rPr>
          <w:rFonts w:ascii="Times New Roman" w:eastAsia="Calibri" w:hAnsi="Times New Roman" w:cs="Times New Roman"/>
          <w:color w:val="222222"/>
          <w:sz w:val="24"/>
          <w:szCs w:val="24"/>
          <w:shd w:val="clear" w:color="auto" w:fill="FFFFFF"/>
        </w:rPr>
      </w:pPr>
      <w:r w:rsidRPr="008C578A">
        <w:rPr>
          <w:rFonts w:ascii="Times New Roman" w:eastAsia="Calibri" w:hAnsi="Times New Roman" w:cs="Times New Roman"/>
          <w:color w:val="222222"/>
          <w:sz w:val="24"/>
          <w:szCs w:val="24"/>
          <w:shd w:val="clear" w:color="auto" w:fill="FFFFFF"/>
        </w:rPr>
        <w:t>Rowe, A.D. and Zegwaard, K.E., 2017. Developing graduate employability skills and attributes: Curriculum enhancement through work-integrated learning.</w:t>
      </w:r>
    </w:p>
    <w:p w14:paraId="43FA170C" w14:textId="77777777" w:rsidR="008C578A" w:rsidRPr="008C578A" w:rsidRDefault="008C578A" w:rsidP="008C578A">
      <w:pPr>
        <w:spacing w:after="200" w:line="480" w:lineRule="auto"/>
        <w:jc w:val="both"/>
        <w:rPr>
          <w:rFonts w:ascii="Times New Roman" w:eastAsia="Calibri" w:hAnsi="Times New Roman" w:cs="Times New Roman"/>
          <w:sz w:val="24"/>
          <w:szCs w:val="24"/>
        </w:rPr>
      </w:pPr>
    </w:p>
    <w:p w14:paraId="01142938" w14:textId="77777777" w:rsidR="009B6DC2" w:rsidRDefault="009B6DC2"/>
    <w:sectPr w:rsidR="009B6D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Bradley Hand ITC">
    <w:panose1 w:val="03070402050302030203"/>
    <w:charset w:val="00"/>
    <w:family w:val="script"/>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F63B7D"/>
    <w:multiLevelType w:val="hybridMultilevel"/>
    <w:tmpl w:val="6CAC8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264"/>
    <w:rsid w:val="00225596"/>
    <w:rsid w:val="007C6264"/>
    <w:rsid w:val="008C578A"/>
    <w:rsid w:val="009B6D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09229"/>
  <w15:chartTrackingRefBased/>
  <w15:docId w15:val="{C4C4F660-EDFF-490C-918C-7FEBA74E7F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57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424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2158</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2</cp:revision>
  <dcterms:created xsi:type="dcterms:W3CDTF">2021-05-09T21:58:00Z</dcterms:created>
  <dcterms:modified xsi:type="dcterms:W3CDTF">2021-05-09T22:15:00Z</dcterms:modified>
</cp:coreProperties>
</file>