
<file path=[Content_Types].xml><?xml version="1.0" encoding="utf-8"?>
<Types xmlns="http://schemas.openxmlformats.org/package/2006/content-types">
  <Default ContentType="image/png" Extension="png"/>
  <Default ContentType="image/jpeg" Extension="jpeg"/>
  <Default ContentType="image/jpeg" Extension="jpg"/>
  <Default ContentType="image/bmp" Extension="bmp"/>
  <Default ContentType="image/gif" Extension="gif"/>
  <Default ContentType="image/svg+xml" Extension="svg"/>
  <Default ContentType="application/vnd.openxmlformats-package.relationships+xml" Extension="rels"/>
  <Default ContentType="application/xml" Extension="xml"/>
  <Default ContentType="application/vnd.openxmlformats-officedocument.obfuscatedFont" Extension="odttf"/>
  <Override ContentType="application/vnd.openxmlformats-officedocument.wordprocessingml.document.main+xml" PartName="/word/document.xml"/>
  <Override ContentType="application/vnd.openxmlformats-officedocument.wordprocessingml.styles+xml" PartName="/word/styles.xml"/>
  <Override ContentType="application/vnd.openxmlformats-package.core-properties+xml" PartName="/docProps/core.xml"/>
  <Override ContentType="application/vnd.openxmlformats-officedocument.custom-properties+xml" PartName="/docProps/custom.xml"/>
  <Override ContentType="application/vnd.openxmlformats-officedocument.extended-properties+xml" PartName="/docProps/app.xml"/>
  <Override ContentType="application/vnd.openxmlformats-officedocument.wordprocessingml.numbering+xml" PartName="/word/numbering.xml"/>
  <Override ContentType="application/vnd.openxmlformats-officedocument.wordprocessingml.footnotes+xml" PartName="/word/footnotes.xml"/>
  <Override ContentType="application/vnd.openxmlformats-officedocument.wordprocessingml.endnotes+xml" PartName="/word/endnotes.xml"/>
  <Override ContentType="application/vnd.openxmlformats-officedocument.wordprocessingml.settings+xml" PartName="/word/settings.xml"/>
  <Override ContentType="application/vnd.openxmlformats-officedocument.wordprocessingml.comments+xml" PartName="/word/comments.xml"/>
  <Override ContentType="application/vnd.openxmlformats-officedocument.wordprocessingml.fontTable+xml" PartName="/word/fontTable.xml"/>
</Types>
</file>

<file path=_rels/.rels><?xml version="1.0" encoding="UTF-8"?><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p14">
  <w:body>
    <w:p>
      <w:pPr>
        <w:spacing w:after="60"/>
      </w:pPr>
      <w:r>
        <w:rPr>
          <w:b/>
          <w:bCs/>
          <w:color w:val="1F3864"/>
          <w:sz w:val="44"/>
          <w:szCs w:val="44"/>
        </w:rPr>
        <w:t xml:space="preserve">Strategic Management Workshop</w:t>
      </w:r>
    </w:p>
    <w:p>
      <w:pPr>
        <w:spacing w:after="300"/>
      </w:pPr>
      <w:r>
        <w:rPr>
          <w:b/>
          <w:bCs/>
          <w:color w:val="2E74B5"/>
          <w:sz w:val="30"/>
          <w:szCs w:val="30"/>
        </w:rPr>
        <w:t xml:space="preserve">Case Study: The Fall of BlackBerry (Strategy, Environment and Stakeholders)</w:t>
      </w:r>
    </w:p>
    <w:tbl>
      <w:tblPr>
        <w:tblW w:type="dxa" w:w="9350"/>
        <w:tblBorders>
          <w:top w:val="single" w:color="auto" w:sz="4"/>
          <w:left w:val="single" w:color="auto" w:sz="4"/>
          <w:bottom w:val="single" w:color="auto" w:sz="4"/>
          <w:right w:val="single" w:color="auto" w:sz="4"/>
          <w:insideH w:val="single" w:color="auto" w:sz="4"/>
          <w:insideV w:val="single" w:color="auto" w:sz="4"/>
        </w:tblBorders>
      </w:tblPr>
      <w:tblGrid>
        <w:gridCol w:w="2500"/>
        <w:gridCol w:w="6850"/>
      </w:tblGrid>
      <w:tr>
        <w:tc>
          <w:tcPr>
            <w:tcW w:type="dxa" w:w="2500"/>
            <w:shd w:fill="F2F2F2" w:color="auto" w:val="clear"/>
            <w:tcMar>
              <w:top w:type="dxa" w:w="80"/>
              <w:left w:type="dxa" w:w="100"/>
              <w:bottom w:type="dxa" w:w="80"/>
              <w:right w:type="dxa" w:w="100"/>
            </w:tcMar>
          </w:tcPr>
          <w:p>
            <w:r>
              <w:rPr>
                <w:b/>
                <w:bCs/>
                <w:sz w:val="20"/>
                <w:szCs w:val="20"/>
              </w:rPr>
              <w:t xml:space="preserve">Module type</w:t>
            </w:r>
          </w:p>
        </w:tc>
        <w:tc>
          <w:tcPr>
            <w:tcW w:type="dxa" w:w="6850"/>
            <w:tcMar>
              <w:top w:type="dxa" w:w="80"/>
              <w:left w:type="dxa" w:w="100"/>
              <w:bottom w:type="dxa" w:w="80"/>
              <w:right w:type="dxa" w:w="100"/>
            </w:tcMar>
          </w:tcPr>
          <w:p>
            <w:r>
              <w:rPr>
                <w:b w:val="false"/>
                <w:bCs w:val="false"/>
                <w:sz w:val="20"/>
                <w:szCs w:val="20"/>
              </w:rPr>
              <w:t xml:space="preserve">Strategic Management / Business Strategy: in-class team workshop</w:t>
            </w:r>
          </w:p>
        </w:tc>
      </w:tr>
      <w:tr>
        <w:tc>
          <w:tcPr>
            <w:tcW w:type="dxa" w:w="2500"/>
            <w:shd w:fill="F2F2F2" w:color="auto" w:val="clear"/>
            <w:tcMar>
              <w:top w:type="dxa" w:w="80"/>
              <w:left w:type="dxa" w:w="100"/>
              <w:bottom w:type="dxa" w:w="80"/>
              <w:right w:type="dxa" w:w="100"/>
            </w:tcMar>
          </w:tcPr>
          <w:p>
            <w:r>
              <w:rPr>
                <w:b/>
                <w:bCs/>
                <w:sz w:val="20"/>
                <w:szCs w:val="20"/>
              </w:rPr>
              <w:t xml:space="preserve">Format</w:t>
            </w:r>
          </w:p>
        </w:tc>
        <w:tc>
          <w:tcPr>
            <w:tcW w:type="dxa" w:w="6850"/>
            <w:tcMar>
              <w:top w:type="dxa" w:w="80"/>
              <w:left w:type="dxa" w:w="100"/>
              <w:bottom w:type="dxa" w:w="80"/>
              <w:right w:type="dxa" w:w="100"/>
            </w:tcMar>
          </w:tcPr>
          <w:p>
            <w:r>
              <w:rPr>
                <w:b w:val="false"/>
                <w:bCs w:val="false"/>
                <w:sz w:val="20"/>
                <w:szCs w:val="20"/>
              </w:rPr>
              <w:t xml:space="preserve">Team-based case analysis: 60 minutes preparation, followed by team presentations</w:t>
            </w:r>
          </w:p>
        </w:tc>
      </w:tr>
      <w:tr>
        <w:tc>
          <w:tcPr>
            <w:tcW w:type="dxa" w:w="2500"/>
            <w:shd w:fill="F2F2F2" w:color="auto" w:val="clear"/>
            <w:tcMar>
              <w:top w:type="dxa" w:w="80"/>
              <w:left w:type="dxa" w:w="100"/>
              <w:bottom w:type="dxa" w:w="80"/>
              <w:right w:type="dxa" w:w="100"/>
            </w:tcMar>
          </w:tcPr>
          <w:p>
            <w:r>
              <w:rPr>
                <w:b/>
                <w:bCs/>
                <w:sz w:val="20"/>
                <w:szCs w:val="20"/>
              </w:rPr>
              <w:t xml:space="preserve">Group size</w:t>
            </w:r>
          </w:p>
        </w:tc>
        <w:tc>
          <w:tcPr>
            <w:tcW w:type="dxa" w:w="6850"/>
            <w:tcMar>
              <w:top w:type="dxa" w:w="80"/>
              <w:left w:type="dxa" w:w="100"/>
              <w:bottom w:type="dxa" w:w="80"/>
              <w:right w:type="dxa" w:w="100"/>
            </w:tcMar>
          </w:tcPr>
          <w:p>
            <w:r>
              <w:rPr>
                <w:b w:val="false"/>
                <w:bCs w:val="false"/>
                <w:sz w:val="20"/>
                <w:szCs w:val="20"/>
              </w:rPr>
              <w:t xml:space="preserve">4–5 students per team</w:t>
            </w:r>
          </w:p>
        </w:tc>
      </w:tr>
      <w:tr>
        <w:tc>
          <w:tcPr>
            <w:tcW w:type="dxa" w:w="2500"/>
            <w:shd w:fill="F2F2F2" w:color="auto" w:val="clear"/>
            <w:tcMar>
              <w:top w:type="dxa" w:w="80"/>
              <w:left w:type="dxa" w:w="100"/>
              <w:bottom w:type="dxa" w:w="80"/>
              <w:right w:type="dxa" w:w="100"/>
            </w:tcMar>
          </w:tcPr>
          <w:p>
            <w:r>
              <w:rPr>
                <w:b/>
                <w:bCs/>
                <w:sz w:val="20"/>
                <w:szCs w:val="20"/>
              </w:rPr>
              <w:t xml:space="preserve">Presentation</w:t>
            </w:r>
          </w:p>
        </w:tc>
        <w:tc>
          <w:tcPr>
            <w:tcW w:type="dxa" w:w="6850"/>
            <w:tcMar>
              <w:top w:type="dxa" w:w="80"/>
              <w:left w:type="dxa" w:w="100"/>
              <w:bottom w:type="dxa" w:w="80"/>
              <w:right w:type="dxa" w:w="100"/>
            </w:tcMar>
          </w:tcPr>
          <w:p>
            <w:r>
              <w:rPr>
                <w:b w:val="false"/>
                <w:bCs w:val="false"/>
                <w:sz w:val="20"/>
                <w:szCs w:val="20"/>
              </w:rPr>
              <w:t xml:space="preserve">5–7 minutes per team, followed by 2–3 minutes of questions from the floor</w:t>
            </w:r>
          </w:p>
        </w:tc>
      </w:tr>
      <w:tr>
        <w:tc>
          <w:tcPr>
            <w:tcW w:type="dxa" w:w="2500"/>
            <w:shd w:fill="F2F2F2" w:color="auto" w:val="clear"/>
            <w:tcMar>
              <w:top w:type="dxa" w:w="80"/>
              <w:left w:type="dxa" w:w="100"/>
              <w:bottom w:type="dxa" w:w="80"/>
              <w:right w:type="dxa" w:w="100"/>
            </w:tcMar>
          </w:tcPr>
          <w:p>
            <w:r>
              <w:rPr>
                <w:b/>
                <w:bCs/>
                <w:sz w:val="20"/>
                <w:szCs w:val="20"/>
              </w:rPr>
              <w:t xml:space="preserve">Deliverable</w:t>
            </w:r>
          </w:p>
        </w:tc>
        <w:tc>
          <w:tcPr>
            <w:tcW w:type="dxa" w:w="6850"/>
            <w:tcMar>
              <w:top w:type="dxa" w:w="80"/>
              <w:left w:type="dxa" w:w="100"/>
              <w:bottom w:type="dxa" w:w="80"/>
              <w:right w:type="dxa" w:w="100"/>
            </w:tcMar>
          </w:tcPr>
          <w:p>
            <w:r>
              <w:rPr>
                <w:b w:val="false"/>
                <w:bCs w:val="false"/>
                <w:sz w:val="20"/>
                <w:szCs w:val="20"/>
              </w:rPr>
              <w:t xml:space="preserve">One flip-chart page or slide summarising the team's position on each of the three tasks, presented live (no pre-written scripts)</w:t>
            </w:r>
          </w:p>
        </w:tc>
      </w:tr>
    </w:tbl>
    <w:p>
      <w:pPr>
        <w:pStyle w:val="Heading1"/>
        <w:spacing w:after="150" w:before="300"/>
      </w:pPr>
      <w:r>
        <w:t xml:space="preserve">Workshop Instructions</w:t>
      </w:r>
    </w:p>
    <w:p>
      <w:pPr>
        <w:spacing w:after="120"/>
      </w:pPr>
      <w:r>
        <w:t xml:space="preserve">Read the case narrative below as a team (10 minutes). You then have 60 minutes to work through the three tasks and prepare a short presentation of your team's recommended position. Every team will present; the class will vote on which team's diagnosis and recommendation is the most convincing, and why.</w:t>
      </w:r>
    </w:p>
    <w:p>
      <w:pPr>
        <w:spacing w:after="120"/>
      </w:pPr>
      <w:r>
        <w:t xml:space="preserve">You do not need to research beyond the case brief and your own strategic management toolkit: the exercise tests application of frameworks, not memorisation of BlackBerry's history. Where you are unsure of a fact, state your assumption clearly and reason from it.</w:t>
      </w:r>
    </w:p>
    <w:p>
      <w:pPr>
        <w:spacing w:after="80"/>
      </w:pPr>
      <w:r>
        <w:rPr>
          <w:i/>
          <w:iCs/>
        </w:rPr>
        <w:t xml:space="preserve">Suggested time allocation (60 minutes):</w:t>
      </w:r>
    </w:p>
    <w:p>
      <w:pPr>
        <w:pStyle w:val="ListParagraph"/>
        <w:numPr>
          <w:ilvl w:val="0"/>
          <w:numId w:val="2"/>
        </w:numPr>
        <w:spacing w:after="80"/>
      </w:pPr>
      <w:r>
        <w:t xml:space="preserve">0–10 min: Read the case, agree roles within the team</w:t>
      </w:r>
    </w:p>
    <w:p>
      <w:pPr>
        <w:pStyle w:val="ListParagraph"/>
        <w:numPr>
          <w:ilvl w:val="0"/>
          <w:numId w:val="2"/>
        </w:numPr>
        <w:spacing w:after="80"/>
      </w:pPr>
      <w:r>
        <w:t xml:space="preserve">10–25 min: Task 1, Company environment analysis</w:t>
      </w:r>
    </w:p>
    <w:p>
      <w:pPr>
        <w:pStyle w:val="ListParagraph"/>
        <w:numPr>
          <w:ilvl w:val="0"/>
          <w:numId w:val="2"/>
        </w:numPr>
        <w:spacing w:after="80"/>
      </w:pPr>
      <w:r>
        <w:t xml:space="preserve">25–40 min: Task 2, Growth and competitive strategy: what should have been done differently</w:t>
      </w:r>
    </w:p>
    <w:p>
      <w:pPr>
        <w:pStyle w:val="ListParagraph"/>
        <w:numPr>
          <w:ilvl w:val="0"/>
          <w:numId w:val="2"/>
        </w:numPr>
        <w:spacing w:after="80"/>
      </w:pPr>
      <w:r>
        <w:t xml:space="preserve">40–50 min: Task 3, Stakeholder analysis</w:t>
      </w:r>
    </w:p>
    <w:p>
      <w:pPr>
        <w:pStyle w:val="ListParagraph"/>
        <w:numPr>
          <w:ilvl w:val="0"/>
          <w:numId w:val="2"/>
        </w:numPr>
        <w:spacing w:after="80"/>
      </w:pPr>
      <w:r>
        <w:t xml:space="preserve">50–60 min: Agree your headline recommendation and prepare the presentation page</w:t>
      </w:r>
    </w:p>
    <w:p>
      <w:pPr>
        <w:pStyle w:val="Heading1"/>
        <w:spacing w:after="150" w:before="300"/>
      </w:pPr>
      <w:r>
        <w:t xml:space="preserve">Case Narrative: BlackBerry (Research In Motion)</w:t>
      </w:r>
    </w:p>
    <w:p>
      <w:pPr>
        <w:spacing w:after="120"/>
      </w:pPr>
      <w:r>
        <w:t xml:space="preserve">Waterloo, Ontario, 1984. A 23-year-old engineering student named Mike Lazaridis leaves the University of Waterloo a few credits short of his degree to start a company with a classmate. There is no product yet, no market, barely a plan, just a hunch that wireless data, not wireless voice, is where the future of communication is heading. He calls the company Research In Motion. For its first fifteen years, RIM is nobody's idea of a rising star: a quiet contract-engineering shop building pagers and modems for other people's brands, the kind of business that shows up in nobody's headlines.</w:t>
      </w:r>
    </w:p>
    <w:p>
      <w:pPr>
        <w:spacing w:after="120"/>
      </w:pPr>
      <w:r>
        <w:t xml:space="preserve">Then, in 1999, RIM ships something strange. It is called the BlackBerry 850, pager-sized, with a keyboard so small it looks almost like a joke. But it does one thing that nothing else on the market can do: the moment an email lands in your office inbox, it is already buzzing in your pocket. No dial-up, no syncing, no waiting. To a generation of executives and lawyers who have never known their inbox to travel with them, this feels less like a gadget and less like an incremental improvement, and more like a small kind of magic. A nickname appears almost immediately and refuses to go away for a decade: the CrackBerry. People check it at dinner. They check it in bed. Jim Balsillie, who joined as co-CEO back in 1992, watches the reaction and builds an entire commercial strategy around it, not just selling handsets, but selling IT departments a way to control every device centrally: encrypt it, track it, wipe it in seconds if it is ever lost. To a bank's compliance officer, that single feature is not a nice extra. It is the whole reason to say yes.</w:t>
      </w:r>
    </w:p>
    <w:p>
      <w:pPr>
        <w:spacing w:after="120"/>
      </w:pPr>
      <w:r>
        <w:t xml:space="preserve">Through the early 2000s, something close to a fortress grows up around this idea. Once a company installs BlackBerry's enterprise servers and trains its staff on the keyboard, walking away is expensive and risky, and for years, there is nowhere better to walk to anyway. New hires simply inherit whatever device their employer already runs. BlackBerry becomes the invisible default across finance, law, healthcare, government: the kind of default so deeply embedded that it barely needs a sales pitch anymore. In 2005, RIM adds a feature that will matter more than almost anyone at the company initially realises: BlackBerry Messenger, a free instant-messaging service that works the second two BlackBerry owners exchange a PIN. Suddenly teenagers are begging their parents for a BlackBerry, not for the email, but for BBM. The unglamorous business device has, almost by accident, become genuinely cool. By 2007, RIM is one of the most admired growth stories in technology: profitable, expanding fast, trusted by exactly the people who matter most, and, to almost everyone watching from the outside, unassailable.</w:t>
      </w:r>
    </w:p>
    <w:p>
      <w:pPr>
        <w:spacing w:after="120"/>
      </w:pPr>
      <w:r>
        <w:t xml:space="preserve">On a stage in San Francisco in January of that year, Steve Jobs holds up a black rectangle of glass and calls it a phone, an iPod, and an internet communicator, all in one device, all without a single physical button beneath the screen. Word travels back to Waterloo quickly. Inside RIM's offices, the reaction is not alarm. It is something closer to reassurance. The new device has no keyboard, a design choice RIM's own engineers regard as a serious flaw for anyone who genuinely needs to write email at speed, all day, every day. Early battery life is unremarkable. And it has none of the plumbing that RIM considers non-negotiable for a serious business tool: no enterprise-grade encryption, no central IT control, no way for a company's own security team to manage it. For the next two years, RIM does more of what has always worked. The keyboard gets sharper. The battery lasts longer. The enterprise integration goes deeper still. Somewhere in another building, in Cupertino and later in Mountain View, a different kind of company is opening the door to a different kind of future, and almost no one in Waterloo is yet watching that door.</w:t>
      </w:r>
    </w:p>
    <w:p>
      <w:pPr>
        <w:spacing w:after="120"/>
      </w:pPr>
      <w:r>
        <w:t xml:space="preserve">The door turns out to be everything. In 2008, Apple opens the App Store, and almost overnight a phone stops being a communications device and becomes something closer to a small, personal marketplace: a platform that a hundred thousand outside developers are suddenly building on, for reasons that have nothing to do with corporate email. Google's Android spreads the same idea across a growing swarm of other manufacturers' hardware. RIM's own answer arrives late in 2008: the BlackBerry Storm, its first serious touchscreen device, rushed to market and, by widespread account, laggy and unreliable straight out of the box. The device built to prove RIM can meet Apple on its own turf ends up proving almost the opposite. Three years later, in 2011, RIM tries again with a tablet called the PlayBook. It launches, remarkably, without a built-in email or calendar app, a strange gap for a company whose entire identity was forged on exactly that function. Behind closed doors, the unusual two-man leadership structure that once looked like a strength starts to creak under the weight of decisions that now need to be made in weeks, not years; a stock-option controversy dating back to 2007 to 2009 eats up management's time and investors' trust at precisely the moment speed matters most.</w:t>
      </w:r>
    </w:p>
    <w:p>
      <w:pPr>
        <w:spacing w:after="120"/>
      </w:pPr>
      <w:r>
        <w:t xml:space="preserve">And all the while, somewhere quieter than any product launch, the ground itself is shifting. Employees start bringing their own iPhones and Android devices into the office, not because a memo told them to, but because they simply prefer them, and IT departments, worn down by the request, begin rewriting their security policies to accommodate those personal devices rather than insisting on company-issued BlackBerry hardware. The trend gets a name: Bring Your Own Device. It means that the very decision RIM spent a decade winning, what device a company issues its people, is quietly slipping out of IT's hands and into each employee's pocket instead. RIM's answer, a completely rebuilt operating system called BlackBerry 10, does not ship until January 2013, almost six years after the iPhone first appeared on that stage in San Francisco. By then, the developers have built elsewhere, the carriers have moved on, and the employees have already chosen.</w:t>
      </w:r>
    </w:p>
    <w:p>
      <w:pPr>
        <w:spacing w:after="120"/>
      </w:pPr>
      <w:r>
        <w:t xml:space="preserve">The numbers arrive like a verdict. BlackBerry's share of the US smartphone market falls from more than half in 2009 to the low single digits by 2013–14. In January 2012, Lazaridis and Balsillie step down as co-CEOs. Round after round of layoffs follows. By 2016, the company that once made an entire generation check its pocket at dinner has stopped making phones altogether, re-emerging as a smaller cybersecurity and software business: still standing, but no longer the company that gave the world the word CrackBerry.</w:t>
      </w:r>
    </w:p>
    <w:p>
      <w:pPr>
        <w:pStyle w:val="Heading1"/>
        <w:spacing w:after="150" w:before="300"/>
      </w:pPr>
      <w:r>
        <w:t xml:space="preserve">Task 1: Company Environment Analysis (15 minutes)</w:t>
      </w:r>
    </w:p>
    <w:p>
      <w:pPr>
        <w:spacing w:after="120"/>
      </w:pPr>
      <w:r>
        <w:t xml:space="preserve">As a team, first agree: where in the story did BlackBerry's fortunes turn? What was the company doing well in its early years, and at what point, and why, did those same strengths stop working in its favour? Use your answer to inform the questions below.</w:t>
      </w:r>
    </w:p>
    <w:p>
      <w:pPr>
        <w:pStyle w:val="ListParagraph"/>
        <w:numPr>
          <w:ilvl w:val="0"/>
          <w:numId w:val="3"/>
        </w:numPr>
        <w:spacing w:after="100" w:before="150"/>
      </w:pPr>
      <w:r>
        <w:rPr>
          <w:b/>
          <w:bCs/>
        </w:rPr>
        <w:t xml:space="preserve">Conduct a brief PESTEL scan. Which two or three factors (technological change, changing social/consumer behaviour, competitive/economic pressure, regulatory shifts in enterprise IT) had the greatest impact on BlackBerry, and why?</w:t>
      </w:r>
    </w:p>
    <w:p>
      <w:pPr>
        <w:pStyle w:val="ListParagraph"/>
        <w:numPr>
          <w:ilvl w:val="0"/>
          <w:numId w:val="3"/>
        </w:numPr>
        <w:spacing w:after="100" w:before="150"/>
      </w:pPr>
      <w:r>
        <w:rPr>
          <w:b/>
          <w:bCs/>
        </w:rPr>
        <w:t xml:space="preserve">Apply Porter's Five Forces to the smartphone industry around 2007–2010. How did the threat of new entrants, bargaining power of buyers (carriers and enterprise IT departments), and the intensity of rivalry change once Apple and Android entered, and how quickly did BlackBerry's competitive position actually shift as a result?</w:t>
      </w:r>
    </w:p>
    <w:p>
      <w:pPr>
        <w:pStyle w:val="ListParagraph"/>
        <w:numPr>
          <w:ilvl w:val="0"/>
          <w:numId w:val="3"/>
        </w:numPr>
        <w:spacing w:after="100" w:before="150"/>
      </w:pPr>
      <w:r>
        <w:rPr>
          <w:b/>
          <w:bCs/>
        </w:rPr>
        <w:t xml:space="preserve">Distinguish environment from decision-making: to what extent was BlackBerry's failure caused by an unforeseeable environmental shock, versus a foreseeable shift that leadership was slow to interpret and act on? Justify your answer with reference to the case.</w:t>
      </w:r>
    </w:p>
    <w:p>
      <w:pPr>
        <w:pStyle w:val="ListParagraph"/>
        <w:numPr>
          <w:ilvl w:val="0"/>
          <w:numId w:val="3"/>
        </w:numPr>
        <w:spacing w:after="100" w:before="150"/>
      </w:pPr>
      <w:r>
        <w:rPr>
          <w:b/>
          <w:bCs/>
        </w:rPr>
        <w:t xml:space="preserve">Pick one specific strength from BlackBerry's early years and trace how that same underlying asset or mindset became a liability later on. For example: how did enterprise IT lock-in, once BlackBerry's biggest advantage, become largely irrelevant once employees themselves started choosing their own devices?</w:t>
      </w:r>
    </w:p>
    <w:p>
      <w:pPr>
        <w:pStyle w:val="Heading1"/>
        <w:spacing w:after="150" w:before="300"/>
      </w:pPr>
      <w:r>
        <w:t xml:space="preserve">Task 2: Growth and Competitive Strategy (15 minutes)</w:t>
      </w:r>
    </w:p>
    <w:p>
      <w:pPr>
        <w:spacing w:after="120"/>
      </w:pPr>
      <w:r>
        <w:t xml:space="preserve">Diagnose the strategic choices, and propose what BlackBerry should have done differently at the point the iPhone launched (2007) or shortly after.</w:t>
      </w:r>
    </w:p>
    <w:p>
      <w:pPr>
        <w:pStyle w:val="ListParagraph"/>
        <w:numPr>
          <w:ilvl w:val="0"/>
          <w:numId w:val="3"/>
        </w:numPr>
        <w:spacing w:after="100" w:before="150"/>
      </w:pPr>
      <w:r>
        <w:rPr>
          <w:b/>
          <w:bCs/>
        </w:rPr>
        <w:t xml:space="preserve">Using Porter's generic strategies, characterise BlackBerry's original competitive strategy (cost leadership, differentiation, or focus) and explain how the entry of Apple/Android undermined the basis of that advantage.</w:t>
      </w:r>
    </w:p>
    <w:p>
      <w:pPr>
        <w:pStyle w:val="ListParagraph"/>
        <w:numPr>
          <w:ilvl w:val="0"/>
          <w:numId w:val="3"/>
        </w:numPr>
        <w:spacing w:after="100" w:before="150"/>
      </w:pPr>
      <w:r>
        <w:rPr>
          <w:b/>
          <w:bCs/>
        </w:rPr>
        <w:t xml:space="preserve">Using the Ansoff Matrix, identify which growth path(s) BlackBerry actually pursued (market penetration, market development, product development, diversification) and propose an alternative path or combination your team believes would have preserved competitive position. Be specific about timing: what should have happened by which year?</w:t>
      </w:r>
    </w:p>
    <w:p>
      <w:pPr>
        <w:pStyle w:val="ListParagraph"/>
        <w:numPr>
          <w:ilvl w:val="0"/>
          <w:numId w:val="3"/>
        </w:numPr>
        <w:spacing w:after="100" w:before="150"/>
      </w:pPr>
      <w:r>
        <w:rPr>
          <w:b/>
          <w:bCs/>
        </w:rPr>
        <w:t xml:space="preserve">Consider the make vs. partner vs. acquire question: should BlackBerry have built its own open app ecosystem earlier, partnered with an existing platform, or acquired capability (e.g. touchscreen UI, app-store technology)? Justify your recommendation, including the trade-offs your team is choosing not to pursue.</w:t>
      </w:r>
    </w:p>
    <w:p>
      <w:pPr>
        <w:pStyle w:val="ListParagraph"/>
        <w:numPr>
          <w:ilvl w:val="0"/>
          <w:numId w:val="3"/>
        </w:numPr>
        <w:spacing w:after="100" w:before="150"/>
      </w:pPr>
      <w:r>
        <w:rPr>
          <w:b/>
          <w:bCs/>
        </w:rPr>
        <w:t xml:space="preserve">What is your team's single headline strategic recommendation, framed as a decision BlackBerry's board should have taken by 2008–2009?</w:t>
      </w:r>
    </w:p>
    <w:p>
      <w:pPr>
        <w:pStyle w:val="Heading1"/>
        <w:spacing w:after="150" w:before="300"/>
      </w:pPr>
      <w:r>
        <w:t xml:space="preserve">Task 3: Stakeholder Analysis (10 minutes)</w:t>
      </w:r>
    </w:p>
    <w:p>
      <w:pPr>
        <w:spacing w:after="120"/>
      </w:pPr>
      <w:r>
        <w:t xml:space="preserve">Map the key stakeholder groups affected by, or influential over, BlackBerry's strategic direction.</w:t>
      </w:r>
    </w:p>
    <w:p>
      <w:pPr>
        <w:pStyle w:val="ListParagraph"/>
        <w:numPr>
          <w:ilvl w:val="0"/>
          <w:numId w:val="3"/>
        </w:numPr>
        <w:spacing w:after="100" w:before="150"/>
      </w:pPr>
      <w:r>
        <w:rPr>
          <w:b/>
          <w:bCs/>
        </w:rPr>
        <w:t xml:space="preserve">Identify BlackBerry's key stakeholder groups (e.g. enterprise IT buyers, individual/consumer users, carriers/network operators, app developers, shareholders/board, employees, regulators).</w:t>
      </w:r>
    </w:p>
    <w:p>
      <w:pPr>
        <w:pStyle w:val="ListParagraph"/>
        <w:numPr>
          <w:ilvl w:val="0"/>
          <w:numId w:val="3"/>
        </w:numPr>
        <w:spacing w:after="100" w:before="150"/>
      </w:pPr>
      <w:r>
        <w:rPr>
          <w:b/>
          <w:bCs/>
        </w:rPr>
        <w:t xml:space="preserve">Plot your stakeholders on a power/interest matrix (Mendelow's matrix). Which group(s) sat in the 'high power, high interest' quadrant during 2007–2010, and did BlackBerry's leadership manage that relationship well or poorly?</w:t>
      </w:r>
    </w:p>
    <w:p>
      <w:pPr>
        <w:pStyle w:val="ListParagraph"/>
        <w:numPr>
          <w:ilvl w:val="0"/>
          <w:numId w:val="3"/>
        </w:numPr>
        <w:spacing w:after="100" w:before="150"/>
      </w:pPr>
      <w:r>
        <w:rPr>
          <w:b/>
          <w:bCs/>
        </w:rPr>
        <w:t xml:space="preserve">Identify one stakeholder group whose needs were changing in a way BlackBerry's leadership underestimated (for example, developers, or consumer users inside enterprises pushing for BYOD). What should the company have done differently to manage or respond to that group?</w:t>
      </w:r>
    </w:p>
    <w:p>
      <w:pPr>
        <w:pStyle w:val="ListParagraph"/>
        <w:numPr>
          <w:ilvl w:val="0"/>
          <w:numId w:val="3"/>
        </w:numPr>
        <w:spacing w:after="100" w:before="150"/>
      </w:pPr>
      <w:r>
        <w:rPr>
          <w:b/>
          <w:bCs/>
        </w:rPr>
        <w:t xml:space="preserve">How might a stronger stakeholder engagement strategy have altered the pace or nature of BlackBerry's product decisions?</w:t>
      </w:r>
    </w:p>
    <w:p>
      <w:pPr>
        <w:pStyle w:val="Heading1"/>
        <w:spacing w:after="150" w:before="300"/>
      </w:pPr>
      <w:r>
        <w:t xml:space="preserve">Presentation and Discussion (Team Format)</w:t>
      </w:r>
    </w:p>
    <w:p>
      <w:pPr>
        <w:spacing w:after="120"/>
      </w:pPr>
      <w:r>
        <w:t xml:space="preserve">Each team presents for 5–7 minutes covering:</w:t>
      </w:r>
    </w:p>
    <w:p>
      <w:pPr>
        <w:pStyle w:val="ListParagraph"/>
        <w:numPr>
          <w:ilvl w:val="0"/>
          <w:numId w:val="2"/>
        </w:numPr>
        <w:spacing w:after="80"/>
      </w:pPr>
      <w:r>
        <w:t xml:space="preserve">Your headline diagnosis: the one or two environmental/strategic factors your team believes mattered most</w:t>
      </w:r>
    </w:p>
    <w:p>
      <w:pPr>
        <w:pStyle w:val="ListParagraph"/>
        <w:numPr>
          <w:ilvl w:val="0"/>
          <w:numId w:val="2"/>
        </w:numPr>
        <w:spacing w:after="80"/>
      </w:pPr>
      <w:r>
        <w:t xml:space="preserve">Your recommended alternative strategy, with a rough timeline</w:t>
      </w:r>
    </w:p>
    <w:p>
      <w:pPr>
        <w:pStyle w:val="ListParagraph"/>
        <w:numPr>
          <w:ilvl w:val="0"/>
          <w:numId w:val="2"/>
        </w:numPr>
        <w:spacing w:after="80"/>
      </w:pPr>
      <w:r>
        <w:t xml:space="preserve">Your key stakeholder insight and how it should have changed BlackBerry's approach</w:t>
      </w:r>
    </w:p>
    <w:p>
      <w:pPr>
        <w:spacing w:after="120"/>
      </w:pPr>
      <w:r>
        <w:t xml:space="preserve">After each presentation, the floor has 2–3 minutes to challenge the team's reasoning. The class will then vote on the most convincing overall case, considering: quality of analysis (frameworks correctly and specifically applied), strategic creativity (not just 'they should have made an iPhone'), and realism (does the recommendation respect the constraints BlackBerry actually faced: capital, capability, timing).</w:t>
      </w:r>
    </w:p>
    <w:p>
      <w:pPr>
        <w:pStyle w:val="Heading2"/>
        <w:spacing w:after="120" w:before="240"/>
      </w:pPr>
      <w:r>
        <w:t xml:space="preserve">Evaluation Criteria Summary</w:t>
      </w:r>
    </w:p>
    <w:tbl>
      <w:tblPr>
        <w:tblW w:type="dxa" w:w="9350"/>
        <w:tblBorders>
          <w:top w:val="single" w:color="auto" w:sz="4"/>
          <w:left w:val="single" w:color="auto" w:sz="4"/>
          <w:bottom w:val="single" w:color="auto" w:sz="4"/>
          <w:right w:val="single" w:color="auto" w:sz="4"/>
          <w:insideH w:val="single" w:color="auto" w:sz="4"/>
          <w:insideV w:val="single" w:color="auto" w:sz="4"/>
        </w:tblBorders>
      </w:tblPr>
      <w:tblGrid>
        <w:gridCol w:w="3100"/>
        <w:gridCol w:w="6250"/>
      </w:tblGrid>
      <w:tr>
        <w:tc>
          <w:tcPr>
            <w:tcW w:type="dxa" w:w="3100"/>
            <w:shd w:fill="1F3864" w:color="auto" w:val="clear"/>
            <w:tcMar>
              <w:top w:type="dxa" w:w="80"/>
              <w:left w:type="dxa" w:w="100"/>
              <w:bottom w:type="dxa" w:w="80"/>
              <w:right w:type="dxa" w:w="100"/>
            </w:tcMar>
          </w:tcPr>
          <w:p>
            <w:r>
              <w:rPr>
                <w:b/>
                <w:bCs/>
                <w:color w:val="FFFFFF"/>
                <w:sz w:val="20"/>
                <w:szCs w:val="20"/>
              </w:rPr>
              <w:t xml:space="preserve">Criterion</w:t>
            </w:r>
          </w:p>
        </w:tc>
        <w:tc>
          <w:tcPr>
            <w:tcW w:type="dxa" w:w="6250"/>
            <w:shd w:fill="1F3864" w:color="auto" w:val="clear"/>
            <w:tcMar>
              <w:top w:type="dxa" w:w="80"/>
              <w:left w:type="dxa" w:w="100"/>
              <w:bottom w:type="dxa" w:w="80"/>
              <w:right w:type="dxa" w:w="100"/>
            </w:tcMar>
          </w:tcPr>
          <w:p>
            <w:r>
              <w:rPr>
                <w:b/>
                <w:bCs/>
                <w:color w:val="FFFFFF"/>
                <w:sz w:val="20"/>
                <w:szCs w:val="20"/>
              </w:rPr>
              <w:t xml:space="preserve">What we're looking for</w:t>
            </w:r>
          </w:p>
        </w:tc>
      </w:tr>
      <w:tr>
        <w:tc>
          <w:tcPr>
            <w:tcW w:type="dxa" w:w="3100"/>
            <w:tcMar>
              <w:top w:type="dxa" w:w="80"/>
              <w:left w:type="dxa" w:w="100"/>
              <w:bottom w:type="dxa" w:w="80"/>
              <w:right w:type="dxa" w:w="100"/>
            </w:tcMar>
          </w:tcPr>
          <w:p>
            <w:r>
              <w:rPr>
                <w:b/>
                <w:bCs/>
                <w:sz w:val="20"/>
                <w:szCs w:val="20"/>
              </w:rPr>
              <w:t xml:space="preserve">Diagnosis</w:t>
            </w:r>
          </w:p>
        </w:tc>
        <w:tc>
          <w:tcPr>
            <w:tcW w:type="dxa" w:w="6250"/>
            <w:tcMar>
              <w:top w:type="dxa" w:w="80"/>
              <w:left w:type="dxa" w:w="100"/>
              <w:bottom w:type="dxa" w:w="80"/>
              <w:right w:type="dxa" w:w="100"/>
            </w:tcMar>
          </w:tcPr>
          <w:p>
            <w:r>
              <w:rPr>
                <w:b w:val="false"/>
                <w:bCs w:val="false"/>
                <w:sz w:val="20"/>
                <w:szCs w:val="20"/>
              </w:rPr>
              <w:t xml:space="preserve">Clear, specific use of PESTEL / Five Forces rather than generic description</w:t>
            </w:r>
          </w:p>
        </w:tc>
      </w:tr>
      <w:tr>
        <w:tc>
          <w:tcPr>
            <w:tcW w:type="dxa" w:w="3100"/>
            <w:tcMar>
              <w:top w:type="dxa" w:w="80"/>
              <w:left w:type="dxa" w:w="100"/>
              <w:bottom w:type="dxa" w:w="80"/>
              <w:right w:type="dxa" w:w="100"/>
            </w:tcMar>
          </w:tcPr>
          <w:p>
            <w:r>
              <w:rPr>
                <w:b/>
                <w:bCs/>
                <w:sz w:val="20"/>
                <w:szCs w:val="20"/>
              </w:rPr>
              <w:t xml:space="preserve">Strategy</w:t>
            </w:r>
          </w:p>
        </w:tc>
        <w:tc>
          <w:tcPr>
            <w:tcW w:type="dxa" w:w="6250"/>
            <w:tcMar>
              <w:top w:type="dxa" w:w="80"/>
              <w:left w:type="dxa" w:w="100"/>
              <w:bottom w:type="dxa" w:w="80"/>
              <w:right w:type="dxa" w:w="100"/>
            </w:tcMar>
          </w:tcPr>
          <w:p>
            <w:r>
              <w:rPr>
                <w:b w:val="false"/>
                <w:bCs w:val="false"/>
                <w:sz w:val="20"/>
                <w:szCs w:val="20"/>
              </w:rPr>
              <w:t xml:space="preserve">Ansoff / generic strategy correctly applied, with a plausible and specific alternative path and timing</w:t>
            </w:r>
          </w:p>
        </w:tc>
      </w:tr>
      <w:tr>
        <w:tc>
          <w:tcPr>
            <w:tcW w:type="dxa" w:w="3100"/>
            <w:tcMar>
              <w:top w:type="dxa" w:w="80"/>
              <w:left w:type="dxa" w:w="100"/>
              <w:bottom w:type="dxa" w:w="80"/>
              <w:right w:type="dxa" w:w="100"/>
            </w:tcMar>
          </w:tcPr>
          <w:p>
            <w:r>
              <w:rPr>
                <w:b/>
                <w:bCs/>
                <w:sz w:val="20"/>
                <w:szCs w:val="20"/>
              </w:rPr>
              <w:t xml:space="preserve">Stakeholders</w:t>
            </w:r>
          </w:p>
        </w:tc>
        <w:tc>
          <w:tcPr>
            <w:tcW w:type="dxa" w:w="6250"/>
            <w:tcMar>
              <w:top w:type="dxa" w:w="80"/>
              <w:left w:type="dxa" w:w="100"/>
              <w:bottom w:type="dxa" w:w="80"/>
              <w:right w:type="dxa" w:w="100"/>
            </w:tcMar>
          </w:tcPr>
          <w:p>
            <w:r>
              <w:rPr>
                <w:b w:val="false"/>
                <w:bCs w:val="false"/>
                <w:sz w:val="20"/>
                <w:szCs w:val="20"/>
              </w:rPr>
              <w:t xml:space="preserve">Accurate power/interest mapping and a genuine insight into a misjudged stakeholder relationship</w:t>
            </w:r>
          </w:p>
        </w:tc>
      </w:tr>
      <w:tr>
        <w:tc>
          <w:tcPr>
            <w:tcW w:type="dxa" w:w="3100"/>
            <w:tcMar>
              <w:top w:type="dxa" w:w="80"/>
              <w:left w:type="dxa" w:w="100"/>
              <w:bottom w:type="dxa" w:w="80"/>
              <w:right w:type="dxa" w:w="100"/>
            </w:tcMar>
          </w:tcPr>
          <w:p>
            <w:r>
              <w:rPr>
                <w:b/>
                <w:bCs/>
                <w:sz w:val="20"/>
                <w:szCs w:val="20"/>
              </w:rPr>
              <w:t xml:space="preserve">Delivery</w:t>
            </w:r>
          </w:p>
        </w:tc>
        <w:tc>
          <w:tcPr>
            <w:tcW w:type="dxa" w:w="6250"/>
            <w:tcMar>
              <w:top w:type="dxa" w:w="80"/>
              <w:left w:type="dxa" w:w="100"/>
              <w:bottom w:type="dxa" w:w="80"/>
              <w:right w:type="dxa" w:w="100"/>
            </w:tcMar>
          </w:tcPr>
          <w:p>
            <w:r>
              <w:rPr>
                <w:b w:val="false"/>
                <w:bCs w:val="false"/>
                <w:sz w:val="20"/>
                <w:szCs w:val="20"/>
              </w:rPr>
              <w:t xml:space="preserve">Confident, concise, team members share airtime, handles challenge well</w:t>
            </w:r>
          </w:p>
        </w:tc>
      </w:tr>
    </w:tbl>
    <w:sectPr>
      <w:pgSz w:w="11906" w:h="16838" w:orient="portrait"/>
      <w:pgMar w:top="1000" w:right="1100" w:bottom="1000" w:left="1100" w:header="708" w:footer="708" w:gutter="0"/>
      <w:pgNumType/>
      <w:docGrid w:linePitch="360"/>
    </w:sectPr>
  </w:body>
</w:document>
</file>

<file path=word/comments.xml><?xml version="1.0" encoding="utf-8"?>
<w:comment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pPr>
        <w:spacing w:after="0" w:line="240" w:lineRule="auto"/>
      </w:pPr>
      <w:r>
        <w:rPr>
          <w:rStyle w:val="EndnoteReference"/>
        </w:rPr>
        <w:endnoteRef/>
      </w:r>
      <w:r>
        <w:separator/>
      </w:r>
    </w:p>
  </w:endnote>
  <w:endnote w:type="continuationSeparator" w:id="0">
    <w:p>
      <w:pPr>
        <w:spacing w:after="0" w:line="240" w:lineRule="auto"/>
      </w:pPr>
      <w:r>
        <w:rPr>
          <w:rStyle w:val="EndnoteReference"/>
        </w:rPr>
        <w:endnoteRef/>
      </w: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pPr>
        <w:spacing w:after="0" w:line="240" w:lineRule="auto"/>
      </w:pPr>
      <w:r>
        <w:rPr>
          <w:rStyle w:val="FootnoteReference"/>
        </w:rPr>
        <w:footnoteRef/>
      </w:r>
      <w:r>
        <w:separator/>
      </w:r>
    </w:p>
  </w:footnote>
  <w:footnote w:type="continuationSeparator" w:id="0">
    <w:p>
      <w:pPr>
        <w:spacing w:after="0" w:line="240" w:lineRule="auto"/>
      </w:pPr>
      <w:r>
        <w:rPr>
          <w:rStyle w:val="FootnoteReference"/>
        </w:rPr>
        <w:footnoteRef/>
      </w: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1" w15:restartNumberingAfterBreak="0">
    <w:multiLevelType w:val="hybridMultilevel"/>
    <w:lvl w:ilvl="0" w15:tentative="1">
      <w:start w:val="1"/>
      <w:numFmt w:val="bullet"/>
      <w:lvlText w:val="●"/>
      <w:lvlJc w:val="left"/>
      <w:pPr>
        <w:ind w:left="720" w:hanging="360"/>
      </w:pPr>
    </w:lvl>
    <w:lvl w:ilvl="1" w15:tentative="1">
      <w:start w:val="1"/>
      <w:numFmt w:val="bullet"/>
      <w:lvlText w:val="○"/>
      <w:lvlJc w:val="left"/>
      <w:pPr>
        <w:ind w:left="1440" w:hanging="360"/>
      </w:pPr>
    </w:lvl>
    <w:lvl w:ilvl="2" w15:tentative="1">
      <w:start w:val="1"/>
      <w:numFmt w:val="bullet"/>
      <w:lvlText w:val="■"/>
      <w:lvlJc w:val="left"/>
      <w:pPr>
        <w:ind w:left="2160" w:hanging="360"/>
      </w:pPr>
    </w:lvl>
    <w:lvl w:ilvl="3" w15:tentative="1">
      <w:start w:val="1"/>
      <w:numFmt w:val="bullet"/>
      <w:lvlText w:val="●"/>
      <w:lvlJc w:val="left"/>
      <w:pPr>
        <w:ind w:left="2880" w:hanging="360"/>
      </w:pPr>
    </w:lvl>
    <w:lvl w:ilvl="4" w15:tentative="1">
      <w:start w:val="1"/>
      <w:numFmt w:val="bullet"/>
      <w:lvlText w:val="○"/>
      <w:lvlJc w:val="left"/>
      <w:pPr>
        <w:ind w:left="3600" w:hanging="360"/>
      </w:pPr>
    </w:lvl>
    <w:lvl w:ilvl="5" w15:tentative="1">
      <w:start w:val="1"/>
      <w:numFmt w:val="bullet"/>
      <w:lvlText w:val="■"/>
      <w:lvlJc w:val="left"/>
      <w:pPr>
        <w:ind w:left="4320" w:hanging="360"/>
      </w:pPr>
    </w:lvl>
    <w:lvl w:ilvl="6" w15:tentative="1">
      <w:start w:val="1"/>
      <w:numFmt w:val="bullet"/>
      <w:lvlText w:val="●"/>
      <w:lvlJc w:val="left"/>
      <w:pPr>
        <w:ind w:left="5040" w:hanging="360"/>
      </w:pPr>
    </w:lvl>
    <w:lvl w:ilvl="7" w15:tentative="1">
      <w:start w:val="1"/>
      <w:numFmt w:val="bullet"/>
      <w:lvlText w:val="●"/>
      <w:lvlJc w:val="left"/>
      <w:pPr>
        <w:ind w:left="5760" w:hanging="360"/>
      </w:pPr>
    </w:lvl>
    <w:lvl w:ilvl="8" w15:tentative="1">
      <w:start w:val="1"/>
      <w:numFmt w:val="bullet"/>
      <w:lvlText w:val="●"/>
      <w:lvlJc w:val="left"/>
      <w:pPr>
        <w:ind w:left="6480" w:hanging="360"/>
      </w:pPr>
    </w:lvl>
  </w:abstractNum>
  <w:abstractNum w:abstractNumId="2" w15:restartNumberingAfterBreak="0">
    <w:multiLevelType w:val="hybridMultilevel"/>
    <w:lvl w:ilvl="0" w15:tentative="1">
      <w:start w:val="1"/>
      <w:numFmt w:val="bullet"/>
      <w:lvlText w:val="•"/>
      <w:lvlJc w:val="left"/>
      <w:pPr>
        <w:ind w:left="480" w:hanging="240"/>
      </w:pPr>
    </w:lvl>
  </w:abstractNum>
  <w:abstractNum w:abstractNumId="3" w15:restartNumberingAfterBreak="0">
    <w:multiLevelType w:val="hybridMultilevel"/>
    <w:lvl w:ilvl="0" w15:tentative="1">
      <w:start w:val="1"/>
      <w:numFmt w:val="decimal"/>
      <w:lvlText w:val="%1."/>
      <w:lvlJc w:val="left"/>
      <w:pPr>
        <w:ind w:left="480" w:hanging="240"/>
      </w:pPr>
    </w:lvl>
  </w:abstractNum>
  <w:num w:numId="1">
    <w:abstractNumId w:val="1"/>
    <w:lvlOverride w:ilvl="0">
      <w:startOverride w:val="1"/>
    </w:lvlOverride>
  </w:num>
  <w:num w:numId="2">
    <w:abstractNumId w:val="2"/>
    <w:lvlOverride w:ilvl="0">
      <w:startOverride w:val="1"/>
    </w:lvlOverride>
  </w:num>
  <w:num w:numId="3">
    <w:abstractNumId w:val="3"/>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evenAndOddHeaders w:val="false"/>
  <w:compat>
    <w:compatSetting w:val="15" w:name="compatibilityMode" w:uri="http://schemas.microsoft.com/office/word"/>
  </w:compat>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pPrDefault/>
  </w:docDefaults>
  <w:style w:type="paragraph" w:styleId="Title">
    <w:name w:val="Title"/>
    <w:basedOn w:val="Normal"/>
    <w:next w:val="Normal"/>
    <w:qFormat/>
    <w:rPr>
      <w:sz w:val="56"/>
      <w:szCs w:val="56"/>
    </w:rPr>
  </w:style>
  <w:style w:type="paragraph" w:styleId="Heading1">
    <w:name w:val="Heading 1"/>
    <w:basedOn w:val="Normal"/>
    <w:next w:val="Normal"/>
    <w:qFormat/>
    <w:rPr>
      <w:color w:val="2E74B5"/>
      <w:sz w:val="32"/>
      <w:szCs w:val="32"/>
    </w:rPr>
  </w:style>
  <w:style w:type="paragraph" w:styleId="Heading2">
    <w:name w:val="Heading 2"/>
    <w:basedOn w:val="Normal"/>
    <w:next w:val="Normal"/>
    <w:qFormat/>
    <w:rPr>
      <w:color w:val="2E74B5"/>
      <w:sz w:val="26"/>
      <w:szCs w:val="2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color w:val="0563C1"/>
      <w:u w:val="single"/>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 w:type="character" w:styleId="EndnoteReference">
    <w:name w:val="end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styleId="EndnoteTextChar">
    <w:name w:val="Endnote Text Char"/>
    <w:basedOn w:val="DefaultParagraphFont"/>
    <w:link w:val="EndnoteText"/>
    <w:uiPriority w:val="99"/>
    <w:semiHidden/>
    <w:unhideWhenUsed/>
    <w:rPr>
      <w:sz w:val="20"/>
      <w:szCs w:val="20"/>
    </w:rPr>
  </w:style>
</w:styles>
</file>

<file path=word/_rels/comments.xml.rels><?xml version="1.0" encoding="UTF-8"?><Relationships xmlns="http://schemas.openxmlformats.org/package/2006/relationships"/>
</file>

<file path=word/_rels/document.xml.rels><?xml version="1.0" encoding="UTF-8"?><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otnotes" Target="footnotes.xml"/><Relationship Id="rId4" Type="http://schemas.openxmlformats.org/officeDocument/2006/relationships/endnotes" Target="endnotes.xml"/><Relationship Id="rId5" Type="http://schemas.openxmlformats.org/officeDocument/2006/relationships/settings" Target="settings.xml"/><Relationship Id="rId6" Type="http://schemas.openxmlformats.org/officeDocument/2006/relationships/comments" Target="comments.xml"/><Relationship Id="rId7" Type="http://schemas.openxmlformats.org/officeDocument/2006/relationships/fontTable" Target="fontTable.xml"/></Relationships>
</file>

<file path=word/_rels/endnotes.xml.rels><?xml version="1.0" encoding="UTF-8"?><Relationships xmlns="http://schemas.openxmlformats.org/package/2006/relationships"/>
</file>

<file path=word/_rels/fontTable.xml.rels><?xml version="1.0" encoding="UTF-8"?><Relationships xmlns="http://schemas.openxmlformats.org/package/2006/relationships"/>
</file>

<file path=word/_rels/footnotes.xml.rels><?xml version="1.0" encoding="UTF-8"?><Relationships xmlns="http://schemas.openxmlformats.org/package/2006/relationships"/>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Un-named</cp:lastModifiedBy>
  <cp:revision>1</cp:revision>
  <dcterms:created xsi:type="dcterms:W3CDTF">2026-07-23T06:41:16.801Z</dcterms:created>
  <dcterms:modified xsi:type="dcterms:W3CDTF">2026-07-23T06:41:16.801Z</dcterms:modified>
</cp:coreProperties>
</file>

<file path=docProps/custom.xml><?xml version="1.0" encoding="utf-8"?>
<Properties xmlns="http://schemas.openxmlformats.org/officeDocument/2006/custom-properties" xmlns:vt="http://schemas.openxmlformats.org/officeDocument/2006/docPropsVTypes"/>
</file>