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inorHAnsi" w:hAnsiTheme="majorHAnsi" w:cstheme="majorBidi"/>
          <w:color w:val="5B9BD5" w:themeColor="accent1"/>
          <w:sz w:val="32"/>
          <w:szCs w:val="32"/>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4889569A" w:rsidR="007D1947" w:rsidRDefault="00924F03">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Innovation and oranisational change</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70B2C95A" w:rsidR="007D1947" w:rsidRDefault="00924F03">
              <w:pPr>
                <w:pStyle w:val="NoSpacing"/>
                <w:jc w:val="center"/>
                <w:rPr>
                  <w:color w:val="5B9BD5" w:themeColor="accent1"/>
                  <w:sz w:val="28"/>
                  <w:szCs w:val="28"/>
                </w:rPr>
              </w:pPr>
              <w:r>
                <w:rPr>
                  <w:color w:val="5B9BD5" w:themeColor="accent1"/>
                  <w:sz w:val="28"/>
                  <w:szCs w:val="28"/>
                </w:rPr>
                <w:t>ACMA 5007 Megan Cain 2518443</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1574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5-09T00:00:00Z">
                                    <w:dateFormat w:val="MMMM d, yyyy"/>
                                    <w:lid w:val="en-US"/>
                                    <w:storeMappedDataAs w:val="dateTime"/>
                                    <w:calendar w:val="gregorian"/>
                                  </w:date>
                                </w:sdtPr>
                                <w:sdtEndPr/>
                                <w:sdtContent>
                                  <w:p w14:paraId="52BAF8D9" w14:textId="3FB448D2" w:rsidR="007D1947" w:rsidRDefault="00924F03">
                                    <w:pPr>
                                      <w:pStyle w:val="NoSpacing"/>
                                      <w:spacing w:after="40"/>
                                      <w:jc w:val="center"/>
                                      <w:rPr>
                                        <w:caps/>
                                        <w:color w:val="5B9BD5" w:themeColor="accent1"/>
                                        <w:sz w:val="28"/>
                                        <w:szCs w:val="28"/>
                                      </w:rPr>
                                    </w:pPr>
                                    <w:r>
                                      <w:rPr>
                                        <w:caps/>
                                        <w:color w:val="5B9BD5" w:themeColor="accent1"/>
                                        <w:sz w:val="28"/>
                                        <w:szCs w:val="28"/>
                                      </w:rPr>
                                      <w:t>May 9, 2026</w:t>
                                    </w:r>
                                  </w:p>
                                </w:sdtContent>
                              </w:sdt>
                              <w:p w14:paraId="69E98CB3" w14:textId="77777777" w:rsidR="007D1947" w:rsidRDefault="00E00015">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E00015">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1574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5-09T00:00:00Z">
                              <w:dateFormat w:val="MMMM d, yyyy"/>
                              <w:lid w:val="en-US"/>
                              <w:storeMappedDataAs w:val="dateTime"/>
                              <w:calendar w:val="gregorian"/>
                            </w:date>
                          </w:sdtPr>
                          <w:sdtEndPr/>
                          <w:sdtContent>
                            <w:p w14:paraId="52BAF8D9" w14:textId="3FB448D2" w:rsidR="007D1947" w:rsidRDefault="00924F03">
                              <w:pPr>
                                <w:pStyle w:val="NoSpacing"/>
                                <w:spacing w:after="40"/>
                                <w:jc w:val="center"/>
                                <w:rPr>
                                  <w:caps/>
                                  <w:color w:val="5B9BD5" w:themeColor="accent1"/>
                                  <w:sz w:val="28"/>
                                  <w:szCs w:val="28"/>
                                </w:rPr>
                              </w:pPr>
                              <w:r>
                                <w:rPr>
                                  <w:caps/>
                                  <w:color w:val="5B9BD5" w:themeColor="accent1"/>
                                  <w:sz w:val="28"/>
                                  <w:szCs w:val="28"/>
                                </w:rPr>
                                <w:t>May 9, 2026</w:t>
                              </w:r>
                            </w:p>
                          </w:sdtContent>
                        </w:sdt>
                        <w:p w14:paraId="69E98CB3" w14:textId="77777777" w:rsidR="007D1947" w:rsidRDefault="00E00015">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E00015">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2AB7F7D" w14:textId="30F8BAF6" w:rsidR="007D1947" w:rsidRPr="00435096" w:rsidRDefault="007D1947" w:rsidP="00435096">
          <w:pPr>
            <w:pStyle w:val="Heading1"/>
          </w:pPr>
          <w:r>
            <w:br w:type="page"/>
          </w:r>
          <w:bookmarkStart w:id="0" w:name="_Toc96925027"/>
          <w:bookmarkStart w:id="1" w:name="_Toc229248447"/>
          <w:bookmarkStart w:id="2" w:name="_Toc229424560"/>
          <w:r>
            <w:lastRenderedPageBreak/>
            <w:t>Executive Summary</w:t>
          </w:r>
          <w:bookmarkEnd w:id="0"/>
          <w:bookmarkEnd w:id="1"/>
          <w:bookmarkEnd w:id="2"/>
        </w:p>
        <w:p w14:paraId="5ACF4A2E" w14:textId="13001EA7" w:rsidR="00435096" w:rsidRPr="00435096" w:rsidRDefault="001F305E" w:rsidP="00435096">
          <w:pPr>
            <w:pStyle w:val="NormalWeb"/>
            <w:spacing w:line="360" w:lineRule="auto"/>
            <w:rPr>
              <w:rFonts w:ascii="Arial" w:hAnsi="Arial" w:cs="Arial"/>
            </w:rPr>
          </w:pPr>
          <w:r w:rsidRPr="001F305E">
            <w:rPr>
              <w:rFonts w:ascii="Arial" w:hAnsi="Arial" w:cs="Arial"/>
            </w:rPr>
            <w:t>Th</w:t>
          </w:r>
          <w:r w:rsidR="00435096" w:rsidRPr="00435096">
            <w:rPr>
              <w:rFonts w:ascii="Arial" w:hAnsi="Arial" w:cs="Arial"/>
            </w:rPr>
            <w:t xml:space="preserve">e purpose of this report is to identify and evaluate the organisational change </w:t>
          </w:r>
          <w:r w:rsidRPr="001F305E">
            <w:rPr>
              <w:rFonts w:ascii="Arial" w:hAnsi="Arial" w:cs="Arial"/>
            </w:rPr>
            <w:t>implemented at</w:t>
          </w:r>
          <w:r w:rsidR="00435096" w:rsidRPr="00435096">
            <w:rPr>
              <w:rFonts w:ascii="Arial" w:hAnsi="Arial" w:cs="Arial"/>
            </w:rPr>
            <w:t xml:space="preserve"> </w:t>
          </w:r>
          <w:r w:rsidR="00435096" w:rsidRPr="00435096">
            <w:rPr>
              <w:rFonts w:ascii="Arial" w:hAnsi="Arial" w:cs="Arial"/>
            </w:rPr>
            <w:t>Dow Silicones UK Limited following the decision to close the Basics area of the Barry site. The closure is part of Dow’s wider global strategy to reduce costs, improve efficiency, and remain competitive within the si</w:t>
          </w:r>
          <w:r w:rsidR="00435096">
            <w:rPr>
              <w:rFonts w:ascii="Arial" w:hAnsi="Arial" w:cs="Arial"/>
            </w:rPr>
            <w:t>loxanes market</w:t>
          </w:r>
          <w:r w:rsidR="00435096" w:rsidRPr="00435096">
            <w:rPr>
              <w:rFonts w:ascii="Arial" w:hAnsi="Arial" w:cs="Arial"/>
            </w:rPr>
            <w:t>. Increasing competition from cheaper producers, particularly in China, alongside rising energy costs in the UK and Europe, were major factors influencing the decision.</w:t>
          </w:r>
        </w:p>
        <w:p w14:paraId="5D5DAF3C" w14:textId="7F172B1F" w:rsidR="00435096" w:rsidRPr="00435096" w:rsidRDefault="00435096" w:rsidP="00435096">
          <w:pPr>
            <w:spacing w:before="100" w:beforeAutospacing="1" w:after="100" w:afterAutospacing="1" w:line="360" w:lineRule="auto"/>
            <w:rPr>
              <w:rFonts w:ascii="Arial" w:eastAsia="Times New Roman" w:hAnsi="Arial" w:cs="Arial"/>
              <w:sz w:val="24"/>
              <w:szCs w:val="24"/>
              <w:lang w:eastAsia="en-GB"/>
            </w:rPr>
          </w:pPr>
          <w:r w:rsidRPr="00435096">
            <w:rPr>
              <w:rFonts w:ascii="Arial" w:eastAsia="Times New Roman" w:hAnsi="Arial" w:cs="Arial"/>
              <w:sz w:val="24"/>
              <w:szCs w:val="24"/>
              <w:lang w:eastAsia="en-GB"/>
            </w:rPr>
            <w:t>Th</w:t>
          </w:r>
          <w:r>
            <w:rPr>
              <w:rFonts w:ascii="Arial" w:eastAsia="Times New Roman" w:hAnsi="Arial" w:cs="Arial"/>
              <w:sz w:val="24"/>
              <w:szCs w:val="24"/>
              <w:lang w:eastAsia="en-GB"/>
            </w:rPr>
            <w:t>is</w:t>
          </w:r>
          <w:r w:rsidRPr="00435096">
            <w:rPr>
              <w:rFonts w:ascii="Arial" w:eastAsia="Times New Roman" w:hAnsi="Arial" w:cs="Arial"/>
              <w:sz w:val="24"/>
              <w:szCs w:val="24"/>
              <w:lang w:eastAsia="en-GB"/>
            </w:rPr>
            <w:t xml:space="preserve"> report explores how the change affected both the organisation and its employees. The closure placed 291 employees at risk of redundancy and resulted in the loss of many contractor roles. </w:t>
          </w:r>
          <w:r>
            <w:rPr>
              <w:rFonts w:ascii="Arial" w:eastAsia="Times New Roman" w:hAnsi="Arial" w:cs="Arial"/>
              <w:sz w:val="24"/>
              <w:szCs w:val="24"/>
              <w:lang w:eastAsia="en-GB"/>
            </w:rPr>
            <w:t>As a result</w:t>
          </w:r>
          <w:r w:rsidRPr="00435096">
            <w:rPr>
              <w:rFonts w:ascii="Arial" w:eastAsia="Times New Roman" w:hAnsi="Arial" w:cs="Arial"/>
              <w:sz w:val="24"/>
              <w:szCs w:val="24"/>
              <w:lang w:eastAsia="en-GB"/>
            </w:rPr>
            <w:t xml:space="preserve">, this created uncertainty, anxiety, and low morale across the site. While some employees accepted the need for change, others felt frustrated and concerned about their future within the company. Despite this, Dow attempted to manage the transition through regular communication, </w:t>
          </w:r>
          <w:r w:rsidR="00BB7C9F">
            <w:rPr>
              <w:rFonts w:ascii="Arial" w:eastAsia="Times New Roman" w:hAnsi="Arial" w:cs="Arial"/>
              <w:sz w:val="24"/>
              <w:szCs w:val="24"/>
              <w:lang w:eastAsia="en-GB"/>
            </w:rPr>
            <w:t xml:space="preserve">workforce reallocation </w:t>
          </w:r>
          <w:r w:rsidRPr="00435096">
            <w:rPr>
              <w:rFonts w:ascii="Arial" w:eastAsia="Times New Roman" w:hAnsi="Arial" w:cs="Arial"/>
              <w:sz w:val="24"/>
              <w:szCs w:val="24"/>
              <w:lang w:eastAsia="en-GB"/>
            </w:rPr>
            <w:t>opportunities, redundancy packages, and training support for affected staff.</w:t>
          </w:r>
        </w:p>
        <w:p w14:paraId="6E18798B" w14:textId="03BD5CE4" w:rsidR="00435096" w:rsidRPr="00435096" w:rsidRDefault="00435096" w:rsidP="00435096">
          <w:pPr>
            <w:spacing w:before="100" w:beforeAutospacing="1" w:after="100" w:afterAutospacing="1" w:line="360" w:lineRule="auto"/>
            <w:rPr>
              <w:rFonts w:ascii="Arial" w:eastAsia="Times New Roman" w:hAnsi="Arial" w:cs="Arial"/>
              <w:sz w:val="24"/>
              <w:szCs w:val="24"/>
              <w:lang w:eastAsia="en-GB"/>
            </w:rPr>
          </w:pPr>
          <w:r w:rsidRPr="00435096">
            <w:rPr>
              <w:rFonts w:ascii="Arial" w:eastAsia="Times New Roman" w:hAnsi="Arial" w:cs="Arial"/>
              <w:sz w:val="24"/>
              <w:szCs w:val="24"/>
              <w:lang w:eastAsia="en-GB"/>
            </w:rPr>
            <w:t xml:space="preserve">Lewin’s Force Field Analysis was used to identify the main driving and resisting forces behind the change. Financial pressures, global competition, and Dow’s restructuring goals acted as strong driving forces, while employee resistance, fear of redundancy, and concerns about the impact on the local community </w:t>
          </w:r>
          <w:r w:rsidR="00BB7C9F">
            <w:rPr>
              <w:rFonts w:ascii="Arial" w:eastAsia="Times New Roman" w:hAnsi="Arial" w:cs="Arial"/>
              <w:sz w:val="24"/>
              <w:szCs w:val="24"/>
              <w:lang w:eastAsia="en-GB"/>
            </w:rPr>
            <w:t>contributed as</w:t>
          </w:r>
          <w:r w:rsidRPr="00435096">
            <w:rPr>
              <w:rFonts w:ascii="Arial" w:eastAsia="Times New Roman" w:hAnsi="Arial" w:cs="Arial"/>
              <w:sz w:val="24"/>
              <w:szCs w:val="24"/>
              <w:lang w:eastAsia="en-GB"/>
            </w:rPr>
            <w:t xml:space="preserve"> restraining forces. The report also applies Lewin’s Three-Step Change Model, showing how Dow prepared employees for the transition, implemented the changes, and attempted to support staff throughout the process.</w:t>
          </w:r>
        </w:p>
        <w:p w14:paraId="3BFBC727" w14:textId="6D217BC3" w:rsidR="00435096" w:rsidRPr="00435096" w:rsidRDefault="00435096" w:rsidP="00435096">
          <w:pPr>
            <w:spacing w:before="100" w:beforeAutospacing="1" w:after="100" w:afterAutospacing="1" w:line="360" w:lineRule="auto"/>
            <w:rPr>
              <w:rFonts w:ascii="Arial" w:eastAsia="Times New Roman" w:hAnsi="Arial" w:cs="Arial"/>
              <w:sz w:val="24"/>
              <w:szCs w:val="24"/>
              <w:lang w:eastAsia="en-GB"/>
            </w:rPr>
          </w:pPr>
          <w:r w:rsidRPr="00435096">
            <w:rPr>
              <w:rFonts w:ascii="Arial" w:eastAsia="Times New Roman" w:hAnsi="Arial" w:cs="Arial"/>
              <w:sz w:val="24"/>
              <w:szCs w:val="24"/>
              <w:lang w:eastAsia="en-GB"/>
            </w:rPr>
            <w:t>In addition</w:t>
          </w:r>
          <w:r w:rsidR="00BB7C9F">
            <w:rPr>
              <w:rFonts w:ascii="Arial" w:eastAsia="Times New Roman" w:hAnsi="Arial" w:cs="Arial"/>
              <w:sz w:val="24"/>
              <w:szCs w:val="24"/>
              <w:lang w:eastAsia="en-GB"/>
            </w:rPr>
            <w:t xml:space="preserve"> to this</w:t>
          </w:r>
          <w:r w:rsidRPr="00435096">
            <w:rPr>
              <w:rFonts w:ascii="Arial" w:eastAsia="Times New Roman" w:hAnsi="Arial" w:cs="Arial"/>
              <w:sz w:val="24"/>
              <w:szCs w:val="24"/>
              <w:lang w:eastAsia="en-GB"/>
            </w:rPr>
            <w:t xml:space="preserve">, Herzberg’s Two-Factor Theory was used to assess employee motivation during the organisational change. Although Dow continued to provide employee benefits and financial incentives, many employees still experienced reduced motivation and engagement due to </w:t>
          </w:r>
          <w:r w:rsidR="00BB7C9F">
            <w:rPr>
              <w:rFonts w:ascii="Arial" w:eastAsia="Times New Roman" w:hAnsi="Arial" w:cs="Arial"/>
              <w:sz w:val="24"/>
              <w:szCs w:val="24"/>
              <w:lang w:eastAsia="en-GB"/>
            </w:rPr>
            <w:t>instability</w:t>
          </w:r>
          <w:r w:rsidRPr="00435096">
            <w:rPr>
              <w:rFonts w:ascii="Arial" w:eastAsia="Times New Roman" w:hAnsi="Arial" w:cs="Arial"/>
              <w:sz w:val="24"/>
              <w:szCs w:val="24"/>
              <w:lang w:eastAsia="en-GB"/>
            </w:rPr>
            <w:t xml:space="preserve"> and limited career opportunities. However, support measures and opportunities within the new organisation helped maintain morale for </w:t>
          </w:r>
          <w:r w:rsidR="00BB7C9F">
            <w:rPr>
              <w:rFonts w:ascii="Arial" w:eastAsia="Times New Roman" w:hAnsi="Arial" w:cs="Arial"/>
              <w:sz w:val="24"/>
              <w:szCs w:val="24"/>
              <w:lang w:eastAsia="en-GB"/>
            </w:rPr>
            <w:t>most</w:t>
          </w:r>
          <w:r w:rsidRPr="00435096">
            <w:rPr>
              <w:rFonts w:ascii="Arial" w:eastAsia="Times New Roman" w:hAnsi="Arial" w:cs="Arial"/>
              <w:sz w:val="24"/>
              <w:szCs w:val="24"/>
              <w:lang w:eastAsia="en-GB"/>
            </w:rPr>
            <w:t xml:space="preserve"> employees.</w:t>
          </w:r>
        </w:p>
        <w:p w14:paraId="3456BAA0" w14:textId="7273FC5A" w:rsidR="00435096" w:rsidRDefault="00435096" w:rsidP="00435096">
          <w:pPr>
            <w:spacing w:before="100" w:beforeAutospacing="1" w:after="100" w:afterAutospacing="1" w:line="360" w:lineRule="auto"/>
            <w:rPr>
              <w:rFonts w:ascii="Arial" w:eastAsia="Times New Roman" w:hAnsi="Arial" w:cs="Arial"/>
              <w:sz w:val="24"/>
              <w:szCs w:val="24"/>
              <w:lang w:eastAsia="en-GB"/>
            </w:rPr>
          </w:pPr>
          <w:r w:rsidRPr="00435096">
            <w:rPr>
              <w:rFonts w:ascii="Arial" w:eastAsia="Times New Roman" w:hAnsi="Arial" w:cs="Arial"/>
              <w:sz w:val="24"/>
              <w:szCs w:val="24"/>
              <w:lang w:eastAsia="en-GB"/>
            </w:rPr>
            <w:lastRenderedPageBreak/>
            <w:t>Overall, the report finds that although the closure has had a significant impact on employees and the wider community, Dow has used several structured change management approaches to support the transition. The long-term success of the change will depend on how effectively the company continues to support employees, maintain trust, and manage the remaining stages of the restructuring process.</w:t>
          </w:r>
        </w:p>
        <w:p w14:paraId="72DBE26E" w14:textId="77777777" w:rsidR="001F305E" w:rsidRPr="001F305E" w:rsidRDefault="001F305E">
          <w:pPr>
            <w:rPr>
              <w:b/>
              <w:bCs/>
            </w:rPr>
          </w:pPr>
        </w:p>
        <w:sdt>
          <w:sdtPr>
            <w:rPr>
              <w:rFonts w:asciiTheme="minorHAnsi" w:eastAsiaTheme="minorHAnsi" w:hAnsiTheme="minorHAnsi" w:cstheme="minorBidi"/>
              <w:color w:val="auto"/>
              <w:sz w:val="22"/>
              <w:szCs w:val="22"/>
              <w:lang w:val="en-GB"/>
            </w:rPr>
            <w:id w:val="1006482637"/>
            <w:docPartObj>
              <w:docPartGallery w:val="Table of Contents"/>
              <w:docPartUnique/>
            </w:docPartObj>
          </w:sdtPr>
          <w:sdtEndPr>
            <w:rPr>
              <w:b/>
              <w:bCs/>
              <w:noProof/>
            </w:rPr>
          </w:sdtEndPr>
          <w:sdtContent>
            <w:p w14:paraId="06424A31" w14:textId="43A4A29B" w:rsidR="00CD2B59" w:rsidRDefault="00CD2B59">
              <w:pPr>
                <w:pStyle w:val="TOCHeading"/>
              </w:pPr>
              <w:r>
                <w:t>Table of Contents</w:t>
              </w:r>
            </w:p>
            <w:p w14:paraId="07F905BE" w14:textId="746D65C4" w:rsidR="00E00015" w:rsidRDefault="00CD2B5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9424560" w:history="1">
                <w:r w:rsidR="00E00015" w:rsidRPr="00C960FA">
                  <w:rPr>
                    <w:rStyle w:val="Hyperlink"/>
                    <w:noProof/>
                  </w:rPr>
                  <w:t>Executive Summary</w:t>
                </w:r>
                <w:r w:rsidR="00E00015">
                  <w:rPr>
                    <w:noProof/>
                    <w:webHidden/>
                  </w:rPr>
                  <w:tab/>
                </w:r>
                <w:r w:rsidR="00E00015">
                  <w:rPr>
                    <w:noProof/>
                    <w:webHidden/>
                  </w:rPr>
                  <w:fldChar w:fldCharType="begin"/>
                </w:r>
                <w:r w:rsidR="00E00015">
                  <w:rPr>
                    <w:noProof/>
                    <w:webHidden/>
                  </w:rPr>
                  <w:instrText xml:space="preserve"> PAGEREF _Toc229424560 \h </w:instrText>
                </w:r>
                <w:r w:rsidR="00E00015">
                  <w:rPr>
                    <w:noProof/>
                    <w:webHidden/>
                  </w:rPr>
                </w:r>
                <w:r w:rsidR="00E00015">
                  <w:rPr>
                    <w:noProof/>
                    <w:webHidden/>
                  </w:rPr>
                  <w:fldChar w:fldCharType="separate"/>
                </w:r>
                <w:r w:rsidR="00E00015">
                  <w:rPr>
                    <w:noProof/>
                    <w:webHidden/>
                  </w:rPr>
                  <w:t>1</w:t>
                </w:r>
                <w:r w:rsidR="00E00015">
                  <w:rPr>
                    <w:noProof/>
                    <w:webHidden/>
                  </w:rPr>
                  <w:fldChar w:fldCharType="end"/>
                </w:r>
              </w:hyperlink>
            </w:p>
            <w:p w14:paraId="775DF8DA" w14:textId="52B65D6E" w:rsidR="00E00015" w:rsidRDefault="00E00015">
              <w:pPr>
                <w:pStyle w:val="TOC1"/>
                <w:tabs>
                  <w:tab w:val="right" w:leader="dot" w:pos="9016"/>
                </w:tabs>
                <w:rPr>
                  <w:rFonts w:eastAsiaTheme="minorEastAsia"/>
                  <w:noProof/>
                  <w:lang w:eastAsia="en-GB"/>
                </w:rPr>
              </w:pPr>
              <w:hyperlink w:anchor="_Toc229424561" w:history="1">
                <w:r w:rsidRPr="00C960FA">
                  <w:rPr>
                    <w:rStyle w:val="Hyperlink"/>
                    <w:noProof/>
                  </w:rPr>
                  <w:t>Introduction</w:t>
                </w:r>
                <w:r>
                  <w:rPr>
                    <w:noProof/>
                    <w:webHidden/>
                  </w:rPr>
                  <w:tab/>
                </w:r>
                <w:r>
                  <w:rPr>
                    <w:noProof/>
                    <w:webHidden/>
                  </w:rPr>
                  <w:fldChar w:fldCharType="begin"/>
                </w:r>
                <w:r>
                  <w:rPr>
                    <w:noProof/>
                    <w:webHidden/>
                  </w:rPr>
                  <w:instrText xml:space="preserve"> PAGEREF _Toc229424561 \h </w:instrText>
                </w:r>
                <w:r>
                  <w:rPr>
                    <w:noProof/>
                    <w:webHidden/>
                  </w:rPr>
                </w:r>
                <w:r>
                  <w:rPr>
                    <w:noProof/>
                    <w:webHidden/>
                  </w:rPr>
                  <w:fldChar w:fldCharType="separate"/>
                </w:r>
                <w:r>
                  <w:rPr>
                    <w:noProof/>
                    <w:webHidden/>
                  </w:rPr>
                  <w:t>3</w:t>
                </w:r>
                <w:r>
                  <w:rPr>
                    <w:noProof/>
                    <w:webHidden/>
                  </w:rPr>
                  <w:fldChar w:fldCharType="end"/>
                </w:r>
              </w:hyperlink>
            </w:p>
            <w:p w14:paraId="6B20B130" w14:textId="00BBEBD1" w:rsidR="00E00015" w:rsidRDefault="00E00015">
              <w:pPr>
                <w:pStyle w:val="TOC1"/>
                <w:tabs>
                  <w:tab w:val="right" w:leader="dot" w:pos="9016"/>
                </w:tabs>
                <w:rPr>
                  <w:rFonts w:eastAsiaTheme="minorEastAsia"/>
                  <w:noProof/>
                  <w:lang w:eastAsia="en-GB"/>
                </w:rPr>
              </w:pPr>
              <w:hyperlink w:anchor="_Toc229424562" w:history="1">
                <w:r w:rsidRPr="00C960FA">
                  <w:rPr>
                    <w:rStyle w:val="Hyperlink"/>
                    <w:noProof/>
                  </w:rPr>
                  <w:t>Main findings</w:t>
                </w:r>
                <w:r>
                  <w:rPr>
                    <w:noProof/>
                    <w:webHidden/>
                  </w:rPr>
                  <w:tab/>
                </w:r>
                <w:r>
                  <w:rPr>
                    <w:noProof/>
                    <w:webHidden/>
                  </w:rPr>
                  <w:fldChar w:fldCharType="begin"/>
                </w:r>
                <w:r>
                  <w:rPr>
                    <w:noProof/>
                    <w:webHidden/>
                  </w:rPr>
                  <w:instrText xml:space="preserve"> PAGEREF _Toc229424562 \h </w:instrText>
                </w:r>
                <w:r>
                  <w:rPr>
                    <w:noProof/>
                    <w:webHidden/>
                  </w:rPr>
                </w:r>
                <w:r>
                  <w:rPr>
                    <w:noProof/>
                    <w:webHidden/>
                  </w:rPr>
                  <w:fldChar w:fldCharType="separate"/>
                </w:r>
                <w:r>
                  <w:rPr>
                    <w:noProof/>
                    <w:webHidden/>
                  </w:rPr>
                  <w:t>3</w:t>
                </w:r>
                <w:r>
                  <w:rPr>
                    <w:noProof/>
                    <w:webHidden/>
                  </w:rPr>
                  <w:fldChar w:fldCharType="end"/>
                </w:r>
              </w:hyperlink>
            </w:p>
            <w:p w14:paraId="603A7127" w14:textId="4EB082EE" w:rsidR="00E00015" w:rsidRDefault="00E00015">
              <w:pPr>
                <w:pStyle w:val="TOC2"/>
                <w:tabs>
                  <w:tab w:val="right" w:leader="dot" w:pos="9016"/>
                </w:tabs>
                <w:rPr>
                  <w:rFonts w:eastAsiaTheme="minorEastAsia"/>
                  <w:noProof/>
                  <w:lang w:eastAsia="en-GB"/>
                </w:rPr>
              </w:pPr>
              <w:hyperlink w:anchor="_Toc229424563" w:history="1">
                <w:r w:rsidRPr="00C960FA">
                  <w:rPr>
                    <w:rStyle w:val="Hyperlink"/>
                    <w:noProof/>
                  </w:rPr>
                  <w:t>Response to the closure</w:t>
                </w:r>
                <w:r>
                  <w:rPr>
                    <w:noProof/>
                    <w:webHidden/>
                  </w:rPr>
                  <w:tab/>
                </w:r>
                <w:r>
                  <w:rPr>
                    <w:noProof/>
                    <w:webHidden/>
                  </w:rPr>
                  <w:fldChar w:fldCharType="begin"/>
                </w:r>
                <w:r>
                  <w:rPr>
                    <w:noProof/>
                    <w:webHidden/>
                  </w:rPr>
                  <w:instrText xml:space="preserve"> PAGEREF _Toc229424563 \h </w:instrText>
                </w:r>
                <w:r>
                  <w:rPr>
                    <w:noProof/>
                    <w:webHidden/>
                  </w:rPr>
                </w:r>
                <w:r>
                  <w:rPr>
                    <w:noProof/>
                    <w:webHidden/>
                  </w:rPr>
                  <w:fldChar w:fldCharType="separate"/>
                </w:r>
                <w:r>
                  <w:rPr>
                    <w:noProof/>
                    <w:webHidden/>
                  </w:rPr>
                  <w:t>4</w:t>
                </w:r>
                <w:r>
                  <w:rPr>
                    <w:noProof/>
                    <w:webHidden/>
                  </w:rPr>
                  <w:fldChar w:fldCharType="end"/>
                </w:r>
              </w:hyperlink>
            </w:p>
            <w:p w14:paraId="3D13C29B" w14:textId="20CE1CB7" w:rsidR="00E00015" w:rsidRDefault="00E00015">
              <w:pPr>
                <w:pStyle w:val="TOC1"/>
                <w:tabs>
                  <w:tab w:val="right" w:leader="dot" w:pos="9016"/>
                </w:tabs>
                <w:rPr>
                  <w:rFonts w:eastAsiaTheme="minorEastAsia"/>
                  <w:noProof/>
                  <w:lang w:eastAsia="en-GB"/>
                </w:rPr>
              </w:pPr>
              <w:hyperlink w:anchor="_Toc229424564" w:history="1">
                <w:r w:rsidRPr="00C960FA">
                  <w:rPr>
                    <w:rStyle w:val="Hyperlink"/>
                    <w:noProof/>
                  </w:rPr>
                  <w:t>Lewin’s force field analysis</w:t>
                </w:r>
                <w:r>
                  <w:rPr>
                    <w:noProof/>
                    <w:webHidden/>
                  </w:rPr>
                  <w:tab/>
                </w:r>
                <w:r>
                  <w:rPr>
                    <w:noProof/>
                    <w:webHidden/>
                  </w:rPr>
                  <w:fldChar w:fldCharType="begin"/>
                </w:r>
                <w:r>
                  <w:rPr>
                    <w:noProof/>
                    <w:webHidden/>
                  </w:rPr>
                  <w:instrText xml:space="preserve"> PAGEREF _Toc229424564 \h </w:instrText>
                </w:r>
                <w:r>
                  <w:rPr>
                    <w:noProof/>
                    <w:webHidden/>
                  </w:rPr>
                </w:r>
                <w:r>
                  <w:rPr>
                    <w:noProof/>
                    <w:webHidden/>
                  </w:rPr>
                  <w:fldChar w:fldCharType="separate"/>
                </w:r>
                <w:r>
                  <w:rPr>
                    <w:noProof/>
                    <w:webHidden/>
                  </w:rPr>
                  <w:t>5</w:t>
                </w:r>
                <w:r>
                  <w:rPr>
                    <w:noProof/>
                    <w:webHidden/>
                  </w:rPr>
                  <w:fldChar w:fldCharType="end"/>
                </w:r>
              </w:hyperlink>
            </w:p>
            <w:p w14:paraId="3A1D7B31" w14:textId="714CC091" w:rsidR="00E00015" w:rsidRDefault="00E00015">
              <w:pPr>
                <w:pStyle w:val="TOC2"/>
                <w:tabs>
                  <w:tab w:val="right" w:leader="dot" w:pos="9016"/>
                </w:tabs>
                <w:rPr>
                  <w:rFonts w:eastAsiaTheme="minorEastAsia"/>
                  <w:noProof/>
                  <w:lang w:eastAsia="en-GB"/>
                </w:rPr>
              </w:pPr>
              <w:hyperlink w:anchor="_Toc229424565" w:history="1">
                <w:r w:rsidRPr="00C960FA">
                  <w:rPr>
                    <w:rStyle w:val="Hyperlink"/>
                    <w:noProof/>
                  </w:rPr>
                  <w:t>Driving forces behind the closure</w:t>
                </w:r>
                <w:r>
                  <w:rPr>
                    <w:noProof/>
                    <w:webHidden/>
                  </w:rPr>
                  <w:tab/>
                </w:r>
                <w:r>
                  <w:rPr>
                    <w:noProof/>
                    <w:webHidden/>
                  </w:rPr>
                  <w:fldChar w:fldCharType="begin"/>
                </w:r>
                <w:r>
                  <w:rPr>
                    <w:noProof/>
                    <w:webHidden/>
                  </w:rPr>
                  <w:instrText xml:space="preserve"> PAGEREF _Toc229424565 \h </w:instrText>
                </w:r>
                <w:r>
                  <w:rPr>
                    <w:noProof/>
                    <w:webHidden/>
                  </w:rPr>
                </w:r>
                <w:r>
                  <w:rPr>
                    <w:noProof/>
                    <w:webHidden/>
                  </w:rPr>
                  <w:fldChar w:fldCharType="separate"/>
                </w:r>
                <w:r>
                  <w:rPr>
                    <w:noProof/>
                    <w:webHidden/>
                  </w:rPr>
                  <w:t>6</w:t>
                </w:r>
                <w:r>
                  <w:rPr>
                    <w:noProof/>
                    <w:webHidden/>
                  </w:rPr>
                  <w:fldChar w:fldCharType="end"/>
                </w:r>
              </w:hyperlink>
            </w:p>
            <w:p w14:paraId="180BDA33" w14:textId="086C86CD" w:rsidR="00E00015" w:rsidRDefault="00E00015">
              <w:pPr>
                <w:pStyle w:val="TOC2"/>
                <w:tabs>
                  <w:tab w:val="right" w:leader="dot" w:pos="9016"/>
                </w:tabs>
                <w:rPr>
                  <w:rFonts w:eastAsiaTheme="minorEastAsia"/>
                  <w:noProof/>
                  <w:lang w:eastAsia="en-GB"/>
                </w:rPr>
              </w:pPr>
              <w:hyperlink w:anchor="_Toc229424566" w:history="1">
                <w:r w:rsidRPr="00C960FA">
                  <w:rPr>
                    <w:rStyle w:val="Hyperlink"/>
                    <w:noProof/>
                  </w:rPr>
                  <w:t>Resisting forces behind the closure</w:t>
                </w:r>
                <w:r>
                  <w:rPr>
                    <w:noProof/>
                    <w:webHidden/>
                  </w:rPr>
                  <w:tab/>
                </w:r>
                <w:r>
                  <w:rPr>
                    <w:noProof/>
                    <w:webHidden/>
                  </w:rPr>
                  <w:fldChar w:fldCharType="begin"/>
                </w:r>
                <w:r>
                  <w:rPr>
                    <w:noProof/>
                    <w:webHidden/>
                  </w:rPr>
                  <w:instrText xml:space="preserve"> PAGEREF _Toc229424566 \h </w:instrText>
                </w:r>
                <w:r>
                  <w:rPr>
                    <w:noProof/>
                    <w:webHidden/>
                  </w:rPr>
                </w:r>
                <w:r>
                  <w:rPr>
                    <w:noProof/>
                    <w:webHidden/>
                  </w:rPr>
                  <w:fldChar w:fldCharType="separate"/>
                </w:r>
                <w:r>
                  <w:rPr>
                    <w:noProof/>
                    <w:webHidden/>
                  </w:rPr>
                  <w:t>7</w:t>
                </w:r>
                <w:r>
                  <w:rPr>
                    <w:noProof/>
                    <w:webHidden/>
                  </w:rPr>
                  <w:fldChar w:fldCharType="end"/>
                </w:r>
              </w:hyperlink>
            </w:p>
            <w:p w14:paraId="19BE9060" w14:textId="56CC4297" w:rsidR="00E00015" w:rsidRDefault="00E00015">
              <w:pPr>
                <w:pStyle w:val="TOC2"/>
                <w:tabs>
                  <w:tab w:val="right" w:leader="dot" w:pos="9016"/>
                </w:tabs>
                <w:rPr>
                  <w:rFonts w:eastAsiaTheme="minorEastAsia"/>
                  <w:noProof/>
                  <w:lang w:eastAsia="en-GB"/>
                </w:rPr>
              </w:pPr>
              <w:hyperlink w:anchor="_Toc229424567" w:history="1">
                <w:r w:rsidRPr="00C960FA">
                  <w:rPr>
                    <w:rStyle w:val="Hyperlink"/>
                    <w:noProof/>
                  </w:rPr>
                  <w:t>Lewin’s three-step change management model</w:t>
                </w:r>
                <w:r>
                  <w:rPr>
                    <w:noProof/>
                    <w:webHidden/>
                  </w:rPr>
                  <w:tab/>
                </w:r>
                <w:r>
                  <w:rPr>
                    <w:noProof/>
                    <w:webHidden/>
                  </w:rPr>
                  <w:fldChar w:fldCharType="begin"/>
                </w:r>
                <w:r>
                  <w:rPr>
                    <w:noProof/>
                    <w:webHidden/>
                  </w:rPr>
                  <w:instrText xml:space="preserve"> PAGEREF _Toc229424567 \h </w:instrText>
                </w:r>
                <w:r>
                  <w:rPr>
                    <w:noProof/>
                    <w:webHidden/>
                  </w:rPr>
                </w:r>
                <w:r>
                  <w:rPr>
                    <w:noProof/>
                    <w:webHidden/>
                  </w:rPr>
                  <w:fldChar w:fldCharType="separate"/>
                </w:r>
                <w:r>
                  <w:rPr>
                    <w:noProof/>
                    <w:webHidden/>
                  </w:rPr>
                  <w:t>7</w:t>
                </w:r>
                <w:r>
                  <w:rPr>
                    <w:noProof/>
                    <w:webHidden/>
                  </w:rPr>
                  <w:fldChar w:fldCharType="end"/>
                </w:r>
              </w:hyperlink>
            </w:p>
            <w:p w14:paraId="3EB56F0B" w14:textId="3EEAEE30" w:rsidR="00E00015" w:rsidRDefault="00E00015">
              <w:pPr>
                <w:pStyle w:val="TOC1"/>
                <w:tabs>
                  <w:tab w:val="right" w:leader="dot" w:pos="9016"/>
                </w:tabs>
                <w:rPr>
                  <w:rFonts w:eastAsiaTheme="minorEastAsia"/>
                  <w:noProof/>
                  <w:lang w:eastAsia="en-GB"/>
                </w:rPr>
              </w:pPr>
              <w:hyperlink w:anchor="_Toc229424568" w:history="1">
                <w:r w:rsidRPr="00C960FA">
                  <w:rPr>
                    <w:rStyle w:val="Hyperlink"/>
                    <w:noProof/>
                  </w:rPr>
                  <w:t>Herzberg’s Two-Factor theory</w:t>
                </w:r>
                <w:r>
                  <w:rPr>
                    <w:noProof/>
                    <w:webHidden/>
                  </w:rPr>
                  <w:tab/>
                </w:r>
                <w:r>
                  <w:rPr>
                    <w:noProof/>
                    <w:webHidden/>
                  </w:rPr>
                  <w:fldChar w:fldCharType="begin"/>
                </w:r>
                <w:r>
                  <w:rPr>
                    <w:noProof/>
                    <w:webHidden/>
                  </w:rPr>
                  <w:instrText xml:space="preserve"> PAGEREF _Toc229424568 \h </w:instrText>
                </w:r>
                <w:r>
                  <w:rPr>
                    <w:noProof/>
                    <w:webHidden/>
                  </w:rPr>
                </w:r>
                <w:r>
                  <w:rPr>
                    <w:noProof/>
                    <w:webHidden/>
                  </w:rPr>
                  <w:fldChar w:fldCharType="separate"/>
                </w:r>
                <w:r>
                  <w:rPr>
                    <w:noProof/>
                    <w:webHidden/>
                  </w:rPr>
                  <w:t>8</w:t>
                </w:r>
                <w:r>
                  <w:rPr>
                    <w:noProof/>
                    <w:webHidden/>
                  </w:rPr>
                  <w:fldChar w:fldCharType="end"/>
                </w:r>
              </w:hyperlink>
            </w:p>
            <w:p w14:paraId="5171CD5D" w14:textId="797FB3F1" w:rsidR="00E00015" w:rsidRDefault="00E00015">
              <w:pPr>
                <w:pStyle w:val="TOC2"/>
                <w:tabs>
                  <w:tab w:val="right" w:leader="dot" w:pos="9016"/>
                </w:tabs>
                <w:rPr>
                  <w:rFonts w:eastAsiaTheme="minorEastAsia"/>
                  <w:noProof/>
                  <w:lang w:eastAsia="en-GB"/>
                </w:rPr>
              </w:pPr>
              <w:hyperlink w:anchor="_Toc229424569" w:history="1">
                <w:r w:rsidRPr="00C960FA">
                  <w:rPr>
                    <w:rStyle w:val="Hyperlink"/>
                    <w:noProof/>
                  </w:rPr>
                  <w:t>Top-Down Change</w:t>
                </w:r>
                <w:r>
                  <w:rPr>
                    <w:noProof/>
                    <w:webHidden/>
                  </w:rPr>
                  <w:tab/>
                </w:r>
                <w:r>
                  <w:rPr>
                    <w:noProof/>
                    <w:webHidden/>
                  </w:rPr>
                  <w:fldChar w:fldCharType="begin"/>
                </w:r>
                <w:r>
                  <w:rPr>
                    <w:noProof/>
                    <w:webHidden/>
                  </w:rPr>
                  <w:instrText xml:space="preserve"> PAGEREF _Toc229424569 \h </w:instrText>
                </w:r>
                <w:r>
                  <w:rPr>
                    <w:noProof/>
                    <w:webHidden/>
                  </w:rPr>
                </w:r>
                <w:r>
                  <w:rPr>
                    <w:noProof/>
                    <w:webHidden/>
                  </w:rPr>
                  <w:fldChar w:fldCharType="separate"/>
                </w:r>
                <w:r>
                  <w:rPr>
                    <w:noProof/>
                    <w:webHidden/>
                  </w:rPr>
                  <w:t>10</w:t>
                </w:r>
                <w:r>
                  <w:rPr>
                    <w:noProof/>
                    <w:webHidden/>
                  </w:rPr>
                  <w:fldChar w:fldCharType="end"/>
                </w:r>
              </w:hyperlink>
            </w:p>
            <w:p w14:paraId="15E056DC" w14:textId="3DAE0954" w:rsidR="00E00015" w:rsidRDefault="00E00015">
              <w:pPr>
                <w:pStyle w:val="TOC1"/>
                <w:tabs>
                  <w:tab w:val="right" w:leader="dot" w:pos="9016"/>
                </w:tabs>
                <w:rPr>
                  <w:rFonts w:eastAsiaTheme="minorEastAsia"/>
                  <w:noProof/>
                  <w:lang w:eastAsia="en-GB"/>
                </w:rPr>
              </w:pPr>
              <w:hyperlink w:anchor="_Toc229424570" w:history="1">
                <w:r w:rsidRPr="00C960FA">
                  <w:rPr>
                    <w:rStyle w:val="Hyperlink"/>
                    <w:noProof/>
                  </w:rPr>
                  <w:t>Conclusion</w:t>
                </w:r>
                <w:r>
                  <w:rPr>
                    <w:noProof/>
                    <w:webHidden/>
                  </w:rPr>
                  <w:tab/>
                </w:r>
                <w:r>
                  <w:rPr>
                    <w:noProof/>
                    <w:webHidden/>
                  </w:rPr>
                  <w:fldChar w:fldCharType="begin"/>
                </w:r>
                <w:r>
                  <w:rPr>
                    <w:noProof/>
                    <w:webHidden/>
                  </w:rPr>
                  <w:instrText xml:space="preserve"> PAGEREF _Toc229424570 \h </w:instrText>
                </w:r>
                <w:r>
                  <w:rPr>
                    <w:noProof/>
                    <w:webHidden/>
                  </w:rPr>
                </w:r>
                <w:r>
                  <w:rPr>
                    <w:noProof/>
                    <w:webHidden/>
                  </w:rPr>
                  <w:fldChar w:fldCharType="separate"/>
                </w:r>
                <w:r>
                  <w:rPr>
                    <w:noProof/>
                    <w:webHidden/>
                  </w:rPr>
                  <w:t>12</w:t>
                </w:r>
                <w:r>
                  <w:rPr>
                    <w:noProof/>
                    <w:webHidden/>
                  </w:rPr>
                  <w:fldChar w:fldCharType="end"/>
                </w:r>
              </w:hyperlink>
            </w:p>
            <w:p w14:paraId="5A70E2E1" w14:textId="300574E3" w:rsidR="00E00015" w:rsidRDefault="00E00015">
              <w:pPr>
                <w:pStyle w:val="TOC1"/>
                <w:tabs>
                  <w:tab w:val="right" w:leader="dot" w:pos="9016"/>
                </w:tabs>
                <w:rPr>
                  <w:rFonts w:eastAsiaTheme="minorEastAsia"/>
                  <w:noProof/>
                  <w:lang w:eastAsia="en-GB"/>
                </w:rPr>
              </w:pPr>
              <w:hyperlink w:anchor="_Toc229424571" w:history="1">
                <w:r w:rsidRPr="00C960FA">
                  <w:rPr>
                    <w:rStyle w:val="Hyperlink"/>
                    <w:noProof/>
                  </w:rPr>
                  <w:t>Bibliography</w:t>
                </w:r>
                <w:r>
                  <w:rPr>
                    <w:noProof/>
                    <w:webHidden/>
                  </w:rPr>
                  <w:tab/>
                </w:r>
                <w:r>
                  <w:rPr>
                    <w:noProof/>
                    <w:webHidden/>
                  </w:rPr>
                  <w:fldChar w:fldCharType="begin"/>
                </w:r>
                <w:r>
                  <w:rPr>
                    <w:noProof/>
                    <w:webHidden/>
                  </w:rPr>
                  <w:instrText xml:space="preserve"> PAGEREF _Toc229424571 \h </w:instrText>
                </w:r>
                <w:r>
                  <w:rPr>
                    <w:noProof/>
                    <w:webHidden/>
                  </w:rPr>
                </w:r>
                <w:r>
                  <w:rPr>
                    <w:noProof/>
                    <w:webHidden/>
                  </w:rPr>
                  <w:fldChar w:fldCharType="separate"/>
                </w:r>
                <w:r>
                  <w:rPr>
                    <w:noProof/>
                    <w:webHidden/>
                  </w:rPr>
                  <w:t>12</w:t>
                </w:r>
                <w:r>
                  <w:rPr>
                    <w:noProof/>
                    <w:webHidden/>
                  </w:rPr>
                  <w:fldChar w:fldCharType="end"/>
                </w:r>
              </w:hyperlink>
            </w:p>
            <w:p w14:paraId="3824E017" w14:textId="37BCAAFB" w:rsidR="00CD2B59" w:rsidRDefault="00CD2B59">
              <w:r>
                <w:rPr>
                  <w:b/>
                  <w:bCs/>
                  <w:noProof/>
                </w:rPr>
                <w:fldChar w:fldCharType="end"/>
              </w:r>
            </w:p>
          </w:sdtContent>
        </w:sdt>
        <w:p w14:paraId="6846CF66" w14:textId="7581BBBD" w:rsidR="007D1947" w:rsidRDefault="007D1947"/>
        <w:p w14:paraId="0D0C380D" w14:textId="28CEFDE7" w:rsidR="00CD2B59" w:rsidRDefault="00CD2B59"/>
        <w:p w14:paraId="27EF3CB8" w14:textId="1FF9225B" w:rsidR="00CD2B59" w:rsidRDefault="00CD2B59"/>
        <w:p w14:paraId="33A7C9C9" w14:textId="46F4FDDC" w:rsidR="00CD2B59" w:rsidRDefault="00CD2B59"/>
        <w:p w14:paraId="3FBBB298" w14:textId="1EBF4A9C" w:rsidR="00CD2B59" w:rsidRDefault="00CD2B59"/>
        <w:p w14:paraId="2B9E10E6" w14:textId="69FB134E" w:rsidR="00CD2B59" w:rsidRDefault="00CD2B59"/>
        <w:p w14:paraId="602089AD" w14:textId="5B4E92BB" w:rsidR="00CD2B59" w:rsidRDefault="00CD2B59"/>
        <w:p w14:paraId="705FE473" w14:textId="29CC0BC9" w:rsidR="00CD2B59" w:rsidRDefault="00CD2B59"/>
        <w:p w14:paraId="13ECE92D" w14:textId="02BA1DF2" w:rsidR="00CD2B59" w:rsidRDefault="00CD2B59"/>
        <w:p w14:paraId="391B820A" w14:textId="6F588B28" w:rsidR="00CD2B59" w:rsidRDefault="00CD2B59"/>
        <w:p w14:paraId="32DF5FFD" w14:textId="3E723A76" w:rsidR="00CD2B59" w:rsidRDefault="00CD2B59"/>
        <w:p w14:paraId="159D8E05" w14:textId="0F23FF3A" w:rsidR="00924F03" w:rsidRDefault="00924F03" w:rsidP="00924F03">
          <w:pPr>
            <w:pStyle w:val="Heading1"/>
          </w:pPr>
          <w:bookmarkStart w:id="3" w:name="_Toc229248448"/>
          <w:bookmarkStart w:id="4" w:name="_Toc229424561"/>
          <w:r w:rsidRPr="00924F03">
            <w:lastRenderedPageBreak/>
            <w:t>Introduction</w:t>
          </w:r>
          <w:bookmarkEnd w:id="3"/>
          <w:bookmarkEnd w:id="4"/>
          <w:r w:rsidRPr="00924F03">
            <w:t xml:space="preserve"> </w:t>
          </w:r>
        </w:p>
        <w:p w14:paraId="7302FEC7" w14:textId="77777777" w:rsidR="00924F03" w:rsidRPr="00924F03" w:rsidRDefault="00924F03" w:rsidP="00924F03"/>
        <w:p w14:paraId="2BBC86BA" w14:textId="08545F63" w:rsidR="00924F03" w:rsidRPr="000C24B6" w:rsidRDefault="00E00015" w:rsidP="00924F03">
          <w:pPr>
            <w:spacing w:line="360" w:lineRule="auto"/>
            <w:rPr>
              <w:rFonts w:ascii="Arial" w:hAnsi="Arial" w:cs="Arial"/>
              <w:sz w:val="24"/>
              <w:szCs w:val="24"/>
            </w:rPr>
          </w:pPr>
          <w:hyperlink r:id="rId13" w:history="1">
            <w:r w:rsidR="00924F03" w:rsidRPr="000C24B6">
              <w:rPr>
                <w:rFonts w:ascii="Arial" w:hAnsi="Arial" w:cs="Arial"/>
                <w:sz w:val="24"/>
                <w:szCs w:val="24"/>
              </w:rPr>
              <w:t>Dow Silicones UK Limited, located in Barry</w:t>
            </w:r>
          </w:hyperlink>
          <w:r w:rsidR="00924F03" w:rsidRPr="000C24B6">
            <w:rPr>
              <w:rFonts w:ascii="Arial" w:hAnsi="Arial" w:cs="Arial"/>
              <w:sz w:val="24"/>
              <w:szCs w:val="24"/>
            </w:rPr>
            <w:t>, South Wales, is an important</w:t>
          </w:r>
          <w:r w:rsidR="004309E1">
            <w:rPr>
              <w:rFonts w:ascii="Arial" w:hAnsi="Arial" w:cs="Arial"/>
              <w:sz w:val="24"/>
              <w:szCs w:val="24"/>
            </w:rPr>
            <w:t>, long-standing, and</w:t>
          </w:r>
          <w:r w:rsidR="00924F03" w:rsidRPr="000C24B6">
            <w:rPr>
              <w:rFonts w:ascii="Arial" w:hAnsi="Arial" w:cs="Arial"/>
              <w:sz w:val="24"/>
              <w:szCs w:val="24"/>
            </w:rPr>
            <w:t xml:space="preserve"> successful manufacturing site for silicon-based products. Since 1941, the facility has played a key role in Dow's supply chain across Europe, the Middle East, Africa, and India. It produces silicones used in electronics, automotive parts, cosmetics and more. Dow Silicones Barry employs approximately 850 employees and contractors to operate the site </w:t>
          </w:r>
          <w:r w:rsidR="004309E1">
            <w:rPr>
              <w:rFonts w:ascii="Arial" w:hAnsi="Arial" w:cs="Arial"/>
              <w:sz w:val="24"/>
              <w:szCs w:val="24"/>
            </w:rPr>
            <w:t>twenty-four</w:t>
          </w:r>
          <w:r w:rsidR="00924F03" w:rsidRPr="000C24B6">
            <w:rPr>
              <w:rFonts w:ascii="Arial" w:hAnsi="Arial" w:cs="Arial"/>
              <w:sz w:val="24"/>
              <w:szCs w:val="24"/>
            </w:rPr>
            <w:t xml:space="preserve"> hours, </w:t>
          </w:r>
          <w:r w:rsidR="004309E1">
            <w:rPr>
              <w:rFonts w:ascii="Arial" w:hAnsi="Arial" w:cs="Arial"/>
              <w:sz w:val="24"/>
              <w:szCs w:val="24"/>
            </w:rPr>
            <w:t xml:space="preserve">seven </w:t>
          </w:r>
          <w:r w:rsidR="00924F03" w:rsidRPr="000C24B6">
            <w:rPr>
              <w:rFonts w:ascii="Arial" w:hAnsi="Arial" w:cs="Arial"/>
              <w:sz w:val="24"/>
              <w:szCs w:val="24"/>
            </w:rPr>
            <w:t>days a week</w:t>
          </w:r>
          <w:sdt>
            <w:sdtPr>
              <w:rPr>
                <w:rFonts w:ascii="Arial" w:hAnsi="Arial" w:cs="Arial"/>
                <w:sz w:val="24"/>
                <w:szCs w:val="24"/>
              </w:rPr>
              <w:id w:val="-2090915962"/>
              <w:citation/>
            </w:sdtPr>
            <w:sdtEndPr/>
            <w:sdtContent>
              <w:r w:rsidR="00924F03" w:rsidRPr="000C24B6">
                <w:rPr>
                  <w:rFonts w:ascii="Arial" w:hAnsi="Arial" w:cs="Arial"/>
                  <w:sz w:val="24"/>
                  <w:szCs w:val="24"/>
                </w:rPr>
                <w:fldChar w:fldCharType="begin"/>
              </w:r>
              <w:r w:rsidR="00924F03" w:rsidRPr="000C24B6">
                <w:rPr>
                  <w:rFonts w:ascii="Arial" w:hAnsi="Arial" w:cs="Arial"/>
                  <w:sz w:val="24"/>
                  <w:szCs w:val="24"/>
                </w:rPr>
                <w:instrText xml:space="preserve">CITATION Dow26 \l 2057 </w:instrText>
              </w:r>
              <w:r w:rsidR="00924F03" w:rsidRPr="000C24B6">
                <w:rPr>
                  <w:rFonts w:ascii="Arial" w:hAnsi="Arial" w:cs="Arial"/>
                  <w:sz w:val="24"/>
                  <w:szCs w:val="24"/>
                </w:rPr>
                <w:fldChar w:fldCharType="separate"/>
              </w:r>
              <w:r>
                <w:rPr>
                  <w:rFonts w:ascii="Arial" w:hAnsi="Arial" w:cs="Arial"/>
                  <w:noProof/>
                  <w:sz w:val="24"/>
                  <w:szCs w:val="24"/>
                </w:rPr>
                <w:t xml:space="preserve"> </w:t>
              </w:r>
              <w:r w:rsidRPr="00E00015">
                <w:rPr>
                  <w:rFonts w:ascii="Arial" w:hAnsi="Arial" w:cs="Arial"/>
                  <w:noProof/>
                  <w:sz w:val="24"/>
                  <w:szCs w:val="24"/>
                </w:rPr>
                <w:t>(Dow, 2026)</w:t>
              </w:r>
              <w:r w:rsidR="00924F03" w:rsidRPr="000C24B6">
                <w:rPr>
                  <w:rFonts w:ascii="Arial" w:hAnsi="Arial" w:cs="Arial"/>
                  <w:sz w:val="24"/>
                  <w:szCs w:val="24"/>
                </w:rPr>
                <w:fldChar w:fldCharType="end"/>
              </w:r>
            </w:sdtContent>
          </w:sdt>
          <w:r w:rsidR="00924F03" w:rsidRPr="000C24B6">
            <w:rPr>
              <w:rFonts w:ascii="Arial" w:hAnsi="Arial" w:cs="Arial"/>
              <w:sz w:val="24"/>
              <w:szCs w:val="24"/>
            </w:rPr>
            <w:t xml:space="preserve">. Furthermore, Dow Silicones is classed as an upper-tier COMAH (Control of Major Accident Hazards) site, due to the site holding large quantities of hazardous materials. The COMAH regulations must be applied to prevent major incidents. </w:t>
          </w:r>
          <w:sdt>
            <w:sdtPr>
              <w:rPr>
                <w:rFonts w:ascii="Arial" w:hAnsi="Arial" w:cs="Arial"/>
                <w:sz w:val="24"/>
                <w:szCs w:val="24"/>
              </w:rPr>
              <w:id w:val="906578063"/>
              <w:citation/>
            </w:sdtPr>
            <w:sdtEndPr/>
            <w:sdtContent>
              <w:r w:rsidR="00924F03" w:rsidRPr="000C24B6">
                <w:rPr>
                  <w:rFonts w:ascii="Arial" w:hAnsi="Arial" w:cs="Arial"/>
                  <w:sz w:val="24"/>
                  <w:szCs w:val="24"/>
                </w:rPr>
                <w:fldChar w:fldCharType="begin"/>
              </w:r>
              <w:r w:rsidR="00924F03" w:rsidRPr="000C24B6">
                <w:rPr>
                  <w:rFonts w:ascii="Arial" w:hAnsi="Arial" w:cs="Arial"/>
                  <w:sz w:val="24"/>
                  <w:szCs w:val="24"/>
                </w:rPr>
                <w:instrText xml:space="preserve"> CITATION HSE26 \l 2057 </w:instrText>
              </w:r>
              <w:r w:rsidR="00924F03" w:rsidRPr="000C24B6">
                <w:rPr>
                  <w:rFonts w:ascii="Arial" w:hAnsi="Arial" w:cs="Arial"/>
                  <w:sz w:val="24"/>
                  <w:szCs w:val="24"/>
                </w:rPr>
                <w:fldChar w:fldCharType="separate"/>
              </w:r>
              <w:r w:rsidRPr="00E00015">
                <w:rPr>
                  <w:rFonts w:ascii="Arial" w:hAnsi="Arial" w:cs="Arial"/>
                  <w:noProof/>
                  <w:sz w:val="24"/>
                  <w:szCs w:val="24"/>
                </w:rPr>
                <w:t>(HSE, 2026)</w:t>
              </w:r>
              <w:r w:rsidR="00924F03" w:rsidRPr="000C24B6">
                <w:rPr>
                  <w:rFonts w:ascii="Arial" w:hAnsi="Arial" w:cs="Arial"/>
                  <w:sz w:val="24"/>
                  <w:szCs w:val="24"/>
                </w:rPr>
                <w:fldChar w:fldCharType="end"/>
              </w:r>
            </w:sdtContent>
          </w:sdt>
        </w:p>
        <w:p w14:paraId="047EF6C0" w14:textId="7D8C0C09" w:rsidR="00924F03" w:rsidRPr="000C24B6" w:rsidRDefault="00924F03" w:rsidP="00924F03">
          <w:pPr>
            <w:spacing w:line="360" w:lineRule="auto"/>
            <w:rPr>
              <w:rFonts w:ascii="Arial" w:hAnsi="Arial" w:cs="Arial"/>
              <w:sz w:val="24"/>
              <w:szCs w:val="24"/>
            </w:rPr>
          </w:pPr>
          <w:r w:rsidRPr="000C24B6">
            <w:rPr>
              <w:rFonts w:ascii="Arial" w:hAnsi="Arial" w:cs="Arial"/>
              <w:sz w:val="24"/>
              <w:szCs w:val="24"/>
            </w:rPr>
            <w:t>Change can be crucial for the success of a company and can be applied to a business to remain competitive and dynamic within the industry. However, with change comes uncertainty, which can provide resistance from employees. Managed correctly, adjustments can improve efficiency and innovation while creating new opportunities. Or have the opposite effect if poorly executed.</w:t>
          </w:r>
          <w:r w:rsidR="004309E1">
            <w:rPr>
              <w:rFonts w:ascii="Arial" w:hAnsi="Arial" w:cs="Arial"/>
              <w:sz w:val="24"/>
              <w:szCs w:val="24"/>
            </w:rPr>
            <w:t xml:space="preserve"> </w:t>
          </w:r>
          <w:r w:rsidR="004309E1" w:rsidRPr="004309E1">
            <w:rPr>
              <w:rFonts w:ascii="Arial" w:hAnsi="Arial" w:cs="Arial"/>
              <w:sz w:val="24"/>
              <w:szCs w:val="24"/>
            </w:rPr>
            <w:t>These changes can be either adaptive, involving gradual adjustments, or transformational, bringing significant shifts to an organi</w:t>
          </w:r>
          <w:r w:rsidR="004309E1" w:rsidRPr="004309E1">
            <w:rPr>
              <w:rFonts w:ascii="Arial" w:hAnsi="Arial" w:cs="Arial"/>
              <w:sz w:val="24"/>
              <w:szCs w:val="24"/>
            </w:rPr>
            <w:t>s</w:t>
          </w:r>
          <w:r w:rsidR="004309E1" w:rsidRPr="004309E1">
            <w:rPr>
              <w:rFonts w:ascii="Arial" w:hAnsi="Arial" w:cs="Arial"/>
              <w:sz w:val="24"/>
              <w:szCs w:val="24"/>
            </w:rPr>
            <w:t>ation’s strategy, structure, or overall performance</w:t>
          </w:r>
          <w:sdt>
            <w:sdtPr>
              <w:rPr>
                <w:rFonts w:ascii="Arial" w:hAnsi="Arial" w:cs="Arial"/>
                <w:sz w:val="24"/>
                <w:szCs w:val="24"/>
              </w:rPr>
              <w:id w:val="-1420638392"/>
              <w:citation/>
            </w:sdtPr>
            <w:sdtContent>
              <w:r w:rsidR="004309E1" w:rsidRPr="004309E1">
                <w:rPr>
                  <w:rFonts w:ascii="Arial" w:hAnsi="Arial" w:cs="Arial"/>
                  <w:sz w:val="24"/>
                  <w:szCs w:val="24"/>
                </w:rPr>
                <w:fldChar w:fldCharType="begin"/>
              </w:r>
              <w:r w:rsidR="004309E1" w:rsidRPr="004309E1">
                <w:rPr>
                  <w:rFonts w:ascii="Arial" w:hAnsi="Arial" w:cs="Arial"/>
                  <w:sz w:val="24"/>
                  <w:szCs w:val="24"/>
                </w:rPr>
                <w:instrText xml:space="preserve"> CITATION Sto26 \l 2057 </w:instrText>
              </w:r>
              <w:r w:rsidR="004309E1" w:rsidRPr="004309E1">
                <w:rPr>
                  <w:rFonts w:ascii="Arial" w:hAnsi="Arial" w:cs="Arial"/>
                  <w:sz w:val="24"/>
                  <w:szCs w:val="24"/>
                </w:rPr>
                <w:fldChar w:fldCharType="separate"/>
              </w:r>
              <w:r w:rsidR="00E00015">
                <w:rPr>
                  <w:rFonts w:ascii="Arial" w:hAnsi="Arial" w:cs="Arial"/>
                  <w:noProof/>
                  <w:sz w:val="24"/>
                  <w:szCs w:val="24"/>
                </w:rPr>
                <w:t xml:space="preserve"> </w:t>
              </w:r>
              <w:r w:rsidR="00E00015" w:rsidRPr="00E00015">
                <w:rPr>
                  <w:rFonts w:ascii="Arial" w:hAnsi="Arial" w:cs="Arial"/>
                  <w:noProof/>
                  <w:sz w:val="24"/>
                  <w:szCs w:val="24"/>
                </w:rPr>
                <w:t>(Stobierski, 2026)</w:t>
              </w:r>
              <w:r w:rsidR="004309E1" w:rsidRPr="004309E1">
                <w:rPr>
                  <w:rFonts w:ascii="Arial" w:hAnsi="Arial" w:cs="Arial"/>
                  <w:sz w:val="24"/>
                  <w:szCs w:val="24"/>
                </w:rPr>
                <w:fldChar w:fldCharType="end"/>
              </w:r>
            </w:sdtContent>
          </w:sdt>
        </w:p>
        <w:p w14:paraId="6FFC0BA2" w14:textId="3CAA7510" w:rsidR="00924F03" w:rsidRPr="000C24B6" w:rsidRDefault="00924F03" w:rsidP="00924F03">
          <w:pPr>
            <w:spacing w:line="360" w:lineRule="auto"/>
            <w:rPr>
              <w:rFonts w:ascii="Arial" w:hAnsi="Arial" w:cs="Arial"/>
              <w:sz w:val="24"/>
              <w:szCs w:val="24"/>
            </w:rPr>
          </w:pPr>
          <w:r w:rsidRPr="000C24B6">
            <w:rPr>
              <w:rFonts w:ascii="Arial" w:hAnsi="Arial" w:cs="Arial"/>
              <w:sz w:val="24"/>
              <w:szCs w:val="24"/>
            </w:rPr>
            <w:t xml:space="preserve">Dow proposed an </w:t>
          </w:r>
          <w:r w:rsidR="00BB7C9F">
            <w:rPr>
              <w:rFonts w:ascii="Arial" w:hAnsi="Arial" w:cs="Arial"/>
              <w:sz w:val="24"/>
              <w:szCs w:val="24"/>
            </w:rPr>
            <w:t>organisational</w:t>
          </w:r>
          <w:r w:rsidRPr="000C24B6">
            <w:rPr>
              <w:rFonts w:ascii="Arial" w:hAnsi="Arial" w:cs="Arial"/>
              <w:sz w:val="24"/>
              <w:szCs w:val="24"/>
            </w:rPr>
            <w:t xml:space="preserve"> change that affects the company and its employees. The modification was aimed at establishing a more cost-efficient method for producing siloxanes that is used in the final product at Dow. However, the company’s proposed change meant almost 50% of its workforce would face redundancies. Using Lewin’s Forcefield analysis</w:t>
          </w:r>
          <w:r w:rsidR="00BB7C9F">
            <w:rPr>
              <w:rFonts w:ascii="Arial" w:hAnsi="Arial" w:cs="Arial"/>
              <w:sz w:val="24"/>
              <w:szCs w:val="24"/>
            </w:rPr>
            <w:t xml:space="preserve"> and Herzberg’s two-factor motivational model,</w:t>
          </w:r>
          <w:r w:rsidRPr="000C24B6">
            <w:rPr>
              <w:rFonts w:ascii="Arial" w:hAnsi="Arial" w:cs="Arial"/>
              <w:sz w:val="24"/>
              <w:szCs w:val="24"/>
            </w:rPr>
            <w:t xml:space="preserve"> this report will cover the driving forces for this change and evaluate how it was managed.</w:t>
          </w:r>
        </w:p>
        <w:p w14:paraId="35DC9C32" w14:textId="1F218A5E" w:rsidR="00924F03" w:rsidRDefault="00924F03" w:rsidP="00924F03">
          <w:pPr>
            <w:pStyle w:val="Heading1"/>
            <w:tabs>
              <w:tab w:val="left" w:pos="2700"/>
            </w:tabs>
          </w:pPr>
          <w:bookmarkStart w:id="5" w:name="_Toc229248449"/>
          <w:bookmarkStart w:id="6" w:name="_Toc229424562"/>
          <w:r w:rsidRPr="000C24B6">
            <w:t>Main findings</w:t>
          </w:r>
          <w:bookmarkEnd w:id="5"/>
          <w:bookmarkEnd w:id="6"/>
          <w:r w:rsidRPr="000C24B6">
            <w:t xml:space="preserve"> </w:t>
          </w:r>
          <w:r>
            <w:tab/>
          </w:r>
        </w:p>
        <w:p w14:paraId="64C5FA88" w14:textId="77777777" w:rsidR="00924F03" w:rsidRPr="00924F03" w:rsidRDefault="00924F03" w:rsidP="00924F03"/>
        <w:p w14:paraId="03ACCE7F" w14:textId="0CECCC82" w:rsidR="00924F03" w:rsidRPr="000C24B6" w:rsidRDefault="00924F03" w:rsidP="00924F03">
          <w:pPr>
            <w:spacing w:line="360" w:lineRule="auto"/>
            <w:rPr>
              <w:rFonts w:ascii="Arial" w:hAnsi="Arial" w:cs="Arial"/>
              <w:sz w:val="24"/>
              <w:szCs w:val="24"/>
            </w:rPr>
          </w:pPr>
          <w:r w:rsidRPr="000C24B6">
            <w:rPr>
              <w:rFonts w:ascii="Arial" w:hAnsi="Arial" w:cs="Arial"/>
              <w:sz w:val="24"/>
              <w:szCs w:val="24"/>
            </w:rPr>
            <w:t xml:space="preserve">Dow Silicones Barry site is divided into two sections. “Basics and Finishing”. The Basic area comprises of chemical plants that </w:t>
          </w:r>
          <w:r w:rsidR="00C54271">
            <w:rPr>
              <w:rFonts w:ascii="Arial" w:hAnsi="Arial" w:cs="Arial"/>
              <w:sz w:val="24"/>
              <w:szCs w:val="24"/>
            </w:rPr>
            <w:t>produce</w:t>
          </w:r>
          <w:r w:rsidRPr="000C24B6">
            <w:rPr>
              <w:rFonts w:ascii="Arial" w:hAnsi="Arial" w:cs="Arial"/>
              <w:sz w:val="24"/>
              <w:szCs w:val="24"/>
            </w:rPr>
            <w:t xml:space="preserve"> siloxanes, which in turn supply Finishing</w:t>
          </w:r>
          <w:r w:rsidR="00C54271">
            <w:rPr>
              <w:rFonts w:ascii="Arial" w:hAnsi="Arial" w:cs="Arial"/>
              <w:sz w:val="24"/>
              <w:szCs w:val="24"/>
            </w:rPr>
            <w:t>, while also producing</w:t>
          </w:r>
          <w:r w:rsidRPr="000C24B6">
            <w:rPr>
              <w:rFonts w:ascii="Arial" w:hAnsi="Arial" w:cs="Arial"/>
              <w:sz w:val="24"/>
              <w:szCs w:val="24"/>
            </w:rPr>
            <w:t xml:space="preserve"> some products directly for the market. Finishing is </w:t>
          </w:r>
          <w:r w:rsidRPr="000C24B6">
            <w:rPr>
              <w:rFonts w:ascii="Arial" w:hAnsi="Arial" w:cs="Arial"/>
              <w:sz w:val="24"/>
              <w:szCs w:val="24"/>
            </w:rPr>
            <w:lastRenderedPageBreak/>
            <w:t xml:space="preserve">more of a production zone that uses the siloxanes produced by Basics to incorporate into their final products and provide what the customer desires. </w:t>
          </w:r>
        </w:p>
        <w:p w14:paraId="5C1B6865" w14:textId="1EF782F9" w:rsidR="00924F03" w:rsidRDefault="00924F03" w:rsidP="00924F03">
          <w:pPr>
            <w:spacing w:line="360" w:lineRule="auto"/>
            <w:rPr>
              <w:rFonts w:ascii="Arial" w:hAnsi="Arial" w:cs="Arial"/>
              <w:sz w:val="24"/>
              <w:szCs w:val="24"/>
            </w:rPr>
          </w:pPr>
          <w:r w:rsidRPr="000C24B6">
            <w:rPr>
              <w:rFonts w:ascii="Arial" w:hAnsi="Arial" w:cs="Arial"/>
              <w:sz w:val="24"/>
              <w:szCs w:val="24"/>
            </w:rPr>
            <w:t>In April 2025, “the company confirmed its closing of the Basics area of the plant.”</w:t>
          </w:r>
          <w:sdt>
            <w:sdtPr>
              <w:rPr>
                <w:rFonts w:ascii="Arial" w:hAnsi="Arial" w:cs="Arial"/>
                <w:sz w:val="24"/>
                <w:szCs w:val="24"/>
              </w:rPr>
              <w:id w:val="346986228"/>
              <w:citation/>
            </w:sdtPr>
            <w:sdtEndPr/>
            <w:sdtContent>
              <w:r w:rsidRPr="000C24B6">
                <w:rPr>
                  <w:rFonts w:ascii="Arial" w:hAnsi="Arial" w:cs="Arial"/>
                  <w:sz w:val="24"/>
                  <w:szCs w:val="24"/>
                </w:rPr>
                <w:fldChar w:fldCharType="begin"/>
              </w:r>
              <w:r w:rsidRPr="000C24B6">
                <w:rPr>
                  <w:rFonts w:ascii="Arial" w:hAnsi="Arial" w:cs="Arial"/>
                  <w:sz w:val="24"/>
                  <w:szCs w:val="24"/>
                </w:rPr>
                <w:instrText xml:space="preserve"> CITATION Uni25 \l 2057 </w:instrText>
              </w:r>
              <w:r w:rsidRPr="000C24B6">
                <w:rPr>
                  <w:rFonts w:ascii="Arial" w:hAnsi="Arial" w:cs="Arial"/>
                  <w:sz w:val="24"/>
                  <w:szCs w:val="24"/>
                </w:rPr>
                <w:fldChar w:fldCharType="separate"/>
              </w:r>
              <w:r w:rsidR="00E00015">
                <w:rPr>
                  <w:rFonts w:ascii="Arial" w:hAnsi="Arial" w:cs="Arial"/>
                  <w:noProof/>
                  <w:sz w:val="24"/>
                  <w:szCs w:val="24"/>
                </w:rPr>
                <w:t xml:space="preserve"> </w:t>
              </w:r>
              <w:r w:rsidR="00E00015" w:rsidRPr="00E00015">
                <w:rPr>
                  <w:rFonts w:ascii="Arial" w:hAnsi="Arial" w:cs="Arial"/>
                  <w:noProof/>
                  <w:sz w:val="24"/>
                  <w:szCs w:val="24"/>
                </w:rPr>
                <w:t>(Unite, 2025)</w:t>
              </w:r>
              <w:r w:rsidRPr="000C24B6">
                <w:rPr>
                  <w:rFonts w:ascii="Arial" w:hAnsi="Arial" w:cs="Arial"/>
                  <w:sz w:val="24"/>
                  <w:szCs w:val="24"/>
                </w:rPr>
                <w:fldChar w:fldCharType="end"/>
              </w:r>
            </w:sdtContent>
          </w:sdt>
          <w:r w:rsidRPr="000C24B6">
            <w:rPr>
              <w:rFonts w:ascii="Arial" w:hAnsi="Arial" w:cs="Arial"/>
              <w:sz w:val="24"/>
              <w:szCs w:val="24"/>
            </w:rPr>
            <w:t xml:space="preserve"> With 850 jobs at this location, most of the contracting companies were terminated. This left 291 Dow employees at risk for redundancies.</w:t>
          </w:r>
        </w:p>
        <w:p w14:paraId="0FDE9A84" w14:textId="77777777" w:rsidR="00924F03" w:rsidRPr="000C24B6" w:rsidRDefault="00924F03" w:rsidP="00924F03">
          <w:pPr>
            <w:spacing w:line="360" w:lineRule="auto"/>
            <w:rPr>
              <w:rFonts w:ascii="Arial" w:hAnsi="Arial" w:cs="Arial"/>
              <w:sz w:val="24"/>
              <w:szCs w:val="24"/>
            </w:rPr>
          </w:pPr>
        </w:p>
        <w:p w14:paraId="2280BEEA" w14:textId="77777777" w:rsidR="00924F03" w:rsidRPr="000C24B6" w:rsidRDefault="00924F03" w:rsidP="00924F03">
          <w:pPr>
            <w:pStyle w:val="Heading2"/>
          </w:pPr>
          <w:bookmarkStart w:id="7" w:name="_Toc229248450"/>
          <w:bookmarkStart w:id="8" w:name="_Toc229424563"/>
          <w:r w:rsidRPr="000C24B6">
            <w:t>Response to the closure</w:t>
          </w:r>
          <w:bookmarkEnd w:id="7"/>
          <w:bookmarkEnd w:id="8"/>
          <w:r w:rsidRPr="000C24B6">
            <w:t xml:space="preserve"> </w:t>
          </w:r>
        </w:p>
        <w:p w14:paraId="78DE3DDA" w14:textId="36DE9EFD" w:rsidR="00924F03" w:rsidRPr="000C24B6" w:rsidRDefault="00924F03" w:rsidP="00924F03">
          <w:pPr>
            <w:tabs>
              <w:tab w:val="left" w:pos="3590"/>
            </w:tabs>
            <w:spacing w:line="360" w:lineRule="auto"/>
            <w:rPr>
              <w:rFonts w:ascii="Arial" w:hAnsi="Arial" w:cs="Arial"/>
              <w:sz w:val="24"/>
              <w:szCs w:val="24"/>
            </w:rPr>
          </w:pPr>
          <w:r>
            <w:rPr>
              <w:rFonts w:ascii="Arial" w:hAnsi="Arial" w:cs="Arial"/>
              <w:sz w:val="24"/>
              <w:szCs w:val="24"/>
            </w:rPr>
            <w:tab/>
          </w:r>
        </w:p>
        <w:p w14:paraId="3E686121" w14:textId="4C034755" w:rsidR="00924F03" w:rsidRPr="000C24B6" w:rsidRDefault="00924F03" w:rsidP="00924F03">
          <w:pPr>
            <w:spacing w:line="360" w:lineRule="auto"/>
            <w:rPr>
              <w:rFonts w:ascii="Arial" w:hAnsi="Arial" w:cs="Arial"/>
              <w:sz w:val="24"/>
              <w:szCs w:val="24"/>
            </w:rPr>
          </w:pPr>
          <w:r w:rsidRPr="000C24B6">
            <w:rPr>
              <w:rFonts w:ascii="Arial" w:hAnsi="Arial" w:cs="Arial"/>
              <w:sz w:val="24"/>
              <w:szCs w:val="24"/>
            </w:rPr>
            <w:t xml:space="preserve">While the news was confirmed in April 2025. A meeting was held for employees a month beforehand in an attempt to notify them at this time of the potential closure. Mixed responses came from this meeting; many believed it would not happen, as Dow Barry has been standing for so long and is still providing a profit. Some thought it was a “scare” tactic to improve working practices, as the company had faced many negative incidents in the previous year. On the other hand, others supposed it would be senseless for Dow to make these announcements without true outcomes pending. </w:t>
          </w:r>
          <w:r w:rsidR="00C54271">
            <w:rPr>
              <w:rFonts w:ascii="Arial" w:hAnsi="Arial" w:cs="Arial"/>
              <w:sz w:val="24"/>
              <w:szCs w:val="24"/>
            </w:rPr>
            <w:t>In summary</w:t>
          </w:r>
          <w:r w:rsidRPr="000C24B6">
            <w:rPr>
              <w:rFonts w:ascii="Arial" w:hAnsi="Arial" w:cs="Arial"/>
              <w:sz w:val="24"/>
              <w:szCs w:val="24"/>
            </w:rPr>
            <w:t xml:space="preserve">, a mix of immediate shock and uncertainty affected all of the employees, with nothing but unsettlement to come until the closure was confirmed. At this time, Dow stopped all non-critical work in an effort to give workers a chance to comprehend the news. </w:t>
          </w:r>
        </w:p>
        <w:p w14:paraId="03EEE34D" w14:textId="641A1015" w:rsidR="00924F03" w:rsidRPr="000C24B6" w:rsidRDefault="00924F03" w:rsidP="00924F03">
          <w:pPr>
            <w:spacing w:line="360" w:lineRule="auto"/>
            <w:rPr>
              <w:rFonts w:ascii="Arial" w:hAnsi="Arial" w:cs="Arial"/>
              <w:sz w:val="24"/>
              <w:szCs w:val="24"/>
            </w:rPr>
          </w:pPr>
          <w:r w:rsidRPr="000C24B6">
            <w:rPr>
              <w:rFonts w:ascii="Arial" w:hAnsi="Arial" w:cs="Arial"/>
              <w:sz w:val="24"/>
              <w:szCs w:val="24"/>
            </w:rPr>
            <w:t xml:space="preserve">When the closure was finally confirmed, again, employees were restless. But as they had a month to prepare, most handled the news well. In the coming weeks, it was explained that, even though Basics was closing, there would still be a need to relocate additional staff to </w:t>
          </w:r>
          <w:r w:rsidR="00C54271">
            <w:rPr>
              <w:rFonts w:ascii="Arial" w:hAnsi="Arial" w:cs="Arial"/>
              <w:sz w:val="24"/>
              <w:szCs w:val="24"/>
            </w:rPr>
            <w:t>F</w:t>
          </w:r>
          <w:r w:rsidRPr="000C24B6">
            <w:rPr>
              <w:rFonts w:ascii="Arial" w:hAnsi="Arial" w:cs="Arial"/>
              <w:sz w:val="24"/>
              <w:szCs w:val="24"/>
            </w:rPr>
            <w:t>inishing, and many would be needed to form a decommissioning team for Basics. In general, several employees now had hope that their employment may continue at</w:t>
          </w:r>
          <w:r w:rsidR="00C54271">
            <w:rPr>
              <w:rFonts w:ascii="Arial" w:hAnsi="Arial" w:cs="Arial"/>
              <w:sz w:val="24"/>
              <w:szCs w:val="24"/>
            </w:rPr>
            <w:t xml:space="preserve"> F</w:t>
          </w:r>
          <w:r w:rsidRPr="000C24B6">
            <w:rPr>
              <w:rFonts w:ascii="Arial" w:hAnsi="Arial" w:cs="Arial"/>
              <w:sz w:val="24"/>
              <w:szCs w:val="24"/>
            </w:rPr>
            <w:t>inishing or at least have some time left with the company before being made redundant. Furthermore, the announcement explained feeds off would not be for another year, meaning everybody could remain in their current role for a</w:t>
          </w:r>
          <w:r w:rsidR="00C54271">
            <w:rPr>
              <w:rFonts w:ascii="Arial" w:hAnsi="Arial" w:cs="Arial"/>
              <w:sz w:val="24"/>
              <w:szCs w:val="24"/>
            </w:rPr>
            <w:t>nother</w:t>
          </w:r>
          <w:r w:rsidRPr="000C24B6">
            <w:rPr>
              <w:rFonts w:ascii="Arial" w:hAnsi="Arial" w:cs="Arial"/>
              <w:sz w:val="24"/>
              <w:szCs w:val="24"/>
            </w:rPr>
            <w:t xml:space="preserve"> year before</w:t>
          </w:r>
          <w:r w:rsidR="00C54271">
            <w:rPr>
              <w:rFonts w:ascii="Arial" w:hAnsi="Arial" w:cs="Arial"/>
              <w:sz w:val="24"/>
              <w:szCs w:val="24"/>
            </w:rPr>
            <w:t xml:space="preserve"> officially</w:t>
          </w:r>
          <w:r w:rsidRPr="000C24B6">
            <w:rPr>
              <w:rFonts w:ascii="Arial" w:hAnsi="Arial" w:cs="Arial"/>
              <w:sz w:val="24"/>
              <w:szCs w:val="24"/>
            </w:rPr>
            <w:t xml:space="preserve"> shutting down. However, for some, this was not enough and multiple employees still gave in their notices, now seeing Dow as a “Sinking ship”</w:t>
          </w:r>
          <w:r w:rsidR="00C54271">
            <w:rPr>
              <w:rFonts w:ascii="Arial" w:hAnsi="Arial" w:cs="Arial"/>
              <w:sz w:val="24"/>
              <w:szCs w:val="24"/>
            </w:rPr>
            <w:t xml:space="preserve"> or unstable. </w:t>
          </w:r>
        </w:p>
        <w:p w14:paraId="5D9FEBC2" w14:textId="39FA5DFD" w:rsidR="00924F03" w:rsidRPr="000C24B6" w:rsidRDefault="00924F03" w:rsidP="00924F03">
          <w:pPr>
            <w:spacing w:line="360" w:lineRule="auto"/>
            <w:rPr>
              <w:rFonts w:ascii="Arial" w:hAnsi="Arial" w:cs="Arial"/>
              <w:sz w:val="24"/>
              <w:szCs w:val="24"/>
            </w:rPr>
          </w:pPr>
          <w:r w:rsidRPr="000C24B6">
            <w:rPr>
              <w:rFonts w:ascii="Arial" w:hAnsi="Arial" w:cs="Arial"/>
              <w:sz w:val="24"/>
              <w:szCs w:val="24"/>
            </w:rPr>
            <w:lastRenderedPageBreak/>
            <w:t>The Next steps were for the employees to go through a talent pooling process where they would be scored by HR and management. This would provide the company with those who scored highly to be the first to be offered a job in the new organisation. Furthermore, those who desired to be made redundant could have their score reduced by fifteen points to try to accommodate their wish.</w:t>
          </w:r>
          <w:r w:rsidR="00C54271">
            <w:rPr>
              <w:rFonts w:ascii="Arial" w:hAnsi="Arial" w:cs="Arial"/>
              <w:sz w:val="24"/>
              <w:szCs w:val="24"/>
            </w:rPr>
            <w:t xml:space="preserve"> Allowing those who wanted to remain employed by Dow a greater chance at success. </w:t>
          </w:r>
          <w:sdt>
            <w:sdtPr>
              <w:rPr>
                <w:rFonts w:ascii="Arial" w:hAnsi="Arial" w:cs="Arial"/>
                <w:sz w:val="24"/>
                <w:szCs w:val="24"/>
              </w:rPr>
              <w:id w:val="-2119432025"/>
              <w:citation/>
            </w:sdtPr>
            <w:sdtContent>
              <w:r w:rsidR="00C15888">
                <w:rPr>
                  <w:rFonts w:ascii="Arial" w:hAnsi="Arial" w:cs="Arial"/>
                  <w:sz w:val="24"/>
                  <w:szCs w:val="24"/>
                </w:rPr>
                <w:fldChar w:fldCharType="begin"/>
              </w:r>
              <w:r w:rsidR="00C15888">
                <w:rPr>
                  <w:rFonts w:ascii="Arial" w:hAnsi="Arial" w:cs="Arial"/>
                  <w:sz w:val="24"/>
                  <w:szCs w:val="24"/>
                </w:rPr>
                <w:instrText xml:space="preserve"> CITATION Ben25 \l 2057 </w:instrText>
              </w:r>
              <w:r w:rsidR="00C15888">
                <w:rPr>
                  <w:rFonts w:ascii="Arial" w:hAnsi="Arial" w:cs="Arial"/>
                  <w:sz w:val="24"/>
                  <w:szCs w:val="24"/>
                </w:rPr>
                <w:fldChar w:fldCharType="separate"/>
              </w:r>
              <w:r w:rsidR="00E00015" w:rsidRPr="00E00015">
                <w:rPr>
                  <w:rFonts w:ascii="Arial" w:hAnsi="Arial" w:cs="Arial"/>
                  <w:noProof/>
                  <w:sz w:val="24"/>
                  <w:szCs w:val="24"/>
                </w:rPr>
                <w:t>(McBrayer, 2025)</w:t>
              </w:r>
              <w:r w:rsidR="00C15888">
                <w:rPr>
                  <w:rFonts w:ascii="Arial" w:hAnsi="Arial" w:cs="Arial"/>
                  <w:sz w:val="24"/>
                  <w:szCs w:val="24"/>
                </w:rPr>
                <w:fldChar w:fldCharType="end"/>
              </w:r>
            </w:sdtContent>
          </w:sdt>
        </w:p>
        <w:p w14:paraId="5B245581" w14:textId="35612674" w:rsidR="00924F03" w:rsidRPr="000C24B6" w:rsidRDefault="00924F03" w:rsidP="00924F03">
          <w:pPr>
            <w:spacing w:line="360" w:lineRule="auto"/>
            <w:rPr>
              <w:rFonts w:ascii="Arial" w:hAnsi="Arial" w:cs="Arial"/>
              <w:sz w:val="24"/>
              <w:szCs w:val="24"/>
            </w:rPr>
          </w:pPr>
          <w:r w:rsidRPr="000C24B6">
            <w:rPr>
              <w:rFonts w:ascii="Arial" w:hAnsi="Arial" w:cs="Arial"/>
              <w:sz w:val="24"/>
              <w:szCs w:val="24"/>
            </w:rPr>
            <w:t xml:space="preserve">In the coming weeks, all employees faced meetings with HR and management where their future within the company was decided. Providing mixed emotions across the site, with some feeling relieved and appreciated, and others demoralised and frustrated with the results. Even so, employees could not discuss their outcomes at this time and could be disciplined if they were caught doing so. This was to give the company a chance for everybody to receive their news before speculation. However, this left people feeling vulnerable and </w:t>
          </w:r>
          <w:r w:rsidR="00C54271">
            <w:rPr>
              <w:rFonts w:ascii="Arial" w:hAnsi="Arial" w:cs="Arial"/>
              <w:sz w:val="24"/>
              <w:szCs w:val="24"/>
            </w:rPr>
            <w:t>doubtful</w:t>
          </w:r>
          <w:r w:rsidRPr="000C24B6">
            <w:rPr>
              <w:rFonts w:ascii="Arial" w:hAnsi="Arial" w:cs="Arial"/>
              <w:sz w:val="24"/>
              <w:szCs w:val="24"/>
            </w:rPr>
            <w:t>. In the meeting</w:t>
          </w:r>
          <w:r>
            <w:rPr>
              <w:rFonts w:ascii="Arial" w:hAnsi="Arial" w:cs="Arial"/>
              <w:sz w:val="24"/>
              <w:szCs w:val="24"/>
            </w:rPr>
            <w:t>,</w:t>
          </w:r>
          <w:r w:rsidRPr="000C24B6">
            <w:rPr>
              <w:rFonts w:ascii="Arial" w:hAnsi="Arial" w:cs="Arial"/>
              <w:sz w:val="24"/>
              <w:szCs w:val="24"/>
            </w:rPr>
            <w:t xml:space="preserve"> employees were given a contract, either to accept redundancy and a date for termination or to accept a job within the new organisation. Everyone was given one week to make their decision and only a week to appeal should they disapprove the outcome. Only once authorised could employees discuss their outcomes.  </w:t>
          </w:r>
        </w:p>
        <w:p w14:paraId="56E19539" w14:textId="05697E78" w:rsidR="00924F03" w:rsidRDefault="00924F03" w:rsidP="00924F03">
          <w:pPr>
            <w:pStyle w:val="Heading1"/>
          </w:pPr>
          <w:bookmarkStart w:id="9" w:name="_Toc229248451"/>
          <w:bookmarkStart w:id="10" w:name="_Toc229424564"/>
          <w:r w:rsidRPr="000C24B6">
            <w:t>Lewin’s force field analysis</w:t>
          </w:r>
          <w:bookmarkEnd w:id="9"/>
          <w:bookmarkEnd w:id="10"/>
          <w:r w:rsidRPr="000C24B6">
            <w:t xml:space="preserve"> </w:t>
          </w:r>
        </w:p>
        <w:p w14:paraId="3B257F7C" w14:textId="77777777" w:rsidR="00924F03" w:rsidRPr="00924F03" w:rsidRDefault="00924F03" w:rsidP="00924F03"/>
        <w:p w14:paraId="27269150" w14:textId="2E471C2F" w:rsidR="00924F03" w:rsidRPr="000C24B6" w:rsidRDefault="00924F03" w:rsidP="00924F03">
          <w:pPr>
            <w:spacing w:line="360" w:lineRule="auto"/>
            <w:rPr>
              <w:rFonts w:ascii="Arial" w:hAnsi="Arial" w:cs="Arial"/>
              <w:sz w:val="24"/>
              <w:szCs w:val="24"/>
            </w:rPr>
          </w:pPr>
          <w:r w:rsidRPr="000C24B6">
            <w:rPr>
              <w:rFonts w:ascii="Arial" w:hAnsi="Arial" w:cs="Arial"/>
              <w:sz w:val="24"/>
              <w:szCs w:val="24"/>
            </w:rPr>
            <w:t xml:space="preserve">Lewin’s Force Field Analysis is a change management framework. Developed to visually analyse a situation as a state of equilibrium. Accordingly, the driving forces and restraining forces are held in balance as two opposing forces. This model helps companies transition from one fixed state to another. </w:t>
          </w:r>
          <w:sdt>
            <w:sdtPr>
              <w:rPr>
                <w:rFonts w:ascii="Arial" w:hAnsi="Arial" w:cs="Arial"/>
                <w:sz w:val="24"/>
                <w:szCs w:val="24"/>
              </w:rPr>
              <w:id w:val="-1757976936"/>
              <w:citation/>
            </w:sdtPr>
            <w:sdtEndPr/>
            <w:sdtContent>
              <w:r w:rsidRPr="000C24B6">
                <w:rPr>
                  <w:rFonts w:ascii="Arial" w:hAnsi="Arial" w:cs="Arial"/>
                  <w:sz w:val="24"/>
                  <w:szCs w:val="24"/>
                </w:rPr>
                <w:fldChar w:fldCharType="begin"/>
              </w:r>
              <w:r w:rsidRPr="000C24B6">
                <w:rPr>
                  <w:rFonts w:ascii="Arial" w:hAnsi="Arial" w:cs="Arial"/>
                  <w:sz w:val="24"/>
                  <w:szCs w:val="24"/>
                </w:rPr>
                <w:instrText xml:space="preserve"> CITATION Jim18 \l 2057 </w:instrText>
              </w:r>
              <w:r w:rsidRPr="000C24B6">
                <w:rPr>
                  <w:rFonts w:ascii="Arial" w:hAnsi="Arial" w:cs="Arial"/>
                  <w:sz w:val="24"/>
                  <w:szCs w:val="24"/>
                </w:rPr>
                <w:fldChar w:fldCharType="separate"/>
              </w:r>
              <w:r w:rsidR="00E00015" w:rsidRPr="00E00015">
                <w:rPr>
                  <w:rFonts w:ascii="Arial" w:hAnsi="Arial" w:cs="Arial"/>
                  <w:noProof/>
                  <w:sz w:val="24"/>
                  <w:szCs w:val="24"/>
                </w:rPr>
                <w:t>(Riley, 2018)</w:t>
              </w:r>
              <w:r w:rsidRPr="000C24B6">
                <w:rPr>
                  <w:rFonts w:ascii="Arial" w:hAnsi="Arial" w:cs="Arial"/>
                  <w:sz w:val="24"/>
                  <w:szCs w:val="24"/>
                </w:rPr>
                <w:fldChar w:fldCharType="end"/>
              </w:r>
            </w:sdtContent>
          </w:sdt>
        </w:p>
        <w:p w14:paraId="0DA1693B" w14:textId="77777777" w:rsidR="00924F03" w:rsidRPr="000C24B6" w:rsidRDefault="00924F03" w:rsidP="00924F03">
          <w:pPr>
            <w:spacing w:line="360" w:lineRule="auto"/>
            <w:rPr>
              <w:rFonts w:ascii="Arial" w:hAnsi="Arial" w:cs="Arial"/>
              <w:sz w:val="24"/>
              <w:szCs w:val="24"/>
            </w:rPr>
          </w:pPr>
          <w:r w:rsidRPr="000C24B6">
            <w:rPr>
              <w:rFonts w:ascii="Arial" w:hAnsi="Arial" w:cs="Arial"/>
              <w:noProof/>
              <w:sz w:val="24"/>
              <w:szCs w:val="24"/>
            </w:rPr>
            <w:lastRenderedPageBreak/>
            <w:drawing>
              <wp:inline distT="0" distB="0" distL="0" distR="0" wp14:anchorId="02821CFD" wp14:editId="549ED646">
                <wp:extent cx="4296427" cy="282186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323701" cy="2839779"/>
                        </a:xfrm>
                        <a:prstGeom prst="rect">
                          <a:avLst/>
                        </a:prstGeom>
                        <a:noFill/>
                        <a:ln>
                          <a:noFill/>
                        </a:ln>
                      </pic:spPr>
                    </pic:pic>
                  </a:graphicData>
                </a:graphic>
              </wp:inline>
            </w:drawing>
          </w:r>
        </w:p>
        <w:p w14:paraId="044EB4A2" w14:textId="29295C82" w:rsidR="00924F03" w:rsidRPr="000C24B6" w:rsidRDefault="00E00015" w:rsidP="00924F03">
          <w:pPr>
            <w:spacing w:line="360" w:lineRule="auto"/>
            <w:rPr>
              <w:rFonts w:ascii="Arial" w:hAnsi="Arial" w:cs="Arial"/>
              <w:sz w:val="24"/>
              <w:szCs w:val="24"/>
            </w:rPr>
          </w:pPr>
          <w:sdt>
            <w:sdtPr>
              <w:rPr>
                <w:rFonts w:ascii="Arial" w:hAnsi="Arial" w:cs="Arial"/>
                <w:sz w:val="24"/>
                <w:szCs w:val="24"/>
              </w:rPr>
              <w:id w:val="-1974054805"/>
              <w:citation/>
            </w:sdtPr>
            <w:sdtEndPr/>
            <w:sdtContent>
              <w:r w:rsidR="00924F03" w:rsidRPr="000C24B6">
                <w:rPr>
                  <w:rFonts w:ascii="Arial" w:hAnsi="Arial" w:cs="Arial"/>
                  <w:sz w:val="24"/>
                  <w:szCs w:val="24"/>
                </w:rPr>
                <w:fldChar w:fldCharType="begin"/>
              </w:r>
              <w:r w:rsidR="00924F03" w:rsidRPr="000C24B6">
                <w:rPr>
                  <w:rFonts w:ascii="Arial" w:hAnsi="Arial" w:cs="Arial"/>
                  <w:sz w:val="24"/>
                  <w:szCs w:val="24"/>
                </w:rPr>
                <w:instrText xml:space="preserve"> CITATION Tut25 \l 2057 </w:instrText>
              </w:r>
              <w:r w:rsidR="00924F03" w:rsidRPr="000C24B6">
                <w:rPr>
                  <w:rFonts w:ascii="Arial" w:hAnsi="Arial" w:cs="Arial"/>
                  <w:sz w:val="24"/>
                  <w:szCs w:val="24"/>
                </w:rPr>
                <w:fldChar w:fldCharType="separate"/>
              </w:r>
              <w:r w:rsidRPr="00E00015">
                <w:rPr>
                  <w:rFonts w:ascii="Arial" w:hAnsi="Arial" w:cs="Arial"/>
                  <w:noProof/>
                  <w:sz w:val="24"/>
                  <w:szCs w:val="24"/>
                </w:rPr>
                <w:t>(Tutor2u, 2025)</w:t>
              </w:r>
              <w:r w:rsidR="00924F03" w:rsidRPr="000C24B6">
                <w:rPr>
                  <w:rFonts w:ascii="Arial" w:hAnsi="Arial" w:cs="Arial"/>
                  <w:sz w:val="24"/>
                  <w:szCs w:val="24"/>
                </w:rPr>
                <w:fldChar w:fldCharType="end"/>
              </w:r>
            </w:sdtContent>
          </w:sdt>
        </w:p>
        <w:p w14:paraId="388DAB2B" w14:textId="5C291D49" w:rsidR="00924F03" w:rsidRDefault="00924F03" w:rsidP="00924F03">
          <w:pPr>
            <w:spacing w:line="360" w:lineRule="auto"/>
            <w:rPr>
              <w:rFonts w:ascii="Arial" w:hAnsi="Arial" w:cs="Arial"/>
              <w:sz w:val="24"/>
              <w:szCs w:val="24"/>
            </w:rPr>
          </w:pPr>
          <w:r w:rsidRPr="000C24B6">
            <w:rPr>
              <w:rFonts w:ascii="Arial" w:hAnsi="Arial" w:cs="Arial"/>
              <w:sz w:val="24"/>
              <w:szCs w:val="24"/>
            </w:rPr>
            <w:t>Should the change be successful, Dow must ensure the driving forces outweigh the resisting forces. In this case, the employees pose the biggest resistance. It is in Dow's best interest to maintain positive employee relations in order to achieve a successful change within the company</w:t>
          </w:r>
          <w:r w:rsidR="00C54271">
            <w:rPr>
              <w:rFonts w:ascii="Arial" w:hAnsi="Arial" w:cs="Arial"/>
              <w:sz w:val="24"/>
              <w:szCs w:val="24"/>
            </w:rPr>
            <w:t xml:space="preserve"> and to keep the company running </w:t>
          </w:r>
          <w:r w:rsidR="00532D20">
            <w:rPr>
              <w:rFonts w:ascii="Arial" w:hAnsi="Arial" w:cs="Arial"/>
              <w:sz w:val="24"/>
              <w:szCs w:val="24"/>
            </w:rPr>
            <w:t xml:space="preserve">before the organisational change comes into effect. </w:t>
          </w:r>
        </w:p>
        <w:p w14:paraId="2A04BE7B" w14:textId="77777777" w:rsidR="00924F03" w:rsidRPr="000C24B6" w:rsidRDefault="00924F03" w:rsidP="00924F03">
          <w:pPr>
            <w:spacing w:line="360" w:lineRule="auto"/>
          </w:pPr>
        </w:p>
        <w:p w14:paraId="2DEC62D2" w14:textId="77777777" w:rsidR="00924F03" w:rsidRPr="000C24B6" w:rsidRDefault="00924F03" w:rsidP="00924F03">
          <w:pPr>
            <w:pStyle w:val="Heading2"/>
          </w:pPr>
          <w:bookmarkStart w:id="11" w:name="_Toc229248452"/>
          <w:bookmarkStart w:id="12" w:name="_Toc229424565"/>
          <w:r w:rsidRPr="000C24B6">
            <w:t>Driving forces behind the closure</w:t>
          </w:r>
          <w:bookmarkEnd w:id="11"/>
          <w:bookmarkEnd w:id="12"/>
          <w:r w:rsidRPr="000C24B6">
            <w:t xml:space="preserve"> </w:t>
          </w:r>
        </w:p>
        <w:p w14:paraId="6097CFBB" w14:textId="77777777" w:rsidR="00924F03" w:rsidRPr="000C24B6" w:rsidRDefault="00924F03" w:rsidP="00924F03">
          <w:pPr>
            <w:spacing w:line="360" w:lineRule="auto"/>
            <w:rPr>
              <w:rFonts w:ascii="Arial" w:hAnsi="Arial" w:cs="Arial"/>
              <w:sz w:val="24"/>
              <w:szCs w:val="24"/>
            </w:rPr>
          </w:pPr>
        </w:p>
        <w:p w14:paraId="65D18B38" w14:textId="5EC04A75" w:rsidR="00924F03" w:rsidRPr="000C24B6" w:rsidRDefault="00924F03" w:rsidP="00924F03">
          <w:pPr>
            <w:spacing w:line="360" w:lineRule="auto"/>
            <w:rPr>
              <w:rFonts w:ascii="Arial" w:hAnsi="Arial" w:cs="Arial"/>
              <w:sz w:val="24"/>
              <w:szCs w:val="24"/>
            </w:rPr>
          </w:pPr>
          <w:r w:rsidRPr="000C24B6">
            <w:rPr>
              <w:rFonts w:ascii="Arial" w:hAnsi="Arial" w:cs="Arial"/>
              <w:sz w:val="24"/>
              <w:szCs w:val="24"/>
            </w:rPr>
            <w:t xml:space="preserve">The main factor contributing to the Basics closure was China’s intense competition for producing and supplying siloxanes at a much cheaper rate. Therefore, making Dow Basics product uncompetitive within the open market. Moreover, the cost of energy in the UK and Europe has significantly increased. Meaning the production of chemicals is power-hungry effecting the cost efficiency margins. </w:t>
          </w:r>
          <w:sdt>
            <w:sdtPr>
              <w:rPr>
                <w:rFonts w:ascii="Arial" w:hAnsi="Arial" w:cs="Arial"/>
                <w:sz w:val="24"/>
                <w:szCs w:val="24"/>
              </w:rPr>
              <w:id w:val="-2029776432"/>
              <w:citation/>
            </w:sdtPr>
            <w:sdtEndPr/>
            <w:sdtContent>
              <w:r w:rsidRPr="000C24B6">
                <w:rPr>
                  <w:rFonts w:ascii="Arial" w:hAnsi="Arial" w:cs="Arial"/>
                  <w:sz w:val="24"/>
                  <w:szCs w:val="24"/>
                </w:rPr>
                <w:fldChar w:fldCharType="begin"/>
              </w:r>
              <w:r w:rsidRPr="000C24B6">
                <w:rPr>
                  <w:rFonts w:ascii="Arial" w:hAnsi="Arial" w:cs="Arial"/>
                  <w:sz w:val="24"/>
                  <w:szCs w:val="24"/>
                </w:rPr>
                <w:instrText xml:space="preserve"> CITATION NEA25 \l 2057 </w:instrText>
              </w:r>
              <w:r w:rsidRPr="000C24B6">
                <w:rPr>
                  <w:rFonts w:ascii="Arial" w:hAnsi="Arial" w:cs="Arial"/>
                  <w:sz w:val="24"/>
                  <w:szCs w:val="24"/>
                </w:rPr>
                <w:fldChar w:fldCharType="separate"/>
              </w:r>
              <w:r w:rsidR="00E00015" w:rsidRPr="00E00015">
                <w:rPr>
                  <w:rFonts w:ascii="Arial" w:hAnsi="Arial" w:cs="Arial"/>
                  <w:noProof/>
                  <w:sz w:val="24"/>
                  <w:szCs w:val="24"/>
                </w:rPr>
                <w:t>(NEA, 2025)</w:t>
              </w:r>
              <w:r w:rsidRPr="000C24B6">
                <w:rPr>
                  <w:rFonts w:ascii="Arial" w:hAnsi="Arial" w:cs="Arial"/>
                  <w:sz w:val="24"/>
                  <w:szCs w:val="24"/>
                </w:rPr>
                <w:fldChar w:fldCharType="end"/>
              </w:r>
            </w:sdtContent>
          </w:sdt>
          <w:r w:rsidR="00532D20">
            <w:rPr>
              <w:rFonts w:ascii="Arial" w:hAnsi="Arial" w:cs="Arial"/>
              <w:sz w:val="24"/>
              <w:szCs w:val="24"/>
            </w:rPr>
            <w:t xml:space="preserve"> Furthermore, by removing Basic plants, the site no longer produces the upper dangerous substances, meaning Dow Barry will no longer be classified as a top-tier COMAH site. In turn, eliminating the additional responsibilities for COMAH-regulated sites. </w:t>
          </w:r>
          <w:sdt>
            <w:sdtPr>
              <w:rPr>
                <w:rFonts w:ascii="Arial" w:hAnsi="Arial" w:cs="Arial"/>
                <w:sz w:val="24"/>
                <w:szCs w:val="24"/>
              </w:rPr>
              <w:id w:val="1734433869"/>
              <w:citation/>
            </w:sdtPr>
            <w:sdtContent>
              <w:r w:rsidR="00532D20">
                <w:rPr>
                  <w:rFonts w:ascii="Arial" w:hAnsi="Arial" w:cs="Arial"/>
                  <w:sz w:val="24"/>
                  <w:szCs w:val="24"/>
                </w:rPr>
                <w:fldChar w:fldCharType="begin"/>
              </w:r>
              <w:r w:rsidR="00532D20">
                <w:rPr>
                  <w:rFonts w:ascii="Arial" w:hAnsi="Arial" w:cs="Arial"/>
                  <w:sz w:val="24"/>
                  <w:szCs w:val="24"/>
                </w:rPr>
                <w:instrText xml:space="preserve"> CITATION INF26 \l 2057 </w:instrText>
              </w:r>
              <w:r w:rsidR="00532D20">
                <w:rPr>
                  <w:rFonts w:ascii="Arial" w:hAnsi="Arial" w:cs="Arial"/>
                  <w:sz w:val="24"/>
                  <w:szCs w:val="24"/>
                </w:rPr>
                <w:fldChar w:fldCharType="separate"/>
              </w:r>
              <w:r w:rsidR="00E00015" w:rsidRPr="00E00015">
                <w:rPr>
                  <w:rFonts w:ascii="Arial" w:hAnsi="Arial" w:cs="Arial"/>
                  <w:noProof/>
                  <w:sz w:val="24"/>
                  <w:szCs w:val="24"/>
                </w:rPr>
                <w:t>(INFO, 2026)</w:t>
              </w:r>
              <w:r w:rsidR="00532D20">
                <w:rPr>
                  <w:rFonts w:ascii="Arial" w:hAnsi="Arial" w:cs="Arial"/>
                  <w:sz w:val="24"/>
                  <w:szCs w:val="24"/>
                </w:rPr>
                <w:fldChar w:fldCharType="end"/>
              </w:r>
            </w:sdtContent>
          </w:sdt>
        </w:p>
        <w:p w14:paraId="78DE83C9" w14:textId="0CEAEBCC" w:rsidR="00924F03" w:rsidRPr="000C24B6" w:rsidRDefault="00924F03" w:rsidP="00924F03">
          <w:pPr>
            <w:spacing w:line="360" w:lineRule="auto"/>
            <w:rPr>
              <w:rFonts w:ascii="Arial" w:hAnsi="Arial" w:cs="Arial"/>
              <w:sz w:val="24"/>
              <w:szCs w:val="24"/>
            </w:rPr>
          </w:pPr>
          <w:r w:rsidRPr="000C24B6">
            <w:rPr>
              <w:rFonts w:ascii="Arial" w:hAnsi="Arial" w:cs="Arial"/>
              <w:sz w:val="24"/>
              <w:szCs w:val="24"/>
            </w:rPr>
            <w:t xml:space="preserve">In addition to this, Dow was </w:t>
          </w:r>
          <w:r>
            <w:rPr>
              <w:rFonts w:ascii="Arial" w:hAnsi="Arial" w:cs="Arial"/>
              <w:sz w:val="24"/>
              <w:szCs w:val="24"/>
            </w:rPr>
            <w:t>undergoing</w:t>
          </w:r>
          <w:r w:rsidRPr="000C24B6">
            <w:rPr>
              <w:rFonts w:ascii="Arial" w:hAnsi="Arial" w:cs="Arial"/>
              <w:sz w:val="24"/>
              <w:szCs w:val="24"/>
            </w:rPr>
            <w:t xml:space="preserve"> a strategic asset rationalisation</w:t>
          </w:r>
          <w:r w:rsidR="00FD76A6">
            <w:rPr>
              <w:rFonts w:ascii="Arial" w:hAnsi="Arial" w:cs="Arial"/>
              <w:sz w:val="24"/>
              <w:szCs w:val="24"/>
            </w:rPr>
            <w:t xml:space="preserve"> </w:t>
          </w:r>
          <w:sdt>
            <w:sdtPr>
              <w:rPr>
                <w:rFonts w:ascii="Arial" w:hAnsi="Arial" w:cs="Arial"/>
                <w:sz w:val="24"/>
                <w:szCs w:val="24"/>
              </w:rPr>
              <w:id w:val="412978109"/>
              <w:citation/>
            </w:sdtPr>
            <w:sdtContent>
              <w:r w:rsidR="00FD76A6">
                <w:rPr>
                  <w:rFonts w:ascii="Arial" w:hAnsi="Arial" w:cs="Arial"/>
                  <w:sz w:val="24"/>
                  <w:szCs w:val="24"/>
                </w:rPr>
                <w:fldChar w:fldCharType="begin"/>
              </w:r>
              <w:r w:rsidR="00FD76A6">
                <w:rPr>
                  <w:rFonts w:ascii="Arial" w:hAnsi="Arial" w:cs="Arial"/>
                  <w:sz w:val="24"/>
                  <w:szCs w:val="24"/>
                </w:rPr>
                <w:instrText xml:space="preserve"> CITATION Nat25 \l 2057 </w:instrText>
              </w:r>
              <w:r w:rsidR="00FD76A6">
                <w:rPr>
                  <w:rFonts w:ascii="Arial" w:hAnsi="Arial" w:cs="Arial"/>
                  <w:sz w:val="24"/>
                  <w:szCs w:val="24"/>
                </w:rPr>
                <w:fldChar w:fldCharType="separate"/>
              </w:r>
              <w:r w:rsidR="00E00015" w:rsidRPr="00E00015">
                <w:rPr>
                  <w:rFonts w:ascii="Arial" w:hAnsi="Arial" w:cs="Arial"/>
                  <w:noProof/>
                  <w:sz w:val="24"/>
                  <w:szCs w:val="24"/>
                </w:rPr>
                <w:t>(Framework, 2025)</w:t>
              </w:r>
              <w:r w:rsidR="00FD76A6">
                <w:rPr>
                  <w:rFonts w:ascii="Arial" w:hAnsi="Arial" w:cs="Arial"/>
                  <w:sz w:val="24"/>
                  <w:szCs w:val="24"/>
                </w:rPr>
                <w:fldChar w:fldCharType="end"/>
              </w:r>
            </w:sdtContent>
          </w:sdt>
          <w:r w:rsidRPr="000C24B6">
            <w:rPr>
              <w:rFonts w:ascii="Arial" w:hAnsi="Arial" w:cs="Arial"/>
              <w:sz w:val="24"/>
              <w:szCs w:val="24"/>
            </w:rPr>
            <w:t xml:space="preserve">. The closure forms part of a 2025 global “best-owner mindset” strategy </w:t>
          </w:r>
          <w:sdt>
            <w:sdtPr>
              <w:rPr>
                <w:rFonts w:ascii="Arial" w:hAnsi="Arial" w:cs="Arial"/>
                <w:sz w:val="24"/>
                <w:szCs w:val="24"/>
              </w:rPr>
              <w:id w:val="-1600259723"/>
              <w:citation/>
            </w:sdtPr>
            <w:sdtEndPr/>
            <w:sdtContent>
              <w:r w:rsidRPr="000C24B6">
                <w:rPr>
                  <w:rFonts w:ascii="Arial" w:hAnsi="Arial" w:cs="Arial"/>
                  <w:sz w:val="24"/>
                  <w:szCs w:val="24"/>
                </w:rPr>
                <w:fldChar w:fldCharType="begin"/>
              </w:r>
              <w:r w:rsidRPr="000C24B6">
                <w:rPr>
                  <w:rFonts w:ascii="Arial" w:hAnsi="Arial" w:cs="Arial"/>
                  <w:sz w:val="24"/>
                  <w:szCs w:val="24"/>
                </w:rPr>
                <w:instrText xml:space="preserve"> CITATION Dow26 \l 2057 </w:instrText>
              </w:r>
              <w:r w:rsidRPr="000C24B6">
                <w:rPr>
                  <w:rFonts w:ascii="Arial" w:hAnsi="Arial" w:cs="Arial"/>
                  <w:sz w:val="24"/>
                  <w:szCs w:val="24"/>
                </w:rPr>
                <w:fldChar w:fldCharType="separate"/>
              </w:r>
              <w:r w:rsidR="00E00015" w:rsidRPr="00E00015">
                <w:rPr>
                  <w:rFonts w:ascii="Arial" w:hAnsi="Arial" w:cs="Arial"/>
                  <w:noProof/>
                  <w:sz w:val="24"/>
                  <w:szCs w:val="24"/>
                </w:rPr>
                <w:t xml:space="preserve">(Dow, </w:t>
              </w:r>
              <w:r w:rsidR="00E00015" w:rsidRPr="00E00015">
                <w:rPr>
                  <w:rFonts w:ascii="Arial" w:hAnsi="Arial" w:cs="Arial"/>
                  <w:noProof/>
                  <w:sz w:val="24"/>
                  <w:szCs w:val="24"/>
                </w:rPr>
                <w:lastRenderedPageBreak/>
                <w:t>2026)</w:t>
              </w:r>
              <w:r w:rsidRPr="000C24B6">
                <w:rPr>
                  <w:rFonts w:ascii="Arial" w:hAnsi="Arial" w:cs="Arial"/>
                  <w:sz w:val="24"/>
                  <w:szCs w:val="24"/>
                </w:rPr>
                <w:fldChar w:fldCharType="end"/>
              </w:r>
            </w:sdtContent>
          </w:sdt>
          <w:r w:rsidRPr="000C24B6">
            <w:rPr>
              <w:rFonts w:ascii="Arial" w:hAnsi="Arial" w:cs="Arial"/>
              <w:sz w:val="24"/>
              <w:szCs w:val="24"/>
            </w:rPr>
            <w:t xml:space="preserve"> designed to improve profitability by streamlining front-end assets and focusing investment on higher-value speciality silicones. This method intends to increase demand in the market that has been declining.</w:t>
          </w:r>
        </w:p>
        <w:p w14:paraId="500951B1" w14:textId="52285545" w:rsidR="00924F03" w:rsidRPr="000C24B6" w:rsidRDefault="00924F03" w:rsidP="00924F03">
          <w:pPr>
            <w:spacing w:line="360" w:lineRule="auto"/>
            <w:rPr>
              <w:rFonts w:ascii="Arial" w:hAnsi="Arial" w:cs="Arial"/>
              <w:sz w:val="24"/>
              <w:szCs w:val="24"/>
            </w:rPr>
          </w:pPr>
          <w:r w:rsidRPr="000C24B6">
            <w:rPr>
              <w:rFonts w:ascii="Arial" w:hAnsi="Arial" w:cs="Arial"/>
              <w:sz w:val="24"/>
              <w:szCs w:val="24"/>
            </w:rPr>
            <w:t>Finally, in January 2025, Dow announced a $1 billion cost-saving initiative that aimed to cut 1,500 jobs globally</w:t>
          </w:r>
          <w:r w:rsidR="00FD76A6">
            <w:rPr>
              <w:rFonts w:ascii="Arial" w:hAnsi="Arial" w:cs="Arial"/>
              <w:sz w:val="24"/>
              <w:szCs w:val="24"/>
            </w:rPr>
            <w:t xml:space="preserve"> </w:t>
          </w:r>
          <w:sdt>
            <w:sdtPr>
              <w:rPr>
                <w:rFonts w:ascii="Arial" w:hAnsi="Arial" w:cs="Arial"/>
                <w:sz w:val="24"/>
                <w:szCs w:val="24"/>
              </w:rPr>
              <w:id w:val="1398785556"/>
              <w:citation/>
            </w:sdtPr>
            <w:sdtContent>
              <w:r w:rsidR="00FD76A6">
                <w:rPr>
                  <w:rFonts w:ascii="Arial" w:hAnsi="Arial" w:cs="Arial"/>
                  <w:sz w:val="24"/>
                  <w:szCs w:val="24"/>
                </w:rPr>
                <w:fldChar w:fldCharType="begin"/>
              </w:r>
              <w:r w:rsidR="00FD76A6">
                <w:rPr>
                  <w:rFonts w:ascii="Arial" w:hAnsi="Arial" w:cs="Arial"/>
                  <w:sz w:val="24"/>
                  <w:szCs w:val="24"/>
                </w:rPr>
                <w:instrText xml:space="preserve"> CITATION Mot25 \l 2057 </w:instrText>
              </w:r>
              <w:r w:rsidR="00FD76A6">
                <w:rPr>
                  <w:rFonts w:ascii="Arial" w:hAnsi="Arial" w:cs="Arial"/>
                  <w:sz w:val="24"/>
                  <w:szCs w:val="24"/>
                </w:rPr>
                <w:fldChar w:fldCharType="separate"/>
              </w:r>
              <w:r w:rsidR="00E00015" w:rsidRPr="00E00015">
                <w:rPr>
                  <w:rFonts w:ascii="Arial" w:hAnsi="Arial" w:cs="Arial"/>
                  <w:noProof/>
                  <w:sz w:val="24"/>
                  <w:szCs w:val="24"/>
                </w:rPr>
                <w:t>(Sasaki, 2025)</w:t>
              </w:r>
              <w:r w:rsidR="00FD76A6">
                <w:rPr>
                  <w:rFonts w:ascii="Arial" w:hAnsi="Arial" w:cs="Arial"/>
                  <w:sz w:val="24"/>
                  <w:szCs w:val="24"/>
                </w:rPr>
                <w:fldChar w:fldCharType="end"/>
              </w:r>
            </w:sdtContent>
          </w:sdt>
          <w:r w:rsidRPr="000C24B6">
            <w:rPr>
              <w:rFonts w:ascii="Arial" w:hAnsi="Arial" w:cs="Arial"/>
              <w:sz w:val="24"/>
              <w:szCs w:val="24"/>
            </w:rPr>
            <w:t>. This aligns with the closure of Basics in Barry.</w:t>
          </w:r>
        </w:p>
        <w:p w14:paraId="108FD0D1" w14:textId="77777777" w:rsidR="00924F03" w:rsidRPr="000C24B6" w:rsidRDefault="00924F03" w:rsidP="00924F03">
          <w:pPr>
            <w:pStyle w:val="Heading2"/>
          </w:pPr>
          <w:bookmarkStart w:id="13" w:name="_Toc229248453"/>
          <w:bookmarkStart w:id="14" w:name="_Toc229424566"/>
          <w:r w:rsidRPr="000C24B6">
            <w:t>Resisting forces behind the closure</w:t>
          </w:r>
          <w:bookmarkEnd w:id="13"/>
          <w:bookmarkEnd w:id="14"/>
          <w:r w:rsidRPr="000C24B6">
            <w:t xml:space="preserve"> </w:t>
          </w:r>
        </w:p>
        <w:p w14:paraId="784A8969" w14:textId="77777777" w:rsidR="00924F03" w:rsidRPr="000C24B6" w:rsidRDefault="00924F03" w:rsidP="00924F03">
          <w:pPr>
            <w:spacing w:line="360" w:lineRule="auto"/>
            <w:rPr>
              <w:rFonts w:ascii="Arial" w:hAnsi="Arial" w:cs="Arial"/>
              <w:sz w:val="24"/>
              <w:szCs w:val="24"/>
            </w:rPr>
          </w:pPr>
        </w:p>
        <w:p w14:paraId="6787B763" w14:textId="5F1AFBE6" w:rsidR="00924F03" w:rsidRPr="000C24B6" w:rsidRDefault="00924F03" w:rsidP="00924F03">
          <w:pPr>
            <w:spacing w:line="360" w:lineRule="auto"/>
            <w:rPr>
              <w:rFonts w:ascii="Arial" w:hAnsi="Arial" w:cs="Arial"/>
              <w:sz w:val="24"/>
              <w:szCs w:val="24"/>
            </w:rPr>
          </w:pPr>
          <w:r w:rsidRPr="000C24B6">
            <w:rPr>
              <w:rFonts w:ascii="Arial" w:hAnsi="Arial" w:cs="Arial"/>
              <w:sz w:val="24"/>
              <w:szCs w:val="24"/>
            </w:rPr>
            <w:t>When the risk of redundancies is announced, employees typically experience a range of emotional and behavioural responses. Many feel increased anxiety and uncertainty about their job security, which can lead to stress, fear, and reduced morale. In some cases, this situation may also generate frustration or anger, particularly if communication is perceived as unclear or sudden. These emotions can affect workplace behaviour, resulting in lower motivation, reduced productivity, and decreased engagement with work and colleagues. Employees may also begin to lose trust in management and explore alternative job opportunities. If uncertainty continues over a longer period, it can contribute to burnout and a decline in overall organisational commitment.</w:t>
          </w:r>
          <w:sdt>
            <w:sdtPr>
              <w:rPr>
                <w:rFonts w:ascii="Arial" w:hAnsi="Arial" w:cs="Arial"/>
                <w:sz w:val="24"/>
                <w:szCs w:val="24"/>
              </w:rPr>
              <w:id w:val="2134212747"/>
              <w:citation/>
            </w:sdtPr>
            <w:sdtContent>
              <w:r w:rsidR="00DD52AF">
                <w:rPr>
                  <w:rFonts w:ascii="Arial" w:hAnsi="Arial" w:cs="Arial"/>
                  <w:sz w:val="24"/>
                  <w:szCs w:val="24"/>
                </w:rPr>
                <w:fldChar w:fldCharType="begin"/>
              </w:r>
              <w:r w:rsidR="00DD52AF">
                <w:rPr>
                  <w:rFonts w:ascii="Arial" w:hAnsi="Arial" w:cs="Arial"/>
                  <w:sz w:val="24"/>
                  <w:szCs w:val="24"/>
                </w:rPr>
                <w:instrText xml:space="preserve">CITATION Mad24 \l 2057 </w:instrText>
              </w:r>
              <w:r w:rsidR="00DD52AF">
                <w:rPr>
                  <w:rFonts w:ascii="Arial" w:hAnsi="Arial" w:cs="Arial"/>
                  <w:sz w:val="24"/>
                  <w:szCs w:val="24"/>
                </w:rPr>
                <w:fldChar w:fldCharType="separate"/>
              </w:r>
              <w:r w:rsidR="00E00015">
                <w:rPr>
                  <w:rFonts w:ascii="Arial" w:hAnsi="Arial" w:cs="Arial"/>
                  <w:noProof/>
                  <w:sz w:val="24"/>
                  <w:szCs w:val="24"/>
                </w:rPr>
                <w:t xml:space="preserve"> </w:t>
              </w:r>
              <w:r w:rsidR="00E00015" w:rsidRPr="00E00015">
                <w:rPr>
                  <w:rFonts w:ascii="Arial" w:hAnsi="Arial" w:cs="Arial"/>
                  <w:noProof/>
                  <w:sz w:val="24"/>
                  <w:szCs w:val="24"/>
                </w:rPr>
                <w:t>(Pickles, 2024)</w:t>
              </w:r>
              <w:r w:rsidR="00DD52AF">
                <w:rPr>
                  <w:rFonts w:ascii="Arial" w:hAnsi="Arial" w:cs="Arial"/>
                  <w:sz w:val="24"/>
                  <w:szCs w:val="24"/>
                </w:rPr>
                <w:fldChar w:fldCharType="end"/>
              </w:r>
            </w:sdtContent>
          </w:sdt>
        </w:p>
        <w:p w14:paraId="17BAF188" w14:textId="33066B49" w:rsidR="00924F03" w:rsidRPr="000C24B6" w:rsidRDefault="00924F03" w:rsidP="00924F03">
          <w:pPr>
            <w:spacing w:line="360" w:lineRule="auto"/>
            <w:rPr>
              <w:rFonts w:ascii="Arial" w:hAnsi="Arial" w:cs="Arial"/>
              <w:sz w:val="24"/>
              <w:szCs w:val="24"/>
            </w:rPr>
          </w:pPr>
          <w:r w:rsidRPr="000C24B6">
            <w:rPr>
              <w:rFonts w:ascii="Arial" w:hAnsi="Arial" w:cs="Arial"/>
              <w:sz w:val="24"/>
              <w:szCs w:val="24"/>
            </w:rPr>
            <w:t>Subsequently, Local communities also resist site closure</w:t>
          </w:r>
          <w:r w:rsidR="00515CC4">
            <w:rPr>
              <w:rFonts w:ascii="Arial" w:hAnsi="Arial" w:cs="Arial"/>
              <w:sz w:val="24"/>
              <w:szCs w:val="24"/>
            </w:rPr>
            <w:t>s</w:t>
          </w:r>
          <w:r w:rsidRPr="000C24B6">
            <w:rPr>
              <w:rFonts w:ascii="Arial" w:hAnsi="Arial" w:cs="Arial"/>
              <w:sz w:val="24"/>
              <w:szCs w:val="24"/>
            </w:rPr>
            <w:t xml:space="preserve"> as household income reduces. This, in turn, lowers local spending in shops, services, and other businesses, weakening the wider economy. Small businesses in the area may suffer from reduced demand. In addition, the loss of employment opportunities can make the area less attractive for investment, slowing economic growth and increasing long-term unemployment in the community</w:t>
          </w:r>
          <w:r>
            <w:rPr>
              <w:rFonts w:ascii="Arial" w:hAnsi="Arial" w:cs="Arial"/>
              <w:sz w:val="24"/>
              <w:szCs w:val="24"/>
            </w:rPr>
            <w:t>.</w:t>
          </w:r>
        </w:p>
        <w:p w14:paraId="28ED62BB" w14:textId="642F723E" w:rsidR="00924F03" w:rsidRDefault="00924F03" w:rsidP="00924F03">
          <w:pPr>
            <w:spacing w:line="360" w:lineRule="auto"/>
            <w:rPr>
              <w:rFonts w:ascii="Arial" w:hAnsi="Arial" w:cs="Arial"/>
              <w:sz w:val="24"/>
              <w:szCs w:val="24"/>
            </w:rPr>
          </w:pPr>
          <w:r w:rsidRPr="000C24B6">
            <w:rPr>
              <w:rFonts w:ascii="Arial" w:hAnsi="Arial" w:cs="Arial"/>
              <w:sz w:val="24"/>
              <w:szCs w:val="24"/>
            </w:rPr>
            <w:t>Suppliers and customers may resist the decrease in demand, and uncertainty in the market can pose a negative impact. Moreover, the closure can disrupt supply chains, increase costs</w:t>
          </w:r>
          <w:r w:rsidR="00515CC4">
            <w:rPr>
              <w:rFonts w:ascii="Arial" w:hAnsi="Arial" w:cs="Arial"/>
              <w:sz w:val="24"/>
              <w:szCs w:val="24"/>
            </w:rPr>
            <w:t xml:space="preserve"> and</w:t>
          </w:r>
          <w:r w:rsidRPr="000C24B6">
            <w:rPr>
              <w:rFonts w:ascii="Arial" w:hAnsi="Arial" w:cs="Arial"/>
              <w:sz w:val="24"/>
              <w:szCs w:val="24"/>
            </w:rPr>
            <w:t xml:space="preserve"> reduce service reliability.</w:t>
          </w:r>
        </w:p>
        <w:p w14:paraId="041C2951" w14:textId="77777777" w:rsidR="00924F03" w:rsidRPr="000C24B6" w:rsidRDefault="00924F03" w:rsidP="00924F03">
          <w:pPr>
            <w:spacing w:line="360" w:lineRule="auto"/>
            <w:rPr>
              <w:rFonts w:ascii="Arial" w:hAnsi="Arial" w:cs="Arial"/>
              <w:sz w:val="24"/>
              <w:szCs w:val="24"/>
            </w:rPr>
          </w:pPr>
        </w:p>
        <w:p w14:paraId="35F167A4" w14:textId="77777777" w:rsidR="00924F03" w:rsidRPr="000C24B6" w:rsidRDefault="00924F03" w:rsidP="00924F03">
          <w:pPr>
            <w:pStyle w:val="Heading2"/>
          </w:pPr>
          <w:bookmarkStart w:id="15" w:name="_Toc229248454"/>
          <w:bookmarkStart w:id="16" w:name="_Toc229424567"/>
          <w:r w:rsidRPr="000C24B6">
            <w:t>Lewin’s three-step change management model</w:t>
          </w:r>
          <w:bookmarkEnd w:id="15"/>
          <w:bookmarkEnd w:id="16"/>
          <w:r w:rsidRPr="000C24B6">
            <w:t xml:space="preserve"> </w:t>
          </w:r>
        </w:p>
        <w:p w14:paraId="0921D1E7" w14:textId="77777777" w:rsidR="00924F03" w:rsidRPr="000C24B6" w:rsidRDefault="00924F03" w:rsidP="00924F03">
          <w:pPr>
            <w:spacing w:line="360" w:lineRule="auto"/>
            <w:rPr>
              <w:rFonts w:ascii="Arial" w:hAnsi="Arial" w:cs="Arial"/>
              <w:sz w:val="24"/>
              <w:szCs w:val="24"/>
            </w:rPr>
          </w:pPr>
        </w:p>
        <w:p w14:paraId="13157B67" w14:textId="49B778CC" w:rsidR="00924F03" w:rsidRPr="000C24B6" w:rsidRDefault="00924F03" w:rsidP="00924F03">
          <w:pPr>
            <w:spacing w:line="360" w:lineRule="auto"/>
            <w:rPr>
              <w:rFonts w:ascii="Arial" w:hAnsi="Arial" w:cs="Arial"/>
              <w:sz w:val="24"/>
              <w:szCs w:val="24"/>
            </w:rPr>
          </w:pPr>
          <w:r w:rsidRPr="000C24B6">
            <w:rPr>
              <w:rFonts w:ascii="Arial" w:hAnsi="Arial" w:cs="Arial"/>
              <w:sz w:val="24"/>
              <w:szCs w:val="24"/>
            </w:rPr>
            <w:lastRenderedPageBreak/>
            <w:t xml:space="preserve">First step, </w:t>
          </w:r>
          <w:r w:rsidRPr="000C24B6">
            <w:rPr>
              <w:rFonts w:ascii="Arial" w:hAnsi="Arial" w:cs="Arial"/>
              <w:b/>
              <w:bCs/>
              <w:sz w:val="24"/>
              <w:szCs w:val="24"/>
            </w:rPr>
            <w:t xml:space="preserve">unfreeze. </w:t>
          </w:r>
          <w:r w:rsidRPr="000C24B6">
            <w:rPr>
              <w:rFonts w:ascii="Arial" w:hAnsi="Arial" w:cs="Arial"/>
              <w:sz w:val="24"/>
              <w:szCs w:val="24"/>
            </w:rPr>
            <w:t>This initial stage prepares the organisation for change by raising awareness of its importance and addressing resistance to new ways of working. Clear communication is key to building readiness and support for change.</w:t>
          </w:r>
          <w:sdt>
            <w:sdtPr>
              <w:rPr>
                <w:rFonts w:ascii="Arial" w:hAnsi="Arial" w:cs="Arial"/>
                <w:sz w:val="24"/>
                <w:szCs w:val="24"/>
              </w:rPr>
              <w:id w:val="19361430"/>
              <w:citation/>
            </w:sdtPr>
            <w:sdtEndPr/>
            <w:sdtContent>
              <w:r w:rsidRPr="000C24B6">
                <w:rPr>
                  <w:rFonts w:ascii="Arial" w:hAnsi="Arial" w:cs="Arial"/>
                  <w:sz w:val="24"/>
                  <w:szCs w:val="24"/>
                </w:rPr>
                <w:fldChar w:fldCharType="begin"/>
              </w:r>
              <w:r w:rsidRPr="000C24B6">
                <w:rPr>
                  <w:rFonts w:ascii="Arial" w:hAnsi="Arial" w:cs="Arial"/>
                  <w:sz w:val="24"/>
                  <w:szCs w:val="24"/>
                </w:rPr>
                <w:instrText xml:space="preserve"> CITATION Moh24 \l 2057 </w:instrText>
              </w:r>
              <w:r w:rsidRPr="000C24B6">
                <w:rPr>
                  <w:rFonts w:ascii="Arial" w:hAnsi="Arial" w:cs="Arial"/>
                  <w:sz w:val="24"/>
                  <w:szCs w:val="24"/>
                </w:rPr>
                <w:fldChar w:fldCharType="separate"/>
              </w:r>
              <w:r w:rsidR="00E00015">
                <w:rPr>
                  <w:rFonts w:ascii="Arial" w:hAnsi="Arial" w:cs="Arial"/>
                  <w:noProof/>
                  <w:sz w:val="24"/>
                  <w:szCs w:val="24"/>
                </w:rPr>
                <w:t xml:space="preserve"> </w:t>
              </w:r>
              <w:r w:rsidR="00E00015" w:rsidRPr="00E00015">
                <w:rPr>
                  <w:rFonts w:ascii="Arial" w:hAnsi="Arial" w:cs="Arial"/>
                  <w:noProof/>
                  <w:sz w:val="24"/>
                  <w:szCs w:val="24"/>
                </w:rPr>
                <w:t>(Raza, 2024)</w:t>
              </w:r>
              <w:r w:rsidRPr="000C24B6">
                <w:rPr>
                  <w:rFonts w:ascii="Arial" w:hAnsi="Arial" w:cs="Arial"/>
                  <w:sz w:val="24"/>
                  <w:szCs w:val="24"/>
                </w:rPr>
                <w:fldChar w:fldCharType="end"/>
              </w:r>
            </w:sdtContent>
          </w:sdt>
        </w:p>
        <w:p w14:paraId="42D9BC78" w14:textId="77777777" w:rsidR="00924F03" w:rsidRDefault="00924F03" w:rsidP="00924F03">
          <w:pPr>
            <w:spacing w:line="360" w:lineRule="auto"/>
            <w:rPr>
              <w:rFonts w:ascii="Arial" w:hAnsi="Arial" w:cs="Arial"/>
              <w:sz w:val="24"/>
              <w:szCs w:val="24"/>
            </w:rPr>
          </w:pPr>
          <w:r w:rsidRPr="000C24B6">
            <w:rPr>
              <w:rFonts w:ascii="Arial" w:hAnsi="Arial" w:cs="Arial"/>
              <w:sz w:val="24"/>
              <w:szCs w:val="24"/>
            </w:rPr>
            <w:t xml:space="preserve">Secondly, the </w:t>
          </w:r>
          <w:r w:rsidRPr="000C24B6">
            <w:rPr>
              <w:rFonts w:ascii="Arial" w:hAnsi="Arial" w:cs="Arial"/>
              <w:b/>
              <w:bCs/>
              <w:sz w:val="24"/>
              <w:szCs w:val="24"/>
            </w:rPr>
            <w:t>change/transition</w:t>
          </w:r>
          <w:r w:rsidRPr="000C24B6">
            <w:rPr>
              <w:rFonts w:ascii="Arial" w:hAnsi="Arial" w:cs="Arial"/>
              <w:sz w:val="24"/>
              <w:szCs w:val="24"/>
            </w:rPr>
            <w:t xml:space="preserve"> stage focuses on introducing new behaviours, processes, and ways of thinking as individuals and organisations adapt to change. Training and support help ensure the transition is successful.</w:t>
          </w:r>
        </w:p>
        <w:p w14:paraId="3225FAFC" w14:textId="31755AB5" w:rsidR="00924F03" w:rsidRPr="000C24B6" w:rsidRDefault="00924F03" w:rsidP="00924F03">
          <w:pPr>
            <w:spacing w:line="360" w:lineRule="auto"/>
            <w:rPr>
              <w:rFonts w:ascii="Arial" w:hAnsi="Arial" w:cs="Arial"/>
              <w:sz w:val="24"/>
              <w:szCs w:val="24"/>
            </w:rPr>
          </w:pPr>
          <w:r w:rsidRPr="000C24B6">
            <w:rPr>
              <w:rFonts w:ascii="Arial" w:hAnsi="Arial" w:cs="Arial"/>
              <w:sz w:val="24"/>
              <w:szCs w:val="24"/>
            </w:rPr>
            <w:t xml:space="preserve">Finally, the </w:t>
          </w:r>
          <w:r w:rsidRPr="000C24B6">
            <w:rPr>
              <w:rFonts w:ascii="Arial" w:hAnsi="Arial" w:cs="Arial"/>
              <w:b/>
              <w:bCs/>
              <w:sz w:val="24"/>
              <w:szCs w:val="24"/>
            </w:rPr>
            <w:t>refreeze</w:t>
          </w:r>
          <w:r w:rsidRPr="000C24B6">
            <w:rPr>
              <w:rFonts w:ascii="Arial" w:hAnsi="Arial" w:cs="Arial"/>
              <w:sz w:val="24"/>
              <w:szCs w:val="24"/>
            </w:rPr>
            <w:t xml:space="preserve"> stage focuses on reinforcing new behaviours and processes so they become standard practice within the organisation. Recognition and rewards can help sustain the change and prevent a return to old habits.</w:t>
          </w:r>
          <w:sdt>
            <w:sdtPr>
              <w:rPr>
                <w:rFonts w:ascii="Arial" w:hAnsi="Arial" w:cs="Arial"/>
                <w:sz w:val="24"/>
                <w:szCs w:val="24"/>
              </w:rPr>
              <w:id w:val="-1682032857"/>
              <w:citation/>
            </w:sdtPr>
            <w:sdtEndPr/>
            <w:sdtContent>
              <w:r w:rsidRPr="000C24B6">
                <w:rPr>
                  <w:rFonts w:ascii="Arial" w:hAnsi="Arial" w:cs="Arial"/>
                  <w:sz w:val="24"/>
                  <w:szCs w:val="24"/>
                </w:rPr>
                <w:fldChar w:fldCharType="begin"/>
              </w:r>
              <w:r w:rsidRPr="000C24B6">
                <w:rPr>
                  <w:rFonts w:ascii="Arial" w:hAnsi="Arial" w:cs="Arial"/>
                  <w:sz w:val="24"/>
                  <w:szCs w:val="24"/>
                </w:rPr>
                <w:instrText xml:space="preserve"> CITATION Sye18 \l 2057 </w:instrText>
              </w:r>
              <w:r w:rsidRPr="000C24B6">
                <w:rPr>
                  <w:rFonts w:ascii="Arial" w:hAnsi="Arial" w:cs="Arial"/>
                  <w:sz w:val="24"/>
                  <w:szCs w:val="24"/>
                </w:rPr>
                <w:fldChar w:fldCharType="separate"/>
              </w:r>
              <w:r w:rsidR="00E00015">
                <w:rPr>
                  <w:rFonts w:ascii="Arial" w:hAnsi="Arial" w:cs="Arial"/>
                  <w:noProof/>
                  <w:sz w:val="24"/>
                  <w:szCs w:val="24"/>
                </w:rPr>
                <w:t xml:space="preserve"> </w:t>
              </w:r>
              <w:r w:rsidR="00E00015" w:rsidRPr="00E00015">
                <w:rPr>
                  <w:rFonts w:ascii="Arial" w:hAnsi="Arial" w:cs="Arial"/>
                  <w:noProof/>
                  <w:sz w:val="24"/>
                  <w:szCs w:val="24"/>
                </w:rPr>
                <w:t>(Hussain, 2018)</w:t>
              </w:r>
              <w:r w:rsidRPr="000C24B6">
                <w:rPr>
                  <w:rFonts w:ascii="Arial" w:hAnsi="Arial" w:cs="Arial"/>
                  <w:sz w:val="24"/>
                  <w:szCs w:val="24"/>
                </w:rPr>
                <w:fldChar w:fldCharType="end"/>
              </w:r>
            </w:sdtContent>
          </w:sdt>
        </w:p>
        <w:p w14:paraId="761A6DA9" w14:textId="77777777" w:rsidR="00924F03" w:rsidRPr="000C24B6" w:rsidRDefault="00924F03" w:rsidP="00924F03">
          <w:pPr>
            <w:spacing w:line="360" w:lineRule="auto"/>
            <w:rPr>
              <w:rFonts w:ascii="Arial" w:hAnsi="Arial" w:cs="Arial"/>
              <w:sz w:val="24"/>
              <w:szCs w:val="24"/>
            </w:rPr>
          </w:pPr>
        </w:p>
        <w:p w14:paraId="365B9532" w14:textId="081ACFFB" w:rsidR="00924F03" w:rsidRPr="000C24B6" w:rsidRDefault="00924F03" w:rsidP="00924F03">
          <w:pPr>
            <w:spacing w:line="360" w:lineRule="auto"/>
            <w:rPr>
              <w:rFonts w:ascii="Arial" w:hAnsi="Arial" w:cs="Arial"/>
              <w:sz w:val="24"/>
              <w:szCs w:val="24"/>
            </w:rPr>
          </w:pPr>
          <w:r w:rsidRPr="000C24B6">
            <w:rPr>
              <w:rFonts w:ascii="Arial" w:hAnsi="Arial" w:cs="Arial"/>
              <w:sz w:val="24"/>
              <w:szCs w:val="24"/>
            </w:rPr>
            <w:t>Lewin’s three-step model can be applied to Dow. Dow raised awareness early and outlined the criticality and the importance of change, communicating well about what could be developing. The Transition stage has been outlined to begin decommissioning in June 2026. All employees are now aware of what their future looks like within the company, whether continued employment in the new organisation, part of the decommissioning team, or redundancy. At this stage, everyone has accepted their outcome. Moreover, Dow has offered all those being made redundant a training budget of five thousand pounds, in hopes of preparing employees for work outside of Dow and enhancing their job opportunities. Lastly, whilst the refreeze stage is in the future. Dow holds itself to high standards and will likely continue to instil its core values and establish their code of conduct. Furthermore, Dow uses a recognition programme where employees can be selected for rewards for performing well.</w:t>
          </w:r>
          <w:r w:rsidR="002D30DD">
            <w:rPr>
              <w:rFonts w:ascii="Arial" w:hAnsi="Arial" w:cs="Arial"/>
              <w:sz w:val="24"/>
              <w:szCs w:val="24"/>
            </w:rPr>
            <w:t xml:space="preserve"> Providing potential positive relationships within the new organisation’s re-freeze</w:t>
          </w:r>
          <w:r w:rsidRPr="000C24B6">
            <w:rPr>
              <w:rFonts w:ascii="Arial" w:hAnsi="Arial" w:cs="Arial"/>
              <w:sz w:val="24"/>
              <w:szCs w:val="24"/>
            </w:rPr>
            <w:t xml:space="preserve">  </w:t>
          </w:r>
          <w:sdt>
            <w:sdtPr>
              <w:rPr>
                <w:rFonts w:ascii="Arial" w:hAnsi="Arial" w:cs="Arial"/>
                <w:sz w:val="24"/>
                <w:szCs w:val="24"/>
              </w:rPr>
              <w:id w:val="1447893032"/>
              <w:citation/>
            </w:sdtPr>
            <w:sdtEndPr/>
            <w:sdtContent>
              <w:r w:rsidRPr="000C24B6">
                <w:rPr>
                  <w:rFonts w:ascii="Arial" w:hAnsi="Arial" w:cs="Arial"/>
                  <w:sz w:val="24"/>
                  <w:szCs w:val="24"/>
                </w:rPr>
                <w:fldChar w:fldCharType="begin"/>
              </w:r>
              <w:r w:rsidRPr="000C24B6">
                <w:rPr>
                  <w:rFonts w:ascii="Arial" w:hAnsi="Arial" w:cs="Arial"/>
                  <w:sz w:val="24"/>
                  <w:szCs w:val="24"/>
                </w:rPr>
                <w:instrText xml:space="preserve"> CITATION Cla25 \l 2057 </w:instrText>
              </w:r>
              <w:r w:rsidRPr="000C24B6">
                <w:rPr>
                  <w:rFonts w:ascii="Arial" w:hAnsi="Arial" w:cs="Arial"/>
                  <w:sz w:val="24"/>
                  <w:szCs w:val="24"/>
                </w:rPr>
                <w:fldChar w:fldCharType="separate"/>
              </w:r>
              <w:r w:rsidR="00E00015" w:rsidRPr="00E00015">
                <w:rPr>
                  <w:rFonts w:ascii="Arial" w:hAnsi="Arial" w:cs="Arial"/>
                  <w:noProof/>
                  <w:sz w:val="24"/>
                  <w:szCs w:val="24"/>
                </w:rPr>
                <w:t>(Hastwell, 2025)</w:t>
              </w:r>
              <w:r w:rsidRPr="000C24B6">
                <w:rPr>
                  <w:rFonts w:ascii="Arial" w:hAnsi="Arial" w:cs="Arial"/>
                  <w:sz w:val="24"/>
                  <w:szCs w:val="24"/>
                </w:rPr>
                <w:fldChar w:fldCharType="end"/>
              </w:r>
            </w:sdtContent>
          </w:sdt>
        </w:p>
        <w:p w14:paraId="72776BD0" w14:textId="77777777" w:rsidR="00924F03" w:rsidRPr="000C24B6" w:rsidRDefault="00924F03" w:rsidP="00924F03">
          <w:pPr>
            <w:spacing w:line="360" w:lineRule="auto"/>
            <w:rPr>
              <w:rFonts w:ascii="Arial" w:hAnsi="Arial" w:cs="Arial"/>
              <w:sz w:val="24"/>
              <w:szCs w:val="24"/>
            </w:rPr>
          </w:pPr>
        </w:p>
        <w:p w14:paraId="664E7F0D" w14:textId="3F756113" w:rsidR="00924F03" w:rsidRDefault="00924F03" w:rsidP="00F80AD9">
          <w:pPr>
            <w:pStyle w:val="Heading1"/>
          </w:pPr>
          <w:bookmarkStart w:id="17" w:name="_Toc229248455"/>
          <w:bookmarkStart w:id="18" w:name="_Toc229424568"/>
          <w:r w:rsidRPr="000C24B6">
            <w:t>Herzberg’s Two-Factor theory</w:t>
          </w:r>
          <w:bookmarkEnd w:id="17"/>
          <w:bookmarkEnd w:id="18"/>
          <w:r w:rsidRPr="000C24B6">
            <w:t xml:space="preserve"> </w:t>
          </w:r>
        </w:p>
        <w:p w14:paraId="1519E541" w14:textId="77777777" w:rsidR="00F80AD9" w:rsidRPr="00F80AD9" w:rsidRDefault="00F80AD9" w:rsidP="00F80AD9"/>
        <w:p w14:paraId="5D934CE8" w14:textId="22C705C5" w:rsidR="00F80AD9" w:rsidRDefault="00F80AD9" w:rsidP="00924F03">
          <w:pPr>
            <w:spacing w:line="360" w:lineRule="auto"/>
            <w:rPr>
              <w:rFonts w:ascii="Arial" w:hAnsi="Arial" w:cs="Arial"/>
              <w:sz w:val="24"/>
              <w:szCs w:val="24"/>
            </w:rPr>
          </w:pPr>
          <w:r>
            <w:rPr>
              <w:rFonts w:ascii="Arial" w:hAnsi="Arial" w:cs="Arial"/>
              <w:noProof/>
            </w:rPr>
            <w:lastRenderedPageBreak/>
            <w:drawing>
              <wp:inline distT="0" distB="0" distL="0" distR="0" wp14:anchorId="0647280D" wp14:editId="22700B7C">
                <wp:extent cx="5365471" cy="2738120"/>
                <wp:effectExtent l="0" t="0" r="6985"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71090" cy="2740988"/>
                        </a:xfrm>
                        <a:prstGeom prst="rect">
                          <a:avLst/>
                        </a:prstGeom>
                        <a:noFill/>
                        <a:ln>
                          <a:noFill/>
                        </a:ln>
                      </pic:spPr>
                    </pic:pic>
                  </a:graphicData>
                </a:graphic>
              </wp:inline>
            </w:drawing>
          </w:r>
          <w:sdt>
            <w:sdtPr>
              <w:rPr>
                <w:rFonts w:ascii="Arial" w:hAnsi="Arial" w:cs="Arial"/>
                <w:sz w:val="24"/>
                <w:szCs w:val="24"/>
              </w:rPr>
              <w:id w:val="1343973719"/>
              <w:citation/>
            </w:sdtPr>
            <w:sdtContent>
              <w:r>
                <w:rPr>
                  <w:rFonts w:ascii="Arial" w:hAnsi="Arial" w:cs="Arial"/>
                  <w:sz w:val="24"/>
                  <w:szCs w:val="24"/>
                </w:rPr>
                <w:fldChar w:fldCharType="begin"/>
              </w:r>
              <w:r>
                <w:rPr>
                  <w:rFonts w:ascii="Arial" w:hAnsi="Arial" w:cs="Arial"/>
                  <w:sz w:val="24"/>
                  <w:szCs w:val="24"/>
                </w:rPr>
                <w:instrText xml:space="preserve"> CITATION Lum26 \l 2057 </w:instrText>
              </w:r>
              <w:r>
                <w:rPr>
                  <w:rFonts w:ascii="Arial" w:hAnsi="Arial" w:cs="Arial"/>
                  <w:sz w:val="24"/>
                  <w:szCs w:val="24"/>
                </w:rPr>
                <w:fldChar w:fldCharType="separate"/>
              </w:r>
              <w:r w:rsidR="00E00015">
                <w:rPr>
                  <w:rFonts w:ascii="Arial" w:hAnsi="Arial" w:cs="Arial"/>
                  <w:noProof/>
                  <w:sz w:val="24"/>
                  <w:szCs w:val="24"/>
                </w:rPr>
                <w:t xml:space="preserve"> </w:t>
              </w:r>
              <w:r w:rsidR="00E00015" w:rsidRPr="00E00015">
                <w:rPr>
                  <w:rFonts w:ascii="Arial" w:hAnsi="Arial" w:cs="Arial"/>
                  <w:noProof/>
                  <w:sz w:val="24"/>
                  <w:szCs w:val="24"/>
                </w:rPr>
                <w:t>(Lumen, 2026)</w:t>
              </w:r>
              <w:r>
                <w:rPr>
                  <w:rFonts w:ascii="Arial" w:hAnsi="Arial" w:cs="Arial"/>
                  <w:sz w:val="24"/>
                  <w:szCs w:val="24"/>
                </w:rPr>
                <w:fldChar w:fldCharType="end"/>
              </w:r>
            </w:sdtContent>
          </w:sdt>
        </w:p>
        <w:p w14:paraId="1460F510" w14:textId="23C5CF62" w:rsidR="00924F03" w:rsidRPr="00515CC4" w:rsidRDefault="00515CC4" w:rsidP="00515CC4">
          <w:pPr>
            <w:spacing w:line="360" w:lineRule="auto"/>
            <w:rPr>
              <w:rFonts w:ascii="Arial" w:hAnsi="Arial" w:cs="Arial"/>
              <w:sz w:val="24"/>
              <w:szCs w:val="24"/>
            </w:rPr>
          </w:pPr>
          <w:r w:rsidRPr="00515CC4">
            <w:rPr>
              <w:rStyle w:val="whitespace-normal"/>
              <w:rFonts w:ascii="Arial" w:hAnsi="Arial" w:cs="Arial"/>
              <w:sz w:val="24"/>
              <w:szCs w:val="24"/>
            </w:rPr>
            <w:t>Frederick Herzberg</w:t>
          </w:r>
          <w:r w:rsidRPr="00515CC4">
            <w:rPr>
              <w:rFonts w:ascii="Arial" w:hAnsi="Arial" w:cs="Arial"/>
              <w:sz w:val="24"/>
              <w:szCs w:val="24"/>
            </w:rPr>
            <w:t>’s Two-Factor Theory explains that employee attitudes and performance are influenced by two different types of workplace factors. Hygiene factors, such as salary, working conditions, organisational policies, and relationships with colleagues</w:t>
          </w:r>
          <w:r w:rsidR="00526940">
            <w:rPr>
              <w:rFonts w:ascii="Arial" w:hAnsi="Arial" w:cs="Arial"/>
              <w:sz w:val="24"/>
              <w:szCs w:val="24"/>
            </w:rPr>
            <w:t>, are all</w:t>
          </w:r>
          <w:r w:rsidRPr="00515CC4">
            <w:rPr>
              <w:rFonts w:ascii="Arial" w:hAnsi="Arial" w:cs="Arial"/>
              <w:sz w:val="24"/>
              <w:szCs w:val="24"/>
            </w:rPr>
            <w:t xml:space="preserve"> important </w:t>
          </w:r>
          <w:r w:rsidR="00526940">
            <w:rPr>
              <w:rFonts w:ascii="Arial" w:hAnsi="Arial" w:cs="Arial"/>
              <w:sz w:val="24"/>
              <w:szCs w:val="24"/>
            </w:rPr>
            <w:t xml:space="preserve">factors </w:t>
          </w:r>
          <w:r w:rsidRPr="00515CC4">
            <w:rPr>
              <w:rFonts w:ascii="Arial" w:hAnsi="Arial" w:cs="Arial"/>
              <w:sz w:val="24"/>
              <w:szCs w:val="24"/>
            </w:rPr>
            <w:t xml:space="preserve">for reducing dissatisfaction, but they do not usually create long-term motivation on their own. In contrast, motivators like recognition, opportunities for growth and development, and meaningful or challenging work help improve job satisfaction, engagement, and overall </w:t>
          </w:r>
          <w:r w:rsidR="00526940" w:rsidRPr="00515CC4">
            <w:rPr>
              <w:rFonts w:ascii="Arial" w:hAnsi="Arial" w:cs="Arial"/>
              <w:sz w:val="24"/>
              <w:szCs w:val="24"/>
            </w:rPr>
            <w:t>motivation. Together</w:t>
          </w:r>
          <w:r w:rsidR="00924F03" w:rsidRPr="00515CC4">
            <w:rPr>
              <w:rFonts w:ascii="Arial" w:hAnsi="Arial" w:cs="Arial"/>
              <w:sz w:val="24"/>
              <w:szCs w:val="24"/>
            </w:rPr>
            <w:t>, this theory highlights that organisations need to do more than simply avoid dissatisfaction; they must also actively strengthen motivators in order to improve engagement, performance, and overall workplace satisfaction.</w:t>
          </w:r>
          <w:sdt>
            <w:sdtPr>
              <w:rPr>
                <w:rFonts w:ascii="Arial" w:hAnsi="Arial" w:cs="Arial"/>
                <w:sz w:val="24"/>
                <w:szCs w:val="24"/>
              </w:rPr>
              <w:id w:val="-587454154"/>
              <w:citation/>
            </w:sdtPr>
            <w:sdtEndPr/>
            <w:sdtContent>
              <w:r w:rsidR="00924F03" w:rsidRPr="00515CC4">
                <w:rPr>
                  <w:rFonts w:ascii="Arial" w:hAnsi="Arial" w:cs="Arial"/>
                  <w:sz w:val="24"/>
                  <w:szCs w:val="24"/>
                </w:rPr>
                <w:fldChar w:fldCharType="begin"/>
              </w:r>
              <w:r w:rsidR="00924F03" w:rsidRPr="00515CC4">
                <w:rPr>
                  <w:rFonts w:ascii="Arial" w:hAnsi="Arial" w:cs="Arial"/>
                  <w:sz w:val="24"/>
                  <w:szCs w:val="24"/>
                </w:rPr>
                <w:instrText xml:space="preserve"> CITATION Cha25 \l 2057 </w:instrText>
              </w:r>
              <w:r w:rsidR="00924F03" w:rsidRPr="00515CC4">
                <w:rPr>
                  <w:rFonts w:ascii="Arial" w:hAnsi="Arial" w:cs="Arial"/>
                  <w:sz w:val="24"/>
                  <w:szCs w:val="24"/>
                </w:rPr>
                <w:fldChar w:fldCharType="separate"/>
              </w:r>
              <w:r w:rsidR="00E00015">
                <w:rPr>
                  <w:rFonts w:ascii="Arial" w:hAnsi="Arial" w:cs="Arial"/>
                  <w:noProof/>
                  <w:sz w:val="24"/>
                  <w:szCs w:val="24"/>
                </w:rPr>
                <w:t xml:space="preserve"> </w:t>
              </w:r>
              <w:r w:rsidR="00E00015" w:rsidRPr="00E00015">
                <w:rPr>
                  <w:rFonts w:ascii="Arial" w:hAnsi="Arial" w:cs="Arial"/>
                  <w:noProof/>
                  <w:sz w:val="24"/>
                  <w:szCs w:val="24"/>
                </w:rPr>
                <w:t>(Nickerson, 2025)</w:t>
              </w:r>
              <w:r w:rsidR="00924F03" w:rsidRPr="00515CC4">
                <w:rPr>
                  <w:rFonts w:ascii="Arial" w:hAnsi="Arial" w:cs="Arial"/>
                  <w:sz w:val="24"/>
                  <w:szCs w:val="24"/>
                </w:rPr>
                <w:fldChar w:fldCharType="end"/>
              </w:r>
            </w:sdtContent>
          </w:sdt>
        </w:p>
        <w:p w14:paraId="04541CC5" w14:textId="199ECEE9" w:rsidR="00924F03" w:rsidRPr="000C24B6" w:rsidRDefault="00924F03" w:rsidP="00924F03">
          <w:pPr>
            <w:spacing w:line="360" w:lineRule="auto"/>
            <w:rPr>
              <w:rFonts w:ascii="Arial" w:hAnsi="Arial" w:cs="Arial"/>
              <w:sz w:val="24"/>
              <w:szCs w:val="24"/>
            </w:rPr>
          </w:pPr>
          <w:r w:rsidRPr="000C24B6">
            <w:rPr>
              <w:rStyle w:val="whitespace-normal"/>
              <w:rFonts w:ascii="Arial" w:hAnsi="Arial" w:cs="Arial"/>
              <w:sz w:val="24"/>
              <w:szCs w:val="24"/>
            </w:rPr>
            <w:t>Herzberg’s Two-Factor Theory</w:t>
          </w:r>
          <w:r w:rsidRPr="000C24B6">
            <w:rPr>
              <w:rFonts w:ascii="Arial" w:hAnsi="Arial" w:cs="Arial"/>
              <w:sz w:val="24"/>
              <w:szCs w:val="24"/>
            </w:rPr>
            <w:t xml:space="preserve"> suggests that managers should address both hygiene factors and motivators in order to improve employee engagement and productivity. Practical strategies include job enrichment, where employees are given greater responsibility, independence, and opportunities for development; improving workplace hygiene by ensuring fair pay, safe working conditions, and supportive organisational policies; and implementing recognition programmes that acknowledge achievements and strengthen fundamental motivation.</w:t>
          </w:r>
          <w:sdt>
            <w:sdtPr>
              <w:rPr>
                <w:rFonts w:ascii="Arial" w:hAnsi="Arial" w:cs="Arial"/>
                <w:sz w:val="24"/>
                <w:szCs w:val="24"/>
              </w:rPr>
              <w:id w:val="478967561"/>
              <w:citation/>
            </w:sdtPr>
            <w:sdtEndPr/>
            <w:sdtContent>
              <w:r w:rsidRPr="000C24B6">
                <w:rPr>
                  <w:rFonts w:ascii="Arial" w:hAnsi="Arial" w:cs="Arial"/>
                  <w:sz w:val="24"/>
                  <w:szCs w:val="24"/>
                </w:rPr>
                <w:fldChar w:fldCharType="begin"/>
              </w:r>
              <w:r w:rsidRPr="000C24B6">
                <w:rPr>
                  <w:rFonts w:ascii="Arial" w:hAnsi="Arial" w:cs="Arial"/>
                  <w:sz w:val="24"/>
                  <w:szCs w:val="24"/>
                </w:rPr>
                <w:instrText xml:space="preserve"> CITATION Max26 \l 2057 </w:instrText>
              </w:r>
              <w:r w:rsidRPr="000C24B6">
                <w:rPr>
                  <w:rFonts w:ascii="Arial" w:hAnsi="Arial" w:cs="Arial"/>
                  <w:sz w:val="24"/>
                  <w:szCs w:val="24"/>
                </w:rPr>
                <w:fldChar w:fldCharType="separate"/>
              </w:r>
              <w:r w:rsidR="00E00015">
                <w:rPr>
                  <w:rFonts w:ascii="Arial" w:hAnsi="Arial" w:cs="Arial"/>
                  <w:noProof/>
                  <w:sz w:val="24"/>
                  <w:szCs w:val="24"/>
                </w:rPr>
                <w:t xml:space="preserve"> </w:t>
              </w:r>
              <w:r w:rsidR="00E00015" w:rsidRPr="00E00015">
                <w:rPr>
                  <w:rFonts w:ascii="Arial" w:hAnsi="Arial" w:cs="Arial"/>
                  <w:noProof/>
                  <w:sz w:val="24"/>
                  <w:szCs w:val="24"/>
                </w:rPr>
                <w:t>(Freedman, 2026)</w:t>
              </w:r>
              <w:r w:rsidRPr="000C24B6">
                <w:rPr>
                  <w:rFonts w:ascii="Arial" w:hAnsi="Arial" w:cs="Arial"/>
                  <w:sz w:val="24"/>
                  <w:szCs w:val="24"/>
                </w:rPr>
                <w:fldChar w:fldCharType="end"/>
              </w:r>
            </w:sdtContent>
          </w:sdt>
        </w:p>
        <w:p w14:paraId="23378A26" w14:textId="04089F15" w:rsidR="00924F03" w:rsidRPr="000C24B6" w:rsidRDefault="00924F03" w:rsidP="00924F03">
          <w:pPr>
            <w:spacing w:line="360" w:lineRule="auto"/>
            <w:rPr>
              <w:rFonts w:ascii="Arial" w:hAnsi="Arial" w:cs="Arial"/>
              <w:sz w:val="24"/>
              <w:szCs w:val="24"/>
            </w:rPr>
          </w:pPr>
          <w:r w:rsidRPr="000C24B6">
            <w:rPr>
              <w:rFonts w:ascii="Arial" w:hAnsi="Arial" w:cs="Arial"/>
              <w:sz w:val="24"/>
              <w:szCs w:val="24"/>
            </w:rPr>
            <w:t>Dow operates an employee benefit</w:t>
          </w:r>
          <w:r w:rsidR="00526940">
            <w:rPr>
              <w:rFonts w:ascii="Arial" w:hAnsi="Arial" w:cs="Arial"/>
              <w:sz w:val="24"/>
              <w:szCs w:val="24"/>
            </w:rPr>
            <w:t>s</w:t>
          </w:r>
          <w:r w:rsidRPr="000C24B6">
            <w:rPr>
              <w:rFonts w:ascii="Arial" w:hAnsi="Arial" w:cs="Arial"/>
              <w:sz w:val="24"/>
              <w:szCs w:val="24"/>
            </w:rPr>
            <w:t xml:space="preserve"> programme, which everyone is entitled to until their end date. Some include: private health care and dental cover, flexible working, wellness programs and appreciation awards. Employees who are remaining in the new organisation will continue to benefit from these programmes while also feeling </w:t>
          </w:r>
          <w:r w:rsidRPr="000C24B6">
            <w:rPr>
              <w:rFonts w:ascii="Arial" w:hAnsi="Arial" w:cs="Arial"/>
              <w:sz w:val="24"/>
              <w:szCs w:val="24"/>
            </w:rPr>
            <w:lastRenderedPageBreak/>
            <w:t xml:space="preserve">fulfilled in job enrichment, as progressing in their career remains a possibility. However, those on the decommissioning team eventually facing redundancy are lacking in job enrichment as it is no longer available to them. To compensate for this, those employees will receive a percentage bonus of their base salary for each year they support the decommissioning. </w:t>
          </w:r>
        </w:p>
        <w:p w14:paraId="2D27C2CC" w14:textId="6A68B1B7" w:rsidR="00F80AD9" w:rsidRPr="000C24B6" w:rsidRDefault="00924F03" w:rsidP="00924F03">
          <w:pPr>
            <w:spacing w:line="360" w:lineRule="auto"/>
            <w:rPr>
              <w:rFonts w:ascii="Arial" w:hAnsi="Arial" w:cs="Arial"/>
              <w:sz w:val="24"/>
              <w:szCs w:val="24"/>
            </w:rPr>
          </w:pPr>
          <w:r w:rsidRPr="000C24B6">
            <w:rPr>
              <w:rFonts w:ascii="Arial" w:hAnsi="Arial" w:cs="Arial"/>
              <w:sz w:val="24"/>
              <w:szCs w:val="24"/>
            </w:rPr>
            <w:t xml:space="preserve">Overall, the recent changes implemented have led to a decline in employee morale. Many staff feel undervalued, especially those who were unsuccessful in the talent pooling stage, resulting in reduced engagement and a weakened sense of loyalty to the organisation. The ongoing plant closures have contributed to lower levels of engagement, with employees expressing reduced motivation and a sense of uncertainty about the relevance of their work. However, Dow’s clear and honest communication, fair redundancy, support packages and incentives to continue work </w:t>
          </w:r>
          <w:r>
            <w:rPr>
              <w:rFonts w:ascii="Arial" w:hAnsi="Arial" w:cs="Arial"/>
              <w:sz w:val="24"/>
              <w:szCs w:val="24"/>
            </w:rPr>
            <w:t>have</w:t>
          </w:r>
          <w:r w:rsidRPr="000C24B6">
            <w:rPr>
              <w:rFonts w:ascii="Arial" w:hAnsi="Arial" w:cs="Arial"/>
              <w:sz w:val="24"/>
              <w:szCs w:val="24"/>
            </w:rPr>
            <w:t xml:space="preserve"> played a vital role in maintaining staff confidence and reinforcing the transition effectively. </w:t>
          </w:r>
        </w:p>
        <w:p w14:paraId="6454C4C2" w14:textId="77777777" w:rsidR="00924F03" w:rsidRPr="000C24B6" w:rsidRDefault="00924F03" w:rsidP="00924F03">
          <w:pPr>
            <w:pStyle w:val="Heading2"/>
          </w:pPr>
          <w:bookmarkStart w:id="19" w:name="_Toc229248456"/>
          <w:bookmarkStart w:id="20" w:name="_Toc229424569"/>
          <w:r w:rsidRPr="000C24B6">
            <w:t>Top-Down Change</w:t>
          </w:r>
          <w:bookmarkEnd w:id="19"/>
          <w:bookmarkEnd w:id="20"/>
          <w:r w:rsidRPr="000C24B6">
            <w:t xml:space="preserve"> </w:t>
          </w:r>
        </w:p>
        <w:p w14:paraId="230D421C" w14:textId="77777777" w:rsidR="00924F03" w:rsidRPr="000C24B6" w:rsidRDefault="00924F03" w:rsidP="00924F03">
          <w:pPr>
            <w:spacing w:line="360" w:lineRule="auto"/>
            <w:rPr>
              <w:rFonts w:ascii="Arial" w:hAnsi="Arial" w:cs="Arial"/>
              <w:sz w:val="24"/>
              <w:szCs w:val="24"/>
            </w:rPr>
          </w:pPr>
        </w:p>
        <w:p w14:paraId="4EADFAC5" w14:textId="5D4BE752" w:rsidR="00924F03" w:rsidRPr="000C24B6" w:rsidRDefault="00924F03" w:rsidP="00924F03">
          <w:pPr>
            <w:spacing w:line="360" w:lineRule="auto"/>
            <w:rPr>
              <w:rFonts w:ascii="Arial" w:hAnsi="Arial" w:cs="Arial"/>
              <w:sz w:val="24"/>
              <w:szCs w:val="24"/>
            </w:rPr>
          </w:pPr>
          <w:r w:rsidRPr="000C24B6">
            <w:rPr>
              <w:rFonts w:ascii="Arial" w:hAnsi="Arial" w:cs="Arial"/>
              <w:sz w:val="24"/>
              <w:szCs w:val="24"/>
            </w:rPr>
            <w:t xml:space="preserve">In this model, executives define the vision and direct how the change should be implemented across the organisation. The change is being implemented by senior management and communicated down the hierarchy </w:t>
          </w:r>
          <w:sdt>
            <w:sdtPr>
              <w:rPr>
                <w:rFonts w:ascii="Arial" w:hAnsi="Arial" w:cs="Arial"/>
                <w:sz w:val="24"/>
                <w:szCs w:val="24"/>
              </w:rPr>
              <w:id w:val="898865795"/>
              <w:citation/>
            </w:sdtPr>
            <w:sdtEndPr/>
            <w:sdtContent>
              <w:r w:rsidRPr="000C24B6">
                <w:rPr>
                  <w:rFonts w:ascii="Arial" w:hAnsi="Arial" w:cs="Arial"/>
                  <w:sz w:val="24"/>
                  <w:szCs w:val="24"/>
                </w:rPr>
                <w:fldChar w:fldCharType="begin"/>
              </w:r>
              <w:r w:rsidRPr="000C24B6">
                <w:rPr>
                  <w:rFonts w:ascii="Arial" w:hAnsi="Arial" w:cs="Arial"/>
                  <w:sz w:val="24"/>
                  <w:szCs w:val="24"/>
                </w:rPr>
                <w:instrText xml:space="preserve"> CITATION Jyo26 \l 2057 </w:instrText>
              </w:r>
              <w:r w:rsidRPr="000C24B6">
                <w:rPr>
                  <w:rFonts w:ascii="Arial" w:hAnsi="Arial" w:cs="Arial"/>
                  <w:sz w:val="24"/>
                  <w:szCs w:val="24"/>
                </w:rPr>
                <w:fldChar w:fldCharType="separate"/>
              </w:r>
              <w:r w:rsidR="00E00015" w:rsidRPr="00E00015">
                <w:rPr>
                  <w:rFonts w:ascii="Arial" w:hAnsi="Arial" w:cs="Arial"/>
                  <w:noProof/>
                  <w:sz w:val="24"/>
                  <w:szCs w:val="24"/>
                </w:rPr>
                <w:t>(Jyoti, 2026)</w:t>
              </w:r>
              <w:r w:rsidRPr="000C24B6">
                <w:rPr>
                  <w:rFonts w:ascii="Arial" w:hAnsi="Arial" w:cs="Arial"/>
                  <w:sz w:val="24"/>
                  <w:szCs w:val="24"/>
                </w:rPr>
                <w:fldChar w:fldCharType="end"/>
              </w:r>
            </w:sdtContent>
          </w:sdt>
          <w:r w:rsidRPr="000C24B6">
            <w:rPr>
              <w:rFonts w:ascii="Arial" w:hAnsi="Arial" w:cs="Arial"/>
              <w:sz w:val="24"/>
              <w:szCs w:val="24"/>
            </w:rPr>
            <w:t xml:space="preserve">. This approach requires the employees to follow the desired change. </w:t>
          </w:r>
        </w:p>
        <w:p w14:paraId="037A462A" w14:textId="77777777" w:rsidR="00924F03" w:rsidRPr="000C24B6" w:rsidRDefault="00924F03" w:rsidP="00924F03">
          <w:pPr>
            <w:spacing w:line="360" w:lineRule="auto"/>
            <w:rPr>
              <w:rFonts w:ascii="Arial" w:hAnsi="Arial" w:cs="Arial"/>
              <w:sz w:val="24"/>
              <w:szCs w:val="24"/>
            </w:rPr>
          </w:pPr>
        </w:p>
        <w:p w14:paraId="04E270A2" w14:textId="3ADE6BE8" w:rsidR="00924F03" w:rsidRPr="000C24B6" w:rsidRDefault="00CD2B59" w:rsidP="00924F03">
          <w:pPr>
            <w:spacing w:line="360" w:lineRule="auto"/>
            <w:rPr>
              <w:rFonts w:ascii="Arial" w:hAnsi="Arial" w:cs="Arial"/>
              <w:sz w:val="24"/>
              <w:szCs w:val="24"/>
            </w:rPr>
          </w:pPr>
          <w:r w:rsidRPr="000C24B6">
            <w:rPr>
              <w:rFonts w:ascii="Arial" w:hAnsi="Arial" w:cs="Arial"/>
              <w:noProof/>
              <w:sz w:val="24"/>
              <w:szCs w:val="24"/>
            </w:rPr>
            <mc:AlternateContent>
              <mc:Choice Requires="wps">
                <w:drawing>
                  <wp:anchor distT="0" distB="0" distL="114300" distR="114300" simplePos="0" relativeHeight="251649536" behindDoc="0" locked="0" layoutInCell="1" allowOverlap="1" wp14:anchorId="6DC43BD0" wp14:editId="3E9BC935">
                    <wp:simplePos x="0" y="0"/>
                    <wp:positionH relativeFrom="margin">
                      <wp:posOffset>0</wp:posOffset>
                    </wp:positionH>
                    <wp:positionV relativeFrom="paragraph">
                      <wp:posOffset>66040</wp:posOffset>
                    </wp:positionV>
                    <wp:extent cx="1540510" cy="920115"/>
                    <wp:effectExtent l="0" t="0" r="21590" b="13335"/>
                    <wp:wrapNone/>
                    <wp:docPr id="3" name="Rectangle 3"/>
                    <wp:cNvGraphicFramePr/>
                    <a:graphic xmlns:a="http://schemas.openxmlformats.org/drawingml/2006/main">
                      <a:graphicData uri="http://schemas.microsoft.com/office/word/2010/wordprocessingShape">
                        <wps:wsp>
                          <wps:cNvSpPr/>
                          <wps:spPr>
                            <a:xfrm>
                              <a:off x="0" y="0"/>
                              <a:ext cx="1540510" cy="92011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58455B4" id="Rectangle 3" o:spid="_x0000_s1026" style="position:absolute;margin-left:0;margin-top:5.2pt;width:121.3pt;height:72.45pt;z-index:25164953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" fillcolor="#5b9bd5 [3204]" strokecolor="#1f4d78 [1604]" strokeweight="1pt">
                    <w10:wrap anchorx="margin"/>
                  </v:rect>
                </w:pict>
              </mc:Fallback>
            </mc:AlternateContent>
          </w:r>
          <w:r w:rsidRPr="000C24B6">
            <w:rPr>
              <w:rFonts w:ascii="Arial" w:hAnsi="Arial" w:cs="Arial"/>
              <w:noProof/>
              <w:sz w:val="24"/>
              <w:szCs w:val="24"/>
            </w:rPr>
            <mc:AlternateContent>
              <mc:Choice Requires="wps">
                <w:drawing>
                  <wp:anchor distT="0" distB="0" distL="114300" distR="114300" simplePos="0" relativeHeight="251638272" behindDoc="0" locked="0" layoutInCell="1" allowOverlap="1" wp14:anchorId="65EDDDB4" wp14:editId="1DDCA70C">
                    <wp:simplePos x="0" y="0"/>
                    <wp:positionH relativeFrom="margin">
                      <wp:posOffset>2052955</wp:posOffset>
                    </wp:positionH>
                    <wp:positionV relativeFrom="paragraph">
                      <wp:posOffset>58420</wp:posOffset>
                    </wp:positionV>
                    <wp:extent cx="1540510" cy="920115"/>
                    <wp:effectExtent l="0" t="0" r="21590" b="13335"/>
                    <wp:wrapNone/>
                    <wp:docPr id="2" name="Rectangle 2"/>
                    <wp:cNvGraphicFramePr/>
                    <a:graphic xmlns:a="http://schemas.openxmlformats.org/drawingml/2006/main">
                      <a:graphicData uri="http://schemas.microsoft.com/office/word/2010/wordprocessingShape">
                        <wps:wsp>
                          <wps:cNvSpPr/>
                          <wps:spPr>
                            <a:xfrm>
                              <a:off x="0" y="0"/>
                              <a:ext cx="1540510" cy="92011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5926508" id="Rectangle 2" o:spid="_x0000_s1026" style="position:absolute;margin-left:161.65pt;margin-top:4.6pt;width:121.3pt;height:72.45pt;z-index:25163827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" fillcolor="#5b9bd5 [3204]" strokecolor="#1f4d78 [1604]" strokeweight="1pt">
                    <w10:wrap anchorx="margin"/>
                  </v:rect>
                </w:pict>
              </mc:Fallback>
            </mc:AlternateContent>
          </w:r>
          <w:r w:rsidRPr="000C24B6">
            <w:rPr>
              <w:rFonts w:ascii="Arial" w:hAnsi="Arial" w:cs="Arial"/>
              <w:noProof/>
              <w:sz w:val="24"/>
              <w:szCs w:val="24"/>
            </w:rPr>
            <mc:AlternateContent>
              <mc:Choice Requires="wps">
                <w:drawing>
                  <wp:anchor distT="0" distB="0" distL="114300" distR="114300" simplePos="0" relativeHeight="251627008" behindDoc="0" locked="0" layoutInCell="1" allowOverlap="1" wp14:anchorId="6C8F1665" wp14:editId="26305E2E">
                    <wp:simplePos x="0" y="0"/>
                    <wp:positionH relativeFrom="column">
                      <wp:posOffset>4064000</wp:posOffset>
                    </wp:positionH>
                    <wp:positionV relativeFrom="paragraph">
                      <wp:posOffset>50800</wp:posOffset>
                    </wp:positionV>
                    <wp:extent cx="1540510" cy="920115"/>
                    <wp:effectExtent l="0" t="0" r="21590" b="13335"/>
                    <wp:wrapNone/>
                    <wp:docPr id="1" name="Rectangle 1"/>
                    <wp:cNvGraphicFramePr/>
                    <a:graphic xmlns:a="http://schemas.openxmlformats.org/drawingml/2006/main">
                      <a:graphicData uri="http://schemas.microsoft.com/office/word/2010/wordprocessingShape">
                        <wps:wsp>
                          <wps:cNvSpPr/>
                          <wps:spPr>
                            <a:xfrm>
                              <a:off x="0" y="0"/>
                              <a:ext cx="1540510" cy="92011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8B17BB6" id="Rectangle 1" o:spid="_x0000_s1026" style="position:absolute;margin-left:320pt;margin-top:4pt;width:121.3pt;height:72.45pt;z-index:251627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" fillcolor="#5b9bd5 [3204]" strokecolor="#1f4d78 [1604]" strokeweight="1pt"/>
                </w:pict>
              </mc:Fallback>
            </mc:AlternateContent>
          </w:r>
          <w:r w:rsidR="00924F03" w:rsidRPr="000C24B6">
            <w:rPr>
              <w:rFonts w:ascii="Arial" w:hAnsi="Arial" w:cs="Arial"/>
              <w:noProof/>
              <w:color w:val="0D0D0D"/>
              <w:spacing w:val="5"/>
              <w:sz w:val="24"/>
              <w:szCs w:val="24"/>
            </w:rPr>
            <mc:AlternateContent>
              <mc:Choice Requires="wps">
                <w:drawing>
                  <wp:anchor distT="45720" distB="45720" distL="114300" distR="114300" simplePos="0" relativeHeight="251683328" behindDoc="0" locked="0" layoutInCell="1" allowOverlap="1" wp14:anchorId="18C98A87" wp14:editId="01DE69F1">
                    <wp:simplePos x="0" y="0"/>
                    <wp:positionH relativeFrom="margin">
                      <wp:posOffset>4252595</wp:posOffset>
                    </wp:positionH>
                    <wp:positionV relativeFrom="paragraph">
                      <wp:posOffset>304800</wp:posOffset>
                    </wp:positionV>
                    <wp:extent cx="1195705" cy="419100"/>
                    <wp:effectExtent l="0" t="0" r="23495" b="1905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5705" cy="419100"/>
                            </a:xfrm>
                            <a:prstGeom prst="rect">
                              <a:avLst/>
                            </a:prstGeom>
                            <a:solidFill>
                              <a:srgbClr val="FFFFFF"/>
                            </a:solidFill>
                            <a:ln w="9525">
                              <a:solidFill>
                                <a:srgbClr val="000000"/>
                              </a:solidFill>
                              <a:miter lim="800000"/>
                              <a:headEnd/>
                              <a:tailEnd/>
                            </a:ln>
                          </wps:spPr>
                          <wps:txbx>
                            <w:txbxContent>
                              <w:p w14:paraId="6F545EC5" w14:textId="77777777" w:rsidR="00924F03" w:rsidRDefault="00924F03" w:rsidP="00924F03">
                                <w:pPr>
                                  <w:jc w:val="center"/>
                                </w:pPr>
                                <w:r>
                                  <w:t>Communicate and Implement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C98A87" id="Text Box 2" o:spid="_x0000_s1027" type="#_x0000_t202" style="position:absolute;margin-left:334.85pt;margin-top:24pt;width:94.15pt;height:33pt;z-index:2516833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">
                    <v:textbox>
                      <w:txbxContent>
                        <w:p w14:paraId="6F545EC5" w14:textId="77777777" w:rsidR="00924F03" w:rsidRDefault="00924F03" w:rsidP="00924F03">
                          <w:pPr>
                            <w:jc w:val="center"/>
                          </w:pPr>
                          <w:r>
                            <w:t>Communicate and Implement</w:t>
                          </w:r>
                        </w:p>
                      </w:txbxContent>
                    </v:textbox>
                    <w10:wrap type="square" anchorx="margin"/>
                  </v:shape>
                </w:pict>
              </mc:Fallback>
            </mc:AlternateContent>
          </w:r>
        </w:p>
        <w:p w14:paraId="7E07B33E" w14:textId="58DB2A04" w:rsidR="00924F03" w:rsidRPr="000C24B6" w:rsidRDefault="00924F03" w:rsidP="00924F03">
          <w:pPr>
            <w:spacing w:line="360" w:lineRule="auto"/>
            <w:rPr>
              <w:rFonts w:ascii="Arial" w:hAnsi="Arial" w:cs="Arial"/>
              <w:sz w:val="24"/>
              <w:szCs w:val="24"/>
            </w:rPr>
          </w:pPr>
          <w:r w:rsidRPr="000C24B6">
            <w:rPr>
              <w:rFonts w:ascii="Arial" w:hAnsi="Arial" w:cs="Arial"/>
              <w:noProof/>
              <w:sz w:val="24"/>
              <w:szCs w:val="24"/>
            </w:rPr>
            <mc:AlternateContent>
              <mc:Choice Requires="wps">
                <w:drawing>
                  <wp:anchor distT="0" distB="0" distL="114300" distR="114300" simplePos="0" relativeHeight="251705856" behindDoc="0" locked="0" layoutInCell="1" allowOverlap="1" wp14:anchorId="5B9A692B" wp14:editId="245ACE9B">
                    <wp:simplePos x="0" y="0"/>
                    <wp:positionH relativeFrom="column">
                      <wp:posOffset>3658870</wp:posOffset>
                    </wp:positionH>
                    <wp:positionV relativeFrom="paragraph">
                      <wp:posOffset>99060</wp:posOffset>
                    </wp:positionV>
                    <wp:extent cx="382043" cy="156575"/>
                    <wp:effectExtent l="0" t="19050" r="37465" b="34290"/>
                    <wp:wrapNone/>
                    <wp:docPr id="7" name="Arrow: Right 7"/>
                    <wp:cNvGraphicFramePr/>
                    <a:graphic xmlns:a="http://schemas.openxmlformats.org/drawingml/2006/main">
                      <a:graphicData uri="http://schemas.microsoft.com/office/word/2010/wordprocessingShape">
                        <wps:wsp>
                          <wps:cNvSpPr/>
                          <wps:spPr>
                            <a:xfrm>
                              <a:off x="0" y="0"/>
                              <a:ext cx="382043" cy="15657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39385B4"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7" o:spid="_x0000_s1026" type="#_x0000_t13" style="position:absolute;margin-left:288.1pt;margin-top:7.8pt;width:30.1pt;height:12.35pt;z-index:2517058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" adj="17174" fillcolor="#5b9bd5 [3204]" strokecolor="#1f4d78 [1604]" strokeweight="1pt"/>
                </w:pict>
              </mc:Fallback>
            </mc:AlternateContent>
          </w:r>
          <w:r w:rsidRPr="000C24B6">
            <w:rPr>
              <w:rFonts w:ascii="Arial" w:hAnsi="Arial" w:cs="Arial"/>
              <w:noProof/>
              <w:sz w:val="24"/>
              <w:szCs w:val="24"/>
            </w:rPr>
            <mc:AlternateContent>
              <mc:Choice Requires="wps">
                <w:drawing>
                  <wp:anchor distT="0" distB="0" distL="114300" distR="114300" simplePos="0" relativeHeight="251694592" behindDoc="0" locked="0" layoutInCell="1" allowOverlap="1" wp14:anchorId="1237C2B4" wp14:editId="6738E053">
                    <wp:simplePos x="0" y="0"/>
                    <wp:positionH relativeFrom="column">
                      <wp:posOffset>1609090</wp:posOffset>
                    </wp:positionH>
                    <wp:positionV relativeFrom="paragraph">
                      <wp:posOffset>74930</wp:posOffset>
                    </wp:positionV>
                    <wp:extent cx="382043" cy="156575"/>
                    <wp:effectExtent l="0" t="19050" r="37465" b="34290"/>
                    <wp:wrapNone/>
                    <wp:docPr id="6" name="Arrow: Right 6"/>
                    <wp:cNvGraphicFramePr/>
                    <a:graphic xmlns:a="http://schemas.openxmlformats.org/drawingml/2006/main">
                      <a:graphicData uri="http://schemas.microsoft.com/office/word/2010/wordprocessingShape">
                        <wps:wsp>
                          <wps:cNvSpPr/>
                          <wps:spPr>
                            <a:xfrm>
                              <a:off x="0" y="0"/>
                              <a:ext cx="382043" cy="15657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B36C8A7" id="Arrow: Right 6" o:spid="_x0000_s1026" type="#_x0000_t13" style="position:absolute;margin-left:126.7pt;margin-top:5.9pt;width:30.1pt;height:12.35pt;z-index:2516945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" adj="17174" fillcolor="#5b9bd5 [3204]" strokecolor="#1f4d78 [1604]" strokeweight="1pt"/>
                </w:pict>
              </mc:Fallback>
            </mc:AlternateContent>
          </w:r>
          <w:r w:rsidRPr="000C24B6">
            <w:rPr>
              <w:rFonts w:ascii="Arial" w:hAnsi="Arial" w:cs="Arial"/>
              <w:noProof/>
              <w:color w:val="0D0D0D"/>
              <w:spacing w:val="5"/>
              <w:sz w:val="24"/>
              <w:szCs w:val="24"/>
            </w:rPr>
            <mc:AlternateContent>
              <mc:Choice Requires="wps">
                <w:drawing>
                  <wp:anchor distT="45720" distB="45720" distL="114300" distR="114300" simplePos="0" relativeHeight="251672064" behindDoc="0" locked="0" layoutInCell="1" allowOverlap="1" wp14:anchorId="10C6ED47" wp14:editId="55BD8269">
                    <wp:simplePos x="0" y="0"/>
                    <wp:positionH relativeFrom="margin">
                      <wp:align>center</wp:align>
                    </wp:positionH>
                    <wp:positionV relativeFrom="paragraph">
                      <wp:posOffset>3810</wp:posOffset>
                    </wp:positionV>
                    <wp:extent cx="1073150" cy="290195"/>
                    <wp:effectExtent l="0" t="0" r="12700" b="1460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3150" cy="290195"/>
                            </a:xfrm>
                            <a:prstGeom prst="rect">
                              <a:avLst/>
                            </a:prstGeom>
                            <a:solidFill>
                              <a:srgbClr val="FFFFFF"/>
                            </a:solidFill>
                            <a:ln w="9525">
                              <a:solidFill>
                                <a:srgbClr val="000000"/>
                              </a:solidFill>
                              <a:miter lim="800000"/>
                              <a:headEnd/>
                              <a:tailEnd/>
                            </a:ln>
                          </wps:spPr>
                          <wps:txbx>
                            <w:txbxContent>
                              <w:p w14:paraId="1A7ABEDF" w14:textId="1A7E4F74" w:rsidR="00924F03" w:rsidRDefault="00924F03" w:rsidP="00924F03">
                                <w:r>
                                  <w:t>Create the plan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C6ED47" id="_x0000_s1028" type="#_x0000_t202" style="position:absolute;margin-left:0;margin-top:.3pt;width:84.5pt;height:22.85pt;z-index:2516720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">
                    <v:textbox>
                      <w:txbxContent>
                        <w:p w14:paraId="1A7ABEDF" w14:textId="1A7E4F74" w:rsidR="00924F03" w:rsidRDefault="00924F03" w:rsidP="00924F03">
                          <w:r>
                            <w:t>Create the plan</w:t>
                          </w:r>
                        </w:p>
                      </w:txbxContent>
                    </v:textbox>
                    <w10:wrap type="square" anchorx="margin"/>
                  </v:shape>
                </w:pict>
              </mc:Fallback>
            </mc:AlternateContent>
          </w:r>
          <w:r w:rsidRPr="000C24B6">
            <w:rPr>
              <w:rFonts w:ascii="Arial" w:hAnsi="Arial" w:cs="Arial"/>
              <w:noProof/>
              <w:sz w:val="24"/>
              <w:szCs w:val="24"/>
            </w:rPr>
            <mc:AlternateContent>
              <mc:Choice Requires="wps">
                <w:drawing>
                  <wp:anchor distT="45720" distB="45720" distL="114300" distR="114300" simplePos="0" relativeHeight="251660800" behindDoc="0" locked="0" layoutInCell="1" allowOverlap="1" wp14:anchorId="441B0A75" wp14:editId="4DB31571">
                    <wp:simplePos x="0" y="0"/>
                    <wp:positionH relativeFrom="column">
                      <wp:posOffset>285750</wp:posOffset>
                    </wp:positionH>
                    <wp:positionV relativeFrom="paragraph">
                      <wp:posOffset>3810</wp:posOffset>
                    </wp:positionV>
                    <wp:extent cx="908050" cy="294005"/>
                    <wp:effectExtent l="0" t="0" r="25400"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8050" cy="294005"/>
                            </a:xfrm>
                            <a:prstGeom prst="rect">
                              <a:avLst/>
                            </a:prstGeom>
                            <a:solidFill>
                              <a:srgbClr val="FFFFFF"/>
                            </a:solidFill>
                            <a:ln w="9525">
                              <a:solidFill>
                                <a:srgbClr val="000000"/>
                              </a:solidFill>
                              <a:miter lim="800000"/>
                              <a:headEnd/>
                              <a:tailEnd/>
                            </a:ln>
                          </wps:spPr>
                          <wps:txbx>
                            <w:txbxContent>
                              <w:p w14:paraId="7DD442C3" w14:textId="1AF381B0" w:rsidR="00924F03" w:rsidRDefault="00924F03" w:rsidP="00924F03">
                                <w:r>
                                  <w:t xml:space="preserve">Set the goal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1B0A75" id="_x0000_s1029" type="#_x0000_t202" style="position:absolute;margin-left:22.5pt;margin-top:.3pt;width:71.5pt;height:23.15pt;z-index:2516608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">
                    <v:textbox>
                      <w:txbxContent>
                        <w:p w14:paraId="7DD442C3" w14:textId="1AF381B0" w:rsidR="00924F03" w:rsidRDefault="00924F03" w:rsidP="00924F03">
                          <w:r>
                            <w:t xml:space="preserve">Set the goal </w:t>
                          </w:r>
                        </w:p>
                      </w:txbxContent>
                    </v:textbox>
                    <w10:wrap type="square"/>
                  </v:shape>
                </w:pict>
              </mc:Fallback>
            </mc:AlternateContent>
          </w:r>
        </w:p>
        <w:p w14:paraId="6F77BED6" w14:textId="77777777" w:rsidR="00924F03" w:rsidRPr="000C24B6" w:rsidRDefault="00924F03" w:rsidP="00924F03">
          <w:pPr>
            <w:spacing w:line="360" w:lineRule="auto"/>
            <w:rPr>
              <w:rFonts w:ascii="Arial" w:hAnsi="Arial" w:cs="Arial"/>
              <w:sz w:val="24"/>
              <w:szCs w:val="24"/>
            </w:rPr>
          </w:pPr>
        </w:p>
        <w:p w14:paraId="5FE11459" w14:textId="38B0F5CB" w:rsidR="00924F03" w:rsidRPr="000C24B6" w:rsidRDefault="00E00015" w:rsidP="00924F03">
          <w:pPr>
            <w:spacing w:line="360" w:lineRule="auto"/>
            <w:rPr>
              <w:rFonts w:ascii="Arial" w:hAnsi="Arial" w:cs="Arial"/>
              <w:sz w:val="24"/>
              <w:szCs w:val="24"/>
            </w:rPr>
          </w:pPr>
          <w:sdt>
            <w:sdtPr>
              <w:rPr>
                <w:rFonts w:ascii="Arial" w:hAnsi="Arial" w:cs="Arial"/>
                <w:sz w:val="24"/>
                <w:szCs w:val="24"/>
              </w:rPr>
              <w:id w:val="-763460979"/>
              <w:citation/>
            </w:sdtPr>
            <w:sdtEndPr/>
            <w:sdtContent>
              <w:r w:rsidR="00924F03" w:rsidRPr="000C24B6">
                <w:rPr>
                  <w:rFonts w:ascii="Arial" w:hAnsi="Arial" w:cs="Arial"/>
                  <w:sz w:val="24"/>
                  <w:szCs w:val="24"/>
                </w:rPr>
                <w:fldChar w:fldCharType="begin"/>
              </w:r>
              <w:r w:rsidR="00924F03" w:rsidRPr="000C24B6">
                <w:rPr>
                  <w:rFonts w:ascii="Arial" w:hAnsi="Arial" w:cs="Arial"/>
                  <w:sz w:val="24"/>
                  <w:szCs w:val="24"/>
                </w:rPr>
                <w:instrText xml:space="preserve"> CITATION Rya26 \l 2057 </w:instrText>
              </w:r>
              <w:r w:rsidR="00924F03" w:rsidRPr="000C24B6">
                <w:rPr>
                  <w:rFonts w:ascii="Arial" w:hAnsi="Arial" w:cs="Arial"/>
                  <w:sz w:val="24"/>
                  <w:szCs w:val="24"/>
                </w:rPr>
                <w:fldChar w:fldCharType="separate"/>
              </w:r>
              <w:r w:rsidRPr="00E00015">
                <w:rPr>
                  <w:rFonts w:ascii="Arial" w:hAnsi="Arial" w:cs="Arial"/>
                  <w:noProof/>
                  <w:sz w:val="24"/>
                  <w:szCs w:val="24"/>
                </w:rPr>
                <w:t>(Ryan, 2026)</w:t>
              </w:r>
              <w:r w:rsidR="00924F03" w:rsidRPr="000C24B6">
                <w:rPr>
                  <w:rFonts w:ascii="Arial" w:hAnsi="Arial" w:cs="Arial"/>
                  <w:sz w:val="24"/>
                  <w:szCs w:val="24"/>
                </w:rPr>
                <w:fldChar w:fldCharType="end"/>
              </w:r>
            </w:sdtContent>
          </w:sdt>
        </w:p>
        <w:p w14:paraId="369B0900" w14:textId="77777777" w:rsidR="00924F03" w:rsidRPr="000C24B6" w:rsidRDefault="00924F03" w:rsidP="00924F03">
          <w:pPr>
            <w:spacing w:line="360" w:lineRule="auto"/>
            <w:rPr>
              <w:rFonts w:ascii="Arial" w:hAnsi="Arial" w:cs="Arial"/>
              <w:sz w:val="24"/>
              <w:szCs w:val="24"/>
            </w:rPr>
          </w:pPr>
          <w:r w:rsidRPr="000C24B6">
            <w:rPr>
              <w:rFonts w:ascii="Arial" w:hAnsi="Arial" w:cs="Arial"/>
              <w:sz w:val="24"/>
              <w:szCs w:val="24"/>
            </w:rPr>
            <w:t xml:space="preserve">In this case, the site manager communicated the change. The decision to shut down Basics to save money had already been made, and the plan involved expanding “finishing” to create a new organisation capable of storing imported siloxanes for use in the final product. This was communicated and implemented to employees. All Management became responsible for implementing the change. An advantage was </w:t>
          </w:r>
          <w:r w:rsidRPr="000C24B6">
            <w:rPr>
              <w:rFonts w:ascii="Arial" w:hAnsi="Arial" w:cs="Arial"/>
              <w:sz w:val="24"/>
              <w:szCs w:val="24"/>
            </w:rPr>
            <w:lastRenderedPageBreak/>
            <w:t>the direction and control provided by senior management, with the clear vision of the Barry site’s survival. In this case, the company required this change to maintain competitiveness in the market and to continue to provide high profits, with the suggestion and backing coming from executives off-site. For this reason, negotiations seemed impossible and acceptance of the change had to happen with the driving forces coming from company officials at their leading location.</w:t>
          </w:r>
        </w:p>
        <w:p w14:paraId="74B5237B" w14:textId="77777777" w:rsidR="00924F03" w:rsidRPr="000C24B6" w:rsidRDefault="00924F03" w:rsidP="00924F03">
          <w:pPr>
            <w:spacing w:line="360" w:lineRule="auto"/>
            <w:rPr>
              <w:rFonts w:ascii="Arial" w:hAnsi="Arial" w:cs="Arial"/>
              <w:sz w:val="24"/>
              <w:szCs w:val="24"/>
            </w:rPr>
          </w:pPr>
        </w:p>
        <w:p w14:paraId="641F27C2" w14:textId="77777777" w:rsidR="00924F03" w:rsidRPr="000C24B6" w:rsidRDefault="00924F03" w:rsidP="00924F03">
          <w:pPr>
            <w:spacing w:line="360" w:lineRule="auto"/>
            <w:rPr>
              <w:rFonts w:ascii="Arial" w:hAnsi="Arial" w:cs="Arial"/>
              <w:sz w:val="24"/>
              <w:szCs w:val="24"/>
            </w:rPr>
          </w:pPr>
          <w:r w:rsidRPr="000C24B6">
            <w:rPr>
              <w:rFonts w:ascii="Arial" w:hAnsi="Arial" w:cs="Arial"/>
              <w:b/>
              <w:bCs/>
              <w:sz w:val="24"/>
              <w:szCs w:val="24"/>
            </w:rPr>
            <w:t>Goal:</w:t>
          </w:r>
          <w:r w:rsidRPr="000C24B6">
            <w:rPr>
              <w:rFonts w:ascii="Arial" w:hAnsi="Arial" w:cs="Arial"/>
              <w:sz w:val="24"/>
              <w:szCs w:val="24"/>
            </w:rPr>
            <w:t xml:space="preserve"> Remain competitive in the market, continue to provide high profits. </w:t>
          </w:r>
        </w:p>
        <w:p w14:paraId="1A4523E8" w14:textId="77777777" w:rsidR="00924F03" w:rsidRPr="000C24B6" w:rsidRDefault="00924F03" w:rsidP="00924F03">
          <w:pPr>
            <w:spacing w:line="360" w:lineRule="auto"/>
            <w:rPr>
              <w:rFonts w:ascii="Arial" w:hAnsi="Arial" w:cs="Arial"/>
              <w:sz w:val="24"/>
              <w:szCs w:val="24"/>
            </w:rPr>
          </w:pPr>
          <w:r w:rsidRPr="000C24B6">
            <w:rPr>
              <w:rFonts w:ascii="Arial" w:hAnsi="Arial" w:cs="Arial"/>
              <w:b/>
              <w:bCs/>
              <w:sz w:val="24"/>
              <w:szCs w:val="24"/>
            </w:rPr>
            <w:t>Plan:</w:t>
          </w:r>
          <w:r w:rsidRPr="000C24B6">
            <w:rPr>
              <w:rFonts w:ascii="Arial" w:hAnsi="Arial" w:cs="Arial"/>
              <w:sz w:val="24"/>
              <w:szCs w:val="24"/>
            </w:rPr>
            <w:t xml:space="preserve"> Import and store siloxanes for use, instead of creating them. Decommission existing siloxane plants.  </w:t>
          </w:r>
        </w:p>
        <w:p w14:paraId="50EF261A" w14:textId="7982C84C" w:rsidR="00924F03" w:rsidRPr="000C24B6" w:rsidRDefault="00924F03" w:rsidP="00924F03">
          <w:pPr>
            <w:spacing w:line="360" w:lineRule="auto"/>
            <w:rPr>
              <w:rFonts w:ascii="Arial" w:hAnsi="Arial" w:cs="Arial"/>
              <w:sz w:val="24"/>
              <w:szCs w:val="24"/>
            </w:rPr>
          </w:pPr>
          <w:r w:rsidRPr="000C24B6">
            <w:rPr>
              <w:rFonts w:ascii="Arial" w:hAnsi="Arial" w:cs="Arial"/>
              <w:b/>
              <w:bCs/>
              <w:sz w:val="24"/>
              <w:szCs w:val="24"/>
            </w:rPr>
            <w:t>Communicate and Implement:</w:t>
          </w:r>
          <w:r w:rsidRPr="000C24B6">
            <w:rPr>
              <w:rFonts w:ascii="Arial" w:hAnsi="Arial" w:cs="Arial"/>
              <w:sz w:val="24"/>
              <w:szCs w:val="24"/>
            </w:rPr>
            <w:t xml:space="preserve"> Allow the site leader and senior management to announce goals to employees and execute the plan. Determine the future of employees within the company. </w:t>
          </w:r>
        </w:p>
        <w:p w14:paraId="01959A40" w14:textId="77777777" w:rsidR="00924F03" w:rsidRDefault="00924F03" w:rsidP="00924F03"/>
        <w:p w14:paraId="634B44D1" w14:textId="77777777" w:rsidR="00924F03" w:rsidRDefault="00924F03" w:rsidP="00924F03">
          <w:r>
            <w:rPr>
              <w:noProof/>
            </w:rPr>
            <w:drawing>
              <wp:inline distT="0" distB="0" distL="0" distR="0" wp14:anchorId="14F8239B" wp14:editId="0E7A9D85">
                <wp:extent cx="4820899" cy="1565753"/>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908304" cy="1594141"/>
                        </a:xfrm>
                        <a:prstGeom prst="rect">
                          <a:avLst/>
                        </a:prstGeom>
                        <a:noFill/>
                      </pic:spPr>
                    </pic:pic>
                  </a:graphicData>
                </a:graphic>
              </wp:inline>
            </w:drawing>
          </w:r>
        </w:p>
        <w:p w14:paraId="599BEF46" w14:textId="77777777" w:rsidR="00924F03" w:rsidRDefault="00924F03" w:rsidP="00924F03"/>
        <w:p w14:paraId="4E374491" w14:textId="77777777" w:rsidR="00924F03" w:rsidRDefault="00924F03" w:rsidP="00924F03"/>
        <w:p w14:paraId="394E5D58" w14:textId="77777777" w:rsidR="00924F03" w:rsidRDefault="00924F03" w:rsidP="00924F03">
          <w:r>
            <w:rPr>
              <w:noProof/>
            </w:rPr>
            <w:drawing>
              <wp:inline distT="0" distB="0" distL="0" distR="0" wp14:anchorId="10F9BF9B" wp14:editId="5838637F">
                <wp:extent cx="4839652" cy="1572017"/>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865707" cy="1580480"/>
                        </a:xfrm>
                        <a:prstGeom prst="rect">
                          <a:avLst/>
                        </a:prstGeom>
                        <a:noFill/>
                      </pic:spPr>
                    </pic:pic>
                  </a:graphicData>
                </a:graphic>
              </wp:inline>
            </w:drawing>
          </w:r>
        </w:p>
        <w:p w14:paraId="0E5FDDAD" w14:textId="380BFD2D" w:rsidR="00924F03" w:rsidRDefault="00E00015" w:rsidP="00924F03">
          <w:sdt>
            <w:sdtPr>
              <w:id w:val="-1511754935"/>
              <w:citation/>
            </w:sdtPr>
            <w:sdtEndPr/>
            <w:sdtContent>
              <w:r w:rsidR="00924F03">
                <w:fldChar w:fldCharType="begin"/>
              </w:r>
              <w:r w:rsidR="00924F03">
                <w:instrText xml:space="preserve"> CITATION Rya26 \l 2057 </w:instrText>
              </w:r>
              <w:r w:rsidR="00924F03">
                <w:fldChar w:fldCharType="separate"/>
              </w:r>
              <w:r>
                <w:rPr>
                  <w:noProof/>
                </w:rPr>
                <w:t>(Ryan, 2026)</w:t>
              </w:r>
              <w:r w:rsidR="00924F03">
                <w:fldChar w:fldCharType="end"/>
              </w:r>
            </w:sdtContent>
          </w:sdt>
        </w:p>
        <w:p w14:paraId="0EC7EE1F" w14:textId="77777777" w:rsidR="00924F03" w:rsidRDefault="00924F03" w:rsidP="00924F03"/>
        <w:p w14:paraId="2706DE8D" w14:textId="141558CE" w:rsidR="00924F03" w:rsidRDefault="00CD2B59" w:rsidP="00CD2B59">
          <w:pPr>
            <w:pStyle w:val="Heading1"/>
          </w:pPr>
          <w:bookmarkStart w:id="21" w:name="_Toc229248457"/>
          <w:bookmarkStart w:id="22" w:name="_Toc229424570"/>
          <w:r>
            <w:lastRenderedPageBreak/>
            <w:t>Conclusion</w:t>
          </w:r>
          <w:bookmarkEnd w:id="21"/>
          <w:bookmarkEnd w:id="22"/>
          <w:r>
            <w:t xml:space="preserve"> </w:t>
          </w:r>
        </w:p>
        <w:p w14:paraId="11FCA297" w14:textId="23F646D6" w:rsidR="00CD2B59" w:rsidRDefault="00CD2B59" w:rsidP="00CD2B59"/>
        <w:p w14:paraId="5F3B0B07" w14:textId="77777777" w:rsidR="00526940" w:rsidRPr="00526940" w:rsidRDefault="00526940" w:rsidP="00526940">
          <w:pPr>
            <w:spacing w:before="100" w:beforeAutospacing="1" w:after="100" w:afterAutospacing="1" w:line="240" w:lineRule="auto"/>
            <w:rPr>
              <w:rFonts w:ascii="Times New Roman" w:eastAsia="Times New Roman" w:hAnsi="Times New Roman" w:cs="Times New Roman"/>
              <w:sz w:val="24"/>
              <w:szCs w:val="24"/>
              <w:lang w:eastAsia="en-GB"/>
            </w:rPr>
          </w:pPr>
          <w:r w:rsidRPr="00526940">
            <w:rPr>
              <w:rFonts w:ascii="Times New Roman" w:eastAsia="Times New Roman" w:hAnsi="Times New Roman" w:cs="Times New Roman"/>
              <w:sz w:val="24"/>
              <w:szCs w:val="24"/>
              <w:lang w:eastAsia="en-GB"/>
            </w:rPr>
            <w:t>This report looked at the planned closure of the Basics area at Dow Silicones UK Limited and the impact the change has had on both the business and its employees. The decision was mainly driven by increasing cost pressures, including global competition and rising energy prices, as well as Dow’s wider aim of improving profitability and making operations more efficient. Although these factors created a strong reason for change from a business perspective, they also caused uncertainty, concern, and resistance among employees.</w:t>
          </w:r>
        </w:p>
        <w:p w14:paraId="7722E4B4" w14:textId="77777777" w:rsidR="00526940" w:rsidRPr="00526940" w:rsidRDefault="00526940" w:rsidP="00526940">
          <w:pPr>
            <w:spacing w:before="100" w:beforeAutospacing="1" w:after="100" w:afterAutospacing="1" w:line="240" w:lineRule="auto"/>
            <w:rPr>
              <w:rFonts w:ascii="Times New Roman" w:eastAsia="Times New Roman" w:hAnsi="Times New Roman" w:cs="Times New Roman"/>
              <w:sz w:val="24"/>
              <w:szCs w:val="24"/>
              <w:lang w:eastAsia="en-GB"/>
            </w:rPr>
          </w:pPr>
          <w:r w:rsidRPr="00526940">
            <w:rPr>
              <w:rFonts w:ascii="Times New Roman" w:eastAsia="Times New Roman" w:hAnsi="Times New Roman" w:cs="Times New Roman"/>
              <w:sz w:val="24"/>
              <w:szCs w:val="24"/>
              <w:lang w:eastAsia="en-GB"/>
            </w:rPr>
            <w:t>Lewin’s Force Field Analysis showed that while there were strong driving forces behind the closure, such as financial pressures and global restructuring goals, there were also important resisting forces. These included employee concerns, lower morale, and the potential impact on the local community and supply chain. In a similar way, Lewin’s Three-Step Model highlighted how important communication and employee support were in helping manage the transition, even though challenges still remain during the implementation process.</w:t>
          </w:r>
        </w:p>
        <w:p w14:paraId="10ACD371" w14:textId="5FDE850A" w:rsidR="00526940" w:rsidRPr="00526940" w:rsidRDefault="00526940" w:rsidP="00526940">
          <w:pPr>
            <w:spacing w:before="100" w:beforeAutospacing="1" w:after="100" w:afterAutospacing="1" w:line="240" w:lineRule="auto"/>
            <w:rPr>
              <w:rFonts w:ascii="Times New Roman" w:eastAsia="Times New Roman" w:hAnsi="Times New Roman" w:cs="Times New Roman"/>
              <w:sz w:val="24"/>
              <w:szCs w:val="24"/>
              <w:lang w:eastAsia="en-GB"/>
            </w:rPr>
          </w:pPr>
          <w:r w:rsidRPr="00526940">
            <w:rPr>
              <w:rFonts w:ascii="Times New Roman" w:eastAsia="Times New Roman" w:hAnsi="Times New Roman" w:cs="Times New Roman"/>
              <w:sz w:val="24"/>
              <w:szCs w:val="24"/>
              <w:lang w:eastAsia="en-GB"/>
            </w:rPr>
            <w:t xml:space="preserve">Herzberg’s Two-Factor Theory also showed that while factors such as pay and working conditions can reduce dissatisfaction, employee motivation and engagement depend more on recognition, development opportunities, and meaningful work. During a period of restructuring and uncertainty, maintaining these motivators became increasingly difficult, which contributed to </w:t>
          </w:r>
          <w:r>
            <w:rPr>
              <w:rFonts w:ascii="Times New Roman" w:eastAsia="Times New Roman" w:hAnsi="Times New Roman" w:cs="Times New Roman"/>
              <w:sz w:val="24"/>
              <w:szCs w:val="24"/>
              <w:lang w:eastAsia="en-GB"/>
            </w:rPr>
            <w:t>a disengagement</w:t>
          </w:r>
          <w:r w:rsidRPr="00526940">
            <w:rPr>
              <w:rFonts w:ascii="Times New Roman" w:eastAsia="Times New Roman" w:hAnsi="Times New Roman" w:cs="Times New Roman"/>
              <w:sz w:val="24"/>
              <w:szCs w:val="24"/>
              <w:lang w:eastAsia="en-GB"/>
            </w:rPr>
            <w:t xml:space="preserve"> across the workforce.</w:t>
          </w:r>
        </w:p>
        <w:p w14:paraId="513847E1" w14:textId="7BC26A54" w:rsidR="00526940" w:rsidRPr="00526940" w:rsidRDefault="00526940" w:rsidP="00526940">
          <w:pPr>
            <w:spacing w:before="100" w:beforeAutospacing="1" w:after="100" w:afterAutospacing="1" w:line="240" w:lineRule="auto"/>
            <w:rPr>
              <w:rFonts w:ascii="Times New Roman" w:eastAsia="Times New Roman" w:hAnsi="Times New Roman" w:cs="Times New Roman"/>
              <w:sz w:val="24"/>
              <w:szCs w:val="24"/>
              <w:lang w:eastAsia="en-GB"/>
            </w:rPr>
          </w:pPr>
          <w:r w:rsidRPr="00526940">
            <w:rPr>
              <w:rFonts w:ascii="Times New Roman" w:eastAsia="Times New Roman" w:hAnsi="Times New Roman" w:cs="Times New Roman"/>
              <w:sz w:val="24"/>
              <w:szCs w:val="24"/>
              <w:lang w:eastAsia="en-GB"/>
            </w:rPr>
            <w:t xml:space="preserve">Overall, although Dow introduced several structured change management strategies, including communication, opportunities to move into different roles, and financial support packages, the scale of the change has still had a significant effect on </w:t>
          </w:r>
          <w:r w:rsidR="00E00015">
            <w:rPr>
              <w:rFonts w:ascii="Times New Roman" w:eastAsia="Times New Roman" w:hAnsi="Times New Roman" w:cs="Times New Roman"/>
              <w:sz w:val="24"/>
              <w:szCs w:val="24"/>
              <w:lang w:eastAsia="en-GB"/>
            </w:rPr>
            <w:t>staff ambition</w:t>
          </w:r>
          <w:r w:rsidRPr="00526940">
            <w:rPr>
              <w:rFonts w:ascii="Times New Roman" w:eastAsia="Times New Roman" w:hAnsi="Times New Roman" w:cs="Times New Roman"/>
              <w:sz w:val="24"/>
              <w:szCs w:val="24"/>
              <w:lang w:eastAsia="en-GB"/>
            </w:rPr>
            <w:t xml:space="preserve"> and commitment. The success of the transition will largely depend on how well the organisation continues to support employees while maintaining fairness, transparency, and respect throughout the remaining stages of change.</w:t>
          </w:r>
        </w:p>
        <w:p w14:paraId="3A083A43" w14:textId="41A3D574" w:rsidR="00CD2B59" w:rsidRDefault="00CD2B59" w:rsidP="00CD2B59"/>
        <w:bookmarkStart w:id="23" w:name="_Toc229424571" w:displacedByCustomXml="next"/>
        <w:sdt>
          <w:sdtPr>
            <w:id w:val="819616231"/>
            <w:docPartObj>
              <w:docPartGallery w:val="Bibliographies"/>
              <w:docPartUnique/>
            </w:docPartObj>
          </w:sdtPr>
          <w:sdtEndPr>
            <w:rPr>
              <w:rFonts w:asciiTheme="minorHAnsi" w:eastAsiaTheme="minorHAnsi" w:hAnsiTheme="minorHAnsi" w:cstheme="minorBidi"/>
              <w:color w:val="auto"/>
              <w:sz w:val="22"/>
              <w:szCs w:val="22"/>
            </w:rPr>
          </w:sdtEndPr>
          <w:sdtContent>
            <w:p w14:paraId="0DD5E224" w14:textId="7CA294A9" w:rsidR="00F80AD9" w:rsidRDefault="00F80AD9">
              <w:pPr>
                <w:pStyle w:val="Heading1"/>
              </w:pPr>
              <w:r>
                <w:t>Bibliography</w:t>
              </w:r>
              <w:bookmarkEnd w:id="23"/>
            </w:p>
            <w:sdt>
              <w:sdtPr>
                <w:id w:val="111145805"/>
                <w:bibliography/>
              </w:sdtPr>
              <w:sdtEndPr>
                <w:rPr>
                  <w:rFonts w:asciiTheme="minorHAnsi" w:eastAsiaTheme="minorHAnsi" w:hAnsiTheme="minorHAnsi" w:cstheme="minorBidi"/>
                  <w:sz w:val="22"/>
                  <w:szCs w:val="22"/>
                  <w:lang w:eastAsia="en-US"/>
                </w:rPr>
              </w:sdtEndPr>
              <w:sdtContent>
                <w:p w14:paraId="5D568055" w14:textId="77777777" w:rsidR="00E00015" w:rsidRDefault="00F80AD9" w:rsidP="00E00015">
                  <w:pPr>
                    <w:pStyle w:val="Bibliography"/>
                    <w:ind w:left="720" w:hanging="720"/>
                    <w:rPr>
                      <w:noProof/>
                      <w:sz w:val="24"/>
                      <w:szCs w:val="24"/>
                    </w:rPr>
                  </w:pPr>
                  <w:r>
                    <w:fldChar w:fldCharType="begin"/>
                  </w:r>
                  <w:r>
                    <w:instrText xml:space="preserve"> BIBLIOGRAPHY </w:instrText>
                  </w:r>
                  <w:r>
                    <w:fldChar w:fldCharType="separate"/>
                  </w:r>
                  <w:r w:rsidR="00E00015">
                    <w:rPr>
                      <w:noProof/>
                    </w:rPr>
                    <w:t xml:space="preserve">Dow. (2026). </w:t>
                  </w:r>
                  <w:r w:rsidR="00E00015">
                    <w:rPr>
                      <w:i/>
                      <w:iCs/>
                      <w:noProof/>
                    </w:rPr>
                    <w:t>Dow</w:t>
                  </w:r>
                  <w:r w:rsidR="00E00015">
                    <w:rPr>
                      <w:noProof/>
                    </w:rPr>
                    <w:t>. Retrieved 04 14, 2026, from https://gb.dow.com/en-gb/locations/dow-in-barry.html</w:t>
                  </w:r>
                </w:p>
                <w:p w14:paraId="5A862EEB" w14:textId="77777777" w:rsidR="00E00015" w:rsidRDefault="00E00015" w:rsidP="00E00015">
                  <w:pPr>
                    <w:pStyle w:val="Bibliography"/>
                    <w:ind w:left="720" w:hanging="720"/>
                    <w:rPr>
                      <w:noProof/>
                    </w:rPr>
                  </w:pPr>
                  <w:r>
                    <w:rPr>
                      <w:noProof/>
                    </w:rPr>
                    <w:t xml:space="preserve">Framework, N. (2025, 05 10). </w:t>
                  </w:r>
                  <w:r>
                    <w:rPr>
                      <w:i/>
                      <w:iCs/>
                      <w:noProof/>
                    </w:rPr>
                    <w:t>National Frameword .</w:t>
                  </w:r>
                  <w:r>
                    <w:rPr>
                      <w:noProof/>
                    </w:rPr>
                    <w:t xml:space="preserve"> Retrieved from https://www.nationalframeworkpartnership.co.uk/wp-content/uploads/3875600000177900208_NFP-Strategic-Asset-Advisory-Framework-2025.pdf</w:t>
                  </w:r>
                </w:p>
                <w:p w14:paraId="68C2D8BE" w14:textId="77777777" w:rsidR="00E00015" w:rsidRDefault="00E00015" w:rsidP="00E00015">
                  <w:pPr>
                    <w:pStyle w:val="Bibliography"/>
                    <w:ind w:left="720" w:hanging="720"/>
                    <w:rPr>
                      <w:noProof/>
                    </w:rPr>
                  </w:pPr>
                  <w:r>
                    <w:rPr>
                      <w:noProof/>
                    </w:rPr>
                    <w:t xml:space="preserve">Freedman, M. (2026). </w:t>
                  </w:r>
                  <w:r>
                    <w:rPr>
                      <w:i/>
                      <w:iCs/>
                      <w:noProof/>
                    </w:rPr>
                    <w:t>Business.com</w:t>
                  </w:r>
                  <w:r>
                    <w:rPr>
                      <w:noProof/>
                    </w:rPr>
                    <w:t>. Retrieved 05 09, 2026, from https://www.business.com/articles/management-theory-of-frederick-herzberg/</w:t>
                  </w:r>
                </w:p>
                <w:p w14:paraId="1601D608" w14:textId="77777777" w:rsidR="00E00015" w:rsidRDefault="00E00015" w:rsidP="00E00015">
                  <w:pPr>
                    <w:pStyle w:val="Bibliography"/>
                    <w:ind w:left="720" w:hanging="720"/>
                    <w:rPr>
                      <w:noProof/>
                    </w:rPr>
                  </w:pPr>
                  <w:r>
                    <w:rPr>
                      <w:noProof/>
                    </w:rPr>
                    <w:t xml:space="preserve">Hastwell, C. (2025). </w:t>
                  </w:r>
                  <w:r>
                    <w:rPr>
                      <w:i/>
                      <w:iCs/>
                      <w:noProof/>
                    </w:rPr>
                    <w:t xml:space="preserve">Great Place to Work </w:t>
                  </w:r>
                  <w:r>
                    <w:rPr>
                      <w:noProof/>
                    </w:rPr>
                    <w:t>. Retrieved 05 09, 2026, from https://www.greatplacetowork.com/resources/blog/creating-a-culture-of-recognition</w:t>
                  </w:r>
                </w:p>
                <w:p w14:paraId="5F7C9EB0" w14:textId="77777777" w:rsidR="00E00015" w:rsidRDefault="00E00015" w:rsidP="00E00015">
                  <w:pPr>
                    <w:pStyle w:val="Bibliography"/>
                    <w:ind w:left="720" w:hanging="720"/>
                    <w:rPr>
                      <w:noProof/>
                    </w:rPr>
                  </w:pPr>
                  <w:r>
                    <w:rPr>
                      <w:noProof/>
                    </w:rPr>
                    <w:t xml:space="preserve">HSE. (2026). </w:t>
                  </w:r>
                  <w:r>
                    <w:rPr>
                      <w:i/>
                      <w:iCs/>
                      <w:noProof/>
                    </w:rPr>
                    <w:t xml:space="preserve">COMAH </w:t>
                  </w:r>
                  <w:r>
                    <w:rPr>
                      <w:noProof/>
                    </w:rPr>
                    <w:t>. Retrieved 04 14, 2026, from https://www.hse.gov.uk/comah/comah15.htm#:~:text=Industries%20and%20activities%20that%20might,requirements%20than%20lower%20tier%20sites.</w:t>
                  </w:r>
                </w:p>
                <w:p w14:paraId="4AE09F1A" w14:textId="77777777" w:rsidR="00E00015" w:rsidRDefault="00E00015" w:rsidP="00E00015">
                  <w:pPr>
                    <w:pStyle w:val="Bibliography"/>
                    <w:ind w:left="720" w:hanging="720"/>
                    <w:rPr>
                      <w:noProof/>
                    </w:rPr>
                  </w:pPr>
                  <w:r>
                    <w:rPr>
                      <w:noProof/>
                    </w:rPr>
                    <w:t xml:space="preserve">Hussain, S. (2018). </w:t>
                  </w:r>
                  <w:r>
                    <w:rPr>
                      <w:i/>
                      <w:iCs/>
                      <w:noProof/>
                    </w:rPr>
                    <w:t>Journal of Innovation &amp; Knowledge</w:t>
                  </w:r>
                  <w:r>
                    <w:rPr>
                      <w:noProof/>
                    </w:rPr>
                    <w:t>, 123-127.</w:t>
                  </w:r>
                </w:p>
                <w:p w14:paraId="26448821" w14:textId="77777777" w:rsidR="00E00015" w:rsidRDefault="00E00015" w:rsidP="00E00015">
                  <w:pPr>
                    <w:pStyle w:val="Bibliography"/>
                    <w:ind w:left="720" w:hanging="720"/>
                    <w:rPr>
                      <w:noProof/>
                    </w:rPr>
                  </w:pPr>
                  <w:r>
                    <w:rPr>
                      <w:noProof/>
                    </w:rPr>
                    <w:t xml:space="preserve">INFO, N. B. (2026, 05 11). </w:t>
                  </w:r>
                  <w:r>
                    <w:rPr>
                      <w:i/>
                      <w:iCs/>
                      <w:noProof/>
                    </w:rPr>
                    <w:t>NI Buiness Info</w:t>
                  </w:r>
                  <w:r>
                    <w:rPr>
                      <w:noProof/>
                    </w:rPr>
                    <w:t>. Retrieved from https://www.nibusinessinfo.co.uk/content/additional-responsibilities-upper-tier-comah-regulated-sites</w:t>
                  </w:r>
                </w:p>
                <w:p w14:paraId="2E27321B" w14:textId="77777777" w:rsidR="00E00015" w:rsidRDefault="00E00015" w:rsidP="00E00015">
                  <w:pPr>
                    <w:pStyle w:val="Bibliography"/>
                    <w:ind w:left="720" w:hanging="720"/>
                    <w:rPr>
                      <w:noProof/>
                    </w:rPr>
                  </w:pPr>
                  <w:r>
                    <w:rPr>
                      <w:noProof/>
                    </w:rPr>
                    <w:t xml:space="preserve">Jyoti. (2026). </w:t>
                  </w:r>
                  <w:r>
                    <w:rPr>
                      <w:i/>
                      <w:iCs/>
                      <w:noProof/>
                    </w:rPr>
                    <w:t>Management Study Guide</w:t>
                  </w:r>
                  <w:r>
                    <w:rPr>
                      <w:noProof/>
                    </w:rPr>
                    <w:t>. Retrieved 04 29, 2026, from https://www.managementstudyguide.com/top-down-versus-bottom-up-change.htm</w:t>
                  </w:r>
                </w:p>
                <w:p w14:paraId="30BA00AA" w14:textId="77777777" w:rsidR="00E00015" w:rsidRDefault="00E00015" w:rsidP="00E00015">
                  <w:pPr>
                    <w:pStyle w:val="Bibliography"/>
                    <w:ind w:left="720" w:hanging="720"/>
                    <w:rPr>
                      <w:noProof/>
                    </w:rPr>
                  </w:pPr>
                  <w:r>
                    <w:rPr>
                      <w:noProof/>
                    </w:rPr>
                    <w:t xml:space="preserve">Lumen. (2026, 05 10). </w:t>
                  </w:r>
                  <w:r>
                    <w:rPr>
                      <w:i/>
                      <w:iCs/>
                      <w:noProof/>
                    </w:rPr>
                    <w:t>Lumen</w:t>
                  </w:r>
                  <w:r>
                    <w:rPr>
                      <w:noProof/>
                    </w:rPr>
                    <w:t>. Retrieved from https://courses.lumenlearning.com/wm-organizationalbehavior/chapter/herzbergs-two-factor-theory/</w:t>
                  </w:r>
                </w:p>
                <w:p w14:paraId="6AB83ED7" w14:textId="77777777" w:rsidR="00E00015" w:rsidRDefault="00E00015" w:rsidP="00E00015">
                  <w:pPr>
                    <w:pStyle w:val="Bibliography"/>
                    <w:ind w:left="720" w:hanging="720"/>
                    <w:rPr>
                      <w:noProof/>
                    </w:rPr>
                  </w:pPr>
                  <w:r>
                    <w:rPr>
                      <w:noProof/>
                    </w:rPr>
                    <w:t xml:space="preserve">McBrayer, B. (2025, 12 05). </w:t>
                  </w:r>
                  <w:r>
                    <w:rPr>
                      <w:i/>
                      <w:iCs/>
                      <w:noProof/>
                    </w:rPr>
                    <w:t>Factorial</w:t>
                  </w:r>
                  <w:r>
                    <w:rPr>
                      <w:noProof/>
                    </w:rPr>
                    <w:t>. Retrieved from https://factorialhr.com/blog/talent-pool/</w:t>
                  </w:r>
                </w:p>
                <w:p w14:paraId="394FAA14" w14:textId="77777777" w:rsidR="00E00015" w:rsidRDefault="00E00015" w:rsidP="00E00015">
                  <w:pPr>
                    <w:pStyle w:val="Bibliography"/>
                    <w:ind w:left="720" w:hanging="720"/>
                    <w:rPr>
                      <w:noProof/>
                    </w:rPr>
                  </w:pPr>
                  <w:r>
                    <w:rPr>
                      <w:noProof/>
                    </w:rPr>
                    <w:lastRenderedPageBreak/>
                    <w:t xml:space="preserve">NEA. (2025). </w:t>
                  </w:r>
                  <w:r>
                    <w:rPr>
                      <w:i/>
                      <w:iCs/>
                      <w:noProof/>
                    </w:rPr>
                    <w:t>National Energy Action</w:t>
                  </w:r>
                  <w:r>
                    <w:rPr>
                      <w:noProof/>
                    </w:rPr>
                    <w:t>. Retrieved 04 17, 2026, from https://www.nea.org.uk/energy-crisis/energy-crisis-timeline/#:~:text=22%20November%202024%20%E2%80%93%20The,1%25%20from%20the%20current%20level.</w:t>
                  </w:r>
                </w:p>
                <w:p w14:paraId="403C914A" w14:textId="77777777" w:rsidR="00E00015" w:rsidRDefault="00E00015" w:rsidP="00E00015">
                  <w:pPr>
                    <w:pStyle w:val="Bibliography"/>
                    <w:ind w:left="720" w:hanging="720"/>
                    <w:rPr>
                      <w:noProof/>
                    </w:rPr>
                  </w:pPr>
                  <w:r>
                    <w:rPr>
                      <w:noProof/>
                    </w:rPr>
                    <w:t xml:space="preserve">Nickerson, C. (2025). </w:t>
                  </w:r>
                  <w:r>
                    <w:rPr>
                      <w:i/>
                      <w:iCs/>
                      <w:noProof/>
                    </w:rPr>
                    <w:t xml:space="preserve">Simply Psychology </w:t>
                  </w:r>
                  <w:r>
                    <w:rPr>
                      <w:noProof/>
                    </w:rPr>
                    <w:t>. Retrieved 05 09, 2026, from https://www.simplypsychology.org/herzbergs-two-factor-theory.html</w:t>
                  </w:r>
                </w:p>
                <w:p w14:paraId="6E9E9D6B" w14:textId="77777777" w:rsidR="00E00015" w:rsidRDefault="00E00015" w:rsidP="00E00015">
                  <w:pPr>
                    <w:pStyle w:val="Bibliography"/>
                    <w:ind w:left="720" w:hanging="720"/>
                    <w:rPr>
                      <w:noProof/>
                    </w:rPr>
                  </w:pPr>
                  <w:r>
                    <w:rPr>
                      <w:noProof/>
                    </w:rPr>
                    <w:t xml:space="preserve">Pickles, M. (2024, 01 11). </w:t>
                  </w:r>
                  <w:r>
                    <w:rPr>
                      <w:i/>
                      <w:iCs/>
                      <w:noProof/>
                    </w:rPr>
                    <w:t>The Conversation.</w:t>
                  </w:r>
                  <w:r>
                    <w:rPr>
                      <w:noProof/>
                    </w:rPr>
                    <w:t xml:space="preserve"> Retrieved from https://theconversation.com/redundancies-have-unintended-consequences-for-all-employees-even-those-who-keep-their-jobs-203364</w:t>
                  </w:r>
                </w:p>
                <w:p w14:paraId="560A1465" w14:textId="77777777" w:rsidR="00E00015" w:rsidRDefault="00E00015" w:rsidP="00E00015">
                  <w:pPr>
                    <w:pStyle w:val="Bibliography"/>
                    <w:ind w:left="720" w:hanging="720"/>
                    <w:rPr>
                      <w:noProof/>
                    </w:rPr>
                  </w:pPr>
                  <w:r>
                    <w:rPr>
                      <w:noProof/>
                    </w:rPr>
                    <w:t xml:space="preserve">Pinel, F. (2024). </w:t>
                  </w:r>
                  <w:r>
                    <w:rPr>
                      <w:i/>
                      <w:iCs/>
                      <w:noProof/>
                    </w:rPr>
                    <w:t>Understanding and addressing low employee morale</w:t>
                  </w:r>
                  <w:r>
                    <w:rPr>
                      <w:noProof/>
                    </w:rPr>
                    <w:t>. Retrieved May 4, 2025, from https://blog.buddieshr.com/understanding-and-addressing-low-employee-morale/#:~:text=When%20morale%20is%20low%2C%20engagement%20decreases%20significantly%2C%20and,reduced%20productivity%2C%20missed%20deadlines%2C%20and%20declining%20work%20quality.</w:t>
                  </w:r>
                </w:p>
                <w:p w14:paraId="5BBD50B7" w14:textId="77777777" w:rsidR="00E00015" w:rsidRDefault="00E00015" w:rsidP="00E00015">
                  <w:pPr>
                    <w:pStyle w:val="Bibliography"/>
                    <w:ind w:left="720" w:hanging="720"/>
                    <w:rPr>
                      <w:noProof/>
                    </w:rPr>
                  </w:pPr>
                  <w:r>
                    <w:rPr>
                      <w:noProof/>
                    </w:rPr>
                    <w:t xml:space="preserve">Raza, M. (2024). </w:t>
                  </w:r>
                  <w:r>
                    <w:rPr>
                      <w:i/>
                      <w:iCs/>
                      <w:noProof/>
                    </w:rPr>
                    <w:t>BMC</w:t>
                  </w:r>
                  <w:r>
                    <w:rPr>
                      <w:noProof/>
                    </w:rPr>
                    <w:t>. Retrieved 05 09, 2026, from https://www.bmc.com/blogs/lewin-three-stage-model-change/</w:t>
                  </w:r>
                </w:p>
                <w:p w14:paraId="08CE5726" w14:textId="77777777" w:rsidR="00E00015" w:rsidRDefault="00E00015" w:rsidP="00E00015">
                  <w:pPr>
                    <w:pStyle w:val="Bibliography"/>
                    <w:ind w:left="720" w:hanging="720"/>
                    <w:rPr>
                      <w:noProof/>
                    </w:rPr>
                  </w:pPr>
                  <w:r>
                    <w:rPr>
                      <w:noProof/>
                    </w:rPr>
                    <w:t xml:space="preserve">Riley, J. (2018). </w:t>
                  </w:r>
                  <w:r>
                    <w:rPr>
                      <w:i/>
                      <w:iCs/>
                      <w:noProof/>
                    </w:rPr>
                    <w:t>Tutor2u</w:t>
                  </w:r>
                  <w:r>
                    <w:rPr>
                      <w:noProof/>
                    </w:rPr>
                    <w:t>. Retrieved 04 17, 2026, from https://www.tutor2u.net/business/reference/models-of-change-management-lewins-force-field-model</w:t>
                  </w:r>
                </w:p>
                <w:p w14:paraId="6EF1F809" w14:textId="77777777" w:rsidR="00E00015" w:rsidRDefault="00E00015" w:rsidP="00E00015">
                  <w:pPr>
                    <w:pStyle w:val="Bibliography"/>
                    <w:ind w:left="720" w:hanging="720"/>
                    <w:rPr>
                      <w:noProof/>
                    </w:rPr>
                  </w:pPr>
                  <w:r>
                    <w:rPr>
                      <w:noProof/>
                    </w:rPr>
                    <w:t xml:space="preserve">Ryan. (2026). </w:t>
                  </w:r>
                  <w:r>
                    <w:rPr>
                      <w:i/>
                      <w:iCs/>
                      <w:noProof/>
                    </w:rPr>
                    <w:t>Asana</w:t>
                  </w:r>
                  <w:r>
                    <w:rPr>
                      <w:noProof/>
                    </w:rPr>
                    <w:t>. Retrieved 04 29, 2026, from https://asana.com/resources/top-down-approach</w:t>
                  </w:r>
                </w:p>
                <w:p w14:paraId="53C56A0E" w14:textId="77777777" w:rsidR="00E00015" w:rsidRDefault="00E00015" w:rsidP="00E00015">
                  <w:pPr>
                    <w:pStyle w:val="Bibliography"/>
                    <w:ind w:left="720" w:hanging="720"/>
                    <w:rPr>
                      <w:noProof/>
                    </w:rPr>
                  </w:pPr>
                  <w:r>
                    <w:rPr>
                      <w:noProof/>
                    </w:rPr>
                    <w:t xml:space="preserve">Sasaki, M. (2025, 01 31). </w:t>
                  </w:r>
                  <w:r>
                    <w:rPr>
                      <w:i/>
                      <w:iCs/>
                      <w:noProof/>
                    </w:rPr>
                    <w:t>Chem analyst.</w:t>
                  </w:r>
                  <w:r>
                    <w:rPr>
                      <w:noProof/>
                    </w:rPr>
                    <w:t xml:space="preserve"> Retrieved from https://www.chemanalyst.com/NewsAndDeals/NewsDetails/dow-to-eliminate-1500-jobs-in-1-billion-cost-cutting-initiative-34231</w:t>
                  </w:r>
                </w:p>
                <w:p w14:paraId="57826D6E" w14:textId="77777777" w:rsidR="00E00015" w:rsidRDefault="00E00015" w:rsidP="00E00015">
                  <w:pPr>
                    <w:pStyle w:val="Bibliography"/>
                    <w:ind w:left="720" w:hanging="720"/>
                    <w:rPr>
                      <w:noProof/>
                    </w:rPr>
                  </w:pPr>
                  <w:r>
                    <w:rPr>
                      <w:noProof/>
                    </w:rPr>
                    <w:t xml:space="preserve">Stobierski, T. (2026, 05 10). </w:t>
                  </w:r>
                  <w:r>
                    <w:rPr>
                      <w:i/>
                      <w:iCs/>
                      <w:noProof/>
                    </w:rPr>
                    <w:t>Harvard Business School</w:t>
                  </w:r>
                  <w:r>
                    <w:rPr>
                      <w:noProof/>
                    </w:rPr>
                    <w:t>. Retrieved from https://online.hbs.edu/blog/post/organizational-change-management</w:t>
                  </w:r>
                </w:p>
                <w:p w14:paraId="41AD06B4" w14:textId="77777777" w:rsidR="00E00015" w:rsidRDefault="00E00015" w:rsidP="00E00015">
                  <w:pPr>
                    <w:pStyle w:val="Bibliography"/>
                    <w:ind w:left="720" w:hanging="720"/>
                    <w:rPr>
                      <w:noProof/>
                    </w:rPr>
                  </w:pPr>
                  <w:r>
                    <w:rPr>
                      <w:noProof/>
                    </w:rPr>
                    <w:t xml:space="preserve">Tutor2u. (2025). </w:t>
                  </w:r>
                  <w:r>
                    <w:rPr>
                      <w:i/>
                      <w:iCs/>
                      <w:noProof/>
                    </w:rPr>
                    <w:t>Tutor2u</w:t>
                  </w:r>
                  <w:r>
                    <w:rPr>
                      <w:noProof/>
                    </w:rPr>
                    <w:t>. Retrieved 05 09, 2026, from https://s3-eu-west-1.amazonaws.com/tutor2u-media/subjects/business/diagrams/change-lewin-overview-model.jpg?mtime=20150409193802</w:t>
                  </w:r>
                </w:p>
                <w:p w14:paraId="25E6F6E4" w14:textId="77777777" w:rsidR="00E00015" w:rsidRDefault="00E00015" w:rsidP="00E00015">
                  <w:pPr>
                    <w:pStyle w:val="Bibliography"/>
                    <w:ind w:left="720" w:hanging="720"/>
                    <w:rPr>
                      <w:noProof/>
                    </w:rPr>
                  </w:pPr>
                  <w:r>
                    <w:rPr>
                      <w:noProof/>
                    </w:rPr>
                    <w:t xml:space="preserve">Unite. (2025). </w:t>
                  </w:r>
                  <w:r>
                    <w:rPr>
                      <w:i/>
                      <w:iCs/>
                      <w:noProof/>
                    </w:rPr>
                    <w:t xml:space="preserve">Unite the union </w:t>
                  </w:r>
                  <w:r>
                    <w:rPr>
                      <w:noProof/>
                    </w:rPr>
                    <w:t>. Retrieved 04 17, 2026, from https://www.unitetheunion.org/news-events/news/2025/july/unite-responds-to-job-losses-at-dows-plant-in-barry-south-wales#:~:text=Barry%2C%20South%20Wales-,Unite%20responds%20to%20job%20losses%20at%20Dow's%20plant%20in%20Barry,also%20secured%20enhanced%20r</w:t>
                  </w:r>
                </w:p>
                <w:p w14:paraId="615149A1" w14:textId="53A85A71" w:rsidR="00F80AD9" w:rsidRDefault="00F80AD9" w:rsidP="00E00015">
                  <w:r>
                    <w:rPr>
                      <w:b/>
                      <w:bCs/>
                      <w:noProof/>
                    </w:rPr>
                    <w:fldChar w:fldCharType="end"/>
                  </w:r>
                </w:p>
              </w:sdtContent>
            </w:sdt>
          </w:sdtContent>
        </w:sdt>
        <w:p w14:paraId="4540927D" w14:textId="77777777" w:rsidR="00F80AD9" w:rsidRPr="00CD2B59" w:rsidRDefault="00F80AD9" w:rsidP="00CD2B59"/>
        <w:p w14:paraId="2C3B4B3D" w14:textId="77777777" w:rsidR="00924F03" w:rsidRDefault="00924F03" w:rsidP="00924F03"/>
        <w:p w14:paraId="79C2294A" w14:textId="77777777" w:rsidR="00924F03" w:rsidRDefault="00924F03" w:rsidP="00924F03"/>
        <w:p w14:paraId="28B6FCB0" w14:textId="77777777" w:rsidR="00924F03" w:rsidRDefault="00924F03" w:rsidP="00924F03"/>
        <w:p w14:paraId="0F08A8B5" w14:textId="77777777" w:rsidR="00924F03" w:rsidRDefault="00924F03" w:rsidP="00924F03"/>
        <w:p w14:paraId="5A3CE724" w14:textId="77777777" w:rsidR="00924F03" w:rsidRDefault="00924F03" w:rsidP="00924F03"/>
        <w:p w14:paraId="6D7C438A" w14:textId="77777777" w:rsidR="00924F03" w:rsidRDefault="00924F03" w:rsidP="00924F03"/>
        <w:p w14:paraId="533801D0" w14:textId="77777777" w:rsidR="00924F03" w:rsidRDefault="00924F03" w:rsidP="00924F03"/>
        <w:p w14:paraId="26AA6BFF" w14:textId="77777777" w:rsidR="00924F03" w:rsidRDefault="00924F03" w:rsidP="00924F03"/>
        <w:p w14:paraId="72FDCA89" w14:textId="77777777" w:rsidR="00924F03" w:rsidRDefault="00924F03" w:rsidP="00924F03"/>
        <w:sdt>
          <w:sdtPr>
            <w:rPr>
              <w:lang w:val="en-US"/>
            </w:rPr>
            <w:id w:val="1134288080"/>
            <w:docPartObj>
              <w:docPartGallery w:val="Bibliographies"/>
              <w:docPartUnique/>
            </w:docPartObj>
          </w:sdtPr>
          <w:sdtEndPr/>
          <w:sdtContent>
            <w:p w14:paraId="0EAD00A7" w14:textId="65024969" w:rsidR="007D1947" w:rsidRDefault="007D1947" w:rsidP="00F80AD9">
              <w:pPr>
                <w:pStyle w:val="Heading1"/>
              </w:pPr>
            </w:p>
            <w:p w14:paraId="7F890C1F" w14:textId="2862E289" w:rsidR="00CA09F3" w:rsidRDefault="00E00015" w:rsidP="00924F03">
              <w:pPr>
                <w:pStyle w:val="TOCHeading"/>
              </w:pPr>
            </w:p>
          </w:sdtContent>
        </w:sdt>
      </w:sdtContent>
    </w:sdt>
    <w:sectPr w:rsidR="00CA09F3" w:rsidSect="007D19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E8DC1C" w14:textId="77777777" w:rsidR="00C54271" w:rsidRDefault="00C54271" w:rsidP="00C54271">
      <w:pPr>
        <w:spacing w:after="0" w:line="240" w:lineRule="auto"/>
      </w:pPr>
      <w:r>
        <w:separator/>
      </w:r>
    </w:p>
  </w:endnote>
  <w:endnote w:type="continuationSeparator" w:id="0">
    <w:p w14:paraId="1CADCCD7" w14:textId="77777777" w:rsidR="00C54271" w:rsidRDefault="00C54271" w:rsidP="00C542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33D044" w14:textId="77777777" w:rsidR="00C54271" w:rsidRDefault="00C54271" w:rsidP="00C54271">
      <w:pPr>
        <w:spacing w:after="0" w:line="240" w:lineRule="auto"/>
      </w:pPr>
      <w:r>
        <w:separator/>
      </w:r>
    </w:p>
  </w:footnote>
  <w:footnote w:type="continuationSeparator" w:id="0">
    <w:p w14:paraId="5BF7FD83" w14:textId="77777777" w:rsidR="00C54271" w:rsidRDefault="00C54271" w:rsidP="00C5427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232C6"/>
    <w:rsid w:val="00107936"/>
    <w:rsid w:val="00115B96"/>
    <w:rsid w:val="001F305E"/>
    <w:rsid w:val="00292977"/>
    <w:rsid w:val="002D30DD"/>
    <w:rsid w:val="00324CCD"/>
    <w:rsid w:val="004309E1"/>
    <w:rsid w:val="00435096"/>
    <w:rsid w:val="00480872"/>
    <w:rsid w:val="004A11F6"/>
    <w:rsid w:val="004D519C"/>
    <w:rsid w:val="005014C5"/>
    <w:rsid w:val="00515CC4"/>
    <w:rsid w:val="00526940"/>
    <w:rsid w:val="00532D20"/>
    <w:rsid w:val="00693E27"/>
    <w:rsid w:val="007D1947"/>
    <w:rsid w:val="008A498C"/>
    <w:rsid w:val="008D4C45"/>
    <w:rsid w:val="00924F03"/>
    <w:rsid w:val="00931CAA"/>
    <w:rsid w:val="00A12B58"/>
    <w:rsid w:val="00A4233F"/>
    <w:rsid w:val="00AA2A91"/>
    <w:rsid w:val="00BB7C9F"/>
    <w:rsid w:val="00C15888"/>
    <w:rsid w:val="00C54271"/>
    <w:rsid w:val="00CA09F3"/>
    <w:rsid w:val="00CD2B59"/>
    <w:rsid w:val="00D854A5"/>
    <w:rsid w:val="00DD52AF"/>
    <w:rsid w:val="00E00015"/>
    <w:rsid w:val="00E460BE"/>
    <w:rsid w:val="00E91208"/>
    <w:rsid w:val="00F80AD9"/>
    <w:rsid w:val="00FD76A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customStyle="1" w:styleId="vkekvd">
    <w:name w:val="vkekvd"/>
    <w:basedOn w:val="DefaultParagraphFont"/>
    <w:rsid w:val="00924F03"/>
  </w:style>
  <w:style w:type="character" w:customStyle="1" w:styleId="whitespace-normal">
    <w:name w:val="whitespace-normal"/>
    <w:basedOn w:val="DefaultParagraphFont"/>
    <w:rsid w:val="00924F03"/>
  </w:style>
  <w:style w:type="paragraph" w:styleId="Bibliography">
    <w:name w:val="Bibliography"/>
    <w:basedOn w:val="Normal"/>
    <w:next w:val="Normal"/>
    <w:uiPriority w:val="37"/>
    <w:unhideWhenUsed/>
    <w:rsid w:val="00924F03"/>
    <w:pPr>
      <w:spacing w:after="0" w:line="240" w:lineRule="auto"/>
    </w:pPr>
    <w:rPr>
      <w:rFonts w:ascii="Times New Roman" w:eastAsia="Times New Roman" w:hAnsi="Times New Roman" w:cs="Times New Roman"/>
      <w:sz w:val="20"/>
      <w:szCs w:val="20"/>
      <w:lang w:eastAsia="en-GB"/>
    </w:rPr>
  </w:style>
  <w:style w:type="paragraph" w:styleId="NormalWeb">
    <w:name w:val="Normal (Web)"/>
    <w:basedOn w:val="Normal"/>
    <w:uiPriority w:val="99"/>
    <w:semiHidden/>
    <w:unhideWhenUsed/>
    <w:rsid w:val="00CD2B5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F80A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F80AD9"/>
  </w:style>
  <w:style w:type="character" w:customStyle="1" w:styleId="normaltextrun">
    <w:name w:val="normaltextrun"/>
    <w:basedOn w:val="DefaultParagraphFont"/>
    <w:rsid w:val="00F80AD9"/>
  </w:style>
  <w:style w:type="character" w:customStyle="1" w:styleId="nobreakhyphenblob">
    <w:name w:val="nobreakhyphenblob"/>
    <w:basedOn w:val="DefaultParagraphFont"/>
    <w:rsid w:val="00F80AD9"/>
  </w:style>
  <w:style w:type="character" w:customStyle="1" w:styleId="contentcontrolboundarysink">
    <w:name w:val="contentcontrolboundarysink"/>
    <w:basedOn w:val="DefaultParagraphFont"/>
    <w:rsid w:val="00F80AD9"/>
  </w:style>
  <w:style w:type="paragraph" w:styleId="Header">
    <w:name w:val="header"/>
    <w:basedOn w:val="Normal"/>
    <w:link w:val="HeaderChar"/>
    <w:uiPriority w:val="99"/>
    <w:unhideWhenUsed/>
    <w:rsid w:val="00C542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4271"/>
  </w:style>
  <w:style w:type="paragraph" w:styleId="Footer">
    <w:name w:val="footer"/>
    <w:basedOn w:val="Normal"/>
    <w:link w:val="FooterChar"/>
    <w:uiPriority w:val="99"/>
    <w:unhideWhenUsed/>
    <w:rsid w:val="00C542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42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43336">
      <w:bodyDiv w:val="1"/>
      <w:marLeft w:val="0"/>
      <w:marRight w:val="0"/>
      <w:marTop w:val="0"/>
      <w:marBottom w:val="0"/>
      <w:divBdr>
        <w:top w:val="none" w:sz="0" w:space="0" w:color="auto"/>
        <w:left w:val="none" w:sz="0" w:space="0" w:color="auto"/>
        <w:bottom w:val="none" w:sz="0" w:space="0" w:color="auto"/>
        <w:right w:val="none" w:sz="0" w:space="0" w:color="auto"/>
      </w:divBdr>
    </w:div>
    <w:div w:id="14158672">
      <w:bodyDiv w:val="1"/>
      <w:marLeft w:val="0"/>
      <w:marRight w:val="0"/>
      <w:marTop w:val="0"/>
      <w:marBottom w:val="0"/>
      <w:divBdr>
        <w:top w:val="none" w:sz="0" w:space="0" w:color="auto"/>
        <w:left w:val="none" w:sz="0" w:space="0" w:color="auto"/>
        <w:bottom w:val="none" w:sz="0" w:space="0" w:color="auto"/>
        <w:right w:val="none" w:sz="0" w:space="0" w:color="auto"/>
      </w:divBdr>
    </w:div>
    <w:div w:id="102700139">
      <w:bodyDiv w:val="1"/>
      <w:marLeft w:val="0"/>
      <w:marRight w:val="0"/>
      <w:marTop w:val="0"/>
      <w:marBottom w:val="0"/>
      <w:divBdr>
        <w:top w:val="none" w:sz="0" w:space="0" w:color="auto"/>
        <w:left w:val="none" w:sz="0" w:space="0" w:color="auto"/>
        <w:bottom w:val="none" w:sz="0" w:space="0" w:color="auto"/>
        <w:right w:val="none" w:sz="0" w:space="0" w:color="auto"/>
      </w:divBdr>
    </w:div>
    <w:div w:id="109206417">
      <w:bodyDiv w:val="1"/>
      <w:marLeft w:val="0"/>
      <w:marRight w:val="0"/>
      <w:marTop w:val="0"/>
      <w:marBottom w:val="0"/>
      <w:divBdr>
        <w:top w:val="none" w:sz="0" w:space="0" w:color="auto"/>
        <w:left w:val="none" w:sz="0" w:space="0" w:color="auto"/>
        <w:bottom w:val="none" w:sz="0" w:space="0" w:color="auto"/>
        <w:right w:val="none" w:sz="0" w:space="0" w:color="auto"/>
      </w:divBdr>
    </w:div>
    <w:div w:id="126434805">
      <w:bodyDiv w:val="1"/>
      <w:marLeft w:val="0"/>
      <w:marRight w:val="0"/>
      <w:marTop w:val="0"/>
      <w:marBottom w:val="0"/>
      <w:divBdr>
        <w:top w:val="none" w:sz="0" w:space="0" w:color="auto"/>
        <w:left w:val="none" w:sz="0" w:space="0" w:color="auto"/>
        <w:bottom w:val="none" w:sz="0" w:space="0" w:color="auto"/>
        <w:right w:val="none" w:sz="0" w:space="0" w:color="auto"/>
      </w:divBdr>
    </w:div>
    <w:div w:id="167408514">
      <w:bodyDiv w:val="1"/>
      <w:marLeft w:val="0"/>
      <w:marRight w:val="0"/>
      <w:marTop w:val="0"/>
      <w:marBottom w:val="0"/>
      <w:divBdr>
        <w:top w:val="none" w:sz="0" w:space="0" w:color="auto"/>
        <w:left w:val="none" w:sz="0" w:space="0" w:color="auto"/>
        <w:bottom w:val="none" w:sz="0" w:space="0" w:color="auto"/>
        <w:right w:val="none" w:sz="0" w:space="0" w:color="auto"/>
      </w:divBdr>
    </w:div>
    <w:div w:id="198394261">
      <w:bodyDiv w:val="1"/>
      <w:marLeft w:val="0"/>
      <w:marRight w:val="0"/>
      <w:marTop w:val="0"/>
      <w:marBottom w:val="0"/>
      <w:divBdr>
        <w:top w:val="none" w:sz="0" w:space="0" w:color="auto"/>
        <w:left w:val="none" w:sz="0" w:space="0" w:color="auto"/>
        <w:bottom w:val="none" w:sz="0" w:space="0" w:color="auto"/>
        <w:right w:val="none" w:sz="0" w:space="0" w:color="auto"/>
      </w:divBdr>
    </w:div>
    <w:div w:id="217907299">
      <w:bodyDiv w:val="1"/>
      <w:marLeft w:val="0"/>
      <w:marRight w:val="0"/>
      <w:marTop w:val="0"/>
      <w:marBottom w:val="0"/>
      <w:divBdr>
        <w:top w:val="none" w:sz="0" w:space="0" w:color="auto"/>
        <w:left w:val="none" w:sz="0" w:space="0" w:color="auto"/>
        <w:bottom w:val="none" w:sz="0" w:space="0" w:color="auto"/>
        <w:right w:val="none" w:sz="0" w:space="0" w:color="auto"/>
      </w:divBdr>
    </w:div>
    <w:div w:id="273293642">
      <w:bodyDiv w:val="1"/>
      <w:marLeft w:val="0"/>
      <w:marRight w:val="0"/>
      <w:marTop w:val="0"/>
      <w:marBottom w:val="0"/>
      <w:divBdr>
        <w:top w:val="none" w:sz="0" w:space="0" w:color="auto"/>
        <w:left w:val="none" w:sz="0" w:space="0" w:color="auto"/>
        <w:bottom w:val="none" w:sz="0" w:space="0" w:color="auto"/>
        <w:right w:val="none" w:sz="0" w:space="0" w:color="auto"/>
      </w:divBdr>
    </w:div>
    <w:div w:id="299771933">
      <w:bodyDiv w:val="1"/>
      <w:marLeft w:val="0"/>
      <w:marRight w:val="0"/>
      <w:marTop w:val="0"/>
      <w:marBottom w:val="0"/>
      <w:divBdr>
        <w:top w:val="none" w:sz="0" w:space="0" w:color="auto"/>
        <w:left w:val="none" w:sz="0" w:space="0" w:color="auto"/>
        <w:bottom w:val="none" w:sz="0" w:space="0" w:color="auto"/>
        <w:right w:val="none" w:sz="0" w:space="0" w:color="auto"/>
      </w:divBdr>
    </w:div>
    <w:div w:id="317417182">
      <w:bodyDiv w:val="1"/>
      <w:marLeft w:val="0"/>
      <w:marRight w:val="0"/>
      <w:marTop w:val="0"/>
      <w:marBottom w:val="0"/>
      <w:divBdr>
        <w:top w:val="none" w:sz="0" w:space="0" w:color="auto"/>
        <w:left w:val="none" w:sz="0" w:space="0" w:color="auto"/>
        <w:bottom w:val="none" w:sz="0" w:space="0" w:color="auto"/>
        <w:right w:val="none" w:sz="0" w:space="0" w:color="auto"/>
      </w:divBdr>
    </w:div>
    <w:div w:id="334965625">
      <w:bodyDiv w:val="1"/>
      <w:marLeft w:val="0"/>
      <w:marRight w:val="0"/>
      <w:marTop w:val="0"/>
      <w:marBottom w:val="0"/>
      <w:divBdr>
        <w:top w:val="none" w:sz="0" w:space="0" w:color="auto"/>
        <w:left w:val="none" w:sz="0" w:space="0" w:color="auto"/>
        <w:bottom w:val="none" w:sz="0" w:space="0" w:color="auto"/>
        <w:right w:val="none" w:sz="0" w:space="0" w:color="auto"/>
      </w:divBdr>
    </w:div>
    <w:div w:id="369956199">
      <w:bodyDiv w:val="1"/>
      <w:marLeft w:val="0"/>
      <w:marRight w:val="0"/>
      <w:marTop w:val="0"/>
      <w:marBottom w:val="0"/>
      <w:divBdr>
        <w:top w:val="none" w:sz="0" w:space="0" w:color="auto"/>
        <w:left w:val="none" w:sz="0" w:space="0" w:color="auto"/>
        <w:bottom w:val="none" w:sz="0" w:space="0" w:color="auto"/>
        <w:right w:val="none" w:sz="0" w:space="0" w:color="auto"/>
      </w:divBdr>
    </w:div>
    <w:div w:id="425733308">
      <w:bodyDiv w:val="1"/>
      <w:marLeft w:val="0"/>
      <w:marRight w:val="0"/>
      <w:marTop w:val="0"/>
      <w:marBottom w:val="0"/>
      <w:divBdr>
        <w:top w:val="none" w:sz="0" w:space="0" w:color="auto"/>
        <w:left w:val="none" w:sz="0" w:space="0" w:color="auto"/>
        <w:bottom w:val="none" w:sz="0" w:space="0" w:color="auto"/>
        <w:right w:val="none" w:sz="0" w:space="0" w:color="auto"/>
      </w:divBdr>
    </w:div>
    <w:div w:id="492140166">
      <w:bodyDiv w:val="1"/>
      <w:marLeft w:val="0"/>
      <w:marRight w:val="0"/>
      <w:marTop w:val="0"/>
      <w:marBottom w:val="0"/>
      <w:divBdr>
        <w:top w:val="none" w:sz="0" w:space="0" w:color="auto"/>
        <w:left w:val="none" w:sz="0" w:space="0" w:color="auto"/>
        <w:bottom w:val="none" w:sz="0" w:space="0" w:color="auto"/>
        <w:right w:val="none" w:sz="0" w:space="0" w:color="auto"/>
      </w:divBdr>
    </w:div>
    <w:div w:id="521012868">
      <w:bodyDiv w:val="1"/>
      <w:marLeft w:val="0"/>
      <w:marRight w:val="0"/>
      <w:marTop w:val="0"/>
      <w:marBottom w:val="0"/>
      <w:divBdr>
        <w:top w:val="none" w:sz="0" w:space="0" w:color="auto"/>
        <w:left w:val="none" w:sz="0" w:space="0" w:color="auto"/>
        <w:bottom w:val="none" w:sz="0" w:space="0" w:color="auto"/>
        <w:right w:val="none" w:sz="0" w:space="0" w:color="auto"/>
      </w:divBdr>
    </w:div>
    <w:div w:id="525869079">
      <w:bodyDiv w:val="1"/>
      <w:marLeft w:val="0"/>
      <w:marRight w:val="0"/>
      <w:marTop w:val="0"/>
      <w:marBottom w:val="0"/>
      <w:divBdr>
        <w:top w:val="none" w:sz="0" w:space="0" w:color="auto"/>
        <w:left w:val="none" w:sz="0" w:space="0" w:color="auto"/>
        <w:bottom w:val="none" w:sz="0" w:space="0" w:color="auto"/>
        <w:right w:val="none" w:sz="0" w:space="0" w:color="auto"/>
      </w:divBdr>
    </w:div>
    <w:div w:id="526060339">
      <w:bodyDiv w:val="1"/>
      <w:marLeft w:val="0"/>
      <w:marRight w:val="0"/>
      <w:marTop w:val="0"/>
      <w:marBottom w:val="0"/>
      <w:divBdr>
        <w:top w:val="none" w:sz="0" w:space="0" w:color="auto"/>
        <w:left w:val="none" w:sz="0" w:space="0" w:color="auto"/>
        <w:bottom w:val="none" w:sz="0" w:space="0" w:color="auto"/>
        <w:right w:val="none" w:sz="0" w:space="0" w:color="auto"/>
      </w:divBdr>
    </w:div>
    <w:div w:id="566771058">
      <w:bodyDiv w:val="1"/>
      <w:marLeft w:val="0"/>
      <w:marRight w:val="0"/>
      <w:marTop w:val="0"/>
      <w:marBottom w:val="0"/>
      <w:divBdr>
        <w:top w:val="none" w:sz="0" w:space="0" w:color="auto"/>
        <w:left w:val="none" w:sz="0" w:space="0" w:color="auto"/>
        <w:bottom w:val="none" w:sz="0" w:space="0" w:color="auto"/>
        <w:right w:val="none" w:sz="0" w:space="0" w:color="auto"/>
      </w:divBdr>
    </w:div>
    <w:div w:id="579405683">
      <w:bodyDiv w:val="1"/>
      <w:marLeft w:val="0"/>
      <w:marRight w:val="0"/>
      <w:marTop w:val="0"/>
      <w:marBottom w:val="0"/>
      <w:divBdr>
        <w:top w:val="none" w:sz="0" w:space="0" w:color="auto"/>
        <w:left w:val="none" w:sz="0" w:space="0" w:color="auto"/>
        <w:bottom w:val="none" w:sz="0" w:space="0" w:color="auto"/>
        <w:right w:val="none" w:sz="0" w:space="0" w:color="auto"/>
      </w:divBdr>
    </w:div>
    <w:div w:id="591594369">
      <w:bodyDiv w:val="1"/>
      <w:marLeft w:val="0"/>
      <w:marRight w:val="0"/>
      <w:marTop w:val="0"/>
      <w:marBottom w:val="0"/>
      <w:divBdr>
        <w:top w:val="none" w:sz="0" w:space="0" w:color="auto"/>
        <w:left w:val="none" w:sz="0" w:space="0" w:color="auto"/>
        <w:bottom w:val="none" w:sz="0" w:space="0" w:color="auto"/>
        <w:right w:val="none" w:sz="0" w:space="0" w:color="auto"/>
      </w:divBdr>
    </w:div>
    <w:div w:id="600190456">
      <w:bodyDiv w:val="1"/>
      <w:marLeft w:val="0"/>
      <w:marRight w:val="0"/>
      <w:marTop w:val="0"/>
      <w:marBottom w:val="0"/>
      <w:divBdr>
        <w:top w:val="none" w:sz="0" w:space="0" w:color="auto"/>
        <w:left w:val="none" w:sz="0" w:space="0" w:color="auto"/>
        <w:bottom w:val="none" w:sz="0" w:space="0" w:color="auto"/>
        <w:right w:val="none" w:sz="0" w:space="0" w:color="auto"/>
      </w:divBdr>
    </w:div>
    <w:div w:id="613826579">
      <w:bodyDiv w:val="1"/>
      <w:marLeft w:val="0"/>
      <w:marRight w:val="0"/>
      <w:marTop w:val="0"/>
      <w:marBottom w:val="0"/>
      <w:divBdr>
        <w:top w:val="none" w:sz="0" w:space="0" w:color="auto"/>
        <w:left w:val="none" w:sz="0" w:space="0" w:color="auto"/>
        <w:bottom w:val="none" w:sz="0" w:space="0" w:color="auto"/>
        <w:right w:val="none" w:sz="0" w:space="0" w:color="auto"/>
      </w:divBdr>
    </w:div>
    <w:div w:id="616523441">
      <w:bodyDiv w:val="1"/>
      <w:marLeft w:val="0"/>
      <w:marRight w:val="0"/>
      <w:marTop w:val="0"/>
      <w:marBottom w:val="0"/>
      <w:divBdr>
        <w:top w:val="none" w:sz="0" w:space="0" w:color="auto"/>
        <w:left w:val="none" w:sz="0" w:space="0" w:color="auto"/>
        <w:bottom w:val="none" w:sz="0" w:space="0" w:color="auto"/>
        <w:right w:val="none" w:sz="0" w:space="0" w:color="auto"/>
      </w:divBdr>
    </w:div>
    <w:div w:id="622998290">
      <w:bodyDiv w:val="1"/>
      <w:marLeft w:val="0"/>
      <w:marRight w:val="0"/>
      <w:marTop w:val="0"/>
      <w:marBottom w:val="0"/>
      <w:divBdr>
        <w:top w:val="none" w:sz="0" w:space="0" w:color="auto"/>
        <w:left w:val="none" w:sz="0" w:space="0" w:color="auto"/>
        <w:bottom w:val="none" w:sz="0" w:space="0" w:color="auto"/>
        <w:right w:val="none" w:sz="0" w:space="0" w:color="auto"/>
      </w:divBdr>
    </w:div>
    <w:div w:id="629045770">
      <w:bodyDiv w:val="1"/>
      <w:marLeft w:val="0"/>
      <w:marRight w:val="0"/>
      <w:marTop w:val="0"/>
      <w:marBottom w:val="0"/>
      <w:divBdr>
        <w:top w:val="none" w:sz="0" w:space="0" w:color="auto"/>
        <w:left w:val="none" w:sz="0" w:space="0" w:color="auto"/>
        <w:bottom w:val="none" w:sz="0" w:space="0" w:color="auto"/>
        <w:right w:val="none" w:sz="0" w:space="0" w:color="auto"/>
      </w:divBdr>
    </w:div>
    <w:div w:id="644504893">
      <w:bodyDiv w:val="1"/>
      <w:marLeft w:val="0"/>
      <w:marRight w:val="0"/>
      <w:marTop w:val="0"/>
      <w:marBottom w:val="0"/>
      <w:divBdr>
        <w:top w:val="none" w:sz="0" w:space="0" w:color="auto"/>
        <w:left w:val="none" w:sz="0" w:space="0" w:color="auto"/>
        <w:bottom w:val="none" w:sz="0" w:space="0" w:color="auto"/>
        <w:right w:val="none" w:sz="0" w:space="0" w:color="auto"/>
      </w:divBdr>
    </w:div>
    <w:div w:id="646207163">
      <w:bodyDiv w:val="1"/>
      <w:marLeft w:val="0"/>
      <w:marRight w:val="0"/>
      <w:marTop w:val="0"/>
      <w:marBottom w:val="0"/>
      <w:divBdr>
        <w:top w:val="none" w:sz="0" w:space="0" w:color="auto"/>
        <w:left w:val="none" w:sz="0" w:space="0" w:color="auto"/>
        <w:bottom w:val="none" w:sz="0" w:space="0" w:color="auto"/>
        <w:right w:val="none" w:sz="0" w:space="0" w:color="auto"/>
      </w:divBdr>
    </w:div>
    <w:div w:id="688532471">
      <w:bodyDiv w:val="1"/>
      <w:marLeft w:val="0"/>
      <w:marRight w:val="0"/>
      <w:marTop w:val="0"/>
      <w:marBottom w:val="0"/>
      <w:divBdr>
        <w:top w:val="none" w:sz="0" w:space="0" w:color="auto"/>
        <w:left w:val="none" w:sz="0" w:space="0" w:color="auto"/>
        <w:bottom w:val="none" w:sz="0" w:space="0" w:color="auto"/>
        <w:right w:val="none" w:sz="0" w:space="0" w:color="auto"/>
      </w:divBdr>
    </w:div>
    <w:div w:id="704840165">
      <w:bodyDiv w:val="1"/>
      <w:marLeft w:val="0"/>
      <w:marRight w:val="0"/>
      <w:marTop w:val="0"/>
      <w:marBottom w:val="0"/>
      <w:divBdr>
        <w:top w:val="none" w:sz="0" w:space="0" w:color="auto"/>
        <w:left w:val="none" w:sz="0" w:space="0" w:color="auto"/>
        <w:bottom w:val="none" w:sz="0" w:space="0" w:color="auto"/>
        <w:right w:val="none" w:sz="0" w:space="0" w:color="auto"/>
      </w:divBdr>
    </w:div>
    <w:div w:id="707796537">
      <w:bodyDiv w:val="1"/>
      <w:marLeft w:val="0"/>
      <w:marRight w:val="0"/>
      <w:marTop w:val="0"/>
      <w:marBottom w:val="0"/>
      <w:divBdr>
        <w:top w:val="none" w:sz="0" w:space="0" w:color="auto"/>
        <w:left w:val="none" w:sz="0" w:space="0" w:color="auto"/>
        <w:bottom w:val="none" w:sz="0" w:space="0" w:color="auto"/>
        <w:right w:val="none" w:sz="0" w:space="0" w:color="auto"/>
      </w:divBdr>
    </w:div>
    <w:div w:id="711030280">
      <w:bodyDiv w:val="1"/>
      <w:marLeft w:val="0"/>
      <w:marRight w:val="0"/>
      <w:marTop w:val="0"/>
      <w:marBottom w:val="0"/>
      <w:divBdr>
        <w:top w:val="none" w:sz="0" w:space="0" w:color="auto"/>
        <w:left w:val="none" w:sz="0" w:space="0" w:color="auto"/>
        <w:bottom w:val="none" w:sz="0" w:space="0" w:color="auto"/>
        <w:right w:val="none" w:sz="0" w:space="0" w:color="auto"/>
      </w:divBdr>
    </w:div>
    <w:div w:id="731082449">
      <w:bodyDiv w:val="1"/>
      <w:marLeft w:val="0"/>
      <w:marRight w:val="0"/>
      <w:marTop w:val="0"/>
      <w:marBottom w:val="0"/>
      <w:divBdr>
        <w:top w:val="none" w:sz="0" w:space="0" w:color="auto"/>
        <w:left w:val="none" w:sz="0" w:space="0" w:color="auto"/>
        <w:bottom w:val="none" w:sz="0" w:space="0" w:color="auto"/>
        <w:right w:val="none" w:sz="0" w:space="0" w:color="auto"/>
      </w:divBdr>
    </w:div>
    <w:div w:id="801462178">
      <w:bodyDiv w:val="1"/>
      <w:marLeft w:val="0"/>
      <w:marRight w:val="0"/>
      <w:marTop w:val="0"/>
      <w:marBottom w:val="0"/>
      <w:divBdr>
        <w:top w:val="none" w:sz="0" w:space="0" w:color="auto"/>
        <w:left w:val="none" w:sz="0" w:space="0" w:color="auto"/>
        <w:bottom w:val="none" w:sz="0" w:space="0" w:color="auto"/>
        <w:right w:val="none" w:sz="0" w:space="0" w:color="auto"/>
      </w:divBdr>
    </w:div>
    <w:div w:id="803548994">
      <w:bodyDiv w:val="1"/>
      <w:marLeft w:val="0"/>
      <w:marRight w:val="0"/>
      <w:marTop w:val="0"/>
      <w:marBottom w:val="0"/>
      <w:divBdr>
        <w:top w:val="none" w:sz="0" w:space="0" w:color="auto"/>
        <w:left w:val="none" w:sz="0" w:space="0" w:color="auto"/>
        <w:bottom w:val="none" w:sz="0" w:space="0" w:color="auto"/>
        <w:right w:val="none" w:sz="0" w:space="0" w:color="auto"/>
      </w:divBdr>
    </w:div>
    <w:div w:id="842010426">
      <w:bodyDiv w:val="1"/>
      <w:marLeft w:val="0"/>
      <w:marRight w:val="0"/>
      <w:marTop w:val="0"/>
      <w:marBottom w:val="0"/>
      <w:divBdr>
        <w:top w:val="none" w:sz="0" w:space="0" w:color="auto"/>
        <w:left w:val="none" w:sz="0" w:space="0" w:color="auto"/>
        <w:bottom w:val="none" w:sz="0" w:space="0" w:color="auto"/>
        <w:right w:val="none" w:sz="0" w:space="0" w:color="auto"/>
      </w:divBdr>
    </w:div>
    <w:div w:id="850797382">
      <w:bodyDiv w:val="1"/>
      <w:marLeft w:val="0"/>
      <w:marRight w:val="0"/>
      <w:marTop w:val="0"/>
      <w:marBottom w:val="0"/>
      <w:divBdr>
        <w:top w:val="none" w:sz="0" w:space="0" w:color="auto"/>
        <w:left w:val="none" w:sz="0" w:space="0" w:color="auto"/>
        <w:bottom w:val="none" w:sz="0" w:space="0" w:color="auto"/>
        <w:right w:val="none" w:sz="0" w:space="0" w:color="auto"/>
      </w:divBdr>
    </w:div>
    <w:div w:id="854998734">
      <w:bodyDiv w:val="1"/>
      <w:marLeft w:val="0"/>
      <w:marRight w:val="0"/>
      <w:marTop w:val="0"/>
      <w:marBottom w:val="0"/>
      <w:divBdr>
        <w:top w:val="none" w:sz="0" w:space="0" w:color="auto"/>
        <w:left w:val="none" w:sz="0" w:space="0" w:color="auto"/>
        <w:bottom w:val="none" w:sz="0" w:space="0" w:color="auto"/>
        <w:right w:val="none" w:sz="0" w:space="0" w:color="auto"/>
      </w:divBdr>
    </w:div>
    <w:div w:id="870147338">
      <w:bodyDiv w:val="1"/>
      <w:marLeft w:val="0"/>
      <w:marRight w:val="0"/>
      <w:marTop w:val="0"/>
      <w:marBottom w:val="0"/>
      <w:divBdr>
        <w:top w:val="none" w:sz="0" w:space="0" w:color="auto"/>
        <w:left w:val="none" w:sz="0" w:space="0" w:color="auto"/>
        <w:bottom w:val="none" w:sz="0" w:space="0" w:color="auto"/>
        <w:right w:val="none" w:sz="0" w:space="0" w:color="auto"/>
      </w:divBdr>
    </w:div>
    <w:div w:id="875431373">
      <w:bodyDiv w:val="1"/>
      <w:marLeft w:val="0"/>
      <w:marRight w:val="0"/>
      <w:marTop w:val="0"/>
      <w:marBottom w:val="0"/>
      <w:divBdr>
        <w:top w:val="none" w:sz="0" w:space="0" w:color="auto"/>
        <w:left w:val="none" w:sz="0" w:space="0" w:color="auto"/>
        <w:bottom w:val="none" w:sz="0" w:space="0" w:color="auto"/>
        <w:right w:val="none" w:sz="0" w:space="0" w:color="auto"/>
      </w:divBdr>
    </w:div>
    <w:div w:id="875511481">
      <w:bodyDiv w:val="1"/>
      <w:marLeft w:val="0"/>
      <w:marRight w:val="0"/>
      <w:marTop w:val="0"/>
      <w:marBottom w:val="0"/>
      <w:divBdr>
        <w:top w:val="none" w:sz="0" w:space="0" w:color="auto"/>
        <w:left w:val="none" w:sz="0" w:space="0" w:color="auto"/>
        <w:bottom w:val="none" w:sz="0" w:space="0" w:color="auto"/>
        <w:right w:val="none" w:sz="0" w:space="0" w:color="auto"/>
      </w:divBdr>
    </w:div>
    <w:div w:id="898398768">
      <w:bodyDiv w:val="1"/>
      <w:marLeft w:val="0"/>
      <w:marRight w:val="0"/>
      <w:marTop w:val="0"/>
      <w:marBottom w:val="0"/>
      <w:divBdr>
        <w:top w:val="none" w:sz="0" w:space="0" w:color="auto"/>
        <w:left w:val="none" w:sz="0" w:space="0" w:color="auto"/>
        <w:bottom w:val="none" w:sz="0" w:space="0" w:color="auto"/>
        <w:right w:val="none" w:sz="0" w:space="0" w:color="auto"/>
      </w:divBdr>
    </w:div>
    <w:div w:id="915476472">
      <w:bodyDiv w:val="1"/>
      <w:marLeft w:val="0"/>
      <w:marRight w:val="0"/>
      <w:marTop w:val="0"/>
      <w:marBottom w:val="0"/>
      <w:divBdr>
        <w:top w:val="none" w:sz="0" w:space="0" w:color="auto"/>
        <w:left w:val="none" w:sz="0" w:space="0" w:color="auto"/>
        <w:bottom w:val="none" w:sz="0" w:space="0" w:color="auto"/>
        <w:right w:val="none" w:sz="0" w:space="0" w:color="auto"/>
      </w:divBdr>
    </w:div>
    <w:div w:id="944649710">
      <w:bodyDiv w:val="1"/>
      <w:marLeft w:val="0"/>
      <w:marRight w:val="0"/>
      <w:marTop w:val="0"/>
      <w:marBottom w:val="0"/>
      <w:divBdr>
        <w:top w:val="none" w:sz="0" w:space="0" w:color="auto"/>
        <w:left w:val="none" w:sz="0" w:space="0" w:color="auto"/>
        <w:bottom w:val="none" w:sz="0" w:space="0" w:color="auto"/>
        <w:right w:val="none" w:sz="0" w:space="0" w:color="auto"/>
      </w:divBdr>
    </w:div>
    <w:div w:id="945042567">
      <w:bodyDiv w:val="1"/>
      <w:marLeft w:val="0"/>
      <w:marRight w:val="0"/>
      <w:marTop w:val="0"/>
      <w:marBottom w:val="0"/>
      <w:divBdr>
        <w:top w:val="none" w:sz="0" w:space="0" w:color="auto"/>
        <w:left w:val="none" w:sz="0" w:space="0" w:color="auto"/>
        <w:bottom w:val="none" w:sz="0" w:space="0" w:color="auto"/>
        <w:right w:val="none" w:sz="0" w:space="0" w:color="auto"/>
      </w:divBdr>
    </w:div>
    <w:div w:id="965551552">
      <w:bodyDiv w:val="1"/>
      <w:marLeft w:val="0"/>
      <w:marRight w:val="0"/>
      <w:marTop w:val="0"/>
      <w:marBottom w:val="0"/>
      <w:divBdr>
        <w:top w:val="none" w:sz="0" w:space="0" w:color="auto"/>
        <w:left w:val="none" w:sz="0" w:space="0" w:color="auto"/>
        <w:bottom w:val="none" w:sz="0" w:space="0" w:color="auto"/>
        <w:right w:val="none" w:sz="0" w:space="0" w:color="auto"/>
      </w:divBdr>
    </w:div>
    <w:div w:id="970018172">
      <w:bodyDiv w:val="1"/>
      <w:marLeft w:val="0"/>
      <w:marRight w:val="0"/>
      <w:marTop w:val="0"/>
      <w:marBottom w:val="0"/>
      <w:divBdr>
        <w:top w:val="none" w:sz="0" w:space="0" w:color="auto"/>
        <w:left w:val="none" w:sz="0" w:space="0" w:color="auto"/>
        <w:bottom w:val="none" w:sz="0" w:space="0" w:color="auto"/>
        <w:right w:val="none" w:sz="0" w:space="0" w:color="auto"/>
      </w:divBdr>
    </w:div>
    <w:div w:id="999038478">
      <w:bodyDiv w:val="1"/>
      <w:marLeft w:val="0"/>
      <w:marRight w:val="0"/>
      <w:marTop w:val="0"/>
      <w:marBottom w:val="0"/>
      <w:divBdr>
        <w:top w:val="none" w:sz="0" w:space="0" w:color="auto"/>
        <w:left w:val="none" w:sz="0" w:space="0" w:color="auto"/>
        <w:bottom w:val="none" w:sz="0" w:space="0" w:color="auto"/>
        <w:right w:val="none" w:sz="0" w:space="0" w:color="auto"/>
      </w:divBdr>
    </w:div>
    <w:div w:id="1023898057">
      <w:bodyDiv w:val="1"/>
      <w:marLeft w:val="0"/>
      <w:marRight w:val="0"/>
      <w:marTop w:val="0"/>
      <w:marBottom w:val="0"/>
      <w:divBdr>
        <w:top w:val="none" w:sz="0" w:space="0" w:color="auto"/>
        <w:left w:val="none" w:sz="0" w:space="0" w:color="auto"/>
        <w:bottom w:val="none" w:sz="0" w:space="0" w:color="auto"/>
        <w:right w:val="none" w:sz="0" w:space="0" w:color="auto"/>
      </w:divBdr>
    </w:div>
    <w:div w:id="1040713760">
      <w:bodyDiv w:val="1"/>
      <w:marLeft w:val="0"/>
      <w:marRight w:val="0"/>
      <w:marTop w:val="0"/>
      <w:marBottom w:val="0"/>
      <w:divBdr>
        <w:top w:val="none" w:sz="0" w:space="0" w:color="auto"/>
        <w:left w:val="none" w:sz="0" w:space="0" w:color="auto"/>
        <w:bottom w:val="none" w:sz="0" w:space="0" w:color="auto"/>
        <w:right w:val="none" w:sz="0" w:space="0" w:color="auto"/>
      </w:divBdr>
    </w:div>
    <w:div w:id="1071999522">
      <w:bodyDiv w:val="1"/>
      <w:marLeft w:val="0"/>
      <w:marRight w:val="0"/>
      <w:marTop w:val="0"/>
      <w:marBottom w:val="0"/>
      <w:divBdr>
        <w:top w:val="none" w:sz="0" w:space="0" w:color="auto"/>
        <w:left w:val="none" w:sz="0" w:space="0" w:color="auto"/>
        <w:bottom w:val="none" w:sz="0" w:space="0" w:color="auto"/>
        <w:right w:val="none" w:sz="0" w:space="0" w:color="auto"/>
      </w:divBdr>
    </w:div>
    <w:div w:id="1122188953">
      <w:bodyDiv w:val="1"/>
      <w:marLeft w:val="0"/>
      <w:marRight w:val="0"/>
      <w:marTop w:val="0"/>
      <w:marBottom w:val="0"/>
      <w:divBdr>
        <w:top w:val="none" w:sz="0" w:space="0" w:color="auto"/>
        <w:left w:val="none" w:sz="0" w:space="0" w:color="auto"/>
        <w:bottom w:val="none" w:sz="0" w:space="0" w:color="auto"/>
        <w:right w:val="none" w:sz="0" w:space="0" w:color="auto"/>
      </w:divBdr>
    </w:div>
    <w:div w:id="1129977078">
      <w:bodyDiv w:val="1"/>
      <w:marLeft w:val="0"/>
      <w:marRight w:val="0"/>
      <w:marTop w:val="0"/>
      <w:marBottom w:val="0"/>
      <w:divBdr>
        <w:top w:val="none" w:sz="0" w:space="0" w:color="auto"/>
        <w:left w:val="none" w:sz="0" w:space="0" w:color="auto"/>
        <w:bottom w:val="none" w:sz="0" w:space="0" w:color="auto"/>
        <w:right w:val="none" w:sz="0" w:space="0" w:color="auto"/>
      </w:divBdr>
    </w:div>
    <w:div w:id="1130588821">
      <w:bodyDiv w:val="1"/>
      <w:marLeft w:val="0"/>
      <w:marRight w:val="0"/>
      <w:marTop w:val="0"/>
      <w:marBottom w:val="0"/>
      <w:divBdr>
        <w:top w:val="none" w:sz="0" w:space="0" w:color="auto"/>
        <w:left w:val="none" w:sz="0" w:space="0" w:color="auto"/>
        <w:bottom w:val="none" w:sz="0" w:space="0" w:color="auto"/>
        <w:right w:val="none" w:sz="0" w:space="0" w:color="auto"/>
      </w:divBdr>
    </w:div>
    <w:div w:id="1145466185">
      <w:bodyDiv w:val="1"/>
      <w:marLeft w:val="0"/>
      <w:marRight w:val="0"/>
      <w:marTop w:val="0"/>
      <w:marBottom w:val="0"/>
      <w:divBdr>
        <w:top w:val="none" w:sz="0" w:space="0" w:color="auto"/>
        <w:left w:val="none" w:sz="0" w:space="0" w:color="auto"/>
        <w:bottom w:val="none" w:sz="0" w:space="0" w:color="auto"/>
        <w:right w:val="none" w:sz="0" w:space="0" w:color="auto"/>
      </w:divBdr>
    </w:div>
    <w:div w:id="1148085055">
      <w:bodyDiv w:val="1"/>
      <w:marLeft w:val="0"/>
      <w:marRight w:val="0"/>
      <w:marTop w:val="0"/>
      <w:marBottom w:val="0"/>
      <w:divBdr>
        <w:top w:val="none" w:sz="0" w:space="0" w:color="auto"/>
        <w:left w:val="none" w:sz="0" w:space="0" w:color="auto"/>
        <w:bottom w:val="none" w:sz="0" w:space="0" w:color="auto"/>
        <w:right w:val="none" w:sz="0" w:space="0" w:color="auto"/>
      </w:divBdr>
    </w:div>
    <w:div w:id="1163810822">
      <w:bodyDiv w:val="1"/>
      <w:marLeft w:val="0"/>
      <w:marRight w:val="0"/>
      <w:marTop w:val="0"/>
      <w:marBottom w:val="0"/>
      <w:divBdr>
        <w:top w:val="none" w:sz="0" w:space="0" w:color="auto"/>
        <w:left w:val="none" w:sz="0" w:space="0" w:color="auto"/>
        <w:bottom w:val="none" w:sz="0" w:space="0" w:color="auto"/>
        <w:right w:val="none" w:sz="0" w:space="0" w:color="auto"/>
      </w:divBdr>
    </w:div>
    <w:div w:id="1173841293">
      <w:bodyDiv w:val="1"/>
      <w:marLeft w:val="0"/>
      <w:marRight w:val="0"/>
      <w:marTop w:val="0"/>
      <w:marBottom w:val="0"/>
      <w:divBdr>
        <w:top w:val="none" w:sz="0" w:space="0" w:color="auto"/>
        <w:left w:val="none" w:sz="0" w:space="0" w:color="auto"/>
        <w:bottom w:val="none" w:sz="0" w:space="0" w:color="auto"/>
        <w:right w:val="none" w:sz="0" w:space="0" w:color="auto"/>
      </w:divBdr>
      <w:divsChild>
        <w:div w:id="768962850">
          <w:marLeft w:val="0"/>
          <w:marRight w:val="0"/>
          <w:marTop w:val="0"/>
          <w:marBottom w:val="0"/>
          <w:divBdr>
            <w:top w:val="none" w:sz="0" w:space="0" w:color="auto"/>
            <w:left w:val="none" w:sz="0" w:space="0" w:color="auto"/>
            <w:bottom w:val="none" w:sz="0" w:space="0" w:color="auto"/>
            <w:right w:val="none" w:sz="0" w:space="0" w:color="auto"/>
          </w:divBdr>
          <w:divsChild>
            <w:div w:id="997004411">
              <w:marLeft w:val="0"/>
              <w:marRight w:val="0"/>
              <w:marTop w:val="0"/>
              <w:marBottom w:val="0"/>
              <w:divBdr>
                <w:top w:val="none" w:sz="0" w:space="0" w:color="auto"/>
                <w:left w:val="none" w:sz="0" w:space="0" w:color="auto"/>
                <w:bottom w:val="none" w:sz="0" w:space="0" w:color="auto"/>
                <w:right w:val="none" w:sz="0" w:space="0" w:color="auto"/>
              </w:divBdr>
              <w:divsChild>
                <w:div w:id="1654262469">
                  <w:marLeft w:val="0"/>
                  <w:marRight w:val="0"/>
                  <w:marTop w:val="0"/>
                  <w:marBottom w:val="0"/>
                  <w:divBdr>
                    <w:top w:val="none" w:sz="0" w:space="0" w:color="auto"/>
                    <w:left w:val="none" w:sz="0" w:space="0" w:color="auto"/>
                    <w:bottom w:val="none" w:sz="0" w:space="0" w:color="auto"/>
                    <w:right w:val="none" w:sz="0" w:space="0" w:color="auto"/>
                  </w:divBdr>
                  <w:divsChild>
                    <w:div w:id="1030300146">
                      <w:marLeft w:val="0"/>
                      <w:marRight w:val="0"/>
                      <w:marTop w:val="0"/>
                      <w:marBottom w:val="0"/>
                      <w:divBdr>
                        <w:top w:val="none" w:sz="0" w:space="0" w:color="auto"/>
                        <w:left w:val="none" w:sz="0" w:space="0" w:color="auto"/>
                        <w:bottom w:val="none" w:sz="0" w:space="0" w:color="auto"/>
                        <w:right w:val="none" w:sz="0" w:space="0" w:color="auto"/>
                      </w:divBdr>
                      <w:divsChild>
                        <w:div w:id="719286185">
                          <w:marLeft w:val="0"/>
                          <w:marRight w:val="0"/>
                          <w:marTop w:val="0"/>
                          <w:marBottom w:val="0"/>
                          <w:divBdr>
                            <w:top w:val="none" w:sz="0" w:space="0" w:color="auto"/>
                            <w:left w:val="none" w:sz="0" w:space="0" w:color="auto"/>
                            <w:bottom w:val="none" w:sz="0" w:space="0" w:color="auto"/>
                            <w:right w:val="none" w:sz="0" w:space="0" w:color="auto"/>
                          </w:divBdr>
                          <w:divsChild>
                            <w:div w:id="2124840329">
                              <w:marLeft w:val="0"/>
                              <w:marRight w:val="0"/>
                              <w:marTop w:val="0"/>
                              <w:marBottom w:val="0"/>
                              <w:divBdr>
                                <w:top w:val="none" w:sz="0" w:space="0" w:color="auto"/>
                                <w:left w:val="none" w:sz="0" w:space="0" w:color="auto"/>
                                <w:bottom w:val="none" w:sz="0" w:space="0" w:color="auto"/>
                                <w:right w:val="none" w:sz="0" w:space="0" w:color="auto"/>
                              </w:divBdr>
                              <w:divsChild>
                                <w:div w:id="682784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83711609">
      <w:bodyDiv w:val="1"/>
      <w:marLeft w:val="0"/>
      <w:marRight w:val="0"/>
      <w:marTop w:val="0"/>
      <w:marBottom w:val="0"/>
      <w:divBdr>
        <w:top w:val="none" w:sz="0" w:space="0" w:color="auto"/>
        <w:left w:val="none" w:sz="0" w:space="0" w:color="auto"/>
        <w:bottom w:val="none" w:sz="0" w:space="0" w:color="auto"/>
        <w:right w:val="none" w:sz="0" w:space="0" w:color="auto"/>
      </w:divBdr>
    </w:div>
    <w:div w:id="1281952855">
      <w:bodyDiv w:val="1"/>
      <w:marLeft w:val="0"/>
      <w:marRight w:val="0"/>
      <w:marTop w:val="0"/>
      <w:marBottom w:val="0"/>
      <w:divBdr>
        <w:top w:val="none" w:sz="0" w:space="0" w:color="auto"/>
        <w:left w:val="none" w:sz="0" w:space="0" w:color="auto"/>
        <w:bottom w:val="none" w:sz="0" w:space="0" w:color="auto"/>
        <w:right w:val="none" w:sz="0" w:space="0" w:color="auto"/>
      </w:divBdr>
    </w:div>
    <w:div w:id="1295519642">
      <w:bodyDiv w:val="1"/>
      <w:marLeft w:val="0"/>
      <w:marRight w:val="0"/>
      <w:marTop w:val="0"/>
      <w:marBottom w:val="0"/>
      <w:divBdr>
        <w:top w:val="none" w:sz="0" w:space="0" w:color="auto"/>
        <w:left w:val="none" w:sz="0" w:space="0" w:color="auto"/>
        <w:bottom w:val="none" w:sz="0" w:space="0" w:color="auto"/>
        <w:right w:val="none" w:sz="0" w:space="0" w:color="auto"/>
      </w:divBdr>
    </w:div>
    <w:div w:id="1307777205">
      <w:bodyDiv w:val="1"/>
      <w:marLeft w:val="0"/>
      <w:marRight w:val="0"/>
      <w:marTop w:val="0"/>
      <w:marBottom w:val="0"/>
      <w:divBdr>
        <w:top w:val="none" w:sz="0" w:space="0" w:color="auto"/>
        <w:left w:val="none" w:sz="0" w:space="0" w:color="auto"/>
        <w:bottom w:val="none" w:sz="0" w:space="0" w:color="auto"/>
        <w:right w:val="none" w:sz="0" w:space="0" w:color="auto"/>
      </w:divBdr>
    </w:div>
    <w:div w:id="1308902228">
      <w:bodyDiv w:val="1"/>
      <w:marLeft w:val="0"/>
      <w:marRight w:val="0"/>
      <w:marTop w:val="0"/>
      <w:marBottom w:val="0"/>
      <w:divBdr>
        <w:top w:val="none" w:sz="0" w:space="0" w:color="auto"/>
        <w:left w:val="none" w:sz="0" w:space="0" w:color="auto"/>
        <w:bottom w:val="none" w:sz="0" w:space="0" w:color="auto"/>
        <w:right w:val="none" w:sz="0" w:space="0" w:color="auto"/>
      </w:divBdr>
    </w:div>
    <w:div w:id="1309821316">
      <w:bodyDiv w:val="1"/>
      <w:marLeft w:val="0"/>
      <w:marRight w:val="0"/>
      <w:marTop w:val="0"/>
      <w:marBottom w:val="0"/>
      <w:divBdr>
        <w:top w:val="none" w:sz="0" w:space="0" w:color="auto"/>
        <w:left w:val="none" w:sz="0" w:space="0" w:color="auto"/>
        <w:bottom w:val="none" w:sz="0" w:space="0" w:color="auto"/>
        <w:right w:val="none" w:sz="0" w:space="0" w:color="auto"/>
      </w:divBdr>
    </w:div>
    <w:div w:id="1365521922">
      <w:bodyDiv w:val="1"/>
      <w:marLeft w:val="0"/>
      <w:marRight w:val="0"/>
      <w:marTop w:val="0"/>
      <w:marBottom w:val="0"/>
      <w:divBdr>
        <w:top w:val="none" w:sz="0" w:space="0" w:color="auto"/>
        <w:left w:val="none" w:sz="0" w:space="0" w:color="auto"/>
        <w:bottom w:val="none" w:sz="0" w:space="0" w:color="auto"/>
        <w:right w:val="none" w:sz="0" w:space="0" w:color="auto"/>
      </w:divBdr>
    </w:div>
    <w:div w:id="1379358476">
      <w:bodyDiv w:val="1"/>
      <w:marLeft w:val="0"/>
      <w:marRight w:val="0"/>
      <w:marTop w:val="0"/>
      <w:marBottom w:val="0"/>
      <w:divBdr>
        <w:top w:val="none" w:sz="0" w:space="0" w:color="auto"/>
        <w:left w:val="none" w:sz="0" w:space="0" w:color="auto"/>
        <w:bottom w:val="none" w:sz="0" w:space="0" w:color="auto"/>
        <w:right w:val="none" w:sz="0" w:space="0" w:color="auto"/>
      </w:divBdr>
    </w:div>
    <w:div w:id="1403916364">
      <w:bodyDiv w:val="1"/>
      <w:marLeft w:val="0"/>
      <w:marRight w:val="0"/>
      <w:marTop w:val="0"/>
      <w:marBottom w:val="0"/>
      <w:divBdr>
        <w:top w:val="none" w:sz="0" w:space="0" w:color="auto"/>
        <w:left w:val="none" w:sz="0" w:space="0" w:color="auto"/>
        <w:bottom w:val="none" w:sz="0" w:space="0" w:color="auto"/>
        <w:right w:val="none" w:sz="0" w:space="0" w:color="auto"/>
      </w:divBdr>
    </w:div>
    <w:div w:id="1469938433">
      <w:bodyDiv w:val="1"/>
      <w:marLeft w:val="0"/>
      <w:marRight w:val="0"/>
      <w:marTop w:val="0"/>
      <w:marBottom w:val="0"/>
      <w:divBdr>
        <w:top w:val="none" w:sz="0" w:space="0" w:color="auto"/>
        <w:left w:val="none" w:sz="0" w:space="0" w:color="auto"/>
        <w:bottom w:val="none" w:sz="0" w:space="0" w:color="auto"/>
        <w:right w:val="none" w:sz="0" w:space="0" w:color="auto"/>
      </w:divBdr>
    </w:div>
    <w:div w:id="1497260409">
      <w:bodyDiv w:val="1"/>
      <w:marLeft w:val="0"/>
      <w:marRight w:val="0"/>
      <w:marTop w:val="0"/>
      <w:marBottom w:val="0"/>
      <w:divBdr>
        <w:top w:val="none" w:sz="0" w:space="0" w:color="auto"/>
        <w:left w:val="none" w:sz="0" w:space="0" w:color="auto"/>
        <w:bottom w:val="none" w:sz="0" w:space="0" w:color="auto"/>
        <w:right w:val="none" w:sz="0" w:space="0" w:color="auto"/>
      </w:divBdr>
    </w:div>
    <w:div w:id="1501197994">
      <w:bodyDiv w:val="1"/>
      <w:marLeft w:val="0"/>
      <w:marRight w:val="0"/>
      <w:marTop w:val="0"/>
      <w:marBottom w:val="0"/>
      <w:divBdr>
        <w:top w:val="none" w:sz="0" w:space="0" w:color="auto"/>
        <w:left w:val="none" w:sz="0" w:space="0" w:color="auto"/>
        <w:bottom w:val="none" w:sz="0" w:space="0" w:color="auto"/>
        <w:right w:val="none" w:sz="0" w:space="0" w:color="auto"/>
      </w:divBdr>
    </w:div>
    <w:div w:id="1586451290">
      <w:bodyDiv w:val="1"/>
      <w:marLeft w:val="0"/>
      <w:marRight w:val="0"/>
      <w:marTop w:val="0"/>
      <w:marBottom w:val="0"/>
      <w:divBdr>
        <w:top w:val="none" w:sz="0" w:space="0" w:color="auto"/>
        <w:left w:val="none" w:sz="0" w:space="0" w:color="auto"/>
        <w:bottom w:val="none" w:sz="0" w:space="0" w:color="auto"/>
        <w:right w:val="none" w:sz="0" w:space="0" w:color="auto"/>
      </w:divBdr>
    </w:div>
    <w:div w:id="1603219680">
      <w:bodyDiv w:val="1"/>
      <w:marLeft w:val="0"/>
      <w:marRight w:val="0"/>
      <w:marTop w:val="0"/>
      <w:marBottom w:val="0"/>
      <w:divBdr>
        <w:top w:val="none" w:sz="0" w:space="0" w:color="auto"/>
        <w:left w:val="none" w:sz="0" w:space="0" w:color="auto"/>
        <w:bottom w:val="none" w:sz="0" w:space="0" w:color="auto"/>
        <w:right w:val="none" w:sz="0" w:space="0" w:color="auto"/>
      </w:divBdr>
    </w:div>
    <w:div w:id="1625883870">
      <w:bodyDiv w:val="1"/>
      <w:marLeft w:val="0"/>
      <w:marRight w:val="0"/>
      <w:marTop w:val="0"/>
      <w:marBottom w:val="0"/>
      <w:divBdr>
        <w:top w:val="none" w:sz="0" w:space="0" w:color="auto"/>
        <w:left w:val="none" w:sz="0" w:space="0" w:color="auto"/>
        <w:bottom w:val="none" w:sz="0" w:space="0" w:color="auto"/>
        <w:right w:val="none" w:sz="0" w:space="0" w:color="auto"/>
      </w:divBdr>
      <w:divsChild>
        <w:div w:id="164783534">
          <w:marLeft w:val="0"/>
          <w:marRight w:val="0"/>
          <w:marTop w:val="0"/>
          <w:marBottom w:val="0"/>
          <w:divBdr>
            <w:top w:val="none" w:sz="0" w:space="0" w:color="auto"/>
            <w:left w:val="none" w:sz="0" w:space="0" w:color="auto"/>
            <w:bottom w:val="none" w:sz="0" w:space="0" w:color="auto"/>
            <w:right w:val="none" w:sz="0" w:space="0" w:color="auto"/>
          </w:divBdr>
        </w:div>
        <w:div w:id="2031684261">
          <w:marLeft w:val="0"/>
          <w:marRight w:val="0"/>
          <w:marTop w:val="0"/>
          <w:marBottom w:val="0"/>
          <w:divBdr>
            <w:top w:val="none" w:sz="0" w:space="0" w:color="auto"/>
            <w:left w:val="none" w:sz="0" w:space="0" w:color="auto"/>
            <w:bottom w:val="none" w:sz="0" w:space="0" w:color="auto"/>
            <w:right w:val="none" w:sz="0" w:space="0" w:color="auto"/>
          </w:divBdr>
        </w:div>
        <w:div w:id="1804737747">
          <w:marLeft w:val="0"/>
          <w:marRight w:val="0"/>
          <w:marTop w:val="0"/>
          <w:marBottom w:val="0"/>
          <w:divBdr>
            <w:top w:val="none" w:sz="0" w:space="0" w:color="auto"/>
            <w:left w:val="none" w:sz="0" w:space="0" w:color="auto"/>
            <w:bottom w:val="none" w:sz="0" w:space="0" w:color="auto"/>
            <w:right w:val="none" w:sz="0" w:space="0" w:color="auto"/>
          </w:divBdr>
        </w:div>
        <w:div w:id="1362437104">
          <w:marLeft w:val="0"/>
          <w:marRight w:val="0"/>
          <w:marTop w:val="0"/>
          <w:marBottom w:val="0"/>
          <w:divBdr>
            <w:top w:val="none" w:sz="0" w:space="0" w:color="auto"/>
            <w:left w:val="none" w:sz="0" w:space="0" w:color="auto"/>
            <w:bottom w:val="none" w:sz="0" w:space="0" w:color="auto"/>
            <w:right w:val="none" w:sz="0" w:space="0" w:color="auto"/>
          </w:divBdr>
        </w:div>
        <w:div w:id="901912775">
          <w:marLeft w:val="0"/>
          <w:marRight w:val="0"/>
          <w:marTop w:val="0"/>
          <w:marBottom w:val="0"/>
          <w:divBdr>
            <w:top w:val="none" w:sz="0" w:space="0" w:color="auto"/>
            <w:left w:val="none" w:sz="0" w:space="0" w:color="auto"/>
            <w:bottom w:val="none" w:sz="0" w:space="0" w:color="auto"/>
            <w:right w:val="none" w:sz="0" w:space="0" w:color="auto"/>
          </w:divBdr>
        </w:div>
        <w:div w:id="305167423">
          <w:marLeft w:val="0"/>
          <w:marRight w:val="0"/>
          <w:marTop w:val="0"/>
          <w:marBottom w:val="0"/>
          <w:divBdr>
            <w:top w:val="none" w:sz="0" w:space="0" w:color="auto"/>
            <w:left w:val="none" w:sz="0" w:space="0" w:color="auto"/>
            <w:bottom w:val="none" w:sz="0" w:space="0" w:color="auto"/>
            <w:right w:val="none" w:sz="0" w:space="0" w:color="auto"/>
          </w:divBdr>
        </w:div>
        <w:div w:id="527179212">
          <w:marLeft w:val="0"/>
          <w:marRight w:val="0"/>
          <w:marTop w:val="0"/>
          <w:marBottom w:val="0"/>
          <w:divBdr>
            <w:top w:val="none" w:sz="0" w:space="0" w:color="auto"/>
            <w:left w:val="none" w:sz="0" w:space="0" w:color="auto"/>
            <w:bottom w:val="none" w:sz="0" w:space="0" w:color="auto"/>
            <w:right w:val="none" w:sz="0" w:space="0" w:color="auto"/>
          </w:divBdr>
        </w:div>
        <w:div w:id="659772134">
          <w:marLeft w:val="0"/>
          <w:marRight w:val="0"/>
          <w:marTop w:val="0"/>
          <w:marBottom w:val="0"/>
          <w:divBdr>
            <w:top w:val="none" w:sz="0" w:space="0" w:color="auto"/>
            <w:left w:val="none" w:sz="0" w:space="0" w:color="auto"/>
            <w:bottom w:val="none" w:sz="0" w:space="0" w:color="auto"/>
            <w:right w:val="none" w:sz="0" w:space="0" w:color="auto"/>
          </w:divBdr>
        </w:div>
        <w:div w:id="1892767775">
          <w:marLeft w:val="0"/>
          <w:marRight w:val="0"/>
          <w:marTop w:val="0"/>
          <w:marBottom w:val="0"/>
          <w:divBdr>
            <w:top w:val="none" w:sz="0" w:space="0" w:color="auto"/>
            <w:left w:val="none" w:sz="0" w:space="0" w:color="auto"/>
            <w:bottom w:val="none" w:sz="0" w:space="0" w:color="auto"/>
            <w:right w:val="none" w:sz="0" w:space="0" w:color="auto"/>
          </w:divBdr>
        </w:div>
        <w:div w:id="1123109178">
          <w:marLeft w:val="0"/>
          <w:marRight w:val="0"/>
          <w:marTop w:val="0"/>
          <w:marBottom w:val="0"/>
          <w:divBdr>
            <w:top w:val="none" w:sz="0" w:space="0" w:color="auto"/>
            <w:left w:val="none" w:sz="0" w:space="0" w:color="auto"/>
            <w:bottom w:val="none" w:sz="0" w:space="0" w:color="auto"/>
            <w:right w:val="none" w:sz="0" w:space="0" w:color="auto"/>
          </w:divBdr>
        </w:div>
      </w:divsChild>
    </w:div>
    <w:div w:id="1645230760">
      <w:bodyDiv w:val="1"/>
      <w:marLeft w:val="0"/>
      <w:marRight w:val="0"/>
      <w:marTop w:val="0"/>
      <w:marBottom w:val="0"/>
      <w:divBdr>
        <w:top w:val="none" w:sz="0" w:space="0" w:color="auto"/>
        <w:left w:val="none" w:sz="0" w:space="0" w:color="auto"/>
        <w:bottom w:val="none" w:sz="0" w:space="0" w:color="auto"/>
        <w:right w:val="none" w:sz="0" w:space="0" w:color="auto"/>
      </w:divBdr>
    </w:div>
    <w:div w:id="1653682337">
      <w:bodyDiv w:val="1"/>
      <w:marLeft w:val="0"/>
      <w:marRight w:val="0"/>
      <w:marTop w:val="0"/>
      <w:marBottom w:val="0"/>
      <w:divBdr>
        <w:top w:val="none" w:sz="0" w:space="0" w:color="auto"/>
        <w:left w:val="none" w:sz="0" w:space="0" w:color="auto"/>
        <w:bottom w:val="none" w:sz="0" w:space="0" w:color="auto"/>
        <w:right w:val="none" w:sz="0" w:space="0" w:color="auto"/>
      </w:divBdr>
    </w:div>
    <w:div w:id="1668903432">
      <w:bodyDiv w:val="1"/>
      <w:marLeft w:val="0"/>
      <w:marRight w:val="0"/>
      <w:marTop w:val="0"/>
      <w:marBottom w:val="0"/>
      <w:divBdr>
        <w:top w:val="none" w:sz="0" w:space="0" w:color="auto"/>
        <w:left w:val="none" w:sz="0" w:space="0" w:color="auto"/>
        <w:bottom w:val="none" w:sz="0" w:space="0" w:color="auto"/>
        <w:right w:val="none" w:sz="0" w:space="0" w:color="auto"/>
      </w:divBdr>
    </w:div>
    <w:div w:id="1696541517">
      <w:bodyDiv w:val="1"/>
      <w:marLeft w:val="0"/>
      <w:marRight w:val="0"/>
      <w:marTop w:val="0"/>
      <w:marBottom w:val="0"/>
      <w:divBdr>
        <w:top w:val="none" w:sz="0" w:space="0" w:color="auto"/>
        <w:left w:val="none" w:sz="0" w:space="0" w:color="auto"/>
        <w:bottom w:val="none" w:sz="0" w:space="0" w:color="auto"/>
        <w:right w:val="none" w:sz="0" w:space="0" w:color="auto"/>
      </w:divBdr>
    </w:div>
    <w:div w:id="1699964464">
      <w:bodyDiv w:val="1"/>
      <w:marLeft w:val="0"/>
      <w:marRight w:val="0"/>
      <w:marTop w:val="0"/>
      <w:marBottom w:val="0"/>
      <w:divBdr>
        <w:top w:val="none" w:sz="0" w:space="0" w:color="auto"/>
        <w:left w:val="none" w:sz="0" w:space="0" w:color="auto"/>
        <w:bottom w:val="none" w:sz="0" w:space="0" w:color="auto"/>
        <w:right w:val="none" w:sz="0" w:space="0" w:color="auto"/>
      </w:divBdr>
    </w:div>
    <w:div w:id="1729495849">
      <w:bodyDiv w:val="1"/>
      <w:marLeft w:val="0"/>
      <w:marRight w:val="0"/>
      <w:marTop w:val="0"/>
      <w:marBottom w:val="0"/>
      <w:divBdr>
        <w:top w:val="none" w:sz="0" w:space="0" w:color="auto"/>
        <w:left w:val="none" w:sz="0" w:space="0" w:color="auto"/>
        <w:bottom w:val="none" w:sz="0" w:space="0" w:color="auto"/>
        <w:right w:val="none" w:sz="0" w:space="0" w:color="auto"/>
      </w:divBdr>
    </w:div>
    <w:div w:id="1740861461">
      <w:bodyDiv w:val="1"/>
      <w:marLeft w:val="0"/>
      <w:marRight w:val="0"/>
      <w:marTop w:val="0"/>
      <w:marBottom w:val="0"/>
      <w:divBdr>
        <w:top w:val="none" w:sz="0" w:space="0" w:color="auto"/>
        <w:left w:val="none" w:sz="0" w:space="0" w:color="auto"/>
        <w:bottom w:val="none" w:sz="0" w:space="0" w:color="auto"/>
        <w:right w:val="none" w:sz="0" w:space="0" w:color="auto"/>
      </w:divBdr>
    </w:div>
    <w:div w:id="1753433871">
      <w:bodyDiv w:val="1"/>
      <w:marLeft w:val="0"/>
      <w:marRight w:val="0"/>
      <w:marTop w:val="0"/>
      <w:marBottom w:val="0"/>
      <w:divBdr>
        <w:top w:val="none" w:sz="0" w:space="0" w:color="auto"/>
        <w:left w:val="none" w:sz="0" w:space="0" w:color="auto"/>
        <w:bottom w:val="none" w:sz="0" w:space="0" w:color="auto"/>
        <w:right w:val="none" w:sz="0" w:space="0" w:color="auto"/>
      </w:divBdr>
    </w:div>
    <w:div w:id="1754888849">
      <w:bodyDiv w:val="1"/>
      <w:marLeft w:val="0"/>
      <w:marRight w:val="0"/>
      <w:marTop w:val="0"/>
      <w:marBottom w:val="0"/>
      <w:divBdr>
        <w:top w:val="none" w:sz="0" w:space="0" w:color="auto"/>
        <w:left w:val="none" w:sz="0" w:space="0" w:color="auto"/>
        <w:bottom w:val="none" w:sz="0" w:space="0" w:color="auto"/>
        <w:right w:val="none" w:sz="0" w:space="0" w:color="auto"/>
      </w:divBdr>
    </w:div>
    <w:div w:id="1781560034">
      <w:bodyDiv w:val="1"/>
      <w:marLeft w:val="0"/>
      <w:marRight w:val="0"/>
      <w:marTop w:val="0"/>
      <w:marBottom w:val="0"/>
      <w:divBdr>
        <w:top w:val="none" w:sz="0" w:space="0" w:color="auto"/>
        <w:left w:val="none" w:sz="0" w:space="0" w:color="auto"/>
        <w:bottom w:val="none" w:sz="0" w:space="0" w:color="auto"/>
        <w:right w:val="none" w:sz="0" w:space="0" w:color="auto"/>
      </w:divBdr>
    </w:div>
    <w:div w:id="1819609788">
      <w:bodyDiv w:val="1"/>
      <w:marLeft w:val="0"/>
      <w:marRight w:val="0"/>
      <w:marTop w:val="0"/>
      <w:marBottom w:val="0"/>
      <w:divBdr>
        <w:top w:val="none" w:sz="0" w:space="0" w:color="auto"/>
        <w:left w:val="none" w:sz="0" w:space="0" w:color="auto"/>
        <w:bottom w:val="none" w:sz="0" w:space="0" w:color="auto"/>
        <w:right w:val="none" w:sz="0" w:space="0" w:color="auto"/>
      </w:divBdr>
    </w:div>
    <w:div w:id="1837531056">
      <w:bodyDiv w:val="1"/>
      <w:marLeft w:val="0"/>
      <w:marRight w:val="0"/>
      <w:marTop w:val="0"/>
      <w:marBottom w:val="0"/>
      <w:divBdr>
        <w:top w:val="none" w:sz="0" w:space="0" w:color="auto"/>
        <w:left w:val="none" w:sz="0" w:space="0" w:color="auto"/>
        <w:bottom w:val="none" w:sz="0" w:space="0" w:color="auto"/>
        <w:right w:val="none" w:sz="0" w:space="0" w:color="auto"/>
      </w:divBdr>
    </w:div>
    <w:div w:id="1845050578">
      <w:bodyDiv w:val="1"/>
      <w:marLeft w:val="0"/>
      <w:marRight w:val="0"/>
      <w:marTop w:val="0"/>
      <w:marBottom w:val="0"/>
      <w:divBdr>
        <w:top w:val="none" w:sz="0" w:space="0" w:color="auto"/>
        <w:left w:val="none" w:sz="0" w:space="0" w:color="auto"/>
        <w:bottom w:val="none" w:sz="0" w:space="0" w:color="auto"/>
        <w:right w:val="none" w:sz="0" w:space="0" w:color="auto"/>
      </w:divBdr>
    </w:div>
    <w:div w:id="1845389096">
      <w:bodyDiv w:val="1"/>
      <w:marLeft w:val="0"/>
      <w:marRight w:val="0"/>
      <w:marTop w:val="0"/>
      <w:marBottom w:val="0"/>
      <w:divBdr>
        <w:top w:val="none" w:sz="0" w:space="0" w:color="auto"/>
        <w:left w:val="none" w:sz="0" w:space="0" w:color="auto"/>
        <w:bottom w:val="none" w:sz="0" w:space="0" w:color="auto"/>
        <w:right w:val="none" w:sz="0" w:space="0" w:color="auto"/>
      </w:divBdr>
    </w:div>
    <w:div w:id="1911116576">
      <w:bodyDiv w:val="1"/>
      <w:marLeft w:val="0"/>
      <w:marRight w:val="0"/>
      <w:marTop w:val="0"/>
      <w:marBottom w:val="0"/>
      <w:divBdr>
        <w:top w:val="none" w:sz="0" w:space="0" w:color="auto"/>
        <w:left w:val="none" w:sz="0" w:space="0" w:color="auto"/>
        <w:bottom w:val="none" w:sz="0" w:space="0" w:color="auto"/>
        <w:right w:val="none" w:sz="0" w:space="0" w:color="auto"/>
      </w:divBdr>
    </w:div>
    <w:div w:id="1956280311">
      <w:bodyDiv w:val="1"/>
      <w:marLeft w:val="0"/>
      <w:marRight w:val="0"/>
      <w:marTop w:val="0"/>
      <w:marBottom w:val="0"/>
      <w:divBdr>
        <w:top w:val="none" w:sz="0" w:space="0" w:color="auto"/>
        <w:left w:val="none" w:sz="0" w:space="0" w:color="auto"/>
        <w:bottom w:val="none" w:sz="0" w:space="0" w:color="auto"/>
        <w:right w:val="none" w:sz="0" w:space="0" w:color="auto"/>
      </w:divBdr>
    </w:div>
    <w:div w:id="1957172201">
      <w:bodyDiv w:val="1"/>
      <w:marLeft w:val="0"/>
      <w:marRight w:val="0"/>
      <w:marTop w:val="0"/>
      <w:marBottom w:val="0"/>
      <w:divBdr>
        <w:top w:val="none" w:sz="0" w:space="0" w:color="auto"/>
        <w:left w:val="none" w:sz="0" w:space="0" w:color="auto"/>
        <w:bottom w:val="none" w:sz="0" w:space="0" w:color="auto"/>
        <w:right w:val="none" w:sz="0" w:space="0" w:color="auto"/>
      </w:divBdr>
    </w:div>
    <w:div w:id="2003655558">
      <w:bodyDiv w:val="1"/>
      <w:marLeft w:val="0"/>
      <w:marRight w:val="0"/>
      <w:marTop w:val="0"/>
      <w:marBottom w:val="0"/>
      <w:divBdr>
        <w:top w:val="none" w:sz="0" w:space="0" w:color="auto"/>
        <w:left w:val="none" w:sz="0" w:space="0" w:color="auto"/>
        <w:bottom w:val="none" w:sz="0" w:space="0" w:color="auto"/>
        <w:right w:val="none" w:sz="0" w:space="0" w:color="auto"/>
      </w:divBdr>
    </w:div>
    <w:div w:id="2013948976">
      <w:bodyDiv w:val="1"/>
      <w:marLeft w:val="0"/>
      <w:marRight w:val="0"/>
      <w:marTop w:val="0"/>
      <w:marBottom w:val="0"/>
      <w:divBdr>
        <w:top w:val="none" w:sz="0" w:space="0" w:color="auto"/>
        <w:left w:val="none" w:sz="0" w:space="0" w:color="auto"/>
        <w:bottom w:val="none" w:sz="0" w:space="0" w:color="auto"/>
        <w:right w:val="none" w:sz="0" w:space="0" w:color="auto"/>
      </w:divBdr>
    </w:div>
    <w:div w:id="2031835165">
      <w:bodyDiv w:val="1"/>
      <w:marLeft w:val="0"/>
      <w:marRight w:val="0"/>
      <w:marTop w:val="0"/>
      <w:marBottom w:val="0"/>
      <w:divBdr>
        <w:top w:val="none" w:sz="0" w:space="0" w:color="auto"/>
        <w:left w:val="none" w:sz="0" w:space="0" w:color="auto"/>
        <w:bottom w:val="none" w:sz="0" w:space="0" w:color="auto"/>
        <w:right w:val="none" w:sz="0" w:space="0" w:color="auto"/>
      </w:divBdr>
    </w:div>
    <w:div w:id="2046245308">
      <w:bodyDiv w:val="1"/>
      <w:marLeft w:val="0"/>
      <w:marRight w:val="0"/>
      <w:marTop w:val="0"/>
      <w:marBottom w:val="0"/>
      <w:divBdr>
        <w:top w:val="none" w:sz="0" w:space="0" w:color="auto"/>
        <w:left w:val="none" w:sz="0" w:space="0" w:color="auto"/>
        <w:bottom w:val="none" w:sz="0" w:space="0" w:color="auto"/>
        <w:right w:val="none" w:sz="0" w:space="0" w:color="auto"/>
      </w:divBdr>
    </w:div>
    <w:div w:id="2056082920">
      <w:bodyDiv w:val="1"/>
      <w:marLeft w:val="0"/>
      <w:marRight w:val="0"/>
      <w:marTop w:val="0"/>
      <w:marBottom w:val="0"/>
      <w:divBdr>
        <w:top w:val="none" w:sz="0" w:space="0" w:color="auto"/>
        <w:left w:val="none" w:sz="0" w:space="0" w:color="auto"/>
        <w:bottom w:val="none" w:sz="0" w:space="0" w:color="auto"/>
        <w:right w:val="none" w:sz="0" w:space="0" w:color="auto"/>
      </w:divBdr>
    </w:div>
    <w:div w:id="2121947967">
      <w:bodyDiv w:val="1"/>
      <w:marLeft w:val="0"/>
      <w:marRight w:val="0"/>
      <w:marTop w:val="0"/>
      <w:marBottom w:val="0"/>
      <w:divBdr>
        <w:top w:val="none" w:sz="0" w:space="0" w:color="auto"/>
        <w:left w:val="none" w:sz="0" w:space="0" w:color="auto"/>
        <w:bottom w:val="none" w:sz="0" w:space="0" w:color="auto"/>
        <w:right w:val="none" w:sz="0" w:space="0" w:color="auto"/>
      </w:divBdr>
    </w:div>
    <w:div w:id="2122144364">
      <w:bodyDiv w:val="1"/>
      <w:marLeft w:val="0"/>
      <w:marRight w:val="0"/>
      <w:marTop w:val="0"/>
      <w:marBottom w:val="0"/>
      <w:divBdr>
        <w:top w:val="none" w:sz="0" w:space="0" w:color="auto"/>
        <w:left w:val="none" w:sz="0" w:space="0" w:color="auto"/>
        <w:bottom w:val="none" w:sz="0" w:space="0" w:color="auto"/>
        <w:right w:val="none" w:sz="0" w:space="0" w:color="auto"/>
      </w:divBdr>
    </w:div>
    <w:div w:id="21322396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ogle.com/search?q=Dow+Silicones+UK+Limited+in+Barry&amp;sca_esv=ef5fb46a2a3e8e1b&amp;sxsrf=ANbL-n4WJa_Kjkz2MhOHyOdWoRsPMI7VhA%3A1776197733227&amp;ei=ZaDeaarMDeWThbIPgPSHqQY&amp;biw=1280&amp;bih=585&amp;ved=2ahUKEwjR3ISmlO6TAxWHUEEAHUviAfEQgK4QegQIARAB&amp;uact=5&amp;oq=overview+of+dow+chemical+barry+&amp;gs_lp=Egxnd3Mtd2l6LXNlcnAiH292ZXJ2aWV3IG9mIGRvdyBjaGVtaWNhbCBiYXJyeSAyBRAhGKABMgUQIRigATIFECEYoAEyBRAhGKABMgUQIRigATIFECEYnwUyBRAhGJ8FSNQOUJgEWOUMcAF4AZABAJgBf6AB6gSqAQM2LjG4AQPIAQD4AQGYAgigApwFwgIKEAAYsAMY1gQYR8ICDhAAGLADGOQCGNYE2AEBwgIXEC4YsAMYuAYY2AIYyAMY2gYY3AbYAQHCAgQQIRgVmAMAiAYBkAYPugYGCAEQARgJkgcDNy4xoAfaMLIHAzYuMbgHkgXCBwcwLjUuMi4xyAcegAgA&amp;sclient=gws-wiz-serp&amp;mstk=AUtExfBaLnTJzHZ0DWymr0CmtpxyGARbU1tNLm_oGP4iWxPMQRLwsiTT5gET_3wlOYCopzxGU7OXLBk5_vlQjR_9X6J0oo6fDN87HBVnahoXFVhM3SEeMIKIMNeveQzyxYxxZ7h1pDo37BMQ8yFskpi6wqatRYUL_8QoDNgft20E7mT_imO_TIFfGfHQCwPV6ly75CfRITcHOTW79m0pFl0wLHDhfZrWXLZ3eLvCQ8XtLJiedUjFgC8mhZbmocyJN2SrblSDmsoGokP772m8SrQBzn8AA4nR2Ny_UOOKYtjoZySevh_kQer6Y1qpcca-Yx7TjFhQwOi0VeNqpoabBgegje6sceK75KOjgi16Xo4IYlqC&amp;csui=3"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customXml" Target="../customXml/item5.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3203C2"/>
    <w:rsid w:val="004D25D2"/>
    <w:rsid w:val="009D7389"/>
    <w:rsid w:val="00A34C42"/>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2026-05-09T00:00:00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8" ma:contentTypeDescription="Create a new document." ma:contentTypeScope="" ma:versionID="d08242dd69bef32f375a0f1ceaa5b387">
  <xsd:schema xmlns:xsd="http://www.w3.org/2001/XMLSchema" xmlns:xs="http://www.w3.org/2001/XMLSchema" xmlns:p="http://schemas.microsoft.com/office/2006/metadata/properties" xmlns:ns3="b4f9f7ee-5770-4a14-8925-17f3d16e50b7" targetNamespace="http://schemas.microsoft.com/office/2006/metadata/properties" ma:root="true" ma:fieldsID="fa0e7b336c0ce566ce11d3608b44c768"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b:Source>
    <b:Tag>Dow26</b:Tag>
    <b:SourceType>InternetSite</b:SourceType>
    <b:Guid>{887AA9BE-A7E4-445F-A171-A26CB2BBE710}</b:Guid>
    <b:Author>
      <b:Author>
        <b:NameList>
          <b:Person>
            <b:Last>Dow</b:Last>
          </b:Person>
        </b:NameList>
      </b:Author>
    </b:Author>
    <b:Title>Dow</b:Title>
    <b:YearAccessed>2026</b:YearAccessed>
    <b:MonthAccessed>04</b:MonthAccessed>
    <b:DayAccessed>14</b:DayAccessed>
    <b:URL>https://gb.dow.com/en-gb/locations/dow-in-barry.html</b:URL>
    <b:Year>2026</b:Year>
    <b:RefOrder>1</b:RefOrder>
  </b:Source>
  <b:Source>
    <b:Tag>HSE26</b:Tag>
    <b:SourceType>InternetSite</b:SourceType>
    <b:Guid>{0B2B4A8B-53A2-44D8-AE54-4880DD169C64}</b:Guid>
    <b:Author>
      <b:Author>
        <b:NameList>
          <b:Person>
            <b:Last>HSE</b:Last>
          </b:Person>
        </b:NameList>
      </b:Author>
    </b:Author>
    <b:Title>COMAH </b:Title>
    <b:Year>2026</b:Year>
    <b:YearAccessed>2026</b:YearAccessed>
    <b:MonthAccessed>04</b:MonthAccessed>
    <b:DayAccessed>14</b:DayAccessed>
    <b:URL>https://www.hse.gov.uk/comah/comah15.htm#:~:text=Industries%20and%20activities%20that%20might,requirements%20than%20lower%20tier%20sites.</b:URL>
    <b:RefOrder>2</b:RefOrder>
  </b:Source>
  <b:Source>
    <b:Tag>Uni25</b:Tag>
    <b:SourceType>InternetSite</b:SourceType>
    <b:Guid>{60CDE49C-BCED-47DE-8E04-8950548C4CA8}</b:Guid>
    <b:Author>
      <b:Author>
        <b:NameList>
          <b:Person>
            <b:Last>Unite</b:Last>
          </b:Person>
        </b:NameList>
      </b:Author>
    </b:Author>
    <b:Title>Unite the union </b:Title>
    <b:Year>2025</b:Year>
    <b:YearAccessed>2026</b:YearAccessed>
    <b:MonthAccessed>04</b:MonthAccessed>
    <b:DayAccessed>17</b:DayAccessed>
    <b:URL>https://www.unitetheunion.org/news-events/news/2025/july/unite-responds-to-job-losses-at-dows-plant-in-barry-south-wales#:~:text=Barry%2C%20South%20Wales-,Unite%20responds%20to%20job%20losses%20at%20Dow's%20plant%20in%20Barry,also%20secured%20enhanced%20r</b:URL>
    <b:RefOrder>4</b:RefOrder>
  </b:Source>
  <b:Source>
    <b:Tag>Jim18</b:Tag>
    <b:SourceType>InternetSite</b:SourceType>
    <b:Guid>{BABCAA9B-50B1-42EB-BC86-C897C460AF02}</b:Guid>
    <b:Author>
      <b:Author>
        <b:NameList>
          <b:Person>
            <b:Last>Riley</b:Last>
            <b:First>Jim</b:First>
          </b:Person>
        </b:NameList>
      </b:Author>
    </b:Author>
    <b:Title>Tutor2u</b:Title>
    <b:Year>2018</b:Year>
    <b:YearAccessed>2026</b:YearAccessed>
    <b:MonthAccessed>04</b:MonthAccessed>
    <b:DayAccessed>17</b:DayAccessed>
    <b:URL>https://www.tutor2u.net/business/reference/models-of-change-management-lewins-force-field-model</b:URL>
    <b:RefOrder>6</b:RefOrder>
  </b:Source>
  <b:Source>
    <b:Tag>Tut25</b:Tag>
    <b:SourceType>InternetSite</b:SourceType>
    <b:Guid>{FD185C97-0FA3-4D67-9FED-DC8796AB0B5D}</b:Guid>
    <b:Author>
      <b:Author>
        <b:NameList>
          <b:Person>
            <b:Last>Tutor2u</b:Last>
          </b:Person>
        </b:NameList>
      </b:Author>
    </b:Author>
    <b:Title>Tutor2u</b:Title>
    <b:Year>2025</b:Year>
    <b:YearAccessed>2026</b:YearAccessed>
    <b:MonthAccessed>05</b:MonthAccessed>
    <b:DayAccessed>09</b:DayAccessed>
    <b:URL>https://s3-eu-west-1.amazonaws.com/tutor2u-media/subjects/business/diagrams/change-lewin-overview-model.jpg?mtime=20150409193802</b:URL>
    <b:RefOrder>7</b:RefOrder>
  </b:Source>
  <b:Source>
    <b:Tag>NEA25</b:Tag>
    <b:SourceType>InternetSite</b:SourceType>
    <b:Guid>{470B4887-34F9-4AA4-83D7-4F76D99F6601}</b:Guid>
    <b:Author>
      <b:Author>
        <b:NameList>
          <b:Person>
            <b:Last>NEA</b:Last>
          </b:Person>
        </b:NameList>
      </b:Author>
    </b:Author>
    <b:Title>National Energy Action</b:Title>
    <b:Year>2025</b:Year>
    <b:YearAccessed>2026</b:YearAccessed>
    <b:MonthAccessed>04</b:MonthAccessed>
    <b:DayAccessed>17</b:DayAccessed>
    <b:URL>https://www.nea.org.uk/energy-crisis/energy-crisis-timeline/#:~:text=22%20November%202024%20%E2%80%93%20The,1%25%20from%20the%20current%20level.</b:URL>
    <b:RefOrder>8</b:RefOrder>
  </b:Source>
  <b:Source>
    <b:Tag>Moh24</b:Tag>
    <b:SourceType>InternetSite</b:SourceType>
    <b:Guid>{5AA3A746-65EF-47C2-88FD-4283D5DDD38E}</b:Guid>
    <b:Title>BMC</b:Title>
    <b:Year>2024</b:Year>
    <b:YearAccessed>2026</b:YearAccessed>
    <b:MonthAccessed>05</b:MonthAccessed>
    <b:DayAccessed>09</b:DayAccessed>
    <b:URL>https://www.bmc.com/blogs/lewin-three-stage-model-change/</b:URL>
    <b:Author>
      <b:Author>
        <b:NameList>
          <b:Person>
            <b:Last>Raza</b:Last>
            <b:First>Mohammed</b:First>
          </b:Person>
        </b:NameList>
      </b:Author>
    </b:Author>
    <b:RefOrder>13</b:RefOrder>
  </b:Source>
  <b:Source>
    <b:Tag>Sye18</b:Tag>
    <b:SourceType>JournalArticle</b:SourceType>
    <b:Guid>{3EBBBF6C-469B-43DD-BE64-58CE3F5780BE}</b:Guid>
    <b:Year>2018</b:Year>
    <b:Author>
      <b:Author>
        <b:NameList>
          <b:Person>
            <b:Last>Hussain</b:Last>
            <b:First>Syed</b:First>
          </b:Person>
        </b:NameList>
      </b:Author>
    </b:Author>
    <b:JournalName>Journal of Innovation &amp; Knowledge</b:JournalName>
    <b:Pages>123-127</b:Pages>
    <b:RefOrder>14</b:RefOrder>
  </b:Source>
  <b:Source>
    <b:Tag>Cla25</b:Tag>
    <b:SourceType>InternetSite</b:SourceType>
    <b:Guid>{63494E94-E7F2-40BA-9A04-79F85D389B9E}</b:Guid>
    <b:Title>Great Place to Work </b:Title>
    <b:Year>2025</b:Year>
    <b:Author>
      <b:Author>
        <b:NameList>
          <b:Person>
            <b:Last>Hastwell</b:Last>
            <b:First>Claire</b:First>
          </b:Person>
        </b:NameList>
      </b:Author>
    </b:Author>
    <b:YearAccessed>2026</b:YearAccessed>
    <b:MonthAccessed>05</b:MonthAccessed>
    <b:DayAccessed>09</b:DayAccessed>
    <b:URL>https://www.greatplacetowork.com/resources/blog/creating-a-culture-of-recognition</b:URL>
    <b:RefOrder>15</b:RefOrder>
  </b:Source>
  <b:Source>
    <b:Tag>Cha25</b:Tag>
    <b:SourceType>InternetSite</b:SourceType>
    <b:Guid>{C3338A0A-7140-443B-ACA6-D22CCA1A27A9}</b:Guid>
    <b:Author>
      <b:Author>
        <b:NameList>
          <b:Person>
            <b:Last>Nickerson</b:Last>
            <b:First>Charlotte</b:First>
          </b:Person>
        </b:NameList>
      </b:Author>
    </b:Author>
    <b:Title>Simply Psychology </b:Title>
    <b:Year>2025</b:Year>
    <b:YearAccessed>2026</b:YearAccessed>
    <b:MonthAccessed>05</b:MonthAccessed>
    <b:DayAccessed>09</b:DayAccessed>
    <b:URL>https://www.simplypsychology.org/herzbergs-two-factor-theory.html</b:URL>
    <b:RefOrder>17</b:RefOrder>
  </b:Source>
  <b:Source>
    <b:Tag>Max26</b:Tag>
    <b:SourceType>InternetSite</b:SourceType>
    <b:Guid>{14DDD87D-EF68-4B71-A7D2-0E8491311953}</b:Guid>
    <b:Author>
      <b:Author>
        <b:NameList>
          <b:Person>
            <b:Last>Freedman</b:Last>
            <b:First>Max</b:First>
          </b:Person>
        </b:NameList>
      </b:Author>
    </b:Author>
    <b:Title>Business.com</b:Title>
    <b:Year>2026</b:Year>
    <b:YearAccessed>2026</b:YearAccessed>
    <b:MonthAccessed>05</b:MonthAccessed>
    <b:DayAccessed>09</b:DayAccessed>
    <b:URL>https://www.business.com/articles/management-theory-of-frederick-herzberg/</b:URL>
    <b:RefOrder>18</b:RefOrder>
  </b:Source>
  <b:Source>
    <b:Tag>Jyo26</b:Tag>
    <b:SourceType>InternetSite</b:SourceType>
    <b:Guid>{64838FB5-BECF-42AF-B260-12BB6CA8A3A3}</b:Guid>
    <b:Author>
      <b:Author>
        <b:NameList>
          <b:Person>
            <b:Last>Jyoti</b:Last>
          </b:Person>
        </b:NameList>
      </b:Author>
    </b:Author>
    <b:Title>Management Study Guide</b:Title>
    <b:Year>2026</b:Year>
    <b:YearAccessed>2026</b:YearAccessed>
    <b:MonthAccessed>04</b:MonthAccessed>
    <b:DayAccessed>29</b:DayAccessed>
    <b:URL>https://www.managementstudyguide.com/top-down-versus-bottom-up-change.htm</b:URL>
    <b:RefOrder>19</b:RefOrder>
  </b:Source>
  <b:Source>
    <b:Tag>Rya26</b:Tag>
    <b:SourceType>InternetSite</b:SourceType>
    <b:Guid>{4EB9A309-53C6-4B52-8A4D-0EF0A1CC2D40}</b:Guid>
    <b:Author>
      <b:Author>
        <b:NameList>
          <b:Person>
            <b:Last>Ryan</b:Last>
          </b:Person>
        </b:NameList>
      </b:Author>
    </b:Author>
    <b:Title>Asana</b:Title>
    <b:Year>2026</b:Year>
    <b:YearAccessed>2026</b:YearAccessed>
    <b:MonthAccessed>04</b:MonthAccessed>
    <b:DayAccessed>29</b:DayAccessed>
    <b:URL>https://asana.com/resources/top-down-approach</b:URL>
    <b:RefOrder>20</b:RefOrder>
  </b:Source>
  <b:Source>
    <b:Tag>Fab24</b:Tag>
    <b:SourceType>InternetSite</b:SourceType>
    <b:Guid>{8574CA85-E6C6-4E5A-9E8D-4250AB43B645}</b:Guid>
    <b:Title>Understanding and addressing low employee morale</b:Title>
    <b:Year>2024</b:Year>
    <b:Author>
      <b:Author>
        <b:NameList>
          <b:Person>
            <b:Last>Pinel</b:Last>
            <b:First>Fabien</b:First>
          </b:Person>
        </b:NameList>
      </b:Author>
    </b:Author>
    <b:YearAccessed>2025</b:YearAccessed>
    <b:MonthAccessed>May</b:MonthAccessed>
    <b:DayAccessed>4</b:DayAccessed>
    <b:URL>https://blog.buddieshr.com/understanding-and-addressing-low-employee-morale/#:~:text=When%20morale%20is%20low%2C%20engagement%20decreases%20significantly%2C%20and,reduced%20productivity%2C%20missed%20deadlines%2C%20and%20declining%20work%20quality.</b:URL>
    <b:RefOrder>21</b:RefOrder>
  </b:Source>
  <b:Source>
    <b:Tag>Lum26</b:Tag>
    <b:SourceType>InternetSite</b:SourceType>
    <b:Guid>{A3FF927A-DD65-4DAC-8F48-E6C3372B748C}</b:Guid>
    <b:Author>
      <b:Author>
        <b:NameList>
          <b:Person>
            <b:Last>Lumen</b:Last>
          </b:Person>
        </b:NameList>
      </b:Author>
    </b:Author>
    <b:Title>Lumen</b:Title>
    <b:Year>2026</b:Year>
    <b:Month>05</b:Month>
    <b:Day>10</b:Day>
    <b:URL>https://courses.lumenlearning.com/wm-organizationalbehavior/chapter/herzbergs-two-factor-theory/</b:URL>
    <b:RefOrder>16</b:RefOrder>
  </b:Source>
  <b:Source>
    <b:Tag>Sto26</b:Tag>
    <b:SourceType>InternetSite</b:SourceType>
    <b:Guid>{050F7499-4E96-4FB7-88EE-C3BDAD678AF1}</b:Guid>
    <b:Author>
      <b:Author>
        <b:NameList>
          <b:Person>
            <b:Last>Stobierski</b:Last>
            <b:First>TIm</b:First>
          </b:Person>
        </b:NameList>
      </b:Author>
    </b:Author>
    <b:Title>Harvard Business School</b:Title>
    <b:Year>2026</b:Year>
    <b:Month>05</b:Month>
    <b:Day>10</b:Day>
    <b:URL>https://online.hbs.edu/blog/post/organizational-change-management</b:URL>
    <b:RefOrder>3</b:RefOrder>
  </b:Source>
  <b:Source>
    <b:Tag>Ben25</b:Tag>
    <b:SourceType>InternetSite</b:SourceType>
    <b:Guid>{6254757E-73BD-46E8-8DB5-614215E4E48B}</b:Guid>
    <b:Author>
      <b:Author>
        <b:NameList>
          <b:Person>
            <b:Last>McBrayer</b:Last>
            <b:First>Benjamin</b:First>
          </b:Person>
        </b:NameList>
      </b:Author>
    </b:Author>
    <b:Title>Factorial</b:Title>
    <b:Year>2025</b:Year>
    <b:Month>12</b:Month>
    <b:Day>05</b:Day>
    <b:URL>https://factorialhr.com/blog/talent-pool/</b:URL>
    <b:RefOrder>5</b:RefOrder>
  </b:Source>
  <b:Source>
    <b:Tag>Nat25</b:Tag>
    <b:SourceType>DocumentFromInternetSite</b:SourceType>
    <b:Guid>{64001C5E-6B2F-49AC-A074-175DE655E866}</b:Guid>
    <b:Title>National Frameword </b:Title>
    <b:Year>2025</b:Year>
    <b:Month>05</b:Month>
    <b:Day>10</b:Day>
    <b:URL>https://www.nationalframeworkpartnership.co.uk/wp-content/uploads/3875600000177900208_NFP-Strategic-Asset-Advisory-Framework-2025.pdf</b:URL>
    <b:Author>
      <b:Author>
        <b:NameList>
          <b:Person>
            <b:Last>Framework</b:Last>
            <b:First>National</b:First>
          </b:Person>
        </b:NameList>
      </b:Author>
    </b:Author>
    <b:RefOrder>10</b:RefOrder>
  </b:Source>
  <b:Source>
    <b:Tag>Mot25</b:Tag>
    <b:SourceType>DocumentFromInternetSite</b:SourceType>
    <b:Guid>{A6F86DAA-7CB3-43AF-9C97-B01056D11083}</b:Guid>
    <b:Author>
      <b:Author>
        <b:NameList>
          <b:Person>
            <b:Last>Sasaki</b:Last>
            <b:First>Motoki</b:First>
          </b:Person>
        </b:NameList>
      </b:Author>
    </b:Author>
    <b:Title>Chem analyst</b:Title>
    <b:Year>2025</b:Year>
    <b:Month>01</b:Month>
    <b:Day>31</b:Day>
    <b:URL>https://www.chemanalyst.com/NewsAndDeals/NewsDetails/dow-to-eliminate-1500-jobs-in-1-billion-cost-cutting-initiative-34231</b:URL>
    <b:RefOrder>11</b:RefOrder>
  </b:Source>
  <b:Source>
    <b:Tag>Mad24</b:Tag>
    <b:SourceType>DocumentFromInternetSite</b:SourceType>
    <b:Guid>{3ED3215C-FBCD-4475-9D58-B5F2CC2632C7}</b:Guid>
    <b:Author>
      <b:Author>
        <b:NameList>
          <b:Person>
            <b:Last>Pickles</b:Last>
            <b:First>Madeline</b:First>
          </b:Person>
        </b:NameList>
      </b:Author>
    </b:Author>
    <b:Title>The Conversation</b:Title>
    <b:Year>2024</b:Year>
    <b:Month>01</b:Month>
    <b:Day>11</b:Day>
    <b:URL>https://theconversation.com/redundancies-have-unintended-consequences-for-all-employees-even-those-who-keep-their-jobs-203364</b:URL>
    <b:RefOrder>12</b:RefOrder>
  </b:Source>
  <b:Source>
    <b:Tag>INF26</b:Tag>
    <b:SourceType>InternetSite</b:SourceType>
    <b:Guid>{64F24B11-F31D-4673-A779-71138D6CDD17}</b:Guid>
    <b:Title>NI Buiness Info</b:Title>
    <b:Year>2026</b:Year>
    <b:Month>05</b:Month>
    <b:Day>11</b:Day>
    <b:URL>https://www.nibusinessinfo.co.uk/content/additional-responsibilities-upper-tier-comah-regulated-sites</b:URL>
    <b:Author>
      <b:Author>
        <b:NameList>
          <b:Person>
            <b:Last>INFO</b:Last>
            <b:First>NI</b:First>
            <b:Middle>Business</b:Middle>
          </b:Person>
        </b:NameList>
      </b:Author>
    </b:Author>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E6673E3-1B62-4EB0-AD16-023033377DAA}">
  <ds:schemaRefs>
    <ds:schemaRef ds:uri="http://schemas.microsoft.com/sharepoint/v3/contenttype/forms"/>
  </ds:schemaRefs>
</ds:datastoreItem>
</file>

<file path=customXml/itemProps3.xml><?xml version="1.0" encoding="utf-8"?>
<ds:datastoreItem xmlns:ds="http://schemas.openxmlformats.org/officeDocument/2006/customXml" ds:itemID="{1E926500-165E-4BF4-8E52-D8B053B436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7FD688A-D893-4CA8-869B-6330DF2E2AA5}">
  <ds:schemaRefs>
    <ds:schemaRef ds:uri="http://purl.org/dc/terms/"/>
    <ds:schemaRef ds:uri="http://schemas.microsoft.com/office/2006/documentManagement/types"/>
    <ds:schemaRef ds:uri="http://schemas.openxmlformats.org/package/2006/metadata/core-properties"/>
    <ds:schemaRef ds:uri="http://purl.org/dc/dcmitype/"/>
    <ds:schemaRef ds:uri="http://www.w3.org/XML/1998/namespace"/>
    <ds:schemaRef ds:uri="b4f9f7ee-5770-4a14-8925-17f3d16e50b7"/>
    <ds:schemaRef ds:uri="http://purl.org/dc/elements/1.1/"/>
    <ds:schemaRef ds:uri="http://schemas.microsoft.com/office/infopath/2007/PartnerControls"/>
    <ds:schemaRef ds:uri="http://schemas.microsoft.com/office/2006/metadata/properties"/>
  </ds:schemaRefs>
</ds:datastoreItem>
</file>

<file path=customXml/itemProps5.xml><?xml version="1.0" encoding="utf-8"?>
<ds:datastoreItem xmlns:ds="http://schemas.openxmlformats.org/officeDocument/2006/customXml" ds:itemID="{321CBBFF-1CA0-4740-87A6-22F56F2E48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3879</Words>
  <Characters>22115</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Innovation and oranisational change</vt:lpstr>
    </vt:vector>
  </TitlesOfParts>
  <Company>University of Wales Trinity Saint David</Company>
  <LinksUpToDate>false</LinksUpToDate>
  <CharactersWithSpaces>25943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Innovation and oranisational change</dc:title>
  <dc:subject>ACMA 5007 Megan Cain 2518443</dc:subject>
  <dc:creator>Marie Pitson</dc:creator>
  <cp:keywords/>
  <dc:description/>
  <cp:lastModifiedBy>Megan Cain</cp:lastModifiedBy>
  <cp:revision>2</cp:revision>
  <dcterms:created xsi:type="dcterms:W3CDTF">2026-05-11T19:42:00Z</dcterms:created>
  <dcterms:modified xsi:type="dcterms:W3CDTF">2026-05-11T19:42:00Z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9aaf22ca-8650-44fd-ae23-187b9e020ad6</vt:lpwstr>
  </property>
  <property fmtid="{D5CDD505-2E9C-101B-9397-08002B2CF9AE}" pid="3" name="ContentTypeId">
    <vt:lpwstr>0x01010060C4E9246EAD664A9A522726E403CA17</vt:lpwstr>
  </property>
</Properties>
</file>