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0E287" w14:textId="254C60BB" w:rsidR="00995343" w:rsidRDefault="00995343" w:rsidP="00995343">
      <w:pPr>
        <w:jc w:val="center"/>
        <w:rPr>
          <w:rFonts w:ascii="Times New Roman" w:eastAsia="Times New Roman" w:hAnsi="Times New Roman" w:cs="Times New Roman"/>
          <w:b/>
          <w:bCs/>
          <w:sz w:val="32"/>
          <w:szCs w:val="32"/>
        </w:rPr>
      </w:pPr>
    </w:p>
    <w:p w14:paraId="3BBBB945" w14:textId="67F75768" w:rsidR="00995343" w:rsidRDefault="00995343" w:rsidP="00995343">
      <w:pPr>
        <w:jc w:val="center"/>
        <w:rPr>
          <w:rFonts w:ascii="Times New Roman" w:eastAsia="Times New Roman" w:hAnsi="Times New Roman" w:cs="Times New Roman"/>
          <w:b/>
          <w:bCs/>
          <w:sz w:val="32"/>
          <w:szCs w:val="32"/>
        </w:rPr>
      </w:pPr>
      <w:r>
        <w:rPr>
          <w:noProof/>
        </w:rPr>
        <w:drawing>
          <wp:inline distT="0" distB="0" distL="0" distR="0" wp14:anchorId="350F0603" wp14:editId="756B6E60">
            <wp:extent cx="4518660" cy="1638300"/>
            <wp:effectExtent l="0" t="0" r="0" b="0"/>
            <wp:docPr id="1034582378" name="Picture 1" descr="University of Wales,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nd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18660" cy="1638300"/>
                    </a:xfrm>
                    <a:prstGeom prst="rect">
                      <a:avLst/>
                    </a:prstGeom>
                    <a:noFill/>
                    <a:ln>
                      <a:noFill/>
                    </a:ln>
                  </pic:spPr>
                </pic:pic>
              </a:graphicData>
            </a:graphic>
          </wp:inline>
        </w:drawing>
      </w:r>
    </w:p>
    <w:p w14:paraId="675F3657" w14:textId="77777777" w:rsidR="00995343" w:rsidRDefault="00995343" w:rsidP="00995343">
      <w:pPr>
        <w:jc w:val="center"/>
        <w:rPr>
          <w:rFonts w:ascii="Times New Roman" w:eastAsia="Times New Roman" w:hAnsi="Times New Roman" w:cs="Times New Roman"/>
          <w:b/>
          <w:bCs/>
          <w:sz w:val="32"/>
          <w:szCs w:val="32"/>
        </w:rPr>
      </w:pPr>
    </w:p>
    <w:p w14:paraId="0E463101" w14:textId="77777777" w:rsidR="00995343" w:rsidRDefault="00995343" w:rsidP="00995343">
      <w:pPr>
        <w:jc w:val="center"/>
        <w:rPr>
          <w:rFonts w:ascii="Times New Roman" w:eastAsia="Times New Roman" w:hAnsi="Times New Roman" w:cs="Times New Roman"/>
          <w:b/>
          <w:bCs/>
          <w:sz w:val="32"/>
          <w:szCs w:val="32"/>
        </w:rPr>
      </w:pPr>
    </w:p>
    <w:p w14:paraId="708A92EB" w14:textId="77777777" w:rsidR="00995343" w:rsidRDefault="00995343" w:rsidP="00995343">
      <w:pPr>
        <w:jc w:val="center"/>
        <w:rPr>
          <w:rFonts w:ascii="Times New Roman" w:eastAsia="Times New Roman" w:hAnsi="Times New Roman" w:cs="Times New Roman"/>
          <w:b/>
          <w:bCs/>
          <w:sz w:val="32"/>
          <w:szCs w:val="32"/>
        </w:rPr>
      </w:pPr>
    </w:p>
    <w:p w14:paraId="38CCBFBD" w14:textId="77777777" w:rsidR="00995343" w:rsidRDefault="00995343" w:rsidP="00995343">
      <w:pPr>
        <w:jc w:val="center"/>
        <w:rPr>
          <w:rFonts w:ascii="Times New Roman" w:eastAsia="Times New Roman" w:hAnsi="Times New Roman" w:cs="Times New Roman"/>
          <w:b/>
          <w:bCs/>
          <w:sz w:val="32"/>
          <w:szCs w:val="32"/>
        </w:rPr>
      </w:pPr>
    </w:p>
    <w:p w14:paraId="576D9E2A" w14:textId="77777777" w:rsidR="00995343" w:rsidRDefault="00995343" w:rsidP="00995343">
      <w:pPr>
        <w:jc w:val="center"/>
        <w:rPr>
          <w:rFonts w:ascii="Times New Roman" w:eastAsia="Times New Roman" w:hAnsi="Times New Roman" w:cs="Times New Roman"/>
          <w:b/>
          <w:bCs/>
          <w:sz w:val="32"/>
          <w:szCs w:val="32"/>
        </w:rPr>
      </w:pPr>
    </w:p>
    <w:p w14:paraId="76FDDCA8" w14:textId="16E12C91"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Name : Karina Karimbhai Jiwani</w:t>
      </w:r>
    </w:p>
    <w:p w14:paraId="571C87A8" w14:textId="57776CD9" w:rsidR="00995343" w:rsidRDefault="00995343" w:rsidP="00995343">
      <w:pPr>
        <w:jc w:val="center"/>
        <w:rPr>
          <w:rFonts w:ascii="Times New Roman" w:eastAsia="Times New Roman" w:hAnsi="Times New Roman" w:cs="Times New Roman"/>
          <w:b/>
          <w:bCs/>
          <w:sz w:val="32"/>
          <w:szCs w:val="32"/>
        </w:rPr>
      </w:pPr>
    </w:p>
    <w:p w14:paraId="4F54D193" w14:textId="1B97A730"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ID : 2536600</w:t>
      </w:r>
    </w:p>
    <w:p w14:paraId="1454B5F6" w14:textId="77777777" w:rsidR="00995343" w:rsidRDefault="00995343" w:rsidP="00995343">
      <w:pPr>
        <w:jc w:val="center"/>
        <w:rPr>
          <w:rFonts w:ascii="Times New Roman" w:eastAsia="Times New Roman" w:hAnsi="Times New Roman" w:cs="Times New Roman"/>
          <w:b/>
          <w:bCs/>
          <w:sz w:val="32"/>
          <w:szCs w:val="32"/>
        </w:rPr>
      </w:pPr>
    </w:p>
    <w:p w14:paraId="7DA27F2C" w14:textId="1F510DAA"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Program : </w:t>
      </w:r>
      <w:r w:rsidRPr="00995343">
        <w:rPr>
          <w:rFonts w:ascii="Times New Roman" w:eastAsia="Times New Roman" w:hAnsi="Times New Roman" w:cs="Times New Roman"/>
          <w:b/>
          <w:bCs/>
          <w:sz w:val="32"/>
          <w:szCs w:val="32"/>
        </w:rPr>
        <w:t>MSc cyber security and digital forensics.</w:t>
      </w:r>
    </w:p>
    <w:p w14:paraId="3779CDD8" w14:textId="77777777" w:rsidR="00995343" w:rsidRDefault="00995343" w:rsidP="00995343">
      <w:pPr>
        <w:jc w:val="center"/>
        <w:rPr>
          <w:rFonts w:ascii="Times New Roman" w:eastAsia="Times New Roman" w:hAnsi="Times New Roman" w:cs="Times New Roman"/>
          <w:b/>
          <w:bCs/>
          <w:sz w:val="32"/>
          <w:szCs w:val="32"/>
        </w:rPr>
      </w:pPr>
    </w:p>
    <w:p w14:paraId="59C2695D" w14:textId="44C147BE"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Name : </w:t>
      </w:r>
      <w:r w:rsidRPr="00995343">
        <w:rPr>
          <w:rFonts w:ascii="Times New Roman" w:eastAsia="Times New Roman" w:hAnsi="Times New Roman" w:cs="Times New Roman"/>
          <w:b/>
          <w:bCs/>
          <w:sz w:val="32"/>
          <w:szCs w:val="32"/>
        </w:rPr>
        <w:t>Data security, Governance and compliance</w:t>
      </w:r>
    </w:p>
    <w:p w14:paraId="70DE39BE" w14:textId="77777777" w:rsidR="00995343" w:rsidRDefault="00995343" w:rsidP="00995343">
      <w:pPr>
        <w:jc w:val="center"/>
        <w:rPr>
          <w:rFonts w:ascii="Times New Roman" w:eastAsia="Times New Roman" w:hAnsi="Times New Roman" w:cs="Times New Roman"/>
          <w:b/>
          <w:bCs/>
          <w:sz w:val="32"/>
          <w:szCs w:val="32"/>
        </w:rPr>
      </w:pPr>
    </w:p>
    <w:p w14:paraId="46DE061B" w14:textId="45EA1B9D"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Module Code : </w:t>
      </w:r>
      <w:r w:rsidRPr="00995343">
        <w:rPr>
          <w:rFonts w:ascii="Times New Roman" w:eastAsia="Times New Roman" w:hAnsi="Times New Roman" w:cs="Times New Roman"/>
          <w:b/>
          <w:bCs/>
          <w:sz w:val="32"/>
          <w:szCs w:val="32"/>
        </w:rPr>
        <w:t>ACCA7028</w:t>
      </w:r>
    </w:p>
    <w:p w14:paraId="790ACFDD" w14:textId="77777777" w:rsidR="00995343" w:rsidRDefault="00995343" w:rsidP="00995343">
      <w:pPr>
        <w:jc w:val="center"/>
        <w:rPr>
          <w:rFonts w:ascii="Times New Roman" w:eastAsia="Times New Roman" w:hAnsi="Times New Roman" w:cs="Times New Roman"/>
          <w:b/>
          <w:bCs/>
          <w:sz w:val="32"/>
          <w:szCs w:val="32"/>
        </w:rPr>
      </w:pPr>
    </w:p>
    <w:p w14:paraId="0284DE6E" w14:textId="41323CD6"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Lecturer’s Name : </w:t>
      </w:r>
      <w:r w:rsidRPr="00995343">
        <w:rPr>
          <w:rFonts w:ascii="Times New Roman" w:eastAsia="Times New Roman" w:hAnsi="Times New Roman" w:cs="Times New Roman"/>
          <w:b/>
          <w:bCs/>
          <w:sz w:val="32"/>
          <w:szCs w:val="32"/>
        </w:rPr>
        <w:t>De Ayman El Hajjar</w:t>
      </w:r>
    </w:p>
    <w:p w14:paraId="003460FC" w14:textId="77777777" w:rsidR="00995343" w:rsidRDefault="00995343" w:rsidP="00995343">
      <w:pPr>
        <w:jc w:val="center"/>
        <w:rPr>
          <w:rFonts w:ascii="Times New Roman" w:eastAsia="Times New Roman" w:hAnsi="Times New Roman" w:cs="Times New Roman"/>
          <w:b/>
          <w:bCs/>
          <w:sz w:val="32"/>
          <w:szCs w:val="32"/>
        </w:rPr>
      </w:pPr>
    </w:p>
    <w:p w14:paraId="7E27A731" w14:textId="03B3F041" w:rsidR="00995343" w:rsidRDefault="00995343" w:rsidP="00995343">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Word Count : 3000</w:t>
      </w:r>
      <w:r>
        <w:rPr>
          <w:rFonts w:ascii="Times New Roman" w:eastAsia="Times New Roman" w:hAnsi="Times New Roman" w:cs="Times New Roman"/>
          <w:b/>
          <w:bCs/>
          <w:sz w:val="32"/>
          <w:szCs w:val="32"/>
        </w:rPr>
        <w:br w:type="page"/>
      </w:r>
    </w:p>
    <w:p w14:paraId="0BC1CFC5" w14:textId="77777777" w:rsidR="00B538DB" w:rsidRDefault="00B538DB">
      <w:pPr>
        <w:jc w:val="center"/>
        <w:rPr>
          <w:rFonts w:ascii="Times New Roman" w:eastAsia="Times New Roman" w:hAnsi="Times New Roman" w:cs="Times New Roman"/>
          <w:b/>
          <w:bCs/>
          <w:sz w:val="32"/>
          <w:szCs w:val="32"/>
        </w:rPr>
      </w:pPr>
    </w:p>
    <w:p w14:paraId="72EF352C" w14:textId="77777777" w:rsidR="00B538DB" w:rsidRDefault="00B538DB">
      <w:pPr>
        <w:jc w:val="center"/>
        <w:rPr>
          <w:rFonts w:ascii="Times New Roman" w:eastAsia="Times New Roman" w:hAnsi="Times New Roman" w:cs="Times New Roman"/>
          <w:b/>
          <w:bCs/>
          <w:sz w:val="32"/>
          <w:szCs w:val="32"/>
        </w:rPr>
      </w:pPr>
    </w:p>
    <w:p w14:paraId="5DD7DAE9" w14:textId="77777777" w:rsidR="00B538DB" w:rsidRDefault="00B538DB">
      <w:pPr>
        <w:jc w:val="center"/>
        <w:rPr>
          <w:rFonts w:ascii="Times New Roman" w:eastAsia="Times New Roman" w:hAnsi="Times New Roman" w:cs="Times New Roman"/>
          <w:b/>
          <w:bCs/>
          <w:sz w:val="32"/>
          <w:szCs w:val="32"/>
        </w:rPr>
      </w:pPr>
    </w:p>
    <w:p w14:paraId="3CF5F549" w14:textId="77777777" w:rsidR="00B538DB" w:rsidRDefault="00B538DB">
      <w:pPr>
        <w:jc w:val="center"/>
        <w:rPr>
          <w:rFonts w:ascii="Times New Roman" w:eastAsia="Times New Roman" w:hAnsi="Times New Roman" w:cs="Times New Roman"/>
          <w:b/>
          <w:bCs/>
          <w:sz w:val="32"/>
          <w:szCs w:val="32"/>
        </w:rPr>
      </w:pPr>
    </w:p>
    <w:p w14:paraId="42CFC6CA" w14:textId="77777777" w:rsidR="00B538DB" w:rsidRDefault="00B538DB">
      <w:pPr>
        <w:jc w:val="center"/>
        <w:rPr>
          <w:rFonts w:ascii="Times New Roman" w:eastAsia="Times New Roman" w:hAnsi="Times New Roman" w:cs="Times New Roman"/>
          <w:b/>
          <w:bCs/>
          <w:sz w:val="32"/>
          <w:szCs w:val="32"/>
        </w:rPr>
      </w:pPr>
    </w:p>
    <w:p w14:paraId="6E9E8AB0" w14:textId="77777777" w:rsidR="00105513" w:rsidRDefault="00105513">
      <w:pPr>
        <w:jc w:val="center"/>
        <w:rPr>
          <w:rFonts w:ascii="Times New Roman" w:eastAsia="Times New Roman" w:hAnsi="Times New Roman" w:cs="Times New Roman"/>
          <w:b/>
          <w:bCs/>
          <w:sz w:val="32"/>
          <w:szCs w:val="32"/>
        </w:rPr>
      </w:pPr>
    </w:p>
    <w:p w14:paraId="297019B2" w14:textId="77777777" w:rsidR="00105513" w:rsidRDefault="00105513">
      <w:pPr>
        <w:jc w:val="center"/>
        <w:rPr>
          <w:rFonts w:ascii="Times New Roman" w:eastAsia="Times New Roman" w:hAnsi="Times New Roman" w:cs="Times New Roman"/>
          <w:b/>
          <w:bCs/>
          <w:sz w:val="32"/>
          <w:szCs w:val="32"/>
        </w:rPr>
      </w:pPr>
    </w:p>
    <w:p w14:paraId="43C2501F" w14:textId="77777777" w:rsidR="00105513" w:rsidRDefault="00105513">
      <w:pPr>
        <w:jc w:val="center"/>
        <w:rPr>
          <w:rFonts w:ascii="Times New Roman" w:eastAsia="Times New Roman" w:hAnsi="Times New Roman" w:cs="Times New Roman"/>
          <w:b/>
          <w:bCs/>
          <w:sz w:val="32"/>
          <w:szCs w:val="32"/>
        </w:rPr>
      </w:pPr>
    </w:p>
    <w:p w14:paraId="5FE42144" w14:textId="77777777" w:rsidR="00105513" w:rsidRDefault="00105513">
      <w:pPr>
        <w:jc w:val="center"/>
        <w:rPr>
          <w:rFonts w:ascii="Times New Roman" w:eastAsia="Times New Roman" w:hAnsi="Times New Roman" w:cs="Times New Roman"/>
          <w:b/>
          <w:bCs/>
          <w:sz w:val="32"/>
          <w:szCs w:val="32"/>
        </w:rPr>
      </w:pPr>
    </w:p>
    <w:p w14:paraId="34B642D0" w14:textId="77777777" w:rsidR="00105513" w:rsidRDefault="00105513">
      <w:pPr>
        <w:jc w:val="center"/>
        <w:rPr>
          <w:rFonts w:ascii="Times New Roman" w:eastAsia="Times New Roman" w:hAnsi="Times New Roman" w:cs="Times New Roman"/>
          <w:b/>
          <w:bCs/>
          <w:sz w:val="32"/>
          <w:szCs w:val="32"/>
        </w:rPr>
      </w:pPr>
    </w:p>
    <w:p w14:paraId="330ABFD3" w14:textId="77777777" w:rsidR="00105513" w:rsidRDefault="00105513">
      <w:pPr>
        <w:jc w:val="center"/>
        <w:rPr>
          <w:rFonts w:ascii="Times New Roman" w:eastAsia="Times New Roman" w:hAnsi="Times New Roman" w:cs="Times New Roman"/>
          <w:b/>
          <w:bCs/>
          <w:sz w:val="32"/>
          <w:szCs w:val="32"/>
        </w:rPr>
      </w:pPr>
    </w:p>
    <w:p w14:paraId="380A01FC" w14:textId="77777777" w:rsidR="00B538DB" w:rsidRDefault="00AE5539">
      <w:pPr>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 xml:space="preserve">DESIGNING AN INTEGRATED INFORMATION SECURITY GOVERNANCE AND COMPLIANCE FRAMEWORK FOR AEROLINK LOGISTICS (ALL): A STRATEGIC APPROACH TO DATA SECURITY, RISK MANAGEMENT AND REGULATORY COMPLIANCE </w:t>
      </w:r>
    </w:p>
    <w:p w14:paraId="72FAE8C6" w14:textId="77777777" w:rsidR="00B538DB" w:rsidRDefault="00AE5539">
      <w:pPr>
        <w:jc w:val="center"/>
        <w:rPr>
          <w:rFonts w:ascii="Times New Roman" w:eastAsia="Times New Roman" w:hAnsi="Times New Roman" w:cs="Times New Roman"/>
          <w:b/>
          <w:bCs/>
          <w:sz w:val="32"/>
          <w:szCs w:val="32"/>
        </w:rPr>
      </w:pPr>
      <w:r>
        <w:br w:type="page"/>
      </w:r>
    </w:p>
    <w:p w14:paraId="1457074E" w14:textId="77777777" w:rsidR="00105513" w:rsidRDefault="00105513">
      <w:pPr>
        <w:spacing w:after="80"/>
        <w:jc w:val="center"/>
        <w:rPr>
          <w:rFonts w:ascii="Times New Roman" w:eastAsia="Times New Roman" w:hAnsi="Times New Roman" w:cs="Times New Roman"/>
          <w:b/>
          <w:bCs/>
          <w:sz w:val="24"/>
          <w:szCs w:val="24"/>
        </w:rPr>
      </w:pPr>
    </w:p>
    <w:p w14:paraId="06B1AB47" w14:textId="77777777" w:rsidR="00105513" w:rsidRDefault="00105513">
      <w:pPr>
        <w:spacing w:after="80"/>
        <w:jc w:val="center"/>
        <w:rPr>
          <w:rFonts w:ascii="Times New Roman" w:eastAsia="Times New Roman" w:hAnsi="Times New Roman" w:cs="Times New Roman"/>
          <w:b/>
          <w:bCs/>
          <w:sz w:val="24"/>
          <w:szCs w:val="24"/>
        </w:rPr>
      </w:pPr>
    </w:p>
    <w:p w14:paraId="1EC0F808" w14:textId="69C005F6" w:rsidR="00B538DB" w:rsidRDefault="00AE5539">
      <w:pPr>
        <w:spacing w:after="8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Executive Summary </w:t>
      </w:r>
    </w:p>
    <w:p w14:paraId="6BF8075F" w14:textId="77777777" w:rsidR="00B538DB" w:rsidRDefault="00AE5539">
      <w:p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AeroLink Logistics is a multi-national logistics business that is transitioning towards digital transformation with the implementation of cloud computing, the Internet of Things (IoT), Artificial Intelligence (AI) and externalised Information Technology (IT). Notwithstanding these developments, the organisation is still grappling with the issues of cybersecurity and governance, such as weak security governance, insufficient third party risk management, regulatory compliance issues and heightened potential e</w:t>
      </w:r>
      <w:r>
        <w:rPr>
          <w:rFonts w:ascii="Times New Roman" w:eastAsia="Times New Roman" w:hAnsi="Times New Roman" w:cs="Times New Roman"/>
          <w:sz w:val="24"/>
          <w:szCs w:val="24"/>
        </w:rPr>
        <w:t>xposure to cyber threats associated with sensitive customer information. This report examines these challenges in conjunction with the integrated governance approach to create a resilient and compliant organisations' cyber security.</w:t>
      </w:r>
    </w:p>
    <w:p w14:paraId="253FB7C2" w14:textId="77777777" w:rsidR="00B538DB" w:rsidRDefault="00AE5539">
      <w:pPr>
        <w:spacing w:before="200" w:after="20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report assesses and critically reviews the following four well-known governance frameworks that are identified as suitable to address the requirement for security for AeroLink Logistics: NIST Cybersecurity Framework (CSF) 2.0, ISO/IEC 27001:2022, COBIT 2019 and ITIL 4. This evaluation is the foundation for the AeroLink Integrated Security Governance Framework (AISGF), proposed to combine the governance, risk management, security controls, vendor oversight and business continuity to fit into a single mod</w:t>
      </w:r>
      <w:r>
        <w:rPr>
          <w:rFonts w:ascii="Times New Roman" w:eastAsia="Times New Roman" w:hAnsi="Times New Roman" w:cs="Times New Roman"/>
          <w:sz w:val="24"/>
          <w:szCs w:val="24"/>
        </w:rPr>
        <w:t>el. The report recommends ongoing compliance monitoring, enhanced security policies, technical factors, organized vendor management and security audits to ensure long-term improvements in cyber resilience, regulatory compliance, operational efficiency, and the overall security performance of the organisation.</w:t>
      </w:r>
    </w:p>
    <w:p w14:paraId="684483A2" w14:textId="277AC3AE" w:rsidR="00AE164A" w:rsidRDefault="00AE164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eastAsia="Arial" w:hAnsi="Times New Roman" w:cs="Times New Roman"/>
          <w:color w:val="auto"/>
          <w:sz w:val="24"/>
          <w:szCs w:val="24"/>
          <w:lang w:val="en"/>
        </w:rPr>
        <w:id w:val="-525795870"/>
        <w:docPartObj>
          <w:docPartGallery w:val="Table of Contents"/>
          <w:docPartUnique/>
        </w:docPartObj>
      </w:sdtPr>
      <w:sdtEndPr>
        <w:rPr>
          <w:b/>
          <w:bCs/>
        </w:rPr>
      </w:sdtEndPr>
      <w:sdtContent>
        <w:p w14:paraId="009A6304" w14:textId="2709F61F" w:rsidR="00AE164A" w:rsidRPr="00522543" w:rsidRDefault="00AE164A" w:rsidP="00522543">
          <w:pPr>
            <w:pStyle w:val="TOCHeading"/>
            <w:spacing w:line="360" w:lineRule="auto"/>
            <w:jc w:val="center"/>
            <w:rPr>
              <w:rFonts w:ascii="Times New Roman" w:hAnsi="Times New Roman" w:cs="Times New Roman"/>
              <w:b/>
              <w:bCs/>
              <w:color w:val="auto"/>
              <w:sz w:val="28"/>
              <w:szCs w:val="28"/>
            </w:rPr>
          </w:pPr>
          <w:r w:rsidRPr="00522543">
            <w:rPr>
              <w:rFonts w:ascii="Times New Roman" w:hAnsi="Times New Roman" w:cs="Times New Roman"/>
              <w:b/>
              <w:bCs/>
              <w:color w:val="auto"/>
              <w:sz w:val="28"/>
              <w:szCs w:val="28"/>
            </w:rPr>
            <w:t>Table of Contents</w:t>
          </w:r>
        </w:p>
        <w:p w14:paraId="6FC99E08" w14:textId="2C48C363"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r w:rsidRPr="00AE164A">
            <w:rPr>
              <w:rFonts w:ascii="Times New Roman" w:hAnsi="Times New Roman" w:cs="Times New Roman"/>
              <w:sz w:val="24"/>
              <w:szCs w:val="24"/>
            </w:rPr>
            <w:fldChar w:fldCharType="begin"/>
          </w:r>
          <w:r w:rsidRPr="00AE164A">
            <w:rPr>
              <w:rFonts w:ascii="Times New Roman" w:hAnsi="Times New Roman" w:cs="Times New Roman"/>
              <w:sz w:val="24"/>
              <w:szCs w:val="24"/>
            </w:rPr>
            <w:instrText xml:space="preserve"> TOC \o "1-3" \h \z \u </w:instrText>
          </w:r>
          <w:r w:rsidRPr="00AE164A">
            <w:rPr>
              <w:rFonts w:ascii="Times New Roman" w:hAnsi="Times New Roman" w:cs="Times New Roman"/>
              <w:sz w:val="24"/>
              <w:szCs w:val="24"/>
            </w:rPr>
            <w:fldChar w:fldCharType="separate"/>
          </w:r>
          <w:hyperlink w:anchor="_Toc236411662" w:history="1">
            <w:r w:rsidRPr="00AE164A">
              <w:rPr>
                <w:rStyle w:val="Hyperlink"/>
                <w:rFonts w:ascii="Times New Roman" w:hAnsi="Times New Roman" w:cs="Times New Roman"/>
                <w:noProof/>
                <w:sz w:val="24"/>
                <w:szCs w:val="24"/>
              </w:rPr>
              <w:t>1. Introduction</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_Toc236411662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4</w:t>
            </w:r>
            <w:r w:rsidRPr="00AE164A">
              <w:rPr>
                <w:rFonts w:ascii="Times New Roman" w:hAnsi="Times New Roman" w:cs="Times New Roman"/>
                <w:noProof/>
                <w:webHidden/>
                <w:sz w:val="24"/>
                <w:szCs w:val="24"/>
              </w:rPr>
              <w:fldChar w:fldCharType="end"/>
            </w:r>
          </w:hyperlink>
        </w:p>
        <w:p w14:paraId="24C09789" w14:textId="0794BDCF"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63" w:history="1">
            <w:r w:rsidRPr="00AE164A">
              <w:rPr>
                <w:rStyle w:val="Hyperlink"/>
                <w:rFonts w:ascii="Times New Roman" w:hAnsi="Times New Roman" w:cs="Times New Roman"/>
                <w:noProof/>
                <w:sz w:val="24"/>
                <w:szCs w:val="24"/>
              </w:rPr>
              <w:t>2. Analysis of AeroLink Logistics Security Challenges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_Toc236411663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4</w:t>
            </w:r>
            <w:r w:rsidRPr="00AE164A">
              <w:rPr>
                <w:rFonts w:ascii="Times New Roman" w:hAnsi="Times New Roman" w:cs="Times New Roman"/>
                <w:noProof/>
                <w:webHidden/>
                <w:sz w:val="24"/>
                <w:szCs w:val="24"/>
              </w:rPr>
              <w:fldChar w:fldCharType="end"/>
            </w:r>
          </w:hyperlink>
        </w:p>
        <w:p w14:paraId="0B823BB7" w14:textId="3D92FC8E"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64" w:history="1">
            <w:r w:rsidRPr="00AE164A">
              <w:rPr>
                <w:rStyle w:val="Hyperlink"/>
                <w:rFonts w:ascii="Times New Roman" w:hAnsi="Times New Roman" w:cs="Times New Roman"/>
                <w:noProof/>
                <w:sz w:val="24"/>
                <w:szCs w:val="24"/>
              </w:rPr>
              <w:t>2.1 Organisational Background</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_Toc236411664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4</w:t>
            </w:r>
            <w:r w:rsidRPr="00AE164A">
              <w:rPr>
                <w:rFonts w:ascii="Times New Roman" w:hAnsi="Times New Roman" w:cs="Times New Roman"/>
                <w:noProof/>
                <w:webHidden/>
                <w:sz w:val="24"/>
                <w:szCs w:val="24"/>
              </w:rPr>
              <w:fldChar w:fldCharType="end"/>
            </w:r>
          </w:hyperlink>
        </w:p>
        <w:p w14:paraId="1E397FE6" w14:textId="67028A19"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65" w:history="1">
            <w:r w:rsidRPr="00AE164A">
              <w:rPr>
                <w:rStyle w:val="Hyperlink"/>
                <w:rFonts w:ascii="Times New Roman" w:hAnsi="Times New Roman" w:cs="Times New Roman"/>
                <w:noProof/>
                <w:sz w:val="24"/>
                <w:szCs w:val="24"/>
              </w:rPr>
              <w:t>2.2 Existing Security and Governance Problems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_Toc236411665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5</w:t>
            </w:r>
            <w:r w:rsidRPr="00AE164A">
              <w:rPr>
                <w:rFonts w:ascii="Times New Roman" w:hAnsi="Times New Roman" w:cs="Times New Roman"/>
                <w:noProof/>
                <w:webHidden/>
                <w:sz w:val="24"/>
                <w:szCs w:val="24"/>
              </w:rPr>
              <w:fldChar w:fldCharType="end"/>
            </w:r>
          </w:hyperlink>
        </w:p>
        <w:p w14:paraId="1EEC58AC" w14:textId="1E87F752"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66" w:history="1">
            <w:r w:rsidRPr="00AE164A">
              <w:rPr>
                <w:rStyle w:val="Hyperlink"/>
                <w:rFonts w:ascii="Times New Roman" w:hAnsi="Times New Roman" w:cs="Times New Roman"/>
                <w:noProof/>
                <w:sz w:val="24"/>
                <w:szCs w:val="24"/>
              </w:rPr>
              <w:t>3. Critical Review of Information Security Frameworks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_Toc236411666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5</w:t>
            </w:r>
            <w:r w:rsidRPr="00AE164A">
              <w:rPr>
                <w:rFonts w:ascii="Times New Roman" w:hAnsi="Times New Roman" w:cs="Times New Roman"/>
                <w:noProof/>
                <w:webHidden/>
                <w:sz w:val="24"/>
                <w:szCs w:val="24"/>
              </w:rPr>
              <w:fldChar w:fldCharType="end"/>
            </w:r>
          </w:hyperlink>
        </w:p>
        <w:p w14:paraId="6C128836" w14:textId="4F55B206"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67" w:history="1">
            <w:r w:rsidRPr="00AE164A">
              <w:rPr>
                <w:rStyle w:val="Hyperlink"/>
                <w:rFonts w:ascii="Times New Roman" w:hAnsi="Times New Roman" w:cs="Times New Roman"/>
                <w:noProof/>
                <w:sz w:val="24"/>
                <w:szCs w:val="24"/>
              </w:rPr>
              <w:t>3.1 NIST Cybersecurity Framework</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_Toc236411667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6</w:t>
            </w:r>
            <w:r w:rsidRPr="00AE164A">
              <w:rPr>
                <w:rFonts w:ascii="Times New Roman" w:hAnsi="Times New Roman" w:cs="Times New Roman"/>
                <w:noProof/>
                <w:webHidden/>
                <w:sz w:val="24"/>
                <w:szCs w:val="24"/>
              </w:rPr>
              <w:fldChar w:fldCharType="end"/>
            </w:r>
          </w:hyperlink>
        </w:p>
        <w:p w14:paraId="1E0075A2" w14:textId="58F6B431"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68" w:history="1">
            <w:r w:rsidRPr="00AE164A">
              <w:rPr>
                <w:rStyle w:val="Hyperlink"/>
                <w:rFonts w:ascii="Times New Roman" w:hAnsi="Times New Roman" w:cs="Times New Roman"/>
                <w:noProof/>
                <w:sz w:val="24"/>
                <w:szCs w:val="24"/>
              </w:rPr>
              <w:t>3.2 ISO/IEC 27001</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_Toc236411668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6</w:t>
            </w:r>
            <w:r w:rsidRPr="00AE164A">
              <w:rPr>
                <w:rFonts w:ascii="Times New Roman" w:hAnsi="Times New Roman" w:cs="Times New Roman"/>
                <w:noProof/>
                <w:webHidden/>
                <w:sz w:val="24"/>
                <w:szCs w:val="24"/>
              </w:rPr>
              <w:fldChar w:fldCharType="end"/>
            </w:r>
          </w:hyperlink>
        </w:p>
        <w:p w14:paraId="12AD7EA1" w14:textId="394D06C5"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69" w:history="1">
            <w:r w:rsidRPr="00AE164A">
              <w:rPr>
                <w:rStyle w:val="Hyperlink"/>
                <w:rFonts w:ascii="Times New Roman" w:hAnsi="Times New Roman" w:cs="Times New Roman"/>
                <w:noProof/>
                <w:sz w:val="24"/>
                <w:szCs w:val="24"/>
              </w:rPr>
              <w:t>3.3 COBIT 2019</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_Toc236411669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7</w:t>
            </w:r>
            <w:r w:rsidRPr="00AE164A">
              <w:rPr>
                <w:rFonts w:ascii="Times New Roman" w:hAnsi="Times New Roman" w:cs="Times New Roman"/>
                <w:noProof/>
                <w:webHidden/>
                <w:sz w:val="24"/>
                <w:szCs w:val="24"/>
              </w:rPr>
              <w:fldChar w:fldCharType="end"/>
            </w:r>
          </w:hyperlink>
        </w:p>
        <w:p w14:paraId="24DF9180" w14:textId="152A06FF"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0" w:history="1">
            <w:r w:rsidRPr="00AE164A">
              <w:rPr>
                <w:rStyle w:val="Hyperlink"/>
                <w:rFonts w:ascii="Times New Roman" w:hAnsi="Times New Roman" w:cs="Times New Roman"/>
                <w:noProof/>
                <w:sz w:val="24"/>
                <w:szCs w:val="24"/>
              </w:rPr>
              <w:t>3.4 ITIL</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_Toc236411670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7</w:t>
            </w:r>
            <w:r w:rsidRPr="00AE164A">
              <w:rPr>
                <w:rFonts w:ascii="Times New Roman" w:hAnsi="Times New Roman" w:cs="Times New Roman"/>
                <w:noProof/>
                <w:webHidden/>
                <w:sz w:val="24"/>
                <w:szCs w:val="24"/>
              </w:rPr>
              <w:fldChar w:fldCharType="end"/>
            </w:r>
          </w:hyperlink>
        </w:p>
        <w:p w14:paraId="2FDD9904" w14:textId="29B8E235"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1" w:history="1">
            <w:r w:rsidRPr="00AE164A">
              <w:rPr>
                <w:rStyle w:val="Hyperlink"/>
                <w:rFonts w:ascii="Times New Roman" w:hAnsi="Times New Roman" w:cs="Times New Roman"/>
                <w:noProof/>
                <w:sz w:val="24"/>
                <w:szCs w:val="24"/>
              </w:rPr>
              <w:t>3.5 Critical Comparison of Frameworks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_Toc236411671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7</w:t>
            </w:r>
            <w:r w:rsidRPr="00AE164A">
              <w:rPr>
                <w:rFonts w:ascii="Times New Roman" w:hAnsi="Times New Roman" w:cs="Times New Roman"/>
                <w:noProof/>
                <w:webHidden/>
                <w:sz w:val="24"/>
                <w:szCs w:val="24"/>
              </w:rPr>
              <w:fldChar w:fldCharType="end"/>
            </w:r>
          </w:hyperlink>
        </w:p>
        <w:p w14:paraId="63440D29" w14:textId="66B25C2A"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72" w:history="1">
            <w:r w:rsidRPr="00AE164A">
              <w:rPr>
                <w:rStyle w:val="Hyperlink"/>
                <w:rFonts w:ascii="Times New Roman" w:hAnsi="Times New Roman" w:cs="Times New Roman"/>
                <w:noProof/>
                <w:sz w:val="24"/>
                <w:szCs w:val="24"/>
              </w:rPr>
              <w:t>4. Proposed Integrated Security Governance Framework</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_Toc236411672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8</w:t>
            </w:r>
            <w:r w:rsidRPr="00AE164A">
              <w:rPr>
                <w:rFonts w:ascii="Times New Roman" w:hAnsi="Times New Roman" w:cs="Times New Roman"/>
                <w:noProof/>
                <w:webHidden/>
                <w:sz w:val="24"/>
                <w:szCs w:val="24"/>
              </w:rPr>
              <w:fldChar w:fldCharType="end"/>
            </w:r>
          </w:hyperlink>
        </w:p>
        <w:p w14:paraId="44B9CE83" w14:textId="401C93DA"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3" w:history="1">
            <w:r w:rsidRPr="00AE164A">
              <w:rPr>
                <w:rStyle w:val="Hyperlink"/>
                <w:rFonts w:ascii="Times New Roman" w:hAnsi="Times New Roman" w:cs="Times New Roman"/>
                <w:noProof/>
                <w:sz w:val="24"/>
                <w:szCs w:val="24"/>
              </w:rPr>
              <w:t>4.1 Governance Structure</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_Toc236411673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8</w:t>
            </w:r>
            <w:r w:rsidRPr="00AE164A">
              <w:rPr>
                <w:rFonts w:ascii="Times New Roman" w:hAnsi="Times New Roman" w:cs="Times New Roman"/>
                <w:noProof/>
                <w:webHidden/>
                <w:sz w:val="24"/>
                <w:szCs w:val="24"/>
              </w:rPr>
              <w:fldChar w:fldCharType="end"/>
            </w:r>
          </w:hyperlink>
        </w:p>
        <w:p w14:paraId="273451A8" w14:textId="595A1AC9"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4" w:history="1">
            <w:r w:rsidRPr="00AE164A">
              <w:rPr>
                <w:rStyle w:val="Hyperlink"/>
                <w:rFonts w:ascii="Times New Roman" w:hAnsi="Times New Roman" w:cs="Times New Roman"/>
                <w:noProof/>
                <w:sz w:val="24"/>
                <w:szCs w:val="24"/>
              </w:rPr>
              <w:t>4.2 Risk Management Framework</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_Toc236411674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9</w:t>
            </w:r>
            <w:r w:rsidRPr="00AE164A">
              <w:rPr>
                <w:rFonts w:ascii="Times New Roman" w:hAnsi="Times New Roman" w:cs="Times New Roman"/>
                <w:noProof/>
                <w:webHidden/>
                <w:sz w:val="24"/>
                <w:szCs w:val="24"/>
              </w:rPr>
              <w:fldChar w:fldCharType="end"/>
            </w:r>
          </w:hyperlink>
        </w:p>
        <w:p w14:paraId="1D2D5A3F" w14:textId="6CE952D5"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5" w:history="1">
            <w:r w:rsidRPr="00AE164A">
              <w:rPr>
                <w:rStyle w:val="Hyperlink"/>
                <w:rFonts w:ascii="Times New Roman" w:hAnsi="Times New Roman" w:cs="Times New Roman"/>
                <w:noProof/>
                <w:sz w:val="24"/>
                <w:szCs w:val="24"/>
              </w:rPr>
              <w:t>4.3 Security Policies and Procedures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_Toc236411675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10</w:t>
            </w:r>
            <w:r w:rsidRPr="00AE164A">
              <w:rPr>
                <w:rFonts w:ascii="Times New Roman" w:hAnsi="Times New Roman" w:cs="Times New Roman"/>
                <w:noProof/>
                <w:webHidden/>
                <w:sz w:val="24"/>
                <w:szCs w:val="24"/>
              </w:rPr>
              <w:fldChar w:fldCharType="end"/>
            </w:r>
          </w:hyperlink>
        </w:p>
        <w:p w14:paraId="6FEBEFE9" w14:textId="181D665C"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6" w:history="1">
            <w:r w:rsidRPr="00AE164A">
              <w:rPr>
                <w:rStyle w:val="Hyperlink"/>
                <w:rFonts w:ascii="Times New Roman" w:hAnsi="Times New Roman" w:cs="Times New Roman"/>
                <w:noProof/>
                <w:sz w:val="24"/>
                <w:szCs w:val="24"/>
              </w:rPr>
              <w:t>4.4 Technical Security Controls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_Toc236411676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11</w:t>
            </w:r>
            <w:r w:rsidRPr="00AE164A">
              <w:rPr>
                <w:rFonts w:ascii="Times New Roman" w:hAnsi="Times New Roman" w:cs="Times New Roman"/>
                <w:noProof/>
                <w:webHidden/>
                <w:sz w:val="24"/>
                <w:szCs w:val="24"/>
              </w:rPr>
              <w:fldChar w:fldCharType="end"/>
            </w:r>
          </w:hyperlink>
        </w:p>
        <w:p w14:paraId="495FB35B" w14:textId="23DADA37"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7" w:history="1">
            <w:r w:rsidRPr="00AE164A">
              <w:rPr>
                <w:rStyle w:val="Hyperlink"/>
                <w:rFonts w:ascii="Times New Roman" w:hAnsi="Times New Roman" w:cs="Times New Roman"/>
                <w:noProof/>
                <w:sz w:val="24"/>
                <w:szCs w:val="24"/>
              </w:rPr>
              <w:t>4.5 Vendor Governance and SLA Management</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_Toc236411677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12</w:t>
            </w:r>
            <w:r w:rsidRPr="00AE164A">
              <w:rPr>
                <w:rFonts w:ascii="Times New Roman" w:hAnsi="Times New Roman" w:cs="Times New Roman"/>
                <w:noProof/>
                <w:webHidden/>
                <w:sz w:val="24"/>
                <w:szCs w:val="24"/>
              </w:rPr>
              <w:fldChar w:fldCharType="end"/>
            </w:r>
          </w:hyperlink>
        </w:p>
        <w:p w14:paraId="777091AE" w14:textId="6EDC5EF0"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8" w:history="1">
            <w:r w:rsidRPr="00AE164A">
              <w:rPr>
                <w:rStyle w:val="Hyperlink"/>
                <w:rFonts w:ascii="Times New Roman" w:hAnsi="Times New Roman" w:cs="Times New Roman"/>
                <w:noProof/>
                <w:sz w:val="24"/>
                <w:szCs w:val="24"/>
              </w:rPr>
              <w:t>4.6 Business Continuity and Disaster Recovery</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_Toc236411678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12</w:t>
            </w:r>
            <w:r w:rsidRPr="00AE164A">
              <w:rPr>
                <w:rFonts w:ascii="Times New Roman" w:hAnsi="Times New Roman" w:cs="Times New Roman"/>
                <w:noProof/>
                <w:webHidden/>
                <w:sz w:val="24"/>
                <w:szCs w:val="24"/>
              </w:rPr>
              <w:fldChar w:fldCharType="end"/>
            </w:r>
          </w:hyperlink>
        </w:p>
        <w:p w14:paraId="3491C86E" w14:textId="1E1281A1" w:rsidR="00AE164A" w:rsidRPr="00AE164A" w:rsidRDefault="00AE164A" w:rsidP="00AE164A">
          <w:pPr>
            <w:pStyle w:val="TOC2"/>
            <w:tabs>
              <w:tab w:val="right" w:leader="dot" w:pos="9350"/>
            </w:tabs>
            <w:spacing w:line="360" w:lineRule="auto"/>
            <w:jc w:val="both"/>
            <w:rPr>
              <w:rFonts w:ascii="Times New Roman" w:hAnsi="Times New Roman" w:cs="Times New Roman"/>
              <w:noProof/>
              <w:sz w:val="24"/>
              <w:szCs w:val="24"/>
            </w:rPr>
          </w:pPr>
          <w:hyperlink w:anchor="_Toc236411679" w:history="1">
            <w:r w:rsidRPr="00AE164A">
              <w:rPr>
                <w:rStyle w:val="Hyperlink"/>
                <w:rFonts w:ascii="Times New Roman" w:hAnsi="Times New Roman" w:cs="Times New Roman"/>
                <w:noProof/>
                <w:sz w:val="24"/>
                <w:szCs w:val="24"/>
              </w:rPr>
              <w:t>4.7 Implementation Roadmap</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_Toc236411679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13</w:t>
            </w:r>
            <w:r w:rsidRPr="00AE164A">
              <w:rPr>
                <w:rFonts w:ascii="Times New Roman" w:hAnsi="Times New Roman" w:cs="Times New Roman"/>
                <w:noProof/>
                <w:webHidden/>
                <w:sz w:val="24"/>
                <w:szCs w:val="24"/>
              </w:rPr>
              <w:fldChar w:fldCharType="end"/>
            </w:r>
          </w:hyperlink>
        </w:p>
        <w:p w14:paraId="57C3067E" w14:textId="73F661E8"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80" w:history="1">
            <w:r w:rsidRPr="00AE164A">
              <w:rPr>
                <w:rStyle w:val="Hyperlink"/>
                <w:rFonts w:ascii="Times New Roman" w:hAnsi="Times New Roman" w:cs="Times New Roman"/>
                <w:noProof/>
                <w:sz w:val="24"/>
                <w:szCs w:val="24"/>
              </w:rPr>
              <w:t>5. Continuous Compliance and Emerging Threat Landscape</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_Toc236411680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14</w:t>
            </w:r>
            <w:r w:rsidRPr="00AE164A">
              <w:rPr>
                <w:rFonts w:ascii="Times New Roman" w:hAnsi="Times New Roman" w:cs="Times New Roman"/>
                <w:noProof/>
                <w:webHidden/>
                <w:sz w:val="24"/>
                <w:szCs w:val="24"/>
              </w:rPr>
              <w:fldChar w:fldCharType="end"/>
            </w:r>
          </w:hyperlink>
        </w:p>
        <w:p w14:paraId="6FDCE424" w14:textId="64221DE6"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81" w:history="1">
            <w:r w:rsidRPr="00AE164A">
              <w:rPr>
                <w:rStyle w:val="Hyperlink"/>
                <w:rFonts w:ascii="Times New Roman" w:hAnsi="Times New Roman" w:cs="Times New Roman"/>
                <w:noProof/>
                <w:sz w:val="24"/>
                <w:szCs w:val="24"/>
              </w:rPr>
              <w:t>6. Assumptions, Limitations and Implementation Considerations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_Toc236411681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14</w:t>
            </w:r>
            <w:r w:rsidRPr="00AE164A">
              <w:rPr>
                <w:rFonts w:ascii="Times New Roman" w:hAnsi="Times New Roman" w:cs="Times New Roman"/>
                <w:noProof/>
                <w:webHidden/>
                <w:sz w:val="24"/>
                <w:szCs w:val="24"/>
              </w:rPr>
              <w:fldChar w:fldCharType="end"/>
            </w:r>
          </w:hyperlink>
        </w:p>
        <w:p w14:paraId="08292727" w14:textId="73673C25"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82" w:history="1">
            <w:r w:rsidRPr="00AE164A">
              <w:rPr>
                <w:rStyle w:val="Hyperlink"/>
                <w:rFonts w:ascii="Times New Roman" w:hAnsi="Times New Roman" w:cs="Times New Roman"/>
                <w:noProof/>
                <w:sz w:val="24"/>
                <w:szCs w:val="24"/>
              </w:rPr>
              <w:t>7. Conclusion</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_Toc236411682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15</w:t>
            </w:r>
            <w:r w:rsidRPr="00AE164A">
              <w:rPr>
                <w:rFonts w:ascii="Times New Roman" w:hAnsi="Times New Roman" w:cs="Times New Roman"/>
                <w:noProof/>
                <w:webHidden/>
                <w:sz w:val="24"/>
                <w:szCs w:val="24"/>
              </w:rPr>
              <w:fldChar w:fldCharType="end"/>
            </w:r>
          </w:hyperlink>
        </w:p>
        <w:p w14:paraId="2DCFB034" w14:textId="46012797" w:rsidR="00AE164A" w:rsidRPr="00AE164A" w:rsidRDefault="00AE164A" w:rsidP="00AE164A">
          <w:pPr>
            <w:pStyle w:val="TOC1"/>
            <w:tabs>
              <w:tab w:val="right" w:leader="dot" w:pos="9350"/>
            </w:tabs>
            <w:spacing w:line="360" w:lineRule="auto"/>
            <w:jc w:val="both"/>
            <w:rPr>
              <w:rFonts w:ascii="Times New Roman" w:hAnsi="Times New Roman" w:cs="Times New Roman"/>
              <w:noProof/>
              <w:sz w:val="24"/>
              <w:szCs w:val="24"/>
            </w:rPr>
          </w:pPr>
          <w:hyperlink w:anchor="_Toc236411683" w:history="1">
            <w:r w:rsidRPr="00AE164A">
              <w:rPr>
                <w:rStyle w:val="Hyperlink"/>
                <w:rFonts w:ascii="Times New Roman" w:hAnsi="Times New Roman" w:cs="Times New Roman"/>
                <w:noProof/>
                <w:sz w:val="24"/>
                <w:szCs w:val="24"/>
              </w:rPr>
              <w:t>References</w:t>
            </w:r>
            <w:r w:rsidRPr="00AE164A">
              <w:rPr>
                <w:rFonts w:ascii="Times New Roman" w:hAnsi="Times New Roman" w:cs="Times New Roman"/>
                <w:noProof/>
                <w:webHidden/>
                <w:sz w:val="24"/>
                <w:szCs w:val="24"/>
              </w:rPr>
              <w:tab/>
            </w:r>
            <w:r w:rsidRPr="00AE164A">
              <w:rPr>
                <w:rFonts w:ascii="Times New Roman" w:hAnsi="Times New Roman" w:cs="Times New Roman"/>
                <w:noProof/>
                <w:webHidden/>
                <w:sz w:val="24"/>
                <w:szCs w:val="24"/>
              </w:rPr>
              <w:fldChar w:fldCharType="begin"/>
            </w:r>
            <w:r w:rsidRPr="00AE164A">
              <w:rPr>
                <w:rFonts w:ascii="Times New Roman" w:hAnsi="Times New Roman" w:cs="Times New Roman"/>
                <w:noProof/>
                <w:webHidden/>
                <w:sz w:val="24"/>
                <w:szCs w:val="24"/>
              </w:rPr>
              <w:instrText xml:space="preserve"> PAGEREF _Toc236411683 \h </w:instrText>
            </w:r>
            <w:r w:rsidRPr="00AE164A">
              <w:rPr>
                <w:rFonts w:ascii="Times New Roman" w:hAnsi="Times New Roman" w:cs="Times New Roman"/>
                <w:noProof/>
                <w:webHidden/>
                <w:sz w:val="24"/>
                <w:szCs w:val="24"/>
              </w:rPr>
            </w:r>
            <w:r w:rsidRPr="00AE164A">
              <w:rPr>
                <w:rFonts w:ascii="Times New Roman" w:hAnsi="Times New Roman" w:cs="Times New Roman"/>
                <w:noProof/>
                <w:webHidden/>
                <w:sz w:val="24"/>
                <w:szCs w:val="24"/>
              </w:rPr>
              <w:fldChar w:fldCharType="separate"/>
            </w:r>
            <w:r w:rsidRPr="00AE164A">
              <w:rPr>
                <w:rFonts w:ascii="Times New Roman" w:hAnsi="Times New Roman" w:cs="Times New Roman"/>
                <w:noProof/>
                <w:webHidden/>
                <w:sz w:val="24"/>
                <w:szCs w:val="24"/>
              </w:rPr>
              <w:t>16</w:t>
            </w:r>
            <w:r w:rsidRPr="00AE164A">
              <w:rPr>
                <w:rFonts w:ascii="Times New Roman" w:hAnsi="Times New Roman" w:cs="Times New Roman"/>
                <w:noProof/>
                <w:webHidden/>
                <w:sz w:val="24"/>
                <w:szCs w:val="24"/>
              </w:rPr>
              <w:fldChar w:fldCharType="end"/>
            </w:r>
          </w:hyperlink>
        </w:p>
        <w:p w14:paraId="3DD55264" w14:textId="3558B44E" w:rsidR="00AE164A" w:rsidRPr="00AE164A" w:rsidRDefault="00AE164A" w:rsidP="00AE164A">
          <w:pPr>
            <w:spacing w:line="360" w:lineRule="auto"/>
            <w:jc w:val="both"/>
            <w:rPr>
              <w:rFonts w:ascii="Times New Roman" w:hAnsi="Times New Roman" w:cs="Times New Roman"/>
              <w:sz w:val="24"/>
              <w:szCs w:val="24"/>
            </w:rPr>
          </w:pPr>
          <w:r w:rsidRPr="00AE164A">
            <w:rPr>
              <w:rFonts w:ascii="Times New Roman" w:hAnsi="Times New Roman" w:cs="Times New Roman"/>
              <w:b/>
              <w:bCs/>
              <w:sz w:val="24"/>
              <w:szCs w:val="24"/>
            </w:rPr>
            <w:fldChar w:fldCharType="end"/>
          </w:r>
        </w:p>
      </w:sdtContent>
    </w:sdt>
    <w:p w14:paraId="2BB1BE48" w14:textId="77777777" w:rsidR="00AE164A" w:rsidRPr="00AE164A" w:rsidRDefault="00AE164A" w:rsidP="00AE164A">
      <w:pPr>
        <w:spacing w:before="200" w:after="200" w:line="360" w:lineRule="auto"/>
        <w:jc w:val="both"/>
        <w:rPr>
          <w:rFonts w:ascii="Times New Roman" w:eastAsia="Times New Roman" w:hAnsi="Times New Roman" w:cs="Times New Roman"/>
          <w:sz w:val="24"/>
          <w:szCs w:val="24"/>
        </w:rPr>
      </w:pPr>
    </w:p>
    <w:p w14:paraId="7F531B95" w14:textId="77777777" w:rsidR="00B538DB" w:rsidRDefault="00AE5539">
      <w:pPr>
        <w:pStyle w:val="Heading1"/>
        <w:keepNext w:val="0"/>
        <w:keepLines w:val="0"/>
      </w:pPr>
      <w:bookmarkStart w:id="0" w:name="_35veljx2brwy" w:colFirst="0" w:colLast="0"/>
      <w:bookmarkStart w:id="1" w:name="_Toc236411662"/>
      <w:bookmarkEnd w:id="0"/>
      <w:r>
        <w:lastRenderedPageBreak/>
        <w:t>1. Introduction</w:t>
      </w:r>
      <w:bookmarkEnd w:id="1"/>
      <w:r>
        <w:t xml:space="preserve"> </w:t>
      </w:r>
    </w:p>
    <w:p w14:paraId="325632C5" w14:textId="71A1C93E"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current digital landscape, information security governance has emerged as a key component of the success and sustainability of information security governance in today's organisations, as they are rapidly accelerating in their digital transformation endeavors. It is undeniable that today's organisations are transformed by Cloud Computing, Artificial Intelligence (AI) and Internet of Things (IoT) technologies, which give them better operational efficiency, more modern way of decision making and new op</w:t>
      </w:r>
      <w:r>
        <w:rPr>
          <w:rFonts w:ascii="Times New Roman" w:eastAsia="Times New Roman" w:hAnsi="Times New Roman" w:cs="Times New Roman"/>
          <w:sz w:val="24"/>
          <w:szCs w:val="24"/>
        </w:rPr>
        <w:t xml:space="preserve">portunities to offer services of innovation. Meanwhile, the evolution of technology has brought with it increased data breach, </w:t>
      </w:r>
      <w:r w:rsidR="00AE164A">
        <w:rPr>
          <w:rFonts w:ascii="Times New Roman" w:eastAsia="Times New Roman" w:hAnsi="Times New Roman" w:cs="Times New Roman"/>
          <w:sz w:val="24"/>
          <w:szCs w:val="24"/>
        </w:rPr>
        <w:t>cyber-attack</w:t>
      </w:r>
      <w:r>
        <w:rPr>
          <w:rFonts w:ascii="Times New Roman" w:eastAsia="Times New Roman" w:hAnsi="Times New Roman" w:cs="Times New Roman"/>
          <w:sz w:val="24"/>
          <w:szCs w:val="24"/>
        </w:rPr>
        <w:t xml:space="preserve">, unauthorised access and third party security risk </w:t>
      </w:r>
      <w:r w:rsidR="00AE164A">
        <w:rPr>
          <w:rFonts w:ascii="Times New Roman" w:eastAsia="Times New Roman" w:hAnsi="Times New Roman" w:cs="Times New Roman"/>
          <w:sz w:val="24"/>
          <w:szCs w:val="24"/>
        </w:rPr>
        <w:t>exposure, a</w:t>
      </w:r>
      <w:r>
        <w:rPr>
          <w:rFonts w:ascii="Times New Roman" w:eastAsia="Times New Roman" w:hAnsi="Times New Roman" w:cs="Times New Roman"/>
          <w:sz w:val="24"/>
          <w:szCs w:val="24"/>
        </w:rPr>
        <w:t xml:space="preserve"> new cyber threat landscape.These technological advancements have also left security sources vulnerable to data breach, </w:t>
      </w:r>
      <w:r w:rsidR="00AE164A">
        <w:rPr>
          <w:rFonts w:ascii="Times New Roman" w:eastAsia="Times New Roman" w:hAnsi="Times New Roman" w:cs="Times New Roman"/>
          <w:sz w:val="24"/>
          <w:szCs w:val="24"/>
        </w:rPr>
        <w:t>cyber-attacks</w:t>
      </w:r>
      <w:r>
        <w:rPr>
          <w:rFonts w:ascii="Times New Roman" w:eastAsia="Times New Roman" w:hAnsi="Times New Roman" w:cs="Times New Roman"/>
          <w:sz w:val="24"/>
          <w:szCs w:val="24"/>
        </w:rPr>
        <w:t>, access and third</w:t>
      </w:r>
      <w:r w:rsidR="00AE164A">
        <w:rPr>
          <w:rFonts w:ascii="Times New Roman" w:eastAsia="Times New Roman" w:hAnsi="Times New Roman" w:cs="Times New Roman"/>
          <w:sz w:val="24"/>
          <w:szCs w:val="24"/>
        </w:rPr>
        <w:t>-</w:t>
      </w:r>
      <w:r>
        <w:rPr>
          <w:rFonts w:ascii="Times New Roman" w:eastAsia="Times New Roman" w:hAnsi="Times New Roman" w:cs="Times New Roman"/>
          <w:sz w:val="24"/>
          <w:szCs w:val="24"/>
        </w:rPr>
        <w:t>party security threats, forming the cyber threat landscape. Information assets will become increasingly reliant on integrated digital infrastructures - appropriate governance structures are needed to ensure that information assets are well protected and that information security practices align to organization objectives and regulations.</w:t>
      </w:r>
    </w:p>
    <w:p w14:paraId="2FE66AFC"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regulations and information security standards are increasingly taking a global perspective to data protection matters, such as the General Data Protection Regulation (GDPR) and ISO/IEC 27001, the need for organisations to put together robust governance and compliance structures has also grown. Especially to businesses that have multiple countries, legal territories and valuable amounts of sensitive customer data operating on top of complex technology ecosystems. The aim of this report is to critically a</w:t>
      </w:r>
      <w:r>
        <w:rPr>
          <w:rFonts w:ascii="Times New Roman" w:eastAsia="Times New Roman" w:hAnsi="Times New Roman" w:cs="Times New Roman"/>
          <w:sz w:val="24"/>
          <w:szCs w:val="24"/>
        </w:rPr>
        <w:t xml:space="preserve">nalyse existing information security Governance frameworks to create an information security Governance framework that will meet the needs of AeroLink Logistics (ALL). Furthermore, the report covers issues of security that the organisation is already struggling with and proposes proactive measures to strengthen its governance, risk, regulatory and cyber security risks in its current digital landscape. </w:t>
      </w:r>
    </w:p>
    <w:p w14:paraId="35A320F6" w14:textId="77777777" w:rsidR="00B538DB" w:rsidRDefault="00AE5539">
      <w:pPr>
        <w:pStyle w:val="Heading1"/>
        <w:keepNext w:val="0"/>
        <w:keepLines w:val="0"/>
      </w:pPr>
      <w:bookmarkStart w:id="2" w:name="_l567ffhqdbjq" w:colFirst="0" w:colLast="0"/>
      <w:bookmarkStart w:id="3" w:name="_Toc236411663"/>
      <w:bookmarkEnd w:id="2"/>
      <w:r>
        <w:t>2. Analysis of AeroLink Logistics Security Challenges</w:t>
      </w:r>
      <w:bookmarkEnd w:id="3"/>
      <w:r>
        <w:t xml:space="preserve"> </w:t>
      </w:r>
    </w:p>
    <w:p w14:paraId="4E3447EC" w14:textId="77777777" w:rsidR="00B538DB" w:rsidRDefault="00AE5539">
      <w:pPr>
        <w:pStyle w:val="Heading2"/>
        <w:keepNext w:val="0"/>
        <w:keepLines w:val="0"/>
      </w:pPr>
      <w:bookmarkStart w:id="4" w:name="_by7285h4oslu" w:colFirst="0" w:colLast="0"/>
      <w:bookmarkStart w:id="5" w:name="_Toc236411664"/>
      <w:bookmarkEnd w:id="4"/>
      <w:r>
        <w:t>2.1 Organisational Background</w:t>
      </w:r>
      <w:bookmarkEnd w:id="5"/>
    </w:p>
    <w:p w14:paraId="46B7F84F"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AeroLink Logistics is a multi-national logistics and supply chain company that has jumped on a digital bandwagon and implemented cloud computing, Internet of Things (IoT) and Artificial Intelligence (AI) in their operational environment. It is heavily dependent on Infrastructure-as-a-Service (IaaS) and Software-as-a-Service (SaaS) platforms: Around 88% of the organization's IT infrastructure is managed by third party service providers. This real-time monitoring is enabled by tracking sensors that use the In</w:t>
      </w:r>
      <w:r>
        <w:rPr>
          <w:rFonts w:ascii="Times New Roman" w:eastAsia="Times New Roman" w:hAnsi="Times New Roman" w:cs="Times New Roman"/>
          <w:sz w:val="24"/>
          <w:szCs w:val="24"/>
        </w:rPr>
        <w:t xml:space="preserve">ternet of Things (IoT) to track shipments, while the AI analytics improve warehousing, transportation and supply chain decision-making by the use of analytics. In addition, remote access functions allow employees, suppliers and logistics partners to access organisational resources from various geographic points, increasing flexibility of operations while the organisation is exposed to more risks related to cyber security issues. </w:t>
      </w:r>
    </w:p>
    <w:p w14:paraId="1ABDC4CB" w14:textId="77777777" w:rsidR="00B538DB" w:rsidRDefault="00AE5539">
      <w:pPr>
        <w:pStyle w:val="Heading2"/>
        <w:keepNext w:val="0"/>
        <w:keepLines w:val="0"/>
      </w:pPr>
      <w:bookmarkStart w:id="6" w:name="_vvjeon6l3ian" w:colFirst="0" w:colLast="0"/>
      <w:bookmarkStart w:id="7" w:name="_Toc236411665"/>
      <w:bookmarkEnd w:id="6"/>
      <w:r>
        <w:lastRenderedPageBreak/>
        <w:t>2.2 Existing Security and Governance Problems</w:t>
      </w:r>
      <w:bookmarkEnd w:id="7"/>
    </w:p>
    <w:p w14:paraId="7D336E44" w14:textId="31077C20"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AeroLink is equipped with advanced technology, it has important information security governance and regulatory compliance gaps. The organization has seen multiple data compromise events in which customers' shipment information and personally identifiable information (PII) has been accessed without authorization, suggesting gaps in the controls for managing identities and accesses, and in how the organization secured its customer data. The trend of granting wider access and use to unmanaged devices </w:t>
      </w:r>
      <w:r>
        <w:rPr>
          <w:rFonts w:ascii="Times New Roman" w:eastAsia="Times New Roman" w:hAnsi="Times New Roman" w:cs="Times New Roman"/>
          <w:sz w:val="24"/>
          <w:szCs w:val="24"/>
        </w:rPr>
        <w:t xml:space="preserve">by remote workers and outside logistics providers exacerbates security challenges for access control, </w:t>
      </w:r>
      <w:r w:rsidR="002666CA">
        <w:rPr>
          <w:rFonts w:ascii="Times New Roman" w:eastAsia="Times New Roman" w:hAnsi="Times New Roman" w:cs="Times New Roman"/>
          <w:sz w:val="24"/>
          <w:szCs w:val="24"/>
        </w:rPr>
        <w:t>[26]</w:t>
      </w:r>
      <w:r>
        <w:rPr>
          <w:rFonts w:ascii="Times New Roman" w:eastAsia="Times New Roman" w:hAnsi="Times New Roman" w:cs="Times New Roman"/>
          <w:sz w:val="24"/>
          <w:szCs w:val="24"/>
        </w:rPr>
        <w:t xml:space="preserve"> said. These are echoed by recent research which revealed that cloud-based and IoT-powered ecosystems are increasing organisations' attack surface areas, and are lacking in appropriate rules and regulations for the management of cyber risks</w:t>
      </w:r>
      <w:r w:rsidR="003108A3">
        <w:rPr>
          <w:rFonts w:ascii="Times New Roman" w:eastAsia="Times New Roman" w:hAnsi="Times New Roman" w:cs="Times New Roman"/>
          <w:sz w:val="24"/>
          <w:szCs w:val="24"/>
        </w:rPr>
        <w:t xml:space="preserve"> [1]</w:t>
      </w:r>
      <w:r>
        <w:rPr>
          <w:rFonts w:ascii="Times New Roman" w:eastAsia="Times New Roman" w:hAnsi="Times New Roman" w:cs="Times New Roman"/>
          <w:sz w:val="24"/>
          <w:szCs w:val="24"/>
        </w:rPr>
        <w:t xml:space="preserve">. </w:t>
      </w:r>
    </w:p>
    <w:p w14:paraId="391A34B1"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D7FF34A" wp14:editId="70A53253">
            <wp:extent cx="5943600" cy="16637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1663700"/>
                    </a:xfrm>
                    <a:prstGeom prst="rect">
                      <a:avLst/>
                    </a:prstGeom>
                    <a:ln/>
                  </pic:spPr>
                </pic:pic>
              </a:graphicData>
            </a:graphic>
          </wp:inline>
        </w:drawing>
      </w:r>
    </w:p>
    <w:p w14:paraId="3D644C3C"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1: Current Security Challenges at AeroLink Logistics </w:t>
      </w:r>
    </w:p>
    <w:p w14:paraId="4BCD5CC8" w14:textId="6A879B2C"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huge worry point is that the organisation relies heavily on third-party IT services which creates significant risks due to external cybersecurity attacks. As explained by </w:t>
      </w:r>
      <w:r w:rsidR="002666CA">
        <w:rPr>
          <w:rFonts w:ascii="Times New Roman" w:eastAsia="Times New Roman" w:hAnsi="Times New Roman" w:cs="Times New Roman"/>
          <w:sz w:val="24"/>
          <w:szCs w:val="24"/>
        </w:rPr>
        <w:t>[19]</w:t>
      </w:r>
      <w:r>
        <w:rPr>
          <w:rFonts w:ascii="Times New Roman" w:eastAsia="Times New Roman" w:hAnsi="Times New Roman" w:cs="Times New Roman"/>
          <w:sz w:val="24"/>
          <w:szCs w:val="24"/>
        </w:rPr>
        <w:t xml:space="preserve">, if vendor security governance is overseen inadequately and there is no constant monitoring of the security provided by vendors, the vulnerabilities that are present in external vendors can directly impact an organisation's resources and customer data. Additionally, AeroLink Logistics has no integrated / coordination information security governance system, centralised risk management workflows, formal implementation of the ISO/IEC 27001 standards and a structured compliance auditing system from regulatory </w:t>
      </w:r>
      <w:r>
        <w:rPr>
          <w:rFonts w:ascii="Times New Roman" w:eastAsia="Times New Roman" w:hAnsi="Times New Roman" w:cs="Times New Roman"/>
          <w:sz w:val="24"/>
          <w:szCs w:val="24"/>
        </w:rPr>
        <w:t xml:space="preserve">requirements like the General Data Protection Regulation (GDPR) </w:t>
      </w:r>
      <w:r w:rsidR="002666CA">
        <w:rPr>
          <w:rFonts w:ascii="Times New Roman" w:eastAsia="Times New Roman" w:hAnsi="Times New Roman" w:cs="Times New Roman"/>
          <w:sz w:val="24"/>
          <w:szCs w:val="24"/>
        </w:rPr>
        <w:t>[18]</w:t>
      </w:r>
      <w:r>
        <w:rPr>
          <w:rFonts w:ascii="Times New Roman" w:eastAsia="Times New Roman" w:hAnsi="Times New Roman" w:cs="Times New Roman"/>
          <w:sz w:val="24"/>
          <w:szCs w:val="24"/>
        </w:rPr>
        <w:t>;</w:t>
      </w:r>
      <w:r w:rsidR="003108A3">
        <w:rPr>
          <w:rFonts w:ascii="Times New Roman" w:eastAsia="Times New Roman" w:hAnsi="Times New Roman" w:cs="Times New Roman"/>
          <w:sz w:val="24"/>
          <w:szCs w:val="24"/>
        </w:rPr>
        <w:t xml:space="preserve"> [12]</w:t>
      </w:r>
      <w:r>
        <w:rPr>
          <w:rFonts w:ascii="Times New Roman" w:eastAsia="Times New Roman" w:hAnsi="Times New Roman" w:cs="Times New Roman"/>
          <w:sz w:val="24"/>
          <w:szCs w:val="24"/>
        </w:rPr>
        <w:t xml:space="preserve">. Business continuity plans, incident response capabilities, information encryption, and responsibility for managing cybersecurity function are not well developed and there is dispersal of security management within different departments of the organisation </w:t>
      </w:r>
      <w:r w:rsidR="003108A3">
        <w:rPr>
          <w:rFonts w:ascii="Times New Roman" w:eastAsia="Times New Roman" w:hAnsi="Times New Roman" w:cs="Times New Roman"/>
          <w:sz w:val="24"/>
          <w:szCs w:val="24"/>
        </w:rPr>
        <w:t>[14]</w:t>
      </w:r>
      <w:r>
        <w:rPr>
          <w:rFonts w:ascii="Times New Roman" w:eastAsia="Times New Roman" w:hAnsi="Times New Roman" w:cs="Times New Roman"/>
          <w:sz w:val="24"/>
          <w:szCs w:val="24"/>
        </w:rPr>
        <w:t xml:space="preserve">. Such governance gaps make organisations less resilient to emerging cyber threats, increase the risk of regulatory fines and obligations, operational disruption, reputational damage and financial losses. </w:t>
      </w:r>
    </w:p>
    <w:p w14:paraId="206D4D55" w14:textId="77777777" w:rsidR="00B538DB" w:rsidRDefault="00AE5539">
      <w:pPr>
        <w:pStyle w:val="Heading1"/>
        <w:keepNext w:val="0"/>
        <w:keepLines w:val="0"/>
      </w:pPr>
      <w:bookmarkStart w:id="8" w:name="_vsg59hyh2chi" w:colFirst="0" w:colLast="0"/>
      <w:bookmarkStart w:id="9" w:name="_Toc236411666"/>
      <w:bookmarkEnd w:id="8"/>
      <w:r>
        <w:t>3. Critical Review of Information Security Frameworks</w:t>
      </w:r>
      <w:bookmarkEnd w:id="9"/>
      <w:r>
        <w:t xml:space="preserve"> </w:t>
      </w:r>
    </w:p>
    <w:p w14:paraId="1C3C8634" w14:textId="77777777" w:rsidR="00B538DB" w:rsidRDefault="00AE5539">
      <w:pPr>
        <w:pStyle w:val="Heading2"/>
      </w:pPr>
      <w:bookmarkStart w:id="10" w:name="_25tawovg2zwm" w:colFirst="0" w:colLast="0"/>
      <w:bookmarkStart w:id="11" w:name="_Toc236411667"/>
      <w:bookmarkEnd w:id="10"/>
      <w:r>
        <w:lastRenderedPageBreak/>
        <w:t>3.1 NIST Cybersecurity Framework</w:t>
      </w:r>
      <w:bookmarkEnd w:id="11"/>
      <w:r>
        <w:t xml:space="preserve"> </w:t>
      </w:r>
    </w:p>
    <w:p w14:paraId="58F547F0" w14:textId="6ACF592A"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NIST Framework for Cybersecurity (CSF) offers a flexible, risk-based method to deal with cybersecurity dangers in organizations of all sizes and from all disciplines. The updated NIST Cybersecurity Framework focuses on six areas: Govern, Identify, Protect, Detect, Respond, and Recover, all offering enhanced mechanisms for continuous improvements of cybersecurity governance and operational resilience</w:t>
      </w:r>
      <w:r w:rsidR="002666CA">
        <w:rPr>
          <w:rFonts w:ascii="Times New Roman" w:eastAsia="Times New Roman" w:hAnsi="Times New Roman" w:cs="Times New Roman"/>
          <w:sz w:val="24"/>
          <w:szCs w:val="24"/>
        </w:rPr>
        <w:t xml:space="preserve"> [25]</w:t>
      </w:r>
      <w:r>
        <w:rPr>
          <w:rFonts w:ascii="Times New Roman" w:eastAsia="Times New Roman" w:hAnsi="Times New Roman" w:cs="Times New Roman"/>
          <w:sz w:val="24"/>
          <w:szCs w:val="24"/>
        </w:rPr>
        <w:t xml:space="preserve">. The framework allows organisations to innovatively adapt their approach to cybersecurity to their business goals, technology readiness and risk profile, with the support of non-prescriptive standards. </w:t>
      </w:r>
    </w:p>
    <w:p w14:paraId="54D5B43A" w14:textId="3A0ACF83"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limitations cited by </w:t>
      </w:r>
      <w:r w:rsidR="003108A3">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for the NIST CSF is its holistic lifecycle methodology that incorporates both governance, risk management, incident response and recovery planning all within one framework. It is very flexible and can be easily adopted for organisations using cloud environments, Internet of Things (IoT) infrastructures, and outsourced information technology services. The framework, however, as argued by </w:t>
      </w:r>
      <w:r w:rsidR="003108A3">
        <w:rPr>
          <w:rFonts w:ascii="Times New Roman" w:eastAsia="Times New Roman" w:hAnsi="Times New Roman" w:cs="Times New Roman"/>
          <w:sz w:val="24"/>
          <w:szCs w:val="24"/>
        </w:rPr>
        <w:t>[2]</w:t>
      </w:r>
      <w:r>
        <w:rPr>
          <w:rFonts w:ascii="Times New Roman" w:eastAsia="Times New Roman" w:hAnsi="Times New Roman" w:cs="Times New Roman"/>
          <w:sz w:val="24"/>
          <w:szCs w:val="24"/>
        </w:rPr>
        <w:t>, does not offer a certificate, which means that it has less value as a proof of compliance with the regulation. In addition to this, organisations may need additional advisory on how to implement the framework and/or technical controls to make it operational. For AeroLink Logistics, NIST CSF is the framework that helps them enhance their risk management, cyber resilient capabilities and effectively respond to emerging cyber security threats throughout their logistics system, which is increasingly digitally</w:t>
      </w:r>
      <w:r>
        <w:rPr>
          <w:rFonts w:ascii="Times New Roman" w:eastAsia="Times New Roman" w:hAnsi="Times New Roman" w:cs="Times New Roman"/>
          <w:sz w:val="24"/>
          <w:szCs w:val="24"/>
        </w:rPr>
        <w:t xml:space="preserve"> connected. </w:t>
      </w:r>
    </w:p>
    <w:p w14:paraId="25700072" w14:textId="77777777" w:rsidR="00B538DB" w:rsidRDefault="00AE5539">
      <w:pPr>
        <w:pStyle w:val="Heading2"/>
        <w:keepNext w:val="0"/>
        <w:keepLines w:val="0"/>
      </w:pPr>
      <w:bookmarkStart w:id="12" w:name="_w0tuqyt47vi2" w:colFirst="0" w:colLast="0"/>
      <w:bookmarkStart w:id="13" w:name="_Toc236411668"/>
      <w:bookmarkEnd w:id="12"/>
      <w:r>
        <w:t>3.2 ISO/IEC 27001</w:t>
      </w:r>
      <w:bookmarkEnd w:id="13"/>
    </w:p>
    <w:p w14:paraId="54CDD40E" w14:textId="136E99C9"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international standard ISO/IEC 27001 is widely accepted for the development, introduction, operation, maintenance and continuous improvement of an Information Security Management System (ISMS)</w:t>
      </w:r>
      <w:r w:rsidR="003108A3">
        <w:rPr>
          <w:rFonts w:ascii="Times New Roman" w:eastAsia="Times New Roman" w:hAnsi="Times New Roman" w:cs="Times New Roman"/>
          <w:sz w:val="24"/>
          <w:szCs w:val="24"/>
        </w:rPr>
        <w:t xml:space="preserve"> [13]</w:t>
      </w:r>
      <w:r>
        <w:rPr>
          <w:rFonts w:ascii="Times New Roman" w:eastAsia="Times New Roman" w:hAnsi="Times New Roman" w:cs="Times New Roman"/>
          <w:sz w:val="24"/>
          <w:szCs w:val="24"/>
        </w:rPr>
        <w:t xml:space="preserve">. The standard has taken a risk-based approach, whereby organisations are expected to proactively identify information security risks and implement suitable controls, whilst continuously monitoring and improving to measure the effectiveness of these controls. According to the experience of </w:t>
      </w:r>
      <w:r w:rsidR="00DA630F">
        <w:rPr>
          <w:rFonts w:ascii="Times New Roman" w:eastAsia="Times New Roman" w:hAnsi="Times New Roman" w:cs="Times New Roman"/>
          <w:sz w:val="24"/>
          <w:szCs w:val="24"/>
        </w:rPr>
        <w:t>[35]</w:t>
      </w:r>
      <w:r>
        <w:rPr>
          <w:rFonts w:ascii="Times New Roman" w:eastAsia="Times New Roman" w:hAnsi="Times New Roman" w:cs="Times New Roman"/>
          <w:sz w:val="24"/>
          <w:szCs w:val="24"/>
        </w:rPr>
        <w:t>, organisations that certify to ISO/IEC 27001 are showing their commitment to global best practice in information security and that they are meeting regulatory requirements in several jurisdictions.</w:t>
      </w:r>
    </w:p>
    <w:p w14:paraId="774CF13A" w14:textId="6138243A"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benefit of ISO / IEC 27001 is that it provides the structure of management which improves the accountability of organizations, policy development, risk handling, asset management and continuous improvement </w:t>
      </w:r>
      <w:r w:rsidR="003108A3">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The standard, as noted by </w:t>
      </w:r>
      <w:r w:rsidR="003108A3">
        <w:rPr>
          <w:rFonts w:ascii="Times New Roman" w:eastAsia="Times New Roman" w:hAnsi="Times New Roman" w:cs="Times New Roman"/>
          <w:sz w:val="24"/>
          <w:szCs w:val="24"/>
        </w:rPr>
        <w:t>[16]</w:t>
      </w:r>
      <w:r>
        <w:rPr>
          <w:rFonts w:ascii="Times New Roman" w:eastAsia="Times New Roman" w:hAnsi="Times New Roman" w:cs="Times New Roman"/>
          <w:sz w:val="24"/>
          <w:szCs w:val="24"/>
        </w:rPr>
        <w:t xml:space="preserve">, also serves to boost stakeholder confidence by ensuring independent verification of certification. However, there is significant organisation commitment, financial investment and expertise needed to implement it, making certification 'heavy lifting' for organisations that have complex infrastructures. Additionally, ISO/IEC 27001 lays down management requirements and not detailed security controls and implementations, meaning that it has to be integrated with other cybersecurity frameworks </w:t>
      </w:r>
      <w:r w:rsidR="003108A3">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Given the repeated cases of data breaches, a multi-layered governance framework and regulatory compliance gaps faced by AeroLink Logistics, ISO/IEC 27001 could offer a </w:t>
      </w:r>
      <w:r>
        <w:rPr>
          <w:rFonts w:ascii="Times New Roman" w:eastAsia="Times New Roman" w:hAnsi="Times New Roman" w:cs="Times New Roman"/>
          <w:sz w:val="24"/>
          <w:szCs w:val="24"/>
        </w:rPr>
        <w:lastRenderedPageBreak/>
        <w:t xml:space="preserve">comprehensive governance framework to standardise the information security aspect and boost the firm's regulatory compliance and resilience. </w:t>
      </w:r>
    </w:p>
    <w:p w14:paraId="5DCF3D99" w14:textId="77777777" w:rsidR="00B538DB" w:rsidRDefault="00AE5539">
      <w:pPr>
        <w:pStyle w:val="Heading2"/>
        <w:keepNext w:val="0"/>
        <w:keepLines w:val="0"/>
      </w:pPr>
      <w:bookmarkStart w:id="14" w:name="_y60wsl8ru1b4" w:colFirst="0" w:colLast="0"/>
      <w:bookmarkStart w:id="15" w:name="_Toc236411669"/>
      <w:bookmarkEnd w:id="14"/>
      <w:r>
        <w:t>3.3 COBIT 2019</w:t>
      </w:r>
      <w:bookmarkEnd w:id="15"/>
      <w:r>
        <w:t xml:space="preserve"> </w:t>
      </w:r>
    </w:p>
    <w:p w14:paraId="727AF66A" w14:textId="7336036A"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COBIT 2019 is an Enterprise Governance framework aimed at matching the Information Technology governance with organisational strategy and business goals. COBIT is not a technical standard in the field of cybersecurity, rather, it highlights COBIT governance principles, decision making processes, performance management, adding value to stakeholders and accountability for enterprise information systems </w:t>
      </w:r>
      <w:r w:rsidR="002666CA">
        <w:rPr>
          <w:rFonts w:ascii="Times New Roman" w:eastAsia="Times New Roman" w:hAnsi="Times New Roman" w:cs="Times New Roman"/>
          <w:sz w:val="24"/>
          <w:szCs w:val="24"/>
        </w:rPr>
        <w:t>[22]</w:t>
      </w:r>
      <w:r>
        <w:rPr>
          <w:rFonts w:ascii="Times New Roman" w:eastAsia="Times New Roman" w:hAnsi="Times New Roman" w:cs="Times New Roman"/>
          <w:sz w:val="24"/>
          <w:szCs w:val="24"/>
        </w:rPr>
        <w:t>. Its governance goals facilitate and assist organizations to define responsibilities, assess governance, and make sure that the investment in technology aligns with strategic business objectives.</w:t>
      </w:r>
    </w:p>
    <w:p w14:paraId="724C268F" w14:textId="5F27B4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advantages of COBIT 2019 is its ability to combine IT governance and corporate governance so as to make the IT more aligned with the goals and achieve the oversight of the organisation </w:t>
      </w:r>
      <w:r w:rsidR="00DA630F">
        <w:rPr>
          <w:rFonts w:ascii="Times New Roman" w:eastAsia="Times New Roman" w:hAnsi="Times New Roman" w:cs="Times New Roman"/>
          <w:sz w:val="24"/>
          <w:szCs w:val="24"/>
        </w:rPr>
        <w:t>[28]</w:t>
      </w:r>
      <w:r>
        <w:rPr>
          <w:rFonts w:ascii="Times New Roman" w:eastAsia="Times New Roman" w:hAnsi="Times New Roman" w:cs="Times New Roman"/>
          <w:sz w:val="24"/>
          <w:szCs w:val="24"/>
        </w:rPr>
        <w:t xml:space="preserve">. As cited by </w:t>
      </w:r>
      <w:r w:rsidR="00DA630F">
        <w:rPr>
          <w:rFonts w:ascii="Times New Roman" w:eastAsia="Times New Roman" w:hAnsi="Times New Roman" w:cs="Times New Roman"/>
          <w:sz w:val="24"/>
          <w:szCs w:val="24"/>
        </w:rPr>
        <w:t>[29]</w:t>
      </w:r>
      <w:r>
        <w:rPr>
          <w:rFonts w:ascii="Times New Roman" w:eastAsia="Times New Roman" w:hAnsi="Times New Roman" w:cs="Times New Roman"/>
          <w:sz w:val="24"/>
          <w:szCs w:val="24"/>
        </w:rPr>
        <w:t xml:space="preserve"> the framework also offers measurable governance goals and performance indicators for ongoing evaluation of the effectiveness of an organization. COBIT does provide very little operational guidance on how cybersecurity should be implemented in practice, and very little technical guidance for security controls; therefore, it needs to be integrated with other standards like ISO/IEC 27001 and/or the NIST Cybersecurity Framework </w:t>
      </w:r>
      <w:r w:rsidR="002666CA">
        <w:rPr>
          <w:rFonts w:ascii="Times New Roman" w:eastAsia="Times New Roman" w:hAnsi="Times New Roman" w:cs="Times New Roman"/>
          <w:sz w:val="24"/>
          <w:szCs w:val="24"/>
        </w:rPr>
        <w:t>[27]</w:t>
      </w:r>
      <w:r>
        <w:rPr>
          <w:rFonts w:ascii="Times New Roman" w:eastAsia="Times New Roman" w:hAnsi="Times New Roman" w:cs="Times New Roman"/>
          <w:sz w:val="24"/>
          <w:szCs w:val="24"/>
        </w:rPr>
        <w:t xml:space="preserve">. AeroLink Logistics would significantly benefit from the adoption of COBIT 2019 as it would enhance their executive control, governance accountability and strategic decision making whilst working with existing operational cybersecurity systems. </w:t>
      </w:r>
    </w:p>
    <w:p w14:paraId="6E702512" w14:textId="77777777" w:rsidR="00B538DB" w:rsidRDefault="00AE5539">
      <w:pPr>
        <w:pStyle w:val="Heading2"/>
        <w:keepNext w:val="0"/>
        <w:keepLines w:val="0"/>
      </w:pPr>
      <w:bookmarkStart w:id="16" w:name="_bupad3c5aqvk" w:colFirst="0" w:colLast="0"/>
      <w:bookmarkStart w:id="17" w:name="_Toc236411670"/>
      <w:bookmarkEnd w:id="16"/>
      <w:r>
        <w:t>3.4 ITIL</w:t>
      </w:r>
      <w:bookmarkEnd w:id="17"/>
    </w:p>
    <w:p w14:paraId="5F4B1DBF" w14:textId="51DD249B"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Information Technology Infrastructure Library (ITIL) offers globally accepted best practices for Information Technology Service Management (ITSM), which includes providing reliable, efficient and customer-oriented technology services </w:t>
      </w:r>
      <w:r w:rsidR="00DA630F">
        <w:rPr>
          <w:rFonts w:ascii="Times New Roman" w:eastAsia="Times New Roman" w:hAnsi="Times New Roman" w:cs="Times New Roman"/>
          <w:sz w:val="24"/>
          <w:szCs w:val="24"/>
        </w:rPr>
        <w:t>[34]</w:t>
      </w:r>
      <w:r>
        <w:rPr>
          <w:rFonts w:ascii="Times New Roman" w:eastAsia="Times New Roman" w:hAnsi="Times New Roman" w:cs="Times New Roman"/>
          <w:sz w:val="24"/>
          <w:szCs w:val="24"/>
        </w:rPr>
        <w:t xml:space="preserve">. </w:t>
      </w:r>
      <w:r w:rsidR="002666CA">
        <w:rPr>
          <w:rFonts w:ascii="Times New Roman" w:eastAsia="Times New Roman" w:hAnsi="Times New Roman" w:cs="Times New Roman"/>
          <w:sz w:val="24"/>
          <w:szCs w:val="24"/>
        </w:rPr>
        <w:t>[17]</w:t>
      </w:r>
      <w:r>
        <w:rPr>
          <w:rFonts w:ascii="Times New Roman" w:eastAsia="Times New Roman" w:hAnsi="Times New Roman" w:cs="Times New Roman"/>
          <w:sz w:val="24"/>
          <w:szCs w:val="24"/>
        </w:rPr>
        <w:t xml:space="preserve"> considers ITIL as one leading influence on cybersecurity because it details and allows a well-defined approach to incident, change, problem and continuous service improvement procedures. These reduce the disruptions in operations, enhance the quality of services rendered and the responsiveness of Organisations. ITIL has very little to say about cyber security governance – in fact it's a focus on service management</w:t>
      </w:r>
      <w:r w:rsidR="00DA630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 it should be harmonised with frameworks of security specifically </w:t>
      </w:r>
      <w:r w:rsidR="00DA630F">
        <w:rPr>
          <w:rFonts w:ascii="Times New Roman" w:eastAsia="Times New Roman" w:hAnsi="Times New Roman" w:cs="Times New Roman"/>
          <w:sz w:val="24"/>
          <w:szCs w:val="24"/>
        </w:rPr>
        <w:t>[33]</w:t>
      </w:r>
      <w:r>
        <w:rPr>
          <w:rFonts w:ascii="Times New Roman" w:eastAsia="Times New Roman" w:hAnsi="Times New Roman" w:cs="Times New Roman"/>
          <w:sz w:val="24"/>
          <w:szCs w:val="24"/>
        </w:rPr>
        <w:t xml:space="preserve">. AeroLink Logistics would see benefits in their outsourced IT environment in terms of enhanced coordination of incident response, continuity of services and operational efficiency through the implementation of ITIL. </w:t>
      </w:r>
    </w:p>
    <w:p w14:paraId="5FC10C1D" w14:textId="77777777" w:rsidR="00B538DB" w:rsidRDefault="00AE5539">
      <w:pPr>
        <w:pStyle w:val="Heading2"/>
        <w:keepNext w:val="0"/>
        <w:keepLines w:val="0"/>
      </w:pPr>
      <w:bookmarkStart w:id="18" w:name="_h21kp95rrch5" w:colFirst="0" w:colLast="0"/>
      <w:bookmarkStart w:id="19" w:name="_Toc236411671"/>
      <w:bookmarkEnd w:id="18"/>
      <w:r>
        <w:t>3.5 Critical Comparison of Frameworks</w:t>
      </w:r>
      <w:bookmarkEnd w:id="19"/>
      <w:r>
        <w:t xml:space="preserv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538DB" w14:paraId="138E700E" w14:textId="77777777">
        <w:tc>
          <w:tcPr>
            <w:tcW w:w="9360" w:type="dxa"/>
            <w:tcMar>
              <w:top w:w="100" w:type="dxa"/>
              <w:left w:w="100" w:type="dxa"/>
              <w:bottom w:w="100" w:type="dxa"/>
              <w:right w:w="100" w:type="dxa"/>
            </w:tcMar>
          </w:tcPr>
          <w:p w14:paraId="0BFAABAD"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bl>
            <w:tblPr>
              <w:tblStyle w:val="a0"/>
              <w:tblW w:w="91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85"/>
              <w:gridCol w:w="2055"/>
              <w:gridCol w:w="2310"/>
              <w:gridCol w:w="2970"/>
            </w:tblGrid>
            <w:tr w:rsidR="00B538DB" w14:paraId="2E50744D" w14:textId="77777777">
              <w:tc>
                <w:tcPr>
                  <w:tcW w:w="1785" w:type="dxa"/>
                  <w:tcMar>
                    <w:top w:w="100" w:type="dxa"/>
                    <w:left w:w="100" w:type="dxa"/>
                    <w:bottom w:w="100" w:type="dxa"/>
                    <w:right w:w="100" w:type="dxa"/>
                  </w:tcMar>
                </w:tcPr>
                <w:p w14:paraId="2A98B7FB"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Framework</w:t>
                  </w:r>
                </w:p>
              </w:tc>
              <w:tc>
                <w:tcPr>
                  <w:tcW w:w="2055" w:type="dxa"/>
                  <w:tcMar>
                    <w:top w:w="100" w:type="dxa"/>
                    <w:left w:w="100" w:type="dxa"/>
                    <w:bottom w:w="100" w:type="dxa"/>
                    <w:right w:w="100" w:type="dxa"/>
                  </w:tcMar>
                </w:tcPr>
                <w:p w14:paraId="3FD6F180"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Primary Strength</w:t>
                  </w:r>
                </w:p>
              </w:tc>
              <w:tc>
                <w:tcPr>
                  <w:tcW w:w="2310" w:type="dxa"/>
                  <w:tcMar>
                    <w:top w:w="100" w:type="dxa"/>
                    <w:left w:w="100" w:type="dxa"/>
                    <w:bottom w:w="100" w:type="dxa"/>
                    <w:right w:w="100" w:type="dxa"/>
                  </w:tcMar>
                </w:tcPr>
                <w:p w14:paraId="33FB82C2"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Primary Weakness</w:t>
                  </w:r>
                </w:p>
              </w:tc>
              <w:tc>
                <w:tcPr>
                  <w:tcW w:w="2970" w:type="dxa"/>
                  <w:tcMar>
                    <w:top w:w="100" w:type="dxa"/>
                    <w:left w:w="100" w:type="dxa"/>
                    <w:bottom w:w="100" w:type="dxa"/>
                    <w:right w:w="100" w:type="dxa"/>
                  </w:tcMar>
                </w:tcPr>
                <w:p w14:paraId="52D41C59"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Recommended Use for AeroLink Logistics</w:t>
                  </w:r>
                </w:p>
              </w:tc>
            </w:tr>
            <w:tr w:rsidR="00B538DB" w14:paraId="23F9C19D" w14:textId="77777777">
              <w:tc>
                <w:tcPr>
                  <w:tcW w:w="1785" w:type="dxa"/>
                  <w:tcMar>
                    <w:top w:w="100" w:type="dxa"/>
                    <w:left w:w="100" w:type="dxa"/>
                    <w:bottom w:w="100" w:type="dxa"/>
                    <w:right w:w="100" w:type="dxa"/>
                  </w:tcMar>
                </w:tcPr>
                <w:p w14:paraId="5F8A6C03"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NIST Cybersecurity Framework (CSF 2.0) </w:t>
                  </w:r>
                </w:p>
              </w:tc>
              <w:tc>
                <w:tcPr>
                  <w:tcW w:w="2055" w:type="dxa"/>
                  <w:tcMar>
                    <w:top w:w="100" w:type="dxa"/>
                    <w:left w:w="100" w:type="dxa"/>
                    <w:bottom w:w="100" w:type="dxa"/>
                    <w:right w:w="100" w:type="dxa"/>
                  </w:tcMar>
                </w:tcPr>
                <w:p w14:paraId="5C5E9836"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Comprehensive cyber risk management and operational resilience </w:t>
                  </w:r>
                </w:p>
              </w:tc>
              <w:tc>
                <w:tcPr>
                  <w:tcW w:w="2310" w:type="dxa"/>
                  <w:tcMar>
                    <w:top w:w="100" w:type="dxa"/>
                    <w:left w:w="100" w:type="dxa"/>
                    <w:bottom w:w="100" w:type="dxa"/>
                    <w:right w:w="100" w:type="dxa"/>
                  </w:tcMar>
                </w:tcPr>
                <w:p w14:paraId="340249C0"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 formal certification; requires implementation guidance </w:t>
                  </w:r>
                </w:p>
              </w:tc>
              <w:tc>
                <w:tcPr>
                  <w:tcW w:w="2970" w:type="dxa"/>
                  <w:tcMar>
                    <w:top w:w="100" w:type="dxa"/>
                    <w:left w:w="100" w:type="dxa"/>
                    <w:bottom w:w="100" w:type="dxa"/>
                    <w:right w:w="100" w:type="dxa"/>
                  </w:tcMar>
                </w:tcPr>
                <w:p w14:paraId="56D4276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Cybersecurity governance, cloud security, incident response, risk management </w:t>
                  </w:r>
                </w:p>
              </w:tc>
            </w:tr>
            <w:tr w:rsidR="00B538DB" w14:paraId="1FCFB0BC" w14:textId="77777777">
              <w:tc>
                <w:tcPr>
                  <w:tcW w:w="1785" w:type="dxa"/>
                  <w:tcMar>
                    <w:top w:w="100" w:type="dxa"/>
                    <w:left w:w="100" w:type="dxa"/>
                    <w:bottom w:w="100" w:type="dxa"/>
                    <w:right w:w="100" w:type="dxa"/>
                  </w:tcMar>
                </w:tcPr>
                <w:p w14:paraId="3F857A47"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ISO/IEC 27001 </w:t>
                  </w:r>
                </w:p>
              </w:tc>
              <w:tc>
                <w:tcPr>
                  <w:tcW w:w="2055" w:type="dxa"/>
                  <w:tcMar>
                    <w:top w:w="100" w:type="dxa"/>
                    <w:left w:w="100" w:type="dxa"/>
                    <w:bottom w:w="100" w:type="dxa"/>
                    <w:right w:w="100" w:type="dxa"/>
                  </w:tcMar>
                </w:tcPr>
                <w:p w14:paraId="7EB0D240"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Internationally recognised ISMS and regulatory compliance </w:t>
                  </w:r>
                </w:p>
              </w:tc>
              <w:tc>
                <w:tcPr>
                  <w:tcW w:w="2310" w:type="dxa"/>
                  <w:tcMar>
                    <w:top w:w="100" w:type="dxa"/>
                    <w:left w:w="100" w:type="dxa"/>
                    <w:bottom w:w="100" w:type="dxa"/>
                    <w:right w:w="100" w:type="dxa"/>
                  </w:tcMar>
                </w:tcPr>
                <w:p w14:paraId="607EE6F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Costly and resource-intensive certification process </w:t>
                  </w:r>
                </w:p>
              </w:tc>
              <w:tc>
                <w:tcPr>
                  <w:tcW w:w="2970" w:type="dxa"/>
                  <w:tcMar>
                    <w:top w:w="100" w:type="dxa"/>
                    <w:left w:w="100" w:type="dxa"/>
                    <w:bottom w:w="100" w:type="dxa"/>
                    <w:right w:w="100" w:type="dxa"/>
                  </w:tcMar>
                </w:tcPr>
                <w:p w14:paraId="7F70A750"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Enterprise information security governance and compliance </w:t>
                  </w:r>
                </w:p>
              </w:tc>
            </w:tr>
            <w:tr w:rsidR="00B538DB" w14:paraId="4415082B" w14:textId="77777777">
              <w:tc>
                <w:tcPr>
                  <w:tcW w:w="1785" w:type="dxa"/>
                  <w:tcMar>
                    <w:top w:w="100" w:type="dxa"/>
                    <w:left w:w="100" w:type="dxa"/>
                    <w:bottom w:w="100" w:type="dxa"/>
                    <w:right w:w="100" w:type="dxa"/>
                  </w:tcMar>
                </w:tcPr>
                <w:p w14:paraId="7DBBDBC2"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COBIT 2019 </w:t>
                  </w:r>
                </w:p>
              </w:tc>
              <w:tc>
                <w:tcPr>
                  <w:tcW w:w="2055" w:type="dxa"/>
                  <w:tcMar>
                    <w:top w:w="100" w:type="dxa"/>
                    <w:left w:w="100" w:type="dxa"/>
                    <w:bottom w:w="100" w:type="dxa"/>
                    <w:right w:w="100" w:type="dxa"/>
                  </w:tcMar>
                </w:tcPr>
                <w:p w14:paraId="2AEA9BE9"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Strong IT governance, strategic alignment and performance management </w:t>
                  </w:r>
                </w:p>
              </w:tc>
              <w:tc>
                <w:tcPr>
                  <w:tcW w:w="2310" w:type="dxa"/>
                  <w:tcMar>
                    <w:top w:w="100" w:type="dxa"/>
                    <w:left w:w="100" w:type="dxa"/>
                    <w:bottom w:w="100" w:type="dxa"/>
                    <w:right w:w="100" w:type="dxa"/>
                  </w:tcMar>
                </w:tcPr>
                <w:p w14:paraId="056C0BF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Limited operational cybersecurity guidance </w:t>
                  </w:r>
                </w:p>
              </w:tc>
              <w:tc>
                <w:tcPr>
                  <w:tcW w:w="2970" w:type="dxa"/>
                  <w:tcMar>
                    <w:top w:w="100" w:type="dxa"/>
                    <w:left w:w="100" w:type="dxa"/>
                    <w:bottom w:w="100" w:type="dxa"/>
                    <w:right w:w="100" w:type="dxa"/>
                  </w:tcMar>
                </w:tcPr>
                <w:p w14:paraId="1D14DAA7"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Executive governance, accountability and strategic decision-making </w:t>
                  </w:r>
                </w:p>
              </w:tc>
            </w:tr>
            <w:tr w:rsidR="00B538DB" w14:paraId="5BF7E828" w14:textId="77777777">
              <w:tc>
                <w:tcPr>
                  <w:tcW w:w="1785" w:type="dxa"/>
                  <w:tcMar>
                    <w:top w:w="100" w:type="dxa"/>
                    <w:left w:w="100" w:type="dxa"/>
                    <w:bottom w:w="100" w:type="dxa"/>
                    <w:right w:w="100" w:type="dxa"/>
                  </w:tcMar>
                </w:tcPr>
                <w:p w14:paraId="75E728BE"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ITIL 4 </w:t>
                  </w:r>
                </w:p>
              </w:tc>
              <w:tc>
                <w:tcPr>
                  <w:tcW w:w="2055" w:type="dxa"/>
                  <w:tcMar>
                    <w:top w:w="100" w:type="dxa"/>
                    <w:left w:w="100" w:type="dxa"/>
                    <w:bottom w:w="100" w:type="dxa"/>
                    <w:right w:w="100" w:type="dxa"/>
                  </w:tcMar>
                </w:tcPr>
                <w:p w14:paraId="4012FA08"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IT service, incident and change management </w:t>
                  </w:r>
                </w:p>
              </w:tc>
              <w:tc>
                <w:tcPr>
                  <w:tcW w:w="2310" w:type="dxa"/>
                  <w:tcMar>
                    <w:top w:w="100" w:type="dxa"/>
                    <w:left w:w="100" w:type="dxa"/>
                    <w:bottom w:w="100" w:type="dxa"/>
                    <w:right w:w="100" w:type="dxa"/>
                  </w:tcMar>
                </w:tcPr>
                <w:p w14:paraId="330EEC3C"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Focuses on service management rather than cybersecurity governance </w:t>
                  </w:r>
                </w:p>
              </w:tc>
              <w:tc>
                <w:tcPr>
                  <w:tcW w:w="2970" w:type="dxa"/>
                  <w:tcMar>
                    <w:top w:w="100" w:type="dxa"/>
                    <w:left w:w="100" w:type="dxa"/>
                    <w:bottom w:w="100" w:type="dxa"/>
                    <w:right w:w="100" w:type="dxa"/>
                  </w:tcMar>
                </w:tcPr>
                <w:p w14:paraId="5E897FC7"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IT service continuity, incident management and operational efficiency</w:t>
                  </w:r>
                </w:p>
              </w:tc>
            </w:tr>
          </w:tbl>
          <w:p w14:paraId="509231D4"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5A6D7AFD"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1: Critical Comparison of Information Security Frameworks</w:t>
      </w:r>
    </w:p>
    <w:p w14:paraId="351414B4" w14:textId="77777777" w:rsidR="00B538DB" w:rsidRDefault="00AE5539">
      <w:pPr>
        <w:pStyle w:val="Heading1"/>
        <w:keepNext w:val="0"/>
        <w:keepLines w:val="0"/>
      </w:pPr>
      <w:bookmarkStart w:id="20" w:name="_4qzsaly5okqf" w:colFirst="0" w:colLast="0"/>
      <w:bookmarkStart w:id="21" w:name="_Toc236411672"/>
      <w:bookmarkEnd w:id="20"/>
      <w:r>
        <w:t>4. Proposed Integrated Security Governance Framework</w:t>
      </w:r>
      <w:bookmarkEnd w:id="21"/>
      <w:r>
        <w:t xml:space="preserve">  </w:t>
      </w:r>
    </w:p>
    <w:p w14:paraId="5E6AFA3B" w14:textId="77777777" w:rsidR="00B538DB" w:rsidRDefault="00AE553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AeroLink Integrated Security Governance Framework (AISGF) will develop a specific cybersecurity governance model, tailored to the requirements of AeroLink Logistics' cybersecurity, compliance and operational issues. The framework merges the governance principles of COBIT 2019, the Information Security Management System (ISMS) requirements of ISO/IEC 27001:2022, the risk-based lifecycle of the NIST Cybersecurity Framework (CSF) 2.0 and the service management principles of ITIL 4. The integrated usage of </w:t>
      </w:r>
      <w:r>
        <w:rPr>
          <w:rFonts w:ascii="Times New Roman" w:eastAsia="Times New Roman" w:hAnsi="Times New Roman" w:cs="Times New Roman"/>
          <w:sz w:val="24"/>
          <w:szCs w:val="24"/>
        </w:rPr>
        <w:t xml:space="preserve">these complementary frameworks equips AISGF with a complete solution to optimize the governance of the organization, boost cyber-resilience, align activities with regulations, and increase the efficiency of operations. </w:t>
      </w:r>
    </w:p>
    <w:p w14:paraId="490E9628" w14:textId="77777777" w:rsidR="00B538DB" w:rsidRDefault="00AE5539">
      <w:pPr>
        <w:pStyle w:val="Heading2"/>
        <w:keepNext w:val="0"/>
        <w:keepLines w:val="0"/>
      </w:pPr>
      <w:bookmarkStart w:id="22" w:name="_3an1kgesl5gj" w:colFirst="0" w:colLast="0"/>
      <w:bookmarkStart w:id="23" w:name="_Toc236411673"/>
      <w:bookmarkEnd w:id="22"/>
      <w:r>
        <w:t>4.1 Governance Structure</w:t>
      </w:r>
      <w:bookmarkEnd w:id="23"/>
      <w:r>
        <w:t xml:space="preserve"> </w:t>
      </w:r>
    </w:p>
    <w:p w14:paraId="4FA34583"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suggests that the governance shortcomings were identified in AeroLink Logistics, and suggests that AeroLink Integrated Security Governance Framework (AISGF) is a multi-layered governance framework that integrates strategic governance, operational security management, risk </w:t>
      </w:r>
      <w:r>
        <w:rPr>
          <w:rFonts w:ascii="Times New Roman" w:eastAsia="Times New Roman" w:hAnsi="Times New Roman" w:cs="Times New Roman"/>
          <w:sz w:val="24"/>
          <w:szCs w:val="24"/>
        </w:rPr>
        <w:lastRenderedPageBreak/>
        <w:t>governance, and regulatory compliance. The governance framework elevates the Board of Directors to the highest level to ensure that cybersecurity meets objectives, business resilience and regulatory requirements. The Chief Information Security Officer (CISO) reports to the Board and has responsibility for the strategy, policy and ongoing management of the enterprise-wide rollout of cyber security.</w:t>
      </w:r>
    </w:p>
    <w:p w14:paraId="45AE8948" w14:textId="19828344"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CISO's support is a multidisciplinary Security Governance Committee, composed of representatives from risk management, legal compliance, information technology, and business operations </w:t>
      </w:r>
      <w:r w:rsidR="003108A3">
        <w:rPr>
          <w:rFonts w:ascii="Times New Roman" w:eastAsia="Times New Roman" w:hAnsi="Times New Roman" w:cs="Times New Roman"/>
          <w:sz w:val="24"/>
          <w:szCs w:val="24"/>
        </w:rPr>
        <w:t>[4]</w:t>
      </w:r>
      <w:r>
        <w:rPr>
          <w:rFonts w:ascii="Times New Roman" w:eastAsia="Times New Roman" w:hAnsi="Times New Roman" w:cs="Times New Roman"/>
          <w:sz w:val="24"/>
          <w:szCs w:val="24"/>
        </w:rPr>
        <w:t xml:space="preserve">. As by </w:t>
      </w:r>
      <w:r w:rsidR="003108A3">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a dedicated Cyber Risk Team conducts regular risk assessment, compliance monitoring and threat intelligence operations, and IT Operations supports the technical security controls and infrastructure monitoring and coordinates incident response. This governance framework puts accountability clearly on the record, eases executive control over the procedures, and supports quick decision making throughout the company. </w:t>
      </w:r>
    </w:p>
    <w:p w14:paraId="53D56F10"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888F32" wp14:editId="6DEA1A26">
            <wp:extent cx="5943600" cy="40259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4025900"/>
                    </a:xfrm>
                    <a:prstGeom prst="rect">
                      <a:avLst/>
                    </a:prstGeom>
                    <a:ln/>
                  </pic:spPr>
                </pic:pic>
              </a:graphicData>
            </a:graphic>
          </wp:inline>
        </w:drawing>
      </w:r>
    </w:p>
    <w:p w14:paraId="3E12A5D5"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AeroLink Integrated Security Governance Framework (AISGF) </w:t>
      </w:r>
    </w:p>
    <w:p w14:paraId="6C70C13B" w14:textId="77777777" w:rsidR="00B538DB" w:rsidRDefault="00AE5539">
      <w:pPr>
        <w:pStyle w:val="Heading2"/>
        <w:keepNext w:val="0"/>
        <w:keepLines w:val="0"/>
      </w:pPr>
      <w:bookmarkStart w:id="24" w:name="_j40htlxuz0u7" w:colFirst="0" w:colLast="0"/>
      <w:bookmarkStart w:id="25" w:name="_Toc236411674"/>
      <w:bookmarkEnd w:id="24"/>
      <w:r>
        <w:t>4.2 Risk Management Framework</w:t>
      </w:r>
      <w:bookmarkEnd w:id="25"/>
      <w:r>
        <w:t xml:space="preserve"> </w:t>
      </w:r>
    </w:p>
    <w:p w14:paraId="3CB1E101"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effective cybersecurity governance, there is a need for a system with a built-in continuous and structured risk management process to detect new threats through the AeroLink </w:t>
      </w:r>
      <w:r>
        <w:rPr>
          <w:rFonts w:ascii="Times New Roman" w:eastAsia="Times New Roman" w:hAnsi="Times New Roman" w:cs="Times New Roman"/>
          <w:sz w:val="24"/>
          <w:szCs w:val="24"/>
        </w:rPr>
        <w:lastRenderedPageBreak/>
        <w:t xml:space="preserve">Logistics' cloud-based environment, IoT and outsourced technology services. The proposed AISGF risk management approach starts with risk identification, which involves Vulnerability Assessments, Penetration Testing, Asset Inventories, and Threat Intelligence. The risks identified are ranked based on their probability and on their impact on the organisation in terms of a quantitative risk matrix, and these risks are then recorded in an enterprise risk register, which is centralised. </w:t>
      </w:r>
    </w:p>
    <w:p w14:paraId="0F11C4D9"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8FA0B5B" wp14:editId="3B927D19">
            <wp:extent cx="5943600" cy="11557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943600" cy="1155700"/>
                    </a:xfrm>
                    <a:prstGeom prst="rect">
                      <a:avLst/>
                    </a:prstGeom>
                    <a:ln/>
                  </pic:spPr>
                </pic:pic>
              </a:graphicData>
            </a:graphic>
          </wp:inline>
        </w:drawing>
      </w:r>
    </w:p>
    <w:p w14:paraId="37B9785F"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Cyber Risk Management Cycle </w:t>
      </w:r>
    </w:p>
    <w:p w14:paraId="614BAF8C" w14:textId="5EA35A10"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Assessment is then used to facilitate implementation of an appropriate risk treatment strategy as per organisation priorities, such as mitigation, transfer, acceptance or avoidance. The continuous monitoring by security information and event management (SIEM), automated vulnerability scanning, and regular security compliance audits keep the cybersecurity risks to an acceptable level while keeping the need for continual improvement and compliance with regulations in place, as noted by </w:t>
      </w:r>
      <w:r w:rsidR="003108A3">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w:t>
      </w:r>
    </w:p>
    <w:p w14:paraId="2F9A824D" w14:textId="77777777" w:rsidR="00B538DB" w:rsidRDefault="00AE5539">
      <w:pPr>
        <w:pStyle w:val="Heading2"/>
        <w:keepNext w:val="0"/>
        <w:keepLines w:val="0"/>
      </w:pPr>
      <w:bookmarkStart w:id="26" w:name="_izvemn7qw2v0" w:colFirst="0" w:colLast="0"/>
      <w:bookmarkStart w:id="27" w:name="_Toc236411675"/>
      <w:bookmarkEnd w:id="26"/>
      <w:r>
        <w:t>4.3 Security Policies and Procedures</w:t>
      </w:r>
      <w:bookmarkEnd w:id="27"/>
      <w:r>
        <w:t xml:space="preserve"> </w:t>
      </w:r>
    </w:p>
    <w:p w14:paraId="558581CA" w14:textId="28295476"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AISGF is a comprehensive set of organisational security policies which aims to foster sound organisation practices in all business domains, promoting consistent cybersecurity practices. A robust password policy that includes multi-factor authentication, a minimum length and complexity, and change to password regularly can minimize unassigned access also. The Bring Your Own Device Policy (BYOD) necessitates endpoint protection for privately owned devices using resources at the organisation, as w</w:t>
      </w:r>
      <w:r>
        <w:rPr>
          <w:rFonts w:ascii="Times New Roman" w:eastAsia="Times New Roman" w:hAnsi="Times New Roman" w:cs="Times New Roman"/>
          <w:sz w:val="24"/>
          <w:szCs w:val="24"/>
        </w:rPr>
        <w:t xml:space="preserve">ell as device encryption and mobile device management </w:t>
      </w:r>
      <w:r w:rsidR="00DA630F">
        <w:rPr>
          <w:rFonts w:ascii="Times New Roman" w:eastAsia="Times New Roman" w:hAnsi="Times New Roman" w:cs="Times New Roman"/>
          <w:sz w:val="24"/>
          <w:szCs w:val="24"/>
        </w:rPr>
        <w:t>[30]</w:t>
      </w:r>
      <w:r>
        <w:rPr>
          <w:rFonts w:ascii="Times New Roman" w:eastAsia="Times New Roman" w:hAnsi="Times New Roman" w:cs="Times New Roman"/>
          <w:sz w:val="24"/>
          <w:szCs w:val="24"/>
        </w:rPr>
        <w:t>. Secure Virtual Private Network (VPN) connection and ongoing endpoint monitoring is required in remote working policies.</w:t>
      </w:r>
    </w:p>
    <w:p w14:paraId="7DD0F699" w14:textId="7F035C9F"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there is a data classification policy that classifies the data of the organization into categories based on the data's level of confidentiality, providing stronger protection mechanisms for any other information that is considered sensitive for customers </w:t>
      </w:r>
      <w:r w:rsidR="003108A3">
        <w:rPr>
          <w:rFonts w:ascii="Times New Roman" w:eastAsia="Times New Roman" w:hAnsi="Times New Roman" w:cs="Times New Roman"/>
          <w:sz w:val="24"/>
          <w:szCs w:val="24"/>
        </w:rPr>
        <w:t>[10]</w:t>
      </w:r>
      <w:r>
        <w:rPr>
          <w:rFonts w:ascii="Times New Roman" w:eastAsia="Times New Roman" w:hAnsi="Times New Roman" w:cs="Times New Roman"/>
          <w:sz w:val="24"/>
          <w:szCs w:val="24"/>
        </w:rPr>
        <w:t xml:space="preserve">. In addition, appropriate behaviour (acceptable use policy) and reporting and escalation procedures (formal incident response procedures) are in place to ensure they are understood with regards to behaviour relating to organisational information systems, Internet access, cloud services and digital resources and recovery procedures and escalation processes are followed in the event of an incident response. </w:t>
      </w:r>
    </w:p>
    <w:p w14:paraId="54915214" w14:textId="77777777" w:rsidR="00B538DB" w:rsidRDefault="00AE5539">
      <w:pPr>
        <w:pStyle w:val="Heading2"/>
        <w:keepNext w:val="0"/>
        <w:keepLines w:val="0"/>
      </w:pPr>
      <w:bookmarkStart w:id="28" w:name="_rnrdwgg4uo6f" w:colFirst="0" w:colLast="0"/>
      <w:bookmarkStart w:id="29" w:name="_Toc236411676"/>
      <w:bookmarkEnd w:id="28"/>
      <w:r>
        <w:lastRenderedPageBreak/>
        <w:t>4.4 Technical Security Controls</w:t>
      </w:r>
      <w:bookmarkEnd w:id="29"/>
      <w:r>
        <w:t xml:space="preserve"> </w:t>
      </w:r>
    </w:p>
    <w:p w14:paraId="6606A4E7" w14:textId="200F782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AeroLink Logistics' cyberresilience should be improved by multiple complementary technical controls using a defence in depth approach. This will safeguard privileged and remote user accounts from credential theft or compromise, and ensure that users only have access to that which is required to carry out their work responsibilities via access and authentication mechanisms, including Multi-Factor Authentication (MFA) and Identity and Access Management (IAM) with Role Based Access Control (RBAC) </w:t>
      </w:r>
      <w:r w:rsidR="002666CA">
        <w:rPr>
          <w:rFonts w:ascii="Times New Roman" w:eastAsia="Times New Roman" w:hAnsi="Times New Roman" w:cs="Times New Roman"/>
          <w:sz w:val="24"/>
          <w:szCs w:val="24"/>
        </w:rPr>
        <w:t>[21]</w:t>
      </w:r>
      <w:r>
        <w:rPr>
          <w:rFonts w:ascii="Times New Roman" w:eastAsia="Times New Roman" w:hAnsi="Times New Roman" w:cs="Times New Roman"/>
          <w:sz w:val="24"/>
          <w:szCs w:val="24"/>
        </w:rPr>
        <w:t xml:space="preserve">; </w:t>
      </w:r>
      <w:r w:rsidR="00DA630F">
        <w:rPr>
          <w:rFonts w:ascii="Times New Roman" w:eastAsia="Times New Roman" w:hAnsi="Times New Roman" w:cs="Times New Roman"/>
          <w:sz w:val="24"/>
          <w:szCs w:val="24"/>
        </w:rPr>
        <w:t>[32]</w:t>
      </w:r>
      <w:r>
        <w:rPr>
          <w:rFonts w:ascii="Times New Roman" w:eastAsia="Times New Roman" w:hAnsi="Times New Roman" w:cs="Times New Roman"/>
          <w:sz w:val="24"/>
          <w:szCs w:val="24"/>
        </w:rPr>
        <w:t>. With Zero Trust Architecture, verification of every user, device and application should continue, no matter where they are in the network.</w:t>
      </w:r>
    </w:p>
    <w:p w14:paraId="27F11161" w14:textId="36229700"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Organisational data needs to be safeguarded via end-to-end encryption, both when stored and transferred. SIEM platforms facilitate the real-time monitoring, log analysis, and security event correlation, while IDS and IPS systems detect and prevent malicious threats that flow from one organisational network to another </w:t>
      </w:r>
      <w:r w:rsidR="002666CA">
        <w:rPr>
          <w:rFonts w:ascii="Times New Roman" w:eastAsia="Times New Roman" w:hAnsi="Times New Roman" w:cs="Times New Roman"/>
          <w:sz w:val="24"/>
          <w:szCs w:val="24"/>
        </w:rPr>
        <w:t>[23]</w:t>
      </w:r>
      <w:r>
        <w:rPr>
          <w:rFonts w:ascii="Times New Roman" w:eastAsia="Times New Roman" w:hAnsi="Times New Roman" w:cs="Times New Roman"/>
          <w:sz w:val="24"/>
          <w:szCs w:val="24"/>
        </w:rPr>
        <w:t xml:space="preserve">. Endpoint Detection and Response (EDR) products add another layer of security to the protection of remote devices to detect ransomware, malware and suspect activity. Lastly, continuous monitoring of email, cloud storage and removable media is provided by Data Loss Prevention (DLP) technologies to prevent unauthorized disclosure of sensitive customer information </w:t>
      </w:r>
      <w:r w:rsidR="00DA630F">
        <w:rPr>
          <w:rFonts w:ascii="Times New Roman" w:eastAsia="Times New Roman" w:hAnsi="Times New Roman" w:cs="Times New Roman"/>
          <w:sz w:val="24"/>
          <w:szCs w:val="24"/>
        </w:rPr>
        <w:t>[31]</w:t>
      </w:r>
      <w:r>
        <w:rPr>
          <w:rFonts w:ascii="Times New Roman" w:eastAsia="Times New Roman" w:hAnsi="Times New Roman" w:cs="Times New Roman"/>
          <w:sz w:val="24"/>
          <w:szCs w:val="24"/>
        </w:rPr>
        <w:t xml:space="preserve">. </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538DB" w14:paraId="716344C3" w14:textId="77777777">
        <w:tc>
          <w:tcPr>
            <w:tcW w:w="9360" w:type="dxa"/>
            <w:tcMar>
              <w:top w:w="100" w:type="dxa"/>
              <w:left w:w="100" w:type="dxa"/>
              <w:bottom w:w="100" w:type="dxa"/>
              <w:right w:w="100" w:type="dxa"/>
            </w:tcMar>
          </w:tcPr>
          <w:p w14:paraId="66347972"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bl>
            <w:tblPr>
              <w:tblStyle w:val="a2"/>
              <w:tblW w:w="912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065"/>
              <w:gridCol w:w="5055"/>
            </w:tblGrid>
            <w:tr w:rsidR="00B538DB" w14:paraId="32390EC2" w14:textId="77777777">
              <w:tc>
                <w:tcPr>
                  <w:tcW w:w="4065" w:type="dxa"/>
                  <w:tcMar>
                    <w:top w:w="100" w:type="dxa"/>
                    <w:left w:w="100" w:type="dxa"/>
                    <w:bottom w:w="100" w:type="dxa"/>
                    <w:right w:w="100" w:type="dxa"/>
                  </w:tcMar>
                </w:tcPr>
                <w:p w14:paraId="062407F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Security Control</w:t>
                  </w:r>
                </w:p>
              </w:tc>
              <w:tc>
                <w:tcPr>
                  <w:tcW w:w="5055" w:type="dxa"/>
                  <w:tcMar>
                    <w:top w:w="100" w:type="dxa"/>
                    <w:left w:w="100" w:type="dxa"/>
                    <w:bottom w:w="100" w:type="dxa"/>
                    <w:right w:w="100" w:type="dxa"/>
                  </w:tcMar>
                </w:tcPr>
                <w:p w14:paraId="2F538599"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Risk Addressed</w:t>
                  </w:r>
                </w:p>
              </w:tc>
            </w:tr>
            <w:tr w:rsidR="00B538DB" w14:paraId="73EEAB8D" w14:textId="77777777">
              <w:tc>
                <w:tcPr>
                  <w:tcW w:w="4065" w:type="dxa"/>
                  <w:tcMar>
                    <w:top w:w="100" w:type="dxa"/>
                    <w:left w:w="100" w:type="dxa"/>
                    <w:bottom w:w="100" w:type="dxa"/>
                    <w:right w:w="100" w:type="dxa"/>
                  </w:tcMar>
                </w:tcPr>
                <w:p w14:paraId="51F7E997"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Multi-Factor Authentication (MFA) </w:t>
                  </w:r>
                </w:p>
              </w:tc>
              <w:tc>
                <w:tcPr>
                  <w:tcW w:w="5055" w:type="dxa"/>
                  <w:tcMar>
                    <w:top w:w="100" w:type="dxa"/>
                    <w:left w:w="100" w:type="dxa"/>
                    <w:bottom w:w="100" w:type="dxa"/>
                    <w:right w:w="100" w:type="dxa"/>
                  </w:tcMar>
                </w:tcPr>
                <w:p w14:paraId="2EC919C7"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Credential theft and unauthorised access </w:t>
                  </w:r>
                </w:p>
              </w:tc>
            </w:tr>
            <w:tr w:rsidR="00B538DB" w14:paraId="31EB169C" w14:textId="77777777">
              <w:tc>
                <w:tcPr>
                  <w:tcW w:w="4065" w:type="dxa"/>
                  <w:tcMar>
                    <w:top w:w="100" w:type="dxa"/>
                    <w:left w:w="100" w:type="dxa"/>
                    <w:bottom w:w="100" w:type="dxa"/>
                    <w:right w:w="100" w:type="dxa"/>
                  </w:tcMar>
                </w:tcPr>
                <w:p w14:paraId="26382C45"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Zero Trust Architecture </w:t>
                  </w:r>
                </w:p>
              </w:tc>
              <w:tc>
                <w:tcPr>
                  <w:tcW w:w="5055" w:type="dxa"/>
                  <w:tcMar>
                    <w:top w:w="100" w:type="dxa"/>
                    <w:left w:w="100" w:type="dxa"/>
                    <w:bottom w:w="100" w:type="dxa"/>
                    <w:right w:w="100" w:type="dxa"/>
                  </w:tcMar>
                </w:tcPr>
                <w:p w14:paraId="54072A35"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Insider threats and lateral movement </w:t>
                  </w:r>
                </w:p>
              </w:tc>
            </w:tr>
            <w:tr w:rsidR="00B538DB" w14:paraId="7FA306D1" w14:textId="77777777">
              <w:tc>
                <w:tcPr>
                  <w:tcW w:w="4065" w:type="dxa"/>
                  <w:tcMar>
                    <w:top w:w="100" w:type="dxa"/>
                    <w:left w:w="100" w:type="dxa"/>
                    <w:bottom w:w="100" w:type="dxa"/>
                    <w:right w:w="100" w:type="dxa"/>
                  </w:tcMar>
                </w:tcPr>
                <w:p w14:paraId="22CF32F8"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RBAC &amp; IAM </w:t>
                  </w:r>
                </w:p>
              </w:tc>
              <w:tc>
                <w:tcPr>
                  <w:tcW w:w="5055" w:type="dxa"/>
                  <w:tcMar>
                    <w:top w:w="100" w:type="dxa"/>
                    <w:left w:w="100" w:type="dxa"/>
                    <w:bottom w:w="100" w:type="dxa"/>
                    <w:right w:w="100" w:type="dxa"/>
                  </w:tcMar>
                </w:tcPr>
                <w:p w14:paraId="01E314D6"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Excessive user privileges </w:t>
                  </w:r>
                </w:p>
              </w:tc>
            </w:tr>
            <w:tr w:rsidR="00B538DB" w14:paraId="06A37B60" w14:textId="77777777">
              <w:tc>
                <w:tcPr>
                  <w:tcW w:w="4065" w:type="dxa"/>
                  <w:tcMar>
                    <w:top w:w="100" w:type="dxa"/>
                    <w:left w:w="100" w:type="dxa"/>
                    <w:bottom w:w="100" w:type="dxa"/>
                    <w:right w:w="100" w:type="dxa"/>
                  </w:tcMar>
                </w:tcPr>
                <w:p w14:paraId="2C497F28"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Encryption </w:t>
                  </w:r>
                </w:p>
              </w:tc>
              <w:tc>
                <w:tcPr>
                  <w:tcW w:w="5055" w:type="dxa"/>
                  <w:tcMar>
                    <w:top w:w="100" w:type="dxa"/>
                    <w:left w:w="100" w:type="dxa"/>
                    <w:bottom w:w="100" w:type="dxa"/>
                    <w:right w:w="100" w:type="dxa"/>
                  </w:tcMar>
                </w:tcPr>
                <w:p w14:paraId="1A9FFC6C"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interception and confidentiality breaches </w:t>
                  </w:r>
                </w:p>
              </w:tc>
            </w:tr>
            <w:tr w:rsidR="00B538DB" w14:paraId="1B3F876D" w14:textId="77777777">
              <w:tc>
                <w:tcPr>
                  <w:tcW w:w="4065" w:type="dxa"/>
                  <w:tcMar>
                    <w:top w:w="100" w:type="dxa"/>
                    <w:left w:w="100" w:type="dxa"/>
                    <w:bottom w:w="100" w:type="dxa"/>
                    <w:right w:w="100" w:type="dxa"/>
                  </w:tcMar>
                </w:tcPr>
                <w:p w14:paraId="48C0D7E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SIEM </w:t>
                  </w:r>
                </w:p>
              </w:tc>
              <w:tc>
                <w:tcPr>
                  <w:tcW w:w="5055" w:type="dxa"/>
                  <w:tcMar>
                    <w:top w:w="100" w:type="dxa"/>
                    <w:left w:w="100" w:type="dxa"/>
                    <w:bottom w:w="100" w:type="dxa"/>
                    <w:right w:w="100" w:type="dxa"/>
                  </w:tcMar>
                </w:tcPr>
                <w:p w14:paraId="2928BF4C"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Delayed threat detection </w:t>
                  </w:r>
                </w:p>
              </w:tc>
            </w:tr>
            <w:tr w:rsidR="00B538DB" w14:paraId="68FD9232" w14:textId="77777777">
              <w:tc>
                <w:tcPr>
                  <w:tcW w:w="4065" w:type="dxa"/>
                  <w:tcMar>
                    <w:top w:w="100" w:type="dxa"/>
                    <w:left w:w="100" w:type="dxa"/>
                    <w:bottom w:w="100" w:type="dxa"/>
                    <w:right w:w="100" w:type="dxa"/>
                  </w:tcMar>
                </w:tcPr>
                <w:p w14:paraId="6F3B18A4"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IDS / IPS </w:t>
                  </w:r>
                </w:p>
              </w:tc>
              <w:tc>
                <w:tcPr>
                  <w:tcW w:w="5055" w:type="dxa"/>
                  <w:tcMar>
                    <w:top w:w="100" w:type="dxa"/>
                    <w:left w:w="100" w:type="dxa"/>
                    <w:bottom w:w="100" w:type="dxa"/>
                    <w:right w:w="100" w:type="dxa"/>
                  </w:tcMar>
                </w:tcPr>
                <w:p w14:paraId="492D46A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 attacks and malicious traffic </w:t>
                  </w:r>
                </w:p>
              </w:tc>
            </w:tr>
            <w:tr w:rsidR="00B538DB" w14:paraId="755FC016" w14:textId="77777777">
              <w:tc>
                <w:tcPr>
                  <w:tcW w:w="4065" w:type="dxa"/>
                  <w:tcMar>
                    <w:top w:w="100" w:type="dxa"/>
                    <w:left w:w="100" w:type="dxa"/>
                    <w:bottom w:w="100" w:type="dxa"/>
                    <w:right w:w="100" w:type="dxa"/>
                  </w:tcMar>
                </w:tcPr>
                <w:p w14:paraId="62DE7435"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Endpoint Detection &amp; Response </w:t>
                  </w:r>
                </w:p>
              </w:tc>
              <w:tc>
                <w:tcPr>
                  <w:tcW w:w="5055" w:type="dxa"/>
                  <w:tcMar>
                    <w:top w:w="100" w:type="dxa"/>
                    <w:left w:w="100" w:type="dxa"/>
                    <w:bottom w:w="100" w:type="dxa"/>
                    <w:right w:w="100" w:type="dxa"/>
                  </w:tcMar>
                </w:tcPr>
                <w:p w14:paraId="0B1D129D"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Malware and ransomware attacks </w:t>
                  </w:r>
                </w:p>
              </w:tc>
            </w:tr>
            <w:tr w:rsidR="00B538DB" w14:paraId="4BF7CE24" w14:textId="77777777">
              <w:tc>
                <w:tcPr>
                  <w:tcW w:w="4065" w:type="dxa"/>
                  <w:tcMar>
                    <w:top w:w="100" w:type="dxa"/>
                    <w:left w:w="100" w:type="dxa"/>
                    <w:bottom w:w="100" w:type="dxa"/>
                    <w:right w:w="100" w:type="dxa"/>
                  </w:tcMar>
                </w:tcPr>
                <w:p w14:paraId="75590EE4"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Loss Prevention (DLP) </w:t>
                  </w:r>
                </w:p>
              </w:tc>
              <w:tc>
                <w:tcPr>
                  <w:tcW w:w="5055" w:type="dxa"/>
                  <w:tcMar>
                    <w:top w:w="100" w:type="dxa"/>
                    <w:left w:w="100" w:type="dxa"/>
                    <w:bottom w:w="100" w:type="dxa"/>
                    <w:right w:w="100" w:type="dxa"/>
                  </w:tcMar>
                </w:tcPr>
                <w:p w14:paraId="749D2741"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Leakage of customer and organisational data </w:t>
                  </w:r>
                </w:p>
              </w:tc>
            </w:tr>
          </w:tbl>
          <w:p w14:paraId="7CAC19B6"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0851F18B"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2. Mapping Technical Controls to Organisational Risks</w:t>
      </w:r>
    </w:p>
    <w:p w14:paraId="4AAC08FC" w14:textId="77777777" w:rsidR="00B538DB" w:rsidRDefault="00AE5539">
      <w:pPr>
        <w:pStyle w:val="Heading2"/>
        <w:keepNext w:val="0"/>
        <w:keepLines w:val="0"/>
      </w:pPr>
      <w:bookmarkStart w:id="30" w:name="_g46j2qkui0ek" w:colFirst="0" w:colLast="0"/>
      <w:bookmarkStart w:id="31" w:name="_Toc236411677"/>
      <w:bookmarkEnd w:id="30"/>
      <w:r>
        <w:t>4.5 Vendor Governance and SLA Management</w:t>
      </w:r>
      <w:bookmarkEnd w:id="31"/>
      <w:r>
        <w:t xml:space="preserve"> </w:t>
      </w:r>
    </w:p>
    <w:p w14:paraId="44E17AD2" w14:textId="29354878"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context where AeroLink Logistics is heavily dependent on outsourced cloud infrastructure and third-party information technology (IT) vendors, robust vendor governance is </w:t>
      </w:r>
      <w:r>
        <w:rPr>
          <w:rFonts w:ascii="Times New Roman" w:eastAsia="Times New Roman" w:hAnsi="Times New Roman" w:cs="Times New Roman"/>
          <w:sz w:val="24"/>
          <w:szCs w:val="24"/>
        </w:rPr>
        <w:lastRenderedPageBreak/>
        <w:t xml:space="preserve">vital to reduce cyber security risks across the supply chain. Before accepting new suppliers, third-party risk management (TPRM) is recommended to be put in place through a structured programme, including vendor due diligence, cybersecurity maturity rating, contractual security requirements and periodic security compliance reviews, in accordance with the proposed AISGF. </w:t>
      </w:r>
      <w:r w:rsidR="003108A3">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suggests that a vetting process be used for vendors that will include compliance with well-known security frameworks, such as ISO/IEC 27001:2013 certification and SOC type 2/Audits compliance, along with adhering to the applicable regulations. </w:t>
      </w:r>
    </w:p>
    <w:p w14:paraId="1931AAE0"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DD5F627" wp14:editId="145140B7">
            <wp:extent cx="5943600" cy="11303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43600" cy="1130300"/>
                    </a:xfrm>
                    <a:prstGeom prst="rect">
                      <a:avLst/>
                    </a:prstGeom>
                    <a:ln/>
                  </pic:spPr>
                </pic:pic>
              </a:graphicData>
            </a:graphic>
          </wp:inline>
        </w:drawing>
      </w:r>
    </w:p>
    <w:p w14:paraId="21750C06"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Figure 4: Vendor Governance and Cloud Security Oversight </w:t>
      </w:r>
    </w:p>
    <w:p w14:paraId="225B01F2" w14:textId="6ED78EE4"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it is important to clearly outline roles with cyber security, notification times, data ownership, encryption, audit rights, and regulatory compliance in all Service Level Agreements (SLAs) </w:t>
      </w:r>
      <w:r w:rsidR="002666CA">
        <w:rPr>
          <w:rFonts w:ascii="Times New Roman" w:eastAsia="Times New Roman" w:hAnsi="Times New Roman" w:cs="Times New Roman"/>
          <w:sz w:val="24"/>
          <w:szCs w:val="24"/>
        </w:rPr>
        <w:t>[24]</w:t>
      </w:r>
      <w:r>
        <w:rPr>
          <w:rFonts w:ascii="Times New Roman" w:eastAsia="Times New Roman" w:hAnsi="Times New Roman" w:cs="Times New Roman"/>
          <w:sz w:val="24"/>
          <w:szCs w:val="24"/>
        </w:rPr>
        <w:t xml:space="preserve">. The active monitoring of the security performances of vendors using security performance dashboards, annually conducted third-party security audits, penetration testing, and cloud security posture assessment will allow AeroLink Logistics to detect new security threats and maintain its security measures to benefit the organisation's security and compliance requirements. </w:t>
      </w:r>
    </w:p>
    <w:p w14:paraId="18666A7F" w14:textId="77777777" w:rsidR="00B538DB" w:rsidRDefault="00AE5539">
      <w:pPr>
        <w:pStyle w:val="Heading2"/>
        <w:keepNext w:val="0"/>
        <w:keepLines w:val="0"/>
      </w:pPr>
      <w:bookmarkStart w:id="32" w:name="_80b1jbbhrjqy" w:colFirst="0" w:colLast="0"/>
      <w:bookmarkStart w:id="33" w:name="_Toc236411678"/>
      <w:bookmarkEnd w:id="32"/>
      <w:r>
        <w:t>4.6 Business Continuity and Disaster Recovery</w:t>
      </w:r>
      <w:bookmarkEnd w:id="33"/>
      <w:r>
        <w:t xml:space="preserve"> </w:t>
      </w:r>
    </w:p>
    <w:p w14:paraId="2C104BDA" w14:textId="079C29D4"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key aspect of continuity is ensuring uninterrupted logistics operations during a cybersecurity event or infrastructure or systems failure. AeoLink Logistics must create a comprehensive Business Continuity Plan (BCP), with geographically distributed encrypted backups, enhanced automated disaster recovery systems and pre-defined Recovery Time Objectives (RTOs) and Recovery Point Objectives (RPOs) </w:t>
      </w:r>
      <w:r w:rsidR="002666CA">
        <w:rPr>
          <w:rFonts w:ascii="Times New Roman" w:eastAsia="Times New Roman" w:hAnsi="Times New Roman" w:cs="Times New Roman"/>
          <w:sz w:val="24"/>
          <w:szCs w:val="24"/>
        </w:rPr>
        <w:t>[20]</w:t>
      </w:r>
      <w:r>
        <w:rPr>
          <w:rFonts w:ascii="Times New Roman" w:eastAsia="Times New Roman" w:hAnsi="Times New Roman" w:cs="Times New Roman"/>
          <w:sz w:val="24"/>
          <w:szCs w:val="24"/>
        </w:rPr>
        <w:t xml:space="preserve">. The responsibilities for detection, containment, recovery and post incident evaluation should be defined in incident response procedures. The organisation will be robust and resilient when disaster strikes and cyber threats or services become unavailable, through regular testing, simulation exercises and Business Continuity reviews. </w:t>
      </w:r>
    </w:p>
    <w:p w14:paraId="083AA924" w14:textId="77777777" w:rsidR="00B538DB" w:rsidRDefault="00AE5539">
      <w:pPr>
        <w:spacing w:before="240" w:after="24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2C5A6A" wp14:editId="1C955540">
            <wp:extent cx="5943600" cy="10414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1041400"/>
                    </a:xfrm>
                    <a:prstGeom prst="rect">
                      <a:avLst/>
                    </a:prstGeom>
                    <a:ln/>
                  </pic:spPr>
                </pic:pic>
              </a:graphicData>
            </a:graphic>
          </wp:inline>
        </w:drawing>
      </w:r>
    </w:p>
    <w:p w14:paraId="4D776D5E"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5: Business Continuity and Disaster Recovery Process </w:t>
      </w:r>
    </w:p>
    <w:p w14:paraId="79AB9E30" w14:textId="77777777" w:rsidR="00B538DB" w:rsidRDefault="00AE5539">
      <w:pPr>
        <w:pStyle w:val="Heading2"/>
        <w:keepNext w:val="0"/>
        <w:keepLines w:val="0"/>
      </w:pPr>
      <w:bookmarkStart w:id="34" w:name="_o43pek6hrzoa" w:colFirst="0" w:colLast="0"/>
      <w:bookmarkStart w:id="35" w:name="_Toc236411679"/>
      <w:bookmarkEnd w:id="34"/>
      <w:r>
        <w:lastRenderedPageBreak/>
        <w:t>4.7 Implementation Roadmap</w:t>
      </w:r>
      <w:bookmarkEnd w:id="35"/>
      <w:r>
        <w:t xml:space="preserve"> </w:t>
      </w:r>
    </w:p>
    <w:p w14:paraId="47E09EFC" w14:textId="77777777" w:rsidR="00B538DB" w:rsidRDefault="00AE5539">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Implementing the AeroLink Integrated Security Governance Framework should be done in phases, to reduce disruption to operations whilst ensuring ongoing improvement. The first steps should be targeted at identifying and managing risk at the enterprise level and developing an enterprise governance framework, establishing internationally recognised information security standards, installing technical information security controls, and conducting regular audit cycles and assessment of compliance. This approach </w:t>
      </w:r>
      <w:r>
        <w:rPr>
          <w:rFonts w:ascii="Times New Roman" w:eastAsia="Times New Roman" w:hAnsi="Times New Roman" w:cs="Times New Roman"/>
          <w:sz w:val="24"/>
          <w:szCs w:val="24"/>
        </w:rPr>
        <w:t xml:space="preserve">will foster sustainable cooperation with aeroLink's growth towards cyber security maturity while at the same time allowing AeroLink Logistics to flexibly meet new technology and regulation needs. </w:t>
      </w:r>
    </w:p>
    <w:p w14:paraId="0F3FF3A7" w14:textId="77777777" w:rsidR="00B538DB" w:rsidRDefault="00B538DB">
      <w:pPr>
        <w:jc w:val="both"/>
        <w:rPr>
          <w:rFonts w:ascii="Times New Roman" w:eastAsia="Times New Roman" w:hAnsi="Times New Roman" w:cs="Times New Roman"/>
          <w:sz w:val="24"/>
          <w:szCs w:val="24"/>
        </w:rPr>
      </w:pPr>
    </w:p>
    <w:tbl>
      <w:tblPr>
        <w:tblStyle w:val="a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360"/>
      </w:tblGrid>
      <w:tr w:rsidR="00B538DB" w14:paraId="30BB09F9" w14:textId="77777777">
        <w:tc>
          <w:tcPr>
            <w:tcW w:w="9360" w:type="dxa"/>
            <w:tcMar>
              <w:top w:w="100" w:type="dxa"/>
              <w:left w:w="100" w:type="dxa"/>
              <w:bottom w:w="100" w:type="dxa"/>
              <w:right w:w="100" w:type="dxa"/>
            </w:tcMar>
          </w:tcPr>
          <w:p w14:paraId="237319CC"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bl>
            <w:tblPr>
              <w:tblStyle w:val="a4"/>
              <w:tblW w:w="913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3735"/>
              <w:gridCol w:w="4020"/>
            </w:tblGrid>
            <w:tr w:rsidR="00B538DB" w14:paraId="0A82E94F" w14:textId="77777777">
              <w:tc>
                <w:tcPr>
                  <w:tcW w:w="1380" w:type="dxa"/>
                  <w:tcMar>
                    <w:top w:w="100" w:type="dxa"/>
                    <w:left w:w="100" w:type="dxa"/>
                    <w:bottom w:w="100" w:type="dxa"/>
                    <w:right w:w="100" w:type="dxa"/>
                  </w:tcMar>
                </w:tcPr>
                <w:p w14:paraId="11B16F91"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Phase</w:t>
                  </w:r>
                </w:p>
              </w:tc>
              <w:tc>
                <w:tcPr>
                  <w:tcW w:w="3735" w:type="dxa"/>
                  <w:tcMar>
                    <w:top w:w="100" w:type="dxa"/>
                    <w:left w:w="100" w:type="dxa"/>
                    <w:bottom w:w="100" w:type="dxa"/>
                    <w:right w:w="100" w:type="dxa"/>
                  </w:tcMar>
                </w:tcPr>
                <w:p w14:paraId="5F11D9F4"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Activity</w:t>
                  </w:r>
                </w:p>
              </w:tc>
              <w:tc>
                <w:tcPr>
                  <w:tcW w:w="4020" w:type="dxa"/>
                  <w:tcMar>
                    <w:top w:w="100" w:type="dxa"/>
                    <w:left w:w="100" w:type="dxa"/>
                    <w:bottom w:w="100" w:type="dxa"/>
                    <w:right w:w="100" w:type="dxa"/>
                  </w:tcMar>
                </w:tcPr>
                <w:p w14:paraId="4AE33C08"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Expected Outcome</w:t>
                  </w:r>
                </w:p>
              </w:tc>
            </w:tr>
            <w:tr w:rsidR="00B538DB" w14:paraId="7296082D" w14:textId="77777777">
              <w:tc>
                <w:tcPr>
                  <w:tcW w:w="1380" w:type="dxa"/>
                  <w:tcMar>
                    <w:top w:w="100" w:type="dxa"/>
                    <w:left w:w="100" w:type="dxa"/>
                    <w:bottom w:w="100" w:type="dxa"/>
                    <w:right w:w="100" w:type="dxa"/>
                  </w:tcMar>
                </w:tcPr>
                <w:p w14:paraId="5B3D2C7A"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Phase 1</w:t>
                  </w:r>
                </w:p>
              </w:tc>
              <w:tc>
                <w:tcPr>
                  <w:tcW w:w="3735" w:type="dxa"/>
                  <w:tcMar>
                    <w:top w:w="100" w:type="dxa"/>
                    <w:left w:w="100" w:type="dxa"/>
                    <w:bottom w:w="100" w:type="dxa"/>
                    <w:right w:w="100" w:type="dxa"/>
                  </w:tcMar>
                </w:tcPr>
                <w:p w14:paraId="54E027AD"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Enterprise Risk Assessment and Governance Establishment</w:t>
                  </w:r>
                </w:p>
              </w:tc>
              <w:tc>
                <w:tcPr>
                  <w:tcW w:w="4020" w:type="dxa"/>
                  <w:tcMar>
                    <w:top w:w="100" w:type="dxa"/>
                    <w:left w:w="100" w:type="dxa"/>
                    <w:bottom w:w="100" w:type="dxa"/>
                    <w:right w:w="100" w:type="dxa"/>
                  </w:tcMar>
                </w:tcPr>
                <w:p w14:paraId="365EEC25"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Identification of critical assets, risks and governance responsibilities </w:t>
                  </w:r>
                </w:p>
              </w:tc>
            </w:tr>
            <w:tr w:rsidR="00B538DB" w14:paraId="63161342" w14:textId="77777777">
              <w:tc>
                <w:tcPr>
                  <w:tcW w:w="1380" w:type="dxa"/>
                  <w:tcMar>
                    <w:top w:w="100" w:type="dxa"/>
                    <w:left w:w="100" w:type="dxa"/>
                    <w:bottom w:w="100" w:type="dxa"/>
                    <w:right w:w="100" w:type="dxa"/>
                  </w:tcMar>
                </w:tcPr>
                <w:p w14:paraId="00C4A428"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Phase 2</w:t>
                  </w:r>
                </w:p>
              </w:tc>
              <w:tc>
                <w:tcPr>
                  <w:tcW w:w="3735" w:type="dxa"/>
                  <w:tcMar>
                    <w:top w:w="100" w:type="dxa"/>
                    <w:left w:w="100" w:type="dxa"/>
                    <w:bottom w:w="100" w:type="dxa"/>
                    <w:right w:w="100" w:type="dxa"/>
                  </w:tcMar>
                </w:tcPr>
                <w:p w14:paraId="12DA451C"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ISO/IEC 27001 ISMS Implementation </w:t>
                  </w:r>
                </w:p>
              </w:tc>
              <w:tc>
                <w:tcPr>
                  <w:tcW w:w="4020" w:type="dxa"/>
                  <w:tcMar>
                    <w:top w:w="100" w:type="dxa"/>
                    <w:left w:w="100" w:type="dxa"/>
                    <w:bottom w:w="100" w:type="dxa"/>
                    <w:right w:w="100" w:type="dxa"/>
                  </w:tcMar>
                </w:tcPr>
                <w:p w14:paraId="5A9A0DF3"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Standardised information security governance and regulatory compliance </w:t>
                  </w:r>
                </w:p>
              </w:tc>
            </w:tr>
            <w:tr w:rsidR="00B538DB" w14:paraId="492DC7D4" w14:textId="77777777">
              <w:tc>
                <w:tcPr>
                  <w:tcW w:w="1380" w:type="dxa"/>
                  <w:tcMar>
                    <w:top w:w="100" w:type="dxa"/>
                    <w:left w:w="100" w:type="dxa"/>
                    <w:bottom w:w="100" w:type="dxa"/>
                    <w:right w:w="100" w:type="dxa"/>
                  </w:tcMar>
                </w:tcPr>
                <w:p w14:paraId="60EDA364"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Phase 3</w:t>
                  </w:r>
                </w:p>
              </w:tc>
              <w:tc>
                <w:tcPr>
                  <w:tcW w:w="3735" w:type="dxa"/>
                  <w:tcMar>
                    <w:top w:w="100" w:type="dxa"/>
                    <w:left w:w="100" w:type="dxa"/>
                    <w:bottom w:w="100" w:type="dxa"/>
                    <w:right w:w="100" w:type="dxa"/>
                  </w:tcMar>
                </w:tcPr>
                <w:p w14:paraId="17A21A0F"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Deployment of Technical Security Controls (MFA, IAM, SIEM, Zero Trust, DLP, EDR) </w:t>
                  </w:r>
                </w:p>
              </w:tc>
              <w:tc>
                <w:tcPr>
                  <w:tcW w:w="4020" w:type="dxa"/>
                  <w:tcMar>
                    <w:top w:w="100" w:type="dxa"/>
                    <w:left w:w="100" w:type="dxa"/>
                    <w:bottom w:w="100" w:type="dxa"/>
                    <w:right w:w="100" w:type="dxa"/>
                  </w:tcMar>
                </w:tcPr>
                <w:p w14:paraId="40CE660D"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Enhanced cyber resilience and protection of organisational assets </w:t>
                  </w:r>
                </w:p>
              </w:tc>
            </w:tr>
            <w:tr w:rsidR="00B538DB" w14:paraId="72A43BE1" w14:textId="77777777">
              <w:tc>
                <w:tcPr>
                  <w:tcW w:w="1380" w:type="dxa"/>
                  <w:tcMar>
                    <w:top w:w="100" w:type="dxa"/>
                    <w:left w:w="100" w:type="dxa"/>
                    <w:bottom w:w="100" w:type="dxa"/>
                    <w:right w:w="100" w:type="dxa"/>
                  </w:tcMar>
                </w:tcPr>
                <w:p w14:paraId="7C57F850"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Phase 4</w:t>
                  </w:r>
                </w:p>
              </w:tc>
              <w:tc>
                <w:tcPr>
                  <w:tcW w:w="3735" w:type="dxa"/>
                  <w:tcMar>
                    <w:top w:w="100" w:type="dxa"/>
                    <w:left w:w="100" w:type="dxa"/>
                    <w:bottom w:w="100" w:type="dxa"/>
                    <w:right w:w="100" w:type="dxa"/>
                  </w:tcMar>
                </w:tcPr>
                <w:p w14:paraId="55DE0F45"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Compliance Audit, Performance Review and Continuous Improvement </w:t>
                  </w:r>
                </w:p>
              </w:tc>
              <w:tc>
                <w:tcPr>
                  <w:tcW w:w="4020" w:type="dxa"/>
                  <w:tcMar>
                    <w:top w:w="100" w:type="dxa"/>
                    <w:left w:w="100" w:type="dxa"/>
                    <w:bottom w:w="100" w:type="dxa"/>
                    <w:right w:w="100" w:type="dxa"/>
                  </w:tcMar>
                </w:tcPr>
                <w:p w14:paraId="42FCADCC" w14:textId="77777777" w:rsidR="00B538DB" w:rsidRDefault="00AE5539">
                  <w:pPr>
                    <w:widowControl w:val="0"/>
                    <w:pBdr>
                      <w:top w:val="nil"/>
                      <w:left w:val="nil"/>
                      <w:bottom w:val="nil"/>
                      <w:right w:val="nil"/>
                      <w:between w:val="nil"/>
                    </w:pBdr>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Continuous governance maturity and ongoing regulatory compliance </w:t>
                  </w:r>
                </w:p>
              </w:tc>
            </w:tr>
          </w:tbl>
          <w:p w14:paraId="219A1F9A" w14:textId="77777777" w:rsidR="00B538DB" w:rsidRDefault="00B538DB">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
        </w:tc>
      </w:tr>
    </w:tbl>
    <w:p w14:paraId="127A63AF" w14:textId="77777777" w:rsidR="00B538DB" w:rsidRDefault="00AE5539">
      <w:pPr>
        <w:spacing w:before="200" w:after="8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Table 3. Implementation Roadmap </w:t>
      </w:r>
    </w:p>
    <w:p w14:paraId="7C4EFC53" w14:textId="77777777" w:rsidR="00B538DB" w:rsidRDefault="00AE5539">
      <w:pPr>
        <w:spacing w:before="200" w:after="80"/>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7F42954" wp14:editId="5CE25461">
            <wp:extent cx="5943600" cy="10414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943600" cy="1041400"/>
                    </a:xfrm>
                    <a:prstGeom prst="rect">
                      <a:avLst/>
                    </a:prstGeom>
                    <a:ln/>
                  </pic:spPr>
                </pic:pic>
              </a:graphicData>
            </a:graphic>
          </wp:inline>
        </w:drawing>
      </w:r>
    </w:p>
    <w:p w14:paraId="7D32EE7D" w14:textId="77777777" w:rsidR="00B538DB" w:rsidRDefault="00AE5539">
      <w:pPr>
        <w:spacing w:before="240" w:after="240"/>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6: AISGF Implementation Roadmap </w:t>
      </w:r>
    </w:p>
    <w:p w14:paraId="25F438CF" w14:textId="77777777" w:rsidR="00B538DB" w:rsidRDefault="00AE5539">
      <w:pPr>
        <w:pStyle w:val="Heading1"/>
        <w:keepNext w:val="0"/>
        <w:keepLines w:val="0"/>
      </w:pPr>
      <w:bookmarkStart w:id="36" w:name="_gkkbj87qg77u" w:colFirst="0" w:colLast="0"/>
      <w:bookmarkStart w:id="37" w:name="_Toc236411680"/>
      <w:bookmarkEnd w:id="36"/>
      <w:r>
        <w:t>5. Continuous Compliance and Emerging Threat Landscape</w:t>
      </w:r>
      <w:bookmarkEnd w:id="37"/>
      <w:r>
        <w:t xml:space="preserve"> </w:t>
      </w:r>
    </w:p>
    <w:p w14:paraId="2534195E" w14:textId="5518DA82"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security is a constantly changing landscape and organisations must be constantly re-evaluating and modifying their information security regulations, organisational policies and governance standards to be resilient in light of new and developing technological threats and </w:t>
      </w:r>
      <w:r>
        <w:rPr>
          <w:rFonts w:ascii="Times New Roman" w:eastAsia="Times New Roman" w:hAnsi="Times New Roman" w:cs="Times New Roman"/>
          <w:sz w:val="24"/>
          <w:szCs w:val="24"/>
        </w:rPr>
        <w:lastRenderedPageBreak/>
        <w:t xml:space="preserve">changing regulatory needs. Traditional security measures are unable to keep up with the changing risk landscape and advanced cyberattacks as organisations enter into cloud environments, enable the use of Artificial Intelligence (AI), and become connected via digital ecosystems </w:t>
      </w:r>
      <w:r w:rsidR="003108A3">
        <w:rPr>
          <w:rFonts w:ascii="Times New Roman" w:eastAsia="Times New Roman" w:hAnsi="Times New Roman" w:cs="Times New Roman"/>
          <w:sz w:val="24"/>
          <w:szCs w:val="24"/>
        </w:rPr>
        <w:t>[15]</w:t>
      </w:r>
      <w:r>
        <w:rPr>
          <w:rFonts w:ascii="Times New Roman" w:eastAsia="Times New Roman" w:hAnsi="Times New Roman" w:cs="Times New Roman"/>
          <w:sz w:val="24"/>
          <w:szCs w:val="24"/>
        </w:rPr>
        <w:t>. As a result, cybersecurity governance needs to be considered an incremental process, not just a single compliance event.</w:t>
      </w:r>
    </w:p>
    <w:p w14:paraId="5ABDFF84" w14:textId="2C0C32AF"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world of Artificial Intelligence has also brought opportunities and problems, as these technologies have revolutionized threat detection automation, while also allowing cybercriminals to create incredibly advanced phishing attacks, deepfake exploits, and even flexible malware </w:t>
      </w:r>
      <w:r w:rsidR="003108A3">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Moreover, with the progress of quantum computing, future threats lie in the use of traditional cryptographic techniques, and organisations need to introduce quantum security and cryptographic flexibility. Organisations are facing more complex software supply chains, cloud-native environments and they are continuously expanding attack surfaces, as outcomes of third-party risk management and continuous cloud security monitoring are now key elements of governance frameworks </w:t>
      </w:r>
      <w:r w:rsidR="003108A3">
        <w:rPr>
          <w:rFonts w:ascii="Times New Roman" w:eastAsia="Times New Roman" w:hAnsi="Times New Roman" w:cs="Times New Roman"/>
          <w:sz w:val="24"/>
          <w:szCs w:val="24"/>
        </w:rPr>
        <w:t>[9]</w:t>
      </w:r>
      <w:r>
        <w:rPr>
          <w:rFonts w:ascii="Times New Roman" w:eastAsia="Times New Roman" w:hAnsi="Times New Roman" w:cs="Times New Roman"/>
          <w:sz w:val="24"/>
          <w:szCs w:val="24"/>
        </w:rPr>
        <w:t xml:space="preserve">. Moreover, </w:t>
      </w:r>
      <w:r w:rsidR="003108A3">
        <w:rPr>
          <w:rFonts w:ascii="Times New Roman" w:eastAsia="Times New Roman" w:hAnsi="Times New Roman" w:cs="Times New Roman"/>
          <w:sz w:val="24"/>
          <w:szCs w:val="24"/>
        </w:rPr>
        <w:t>zero-day</w:t>
      </w:r>
      <w:r>
        <w:rPr>
          <w:rFonts w:ascii="Times New Roman" w:eastAsia="Times New Roman" w:hAnsi="Times New Roman" w:cs="Times New Roman"/>
          <w:sz w:val="24"/>
          <w:szCs w:val="24"/>
        </w:rPr>
        <w:t xml:space="preserve"> vulnerabilities keep exploiting new security holes in the software, underscoring the importance of proactive vulnerability management, real-time threat intelligence, and swift security patch deployment.</w:t>
      </w:r>
    </w:p>
    <w:p w14:paraId="46005906"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also ongoing changes to the regulatory landscape based on new cyber risks. Concurrently, the enhancement of enforcement and the introduction of supplementary data governance rules have fortified the support for the General Data Protection Regulation (GDPR) and the adoption of the new control structures for cloud computing, threat intelligence and information security resilience provided by ISO/IEC 27001:2022 is helping to reinforce support for GDPR. Organisations should thus continuously carry out</w:t>
      </w:r>
      <w:r>
        <w:rPr>
          <w:rFonts w:ascii="Times New Roman" w:eastAsia="Times New Roman" w:hAnsi="Times New Roman" w:cs="Times New Roman"/>
          <w:sz w:val="24"/>
          <w:szCs w:val="24"/>
        </w:rPr>
        <w:t xml:space="preserve"> internal audit, security assessment, compliance audit and governance audit to make sure they are subject to ongoing conformance with the regulatory and industry best practices. For AeroLink Logistics, a continuous audit, adaptive policies, and proactive governance, will bolster a company's cyber resilience, mitigate regulatory risk, and prepare the organisation for potential future technological and cyber challenges. </w:t>
      </w:r>
    </w:p>
    <w:p w14:paraId="16640E81" w14:textId="77777777" w:rsidR="00B538DB" w:rsidRDefault="00AE5539">
      <w:pPr>
        <w:pStyle w:val="Heading1"/>
        <w:keepNext w:val="0"/>
        <w:keepLines w:val="0"/>
      </w:pPr>
      <w:bookmarkStart w:id="38" w:name="_zf44wdo6njgh" w:colFirst="0" w:colLast="0"/>
      <w:bookmarkStart w:id="39" w:name="_Toc236411681"/>
      <w:bookmarkEnd w:id="38"/>
      <w:r>
        <w:t>6. Assumptions, Limitations and Implementation Considerations</w:t>
      </w:r>
      <w:bookmarkEnd w:id="39"/>
      <w:r>
        <w:t xml:space="preserve"> </w:t>
      </w:r>
    </w:p>
    <w:p w14:paraId="178D1DBE"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proposed AeroLink Integrated Security Governance Framework (AISGF) is developed based on several assumptions regarding AeroLink Logistics' operational environment. The following assumptions are made regarding the organisation: it assumes that it operates internationally, has a medium-size, and is already using IT budget, and has a hybrid cloud infrastructure, already has to comply with General Data Protection Regulation (GDPR) and has an existing technology ecosystem, which already comprises Microsoft. </w:t>
      </w:r>
      <w:r>
        <w:rPr>
          <w:rFonts w:ascii="Times New Roman" w:eastAsia="Times New Roman" w:hAnsi="Times New Roman" w:cs="Times New Roman"/>
          <w:sz w:val="24"/>
          <w:szCs w:val="24"/>
        </w:rPr>
        <w:t xml:space="preserve">There are some restrictions, however, on the proposed framework to be considered. Recommendations are only made on the basis of the assignment scenario; the empirical organisation evidence is not included. In addition, budgetary assumptions may not reflect what organisations can afford to implement and fund, and the availability of data regarding the security performance and infrastructures configurations within </w:t>
      </w:r>
      <w:r>
        <w:rPr>
          <w:rFonts w:ascii="Times New Roman" w:eastAsia="Times New Roman" w:hAnsi="Times New Roman" w:cs="Times New Roman"/>
          <w:sz w:val="24"/>
          <w:szCs w:val="24"/>
        </w:rPr>
        <w:lastRenderedPageBreak/>
        <w:t xml:space="preserve">organisations is limited, which can limit detailed implementation planning and technical validation. </w:t>
      </w:r>
    </w:p>
    <w:p w14:paraId="1BBAC251" w14:textId="77777777" w:rsidR="00B538DB" w:rsidRDefault="00AE5539">
      <w:pPr>
        <w:pStyle w:val="Heading1"/>
        <w:keepNext w:val="0"/>
        <w:keepLines w:val="0"/>
      </w:pPr>
      <w:bookmarkStart w:id="40" w:name="_vmjitj1a401y" w:colFirst="0" w:colLast="0"/>
      <w:bookmarkStart w:id="41" w:name="_Toc236411682"/>
      <w:bookmarkEnd w:id="40"/>
      <w:r>
        <w:t>7. Conclusion</w:t>
      </w:r>
      <w:bookmarkEnd w:id="41"/>
      <w:r>
        <w:t xml:space="preserve"> </w:t>
      </w:r>
    </w:p>
    <w:p w14:paraId="66BD4B0E" w14:textId="77777777" w:rsidR="00B538DB" w:rsidRDefault="00AE5539">
      <w:pPr>
        <w:spacing w:before="240" w:after="240"/>
        <w:jc w:val="both"/>
        <w:rPr>
          <w:rFonts w:ascii="Times New Roman" w:eastAsia="Times New Roman" w:hAnsi="Times New Roman" w:cs="Times New Roman"/>
          <w:sz w:val="24"/>
          <w:szCs w:val="24"/>
        </w:rPr>
      </w:pPr>
      <w:r>
        <w:rPr>
          <w:rFonts w:ascii="Times New Roman" w:eastAsia="Times New Roman" w:hAnsi="Times New Roman" w:cs="Times New Roman"/>
          <w:sz w:val="23"/>
          <w:szCs w:val="23"/>
        </w:rPr>
        <w:t xml:space="preserve">As AeroLink Logistics adopts the cloud, faces third-party dependencies and has to comply with regulatory requirements, it's been vulnerable to a lot of cybersecurity and governance challenges. It is expected that the proposed AeroLink Integrated Security Governance Framework will provide both a comprehensive and an integrated approach to security governance and implement the principles contained within the NIST CSF 2.0 framework, ISO/IEC 27001:2022 framework and COBIT 2019 and ITIL 4 frameworks, to thereby </w:t>
      </w:r>
      <w:r>
        <w:rPr>
          <w:rFonts w:ascii="Times New Roman" w:eastAsia="Times New Roman" w:hAnsi="Times New Roman" w:cs="Times New Roman"/>
          <w:sz w:val="23"/>
          <w:szCs w:val="23"/>
        </w:rPr>
        <w:t>provide a likely extension of the organisational security landscape, to enable regulatory compliance and to increase operational efficiency and assist sustainable organisational security.</w:t>
      </w:r>
      <w:r>
        <w:rPr>
          <w:rFonts w:ascii="Times New Roman" w:eastAsia="Times New Roman" w:hAnsi="Times New Roman" w:cs="Times New Roman"/>
          <w:sz w:val="24"/>
          <w:szCs w:val="24"/>
        </w:rPr>
        <w:t xml:space="preserve"> </w:t>
      </w:r>
    </w:p>
    <w:p w14:paraId="06F549AE" w14:textId="77777777" w:rsidR="00B538DB" w:rsidRDefault="00AE5539">
      <w:pPr>
        <w:spacing w:after="160"/>
        <w:jc w:val="both"/>
        <w:rPr>
          <w:rFonts w:ascii="Times New Roman" w:eastAsia="Times New Roman" w:hAnsi="Times New Roman" w:cs="Times New Roman"/>
          <w:sz w:val="24"/>
          <w:szCs w:val="24"/>
        </w:rPr>
      </w:pPr>
      <w:r>
        <w:br w:type="page"/>
      </w:r>
    </w:p>
    <w:p w14:paraId="0B1859C7" w14:textId="77777777" w:rsidR="00B538DB" w:rsidRDefault="00AE5539">
      <w:pPr>
        <w:pStyle w:val="Heading1"/>
        <w:spacing w:after="160"/>
      </w:pPr>
      <w:bookmarkStart w:id="42" w:name="_l5hwzwienq8y" w:colFirst="0" w:colLast="0"/>
      <w:bookmarkStart w:id="43" w:name="_Toc236411683"/>
      <w:bookmarkEnd w:id="42"/>
      <w:r>
        <w:lastRenderedPageBreak/>
        <w:t>References</w:t>
      </w:r>
      <w:bookmarkEnd w:id="43"/>
    </w:p>
    <w:p w14:paraId="4038D84C" w14:textId="462E3EF5"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 Ali, T., Al-Khalidi, M. and Al-Zaidi, R., 2026. Information security risk assessment methods in cloud computing: Comprehensive review. </w:t>
      </w:r>
      <w:r>
        <w:rPr>
          <w:rFonts w:ascii="Times New Roman" w:eastAsia="Times New Roman" w:hAnsi="Times New Roman" w:cs="Times New Roman"/>
          <w:i/>
          <w:iCs/>
          <w:sz w:val="24"/>
          <w:szCs w:val="24"/>
        </w:rPr>
        <w:t>Journal of Computer Information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66</w:t>
      </w:r>
      <w:r>
        <w:rPr>
          <w:rFonts w:ascii="Times New Roman" w:eastAsia="Times New Roman" w:hAnsi="Times New Roman" w:cs="Times New Roman"/>
          <w:sz w:val="24"/>
          <w:szCs w:val="24"/>
        </w:rPr>
        <w:t>(1), pp.123-150.</w:t>
      </w:r>
      <w:hyperlink r:id="rId13">
        <w:r w:rsidR="00B538DB">
          <w:rPr>
            <w:rFonts w:ascii="Times New Roman" w:eastAsia="Times New Roman" w:hAnsi="Times New Roman" w:cs="Times New Roman"/>
            <w:color w:val="1155CC"/>
            <w:sz w:val="24"/>
            <w:szCs w:val="24"/>
            <w:u w:val="single"/>
          </w:rPr>
          <w:t xml:space="preserve"> https://www.tandfonline.com/doi/pdf/10.1080/08874417.2024.2329985</w:t>
        </w:r>
      </w:hyperlink>
    </w:p>
    <w:p w14:paraId="5FCEAD81" w14:textId="4179D60A"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 Bernardo, L., Malta, S. and Magalhães, J., 2025. An evaluation framework for cybersecurity maturity aligned with the NIST CSF. </w:t>
      </w:r>
      <w:r>
        <w:rPr>
          <w:rFonts w:ascii="Times New Roman" w:eastAsia="Times New Roman" w:hAnsi="Times New Roman" w:cs="Times New Roman"/>
          <w:i/>
          <w:iCs/>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(7), p.1364.</w:t>
      </w:r>
      <w:hyperlink r:id="rId14">
        <w:r w:rsidR="00B538DB">
          <w:rPr>
            <w:rFonts w:ascii="Times New Roman" w:eastAsia="Times New Roman" w:hAnsi="Times New Roman" w:cs="Times New Roman"/>
            <w:sz w:val="24"/>
            <w:szCs w:val="24"/>
          </w:rPr>
          <w:t xml:space="preserve"> </w:t>
        </w:r>
      </w:hyperlink>
      <w:hyperlink r:id="rId15">
        <w:r w:rsidR="00B538DB">
          <w:rPr>
            <w:rFonts w:ascii="Times New Roman" w:eastAsia="Times New Roman" w:hAnsi="Times New Roman" w:cs="Times New Roman"/>
            <w:color w:val="1155CC"/>
            <w:sz w:val="24"/>
            <w:szCs w:val="24"/>
            <w:u w:val="single"/>
          </w:rPr>
          <w:t>https://www.mdpi.com/2079-9292/14/7/1364</w:t>
        </w:r>
      </w:hyperlink>
    </w:p>
    <w:p w14:paraId="16E31C29" w14:textId="27CADFDC"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 Blessing, E. and Hubert, K., 2024. Security Auditing and Monitoring: Incident response and management.</w:t>
      </w:r>
      <w:hyperlink r:id="rId16">
        <w:r w:rsidR="00B538DB">
          <w:rPr>
            <w:rFonts w:ascii="Times New Roman" w:eastAsia="Times New Roman" w:hAnsi="Times New Roman" w:cs="Times New Roman"/>
            <w:sz w:val="24"/>
            <w:szCs w:val="24"/>
          </w:rPr>
          <w:t xml:space="preserve"> </w:t>
        </w:r>
      </w:hyperlink>
      <w:hyperlink r:id="rId17">
        <w:r w:rsidR="00B538DB">
          <w:rPr>
            <w:rFonts w:ascii="Times New Roman" w:eastAsia="Times New Roman" w:hAnsi="Times New Roman" w:cs="Times New Roman"/>
            <w:color w:val="1155CC"/>
            <w:sz w:val="24"/>
            <w:szCs w:val="24"/>
            <w:u w:val="single"/>
          </w:rPr>
          <w:t>https://hal.science/hal-04972073v1/file/Security%20Auditing%20and%20Monitoring%20Incident%20response%20and%20management..pdf</w:t>
        </w:r>
      </w:hyperlink>
    </w:p>
    <w:p w14:paraId="21BC12C2" w14:textId="217ECB00"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CSRC (2025) chief information security officer Available at:</w:t>
      </w:r>
      <w:hyperlink r:id="rId18">
        <w:r w:rsidR="00B538DB">
          <w:rPr>
            <w:rFonts w:ascii="Times New Roman" w:eastAsia="Times New Roman" w:hAnsi="Times New Roman" w:cs="Times New Roman"/>
            <w:sz w:val="24"/>
            <w:szCs w:val="24"/>
          </w:rPr>
          <w:t xml:space="preserve"> </w:t>
        </w:r>
      </w:hyperlink>
      <w:hyperlink r:id="rId19">
        <w:r w:rsidR="00B538DB">
          <w:rPr>
            <w:rFonts w:ascii="Times New Roman" w:eastAsia="Times New Roman" w:hAnsi="Times New Roman" w:cs="Times New Roman"/>
            <w:color w:val="1155CC"/>
            <w:sz w:val="24"/>
            <w:szCs w:val="24"/>
            <w:u w:val="single"/>
          </w:rPr>
          <w:t>https://csrc.nist.gov/glossary/term/chief_information_security_officer</w:t>
        </w:r>
      </w:hyperlink>
      <w:r>
        <w:rPr>
          <w:rFonts w:ascii="Times New Roman" w:eastAsia="Times New Roman" w:hAnsi="Times New Roman" w:cs="Times New Roman"/>
          <w:sz w:val="24"/>
          <w:szCs w:val="24"/>
        </w:rPr>
        <w:t xml:space="preserve"> [Accessed on 27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July 2026]</w:t>
      </w:r>
    </w:p>
    <w:p w14:paraId="4728695A" w14:textId="36882868"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[5] El Amin, H., Samhat, A.E., Chamoun, M., Oueidat, L. and Feghali, A., 2024. An integrated approach to cyber risk management with cyber threat intelligence framework to secure critical infrastructure. </w:t>
      </w:r>
      <w:r>
        <w:rPr>
          <w:rFonts w:ascii="Times New Roman" w:eastAsia="Times New Roman" w:hAnsi="Times New Roman" w:cs="Times New Roman"/>
          <w:i/>
          <w:iCs/>
          <w:sz w:val="24"/>
          <w:szCs w:val="24"/>
        </w:rPr>
        <w:t>Journal of Cybersecurity and Privacy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(2), pp.357-381.</w:t>
      </w:r>
      <w:hyperlink r:id="rId20">
        <w:r w:rsidR="00B538DB">
          <w:rPr>
            <w:rFonts w:ascii="Times New Roman" w:eastAsia="Times New Roman" w:hAnsi="Times New Roman" w:cs="Times New Roman"/>
            <w:sz w:val="24"/>
            <w:szCs w:val="24"/>
          </w:rPr>
          <w:t xml:space="preserve"> </w:t>
        </w:r>
      </w:hyperlink>
      <w:hyperlink r:id="rId21">
        <w:r w:rsidR="00B538DB">
          <w:rPr>
            <w:rFonts w:ascii="Times New Roman" w:eastAsia="Times New Roman" w:hAnsi="Times New Roman" w:cs="Times New Roman"/>
            <w:color w:val="1155CC"/>
            <w:sz w:val="24"/>
            <w:szCs w:val="24"/>
            <w:u w:val="single"/>
          </w:rPr>
          <w:t>https://www.mdpi.com/2624-800X/4/2/18</w:t>
        </w:r>
      </w:hyperlink>
    </w:p>
    <w:p w14:paraId="745E8978" w14:textId="2358EE30"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[6] Essien, I.A., Cadet, E., Ajayi, J.O., Erigh, E.D., Obuse, E., Ayanbode, N. and Babatunde, L.A., 2022. Optimizing cyber risk governance using global frameworks: ISO, NIST, and COBIT alignment. </w:t>
      </w:r>
      <w:r>
        <w:rPr>
          <w:rFonts w:ascii="Times New Roman" w:eastAsia="Times New Roman" w:hAnsi="Times New Roman" w:cs="Times New Roman"/>
          <w:i/>
          <w:iCs/>
          <w:sz w:val="24"/>
          <w:szCs w:val="24"/>
        </w:rPr>
        <w:t>Journal of Frontiers in Multidisciplinary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(1), pp.618-629.</w:t>
      </w:r>
      <w:hyperlink r:id="rId22">
        <w:r w:rsidR="00B538DB">
          <w:rPr>
            <w:rFonts w:ascii="Times New Roman" w:eastAsia="Times New Roman" w:hAnsi="Times New Roman" w:cs="Times New Roman"/>
            <w:sz w:val="24"/>
            <w:szCs w:val="24"/>
          </w:rPr>
          <w:t xml:space="preserve"> </w:t>
        </w:r>
      </w:hyperlink>
      <w:hyperlink r:id="rId23">
        <w:r w:rsidR="00B538DB">
          <w:rPr>
            <w:rFonts w:ascii="Times New Roman" w:eastAsia="Times New Roman" w:hAnsi="Times New Roman" w:cs="Times New Roman"/>
            <w:color w:val="1155CC"/>
            <w:sz w:val="24"/>
            <w:szCs w:val="24"/>
            <w:u w:val="single"/>
          </w:rPr>
          <w:t>https://www.researchgate.net/profile/Abdulmutalib-Lawal/publication/395104534_Optimizing_Cyber_Risk_Governance_Using_Global_Frameworks_ISO_NIST_and_COBIT_Alignment/links/68c3f6b5f3032e2b4be040fb/Optimizing-Cyber-Risk-Governance-Using-Global-Frameworks-ISO-NIST-and-COBIT-Alignment.pdf</w:t>
        </w:r>
      </w:hyperlink>
    </w:p>
    <w:p w14:paraId="69CCB062" w14:textId="52C7C7AE"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[7] Faruq, M.O., 2024. Vendor risk management in cloud-centric architectures: A systematic review of soc 2, Fedramp, and ISO 27001 practices. </w:t>
      </w:r>
      <w:r>
        <w:rPr>
          <w:rFonts w:ascii="Times New Roman" w:eastAsia="Times New Roman" w:hAnsi="Times New Roman" w:cs="Times New Roman"/>
          <w:i/>
          <w:iCs/>
          <w:sz w:val="24"/>
          <w:szCs w:val="24"/>
        </w:rPr>
        <w:t>International Journal of Business and Economics Insights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(1), pp.01-32.</w:t>
      </w:r>
      <w:hyperlink r:id="rId24">
        <w:r w:rsidR="00B538DB">
          <w:rPr>
            <w:rFonts w:ascii="Times New Roman" w:eastAsia="Times New Roman" w:hAnsi="Times New Roman" w:cs="Times New Roman"/>
            <w:sz w:val="24"/>
            <w:szCs w:val="24"/>
          </w:rPr>
          <w:t xml:space="preserve"> </w:t>
        </w:r>
      </w:hyperlink>
      <w:hyperlink r:id="rId25">
        <w:r w:rsidR="00B538DB">
          <w:rPr>
            <w:rFonts w:ascii="Times New Roman" w:eastAsia="Times New Roman" w:hAnsi="Times New Roman" w:cs="Times New Roman"/>
            <w:color w:val="1155CC"/>
            <w:sz w:val="24"/>
            <w:szCs w:val="24"/>
            <w:u w:val="single"/>
          </w:rPr>
          <w:t>https://ijbei-journal.org/index.php/ijbei/article/download/2/2</w:t>
        </w:r>
      </w:hyperlink>
    </w:p>
    <w:p w14:paraId="6C97A01A" w14:textId="6547CF60"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[8] Folorunso, A., Mohammed, V., Wada, I. and Samuel, B., 2024. The impact of ISO security standards on enhancing cybersecurity posture in organizations. </w:t>
      </w:r>
      <w:r>
        <w:rPr>
          <w:rFonts w:ascii="Times New Roman" w:eastAsia="Times New Roman" w:hAnsi="Times New Roman" w:cs="Times New Roman"/>
          <w:i/>
          <w:iCs/>
          <w:sz w:val="24"/>
          <w:szCs w:val="24"/>
        </w:rPr>
        <w:t>World Journal of Advanced Research and Reviews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24</w:t>
      </w:r>
      <w:r>
        <w:rPr>
          <w:rFonts w:ascii="Times New Roman" w:eastAsia="Times New Roman" w:hAnsi="Times New Roman" w:cs="Times New Roman"/>
          <w:sz w:val="24"/>
          <w:szCs w:val="24"/>
        </w:rPr>
        <w:t>(1), pp.2582-2595.</w:t>
      </w:r>
      <w:hyperlink r:id="rId26">
        <w:r w:rsidR="00B538DB">
          <w:rPr>
            <w:rFonts w:ascii="Times New Roman" w:eastAsia="Times New Roman" w:hAnsi="Times New Roman" w:cs="Times New Roman"/>
            <w:sz w:val="24"/>
            <w:szCs w:val="24"/>
          </w:rPr>
          <w:t xml:space="preserve"> </w:t>
        </w:r>
      </w:hyperlink>
      <w:hyperlink r:id="rId27">
        <w:r w:rsidR="00B538DB">
          <w:rPr>
            <w:rFonts w:ascii="Times New Roman" w:eastAsia="Times New Roman" w:hAnsi="Times New Roman" w:cs="Times New Roman"/>
            <w:color w:val="1155CC"/>
            <w:sz w:val="24"/>
            <w:szCs w:val="24"/>
            <w:u w:val="single"/>
          </w:rPr>
          <w:t>https://www.researchgate.net/profile/Ifeoluwa-Wada/publication/385427490_The_impact_of_ISO_security_standards_on_enhancing_cybersecurity_posture_in_organizations/links/67a5b926461fb56424ccb620/The-impact-of-ISO-security-standards-on-enhancing-cybersecurity-posture-in-organizations.pdf</w:t>
        </w:r>
      </w:hyperlink>
    </w:p>
    <w:p w14:paraId="0FE5F2FE" w14:textId="24B8B904"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[9] George, A.S., Baskar, T. and Karthikeyan, M.M., 2026. Cloud Security Architecture: A Comprehensive Guide to Zero Trust, Governance, and Operational Resilience. </w:t>
      </w:r>
      <w:r>
        <w:rPr>
          <w:rFonts w:ascii="Times New Roman" w:eastAsia="Times New Roman" w:hAnsi="Times New Roman" w:cs="Times New Roman"/>
          <w:i/>
          <w:iCs/>
          <w:sz w:val="24"/>
          <w:szCs w:val="24"/>
        </w:rPr>
        <w:t xml:space="preserve">Partners Universal </w:t>
      </w:r>
      <w:r>
        <w:rPr>
          <w:rFonts w:ascii="Times New Roman" w:eastAsia="Times New Roman" w:hAnsi="Times New Roman" w:cs="Times New Roman"/>
          <w:i/>
          <w:iCs/>
          <w:sz w:val="24"/>
          <w:szCs w:val="24"/>
        </w:rPr>
        <w:lastRenderedPageBreak/>
        <w:t>International Innovation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(2), pp.44-69.</w:t>
      </w:r>
      <w:hyperlink r:id="rId28">
        <w:r w:rsidR="00B538DB">
          <w:rPr>
            <w:rFonts w:ascii="Times New Roman" w:eastAsia="Times New Roman" w:hAnsi="Times New Roman" w:cs="Times New Roman"/>
            <w:color w:val="1155CC"/>
            <w:sz w:val="24"/>
            <w:szCs w:val="24"/>
            <w:u w:val="single"/>
          </w:rPr>
          <w:t>https://puiij.com/index.php/research/article/download/220/186</w:t>
        </w:r>
      </w:hyperlink>
    </w:p>
    <w:p w14:paraId="03A7C355" w14:textId="1F47C1E8"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[10] Gudepu, B.K. and Jaladi, D.S., 2022. Data Discovery and Security: Protecting Sensitive Information. </w:t>
      </w:r>
      <w:r>
        <w:rPr>
          <w:rFonts w:ascii="Times New Roman" w:eastAsia="Times New Roman" w:hAnsi="Times New Roman" w:cs="Times New Roman"/>
          <w:i/>
          <w:iCs/>
          <w:sz w:val="24"/>
          <w:szCs w:val="24"/>
        </w:rPr>
        <w:t>International Journal of Acta Informatica</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w:t>
      </w:r>
      <w:r>
        <w:rPr>
          <w:rFonts w:ascii="Times New Roman" w:eastAsia="Times New Roman" w:hAnsi="Times New Roman" w:cs="Times New Roman"/>
          <w:sz w:val="24"/>
          <w:szCs w:val="24"/>
        </w:rPr>
        <w:t>(1), pp.176-187.</w:t>
      </w:r>
      <w:hyperlink r:id="rId29">
        <w:r w:rsidR="00B538DB">
          <w:rPr>
            <w:rFonts w:ascii="Times New Roman" w:eastAsia="Times New Roman" w:hAnsi="Times New Roman" w:cs="Times New Roman"/>
            <w:color w:val="1155CC"/>
            <w:sz w:val="24"/>
            <w:szCs w:val="24"/>
            <w:u w:val="single"/>
          </w:rPr>
          <w:t>http://yuktabpublisher.com/index.php/IJAI/article/download/265/253</w:t>
        </w:r>
      </w:hyperlink>
    </w:p>
    <w:p w14:paraId="55FD4B2D" w14:textId="14CB0927"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[11] Hassan, M.U., 2023. Study of artificial intelligence in cyber security and the emerging threat of AI-driven cyber attacks and challenge. </w:t>
      </w:r>
      <w:r>
        <w:rPr>
          <w:rFonts w:ascii="Times New Roman" w:eastAsia="Times New Roman" w:hAnsi="Times New Roman" w:cs="Times New Roman"/>
          <w:i/>
          <w:iCs/>
          <w:sz w:val="24"/>
          <w:szCs w:val="24"/>
        </w:rPr>
        <w:t>Available at SSRN 4652028</w:t>
      </w:r>
      <w:r>
        <w:rPr>
          <w:rFonts w:ascii="Times New Roman" w:eastAsia="Times New Roman" w:hAnsi="Times New Roman" w:cs="Times New Roman"/>
          <w:sz w:val="24"/>
          <w:szCs w:val="24"/>
        </w:rPr>
        <w:t>.</w:t>
      </w:r>
      <w:hyperlink r:id="rId30">
        <w:r w:rsidR="00B538DB">
          <w:rPr>
            <w:rFonts w:ascii="Times New Roman" w:eastAsia="Times New Roman" w:hAnsi="Times New Roman" w:cs="Times New Roman"/>
            <w:color w:val="1155CC"/>
            <w:sz w:val="24"/>
            <w:szCs w:val="24"/>
            <w:u w:val="single"/>
          </w:rPr>
          <w:t>https://papers.ssrn.com/sol3/Delivery.cfm?abstractid=4652028</w:t>
        </w:r>
      </w:hyperlink>
      <w:r>
        <w:rPr>
          <w:rFonts w:ascii="Times New Roman" w:eastAsia="Times New Roman" w:hAnsi="Times New Roman" w:cs="Times New Roman"/>
          <w:sz w:val="24"/>
          <w:szCs w:val="24"/>
        </w:rPr>
        <w:t xml:space="preserve"> </w:t>
      </w:r>
    </w:p>
    <w:p w14:paraId="7139D922" w14:textId="7E4D927F"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[12] Hussein, R., Wurhofer, D., Strumegger, E.M., Stainer-Hochgatterer, A., Kulnik, S.T., Crutzen, R. and Niebauer, J., 2022. General data protection regulation (GDPR) toolkit for digital health. </w:t>
      </w:r>
      <w:r>
        <w:rPr>
          <w:rFonts w:ascii="Times New Roman" w:eastAsia="Times New Roman" w:hAnsi="Times New Roman" w:cs="Times New Roman"/>
          <w:i/>
          <w:iCs/>
          <w:sz w:val="24"/>
          <w:szCs w:val="24"/>
        </w:rPr>
        <w:t>Stud Health Technol Inform</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290</w:t>
      </w:r>
      <w:r>
        <w:rPr>
          <w:rFonts w:ascii="Times New Roman" w:eastAsia="Times New Roman" w:hAnsi="Times New Roman" w:cs="Times New Roman"/>
          <w:sz w:val="24"/>
          <w:szCs w:val="24"/>
        </w:rPr>
        <w:t>, pp.222-6.</w:t>
      </w:r>
      <w:hyperlink r:id="rId31">
        <w:r w:rsidR="00B538DB">
          <w:rPr>
            <w:rFonts w:ascii="Times New Roman" w:eastAsia="Times New Roman" w:hAnsi="Times New Roman" w:cs="Times New Roman"/>
            <w:color w:val="1155CC"/>
            <w:sz w:val="24"/>
            <w:szCs w:val="24"/>
            <w:u w:val="single"/>
          </w:rPr>
          <w:t xml:space="preserve"> https://scholar.archive.org/work/synq6xbjufcelf2bqb7srgdvve/access/wayback/https://ebooks.iospress.nl/pdf/doi/10.3233/SHTI220066</w:t>
        </w:r>
      </w:hyperlink>
    </w:p>
    <w:p w14:paraId="534BDABF" w14:textId="4554423A"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 ISO (2022) ISO/IEC 27001:2022Information security, cybersecurity and privacy protection — Information security management systems — Requirements Available at:</w:t>
      </w:r>
      <w:hyperlink r:id="rId32">
        <w:r w:rsidR="00B538DB">
          <w:rPr>
            <w:rFonts w:ascii="Times New Roman" w:eastAsia="Times New Roman" w:hAnsi="Times New Roman" w:cs="Times New Roman"/>
            <w:sz w:val="24"/>
            <w:szCs w:val="24"/>
          </w:rPr>
          <w:t xml:space="preserve"> </w:t>
        </w:r>
      </w:hyperlink>
      <w:hyperlink r:id="rId33">
        <w:r w:rsidR="00B538DB">
          <w:rPr>
            <w:rFonts w:ascii="Times New Roman" w:eastAsia="Times New Roman" w:hAnsi="Times New Roman" w:cs="Times New Roman"/>
            <w:color w:val="1155CC"/>
            <w:sz w:val="24"/>
            <w:szCs w:val="24"/>
            <w:u w:val="single"/>
          </w:rPr>
          <w:t>https://www.iso.org/standard/27001</w:t>
        </w:r>
      </w:hyperlink>
      <w:r>
        <w:rPr>
          <w:rFonts w:ascii="Times New Roman" w:eastAsia="Times New Roman" w:hAnsi="Times New Roman" w:cs="Times New Roman"/>
          <w:sz w:val="24"/>
          <w:szCs w:val="24"/>
        </w:rPr>
        <w:t xml:space="preserve"> [Accessed on 27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July 2026]</w:t>
      </w:r>
    </w:p>
    <w:p w14:paraId="2013B2B9" w14:textId="5A24227D"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[14] Jazairy, A., Brho, M., Manuj, I. and Goldsby, T.J., 2024. Cyber risk management strategies and integration: toward supply chain cyber resilience and robustness. </w:t>
      </w:r>
      <w:r>
        <w:rPr>
          <w:rFonts w:ascii="Times New Roman" w:eastAsia="Times New Roman" w:hAnsi="Times New Roman" w:cs="Times New Roman"/>
          <w:i/>
          <w:iCs/>
          <w:sz w:val="24"/>
          <w:szCs w:val="24"/>
        </w:rPr>
        <w:t>International Journal of Physical Distribution &amp; Logistics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54</w:t>
      </w:r>
      <w:r>
        <w:rPr>
          <w:rFonts w:ascii="Times New Roman" w:eastAsia="Times New Roman" w:hAnsi="Times New Roman" w:cs="Times New Roman"/>
          <w:sz w:val="24"/>
          <w:szCs w:val="24"/>
        </w:rPr>
        <w:t>(11), pp.1-29.</w:t>
      </w:r>
      <w:hyperlink r:id="rId34">
        <w:r w:rsidR="00B538DB">
          <w:rPr>
            <w:rFonts w:ascii="Times New Roman" w:eastAsia="Times New Roman" w:hAnsi="Times New Roman" w:cs="Times New Roman"/>
            <w:color w:val="1155CC"/>
            <w:sz w:val="24"/>
            <w:szCs w:val="24"/>
            <w:u w:val="single"/>
          </w:rPr>
          <w:t xml:space="preserve"> https://www.emerald.com/ijpdlm/article-pdf/54/11/1/9587983/ijpdlm-12-2023-0445.pdf</w:t>
        </w:r>
      </w:hyperlink>
    </w:p>
    <w:p w14:paraId="2EBC14D0" w14:textId="69E714AC"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[15] Khan, O.U., Abdullah, S.M., Olajide, A.O., Sani, A.I., Faisal, S.M.W., Ogunola, A.A. and Lee, M.D., 2024. The Future of Cybersecurity: Leveraging Artificial Intelligence to Combat Evolving Threats and Enhance Digital Defense Strategies. </w:t>
      </w:r>
      <w:r>
        <w:rPr>
          <w:rFonts w:ascii="Times New Roman" w:eastAsia="Times New Roman" w:hAnsi="Times New Roman" w:cs="Times New Roman"/>
          <w:i/>
          <w:iCs/>
          <w:sz w:val="24"/>
          <w:szCs w:val="24"/>
        </w:rPr>
        <w:t>Journal of Computational Analysis &amp;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33</w:t>
      </w:r>
      <w:r>
        <w:rPr>
          <w:rFonts w:ascii="Times New Roman" w:eastAsia="Times New Roman" w:hAnsi="Times New Roman" w:cs="Times New Roman"/>
          <w:sz w:val="24"/>
          <w:szCs w:val="24"/>
        </w:rPr>
        <w:t>(8).</w:t>
      </w:r>
      <w:hyperlink r:id="rId35">
        <w:r w:rsidR="00B538DB">
          <w:rPr>
            <w:rFonts w:ascii="Times New Roman" w:eastAsia="Times New Roman" w:hAnsi="Times New Roman" w:cs="Times New Roman"/>
            <w:sz w:val="24"/>
            <w:szCs w:val="24"/>
          </w:rPr>
          <w:t xml:space="preserve"> </w:t>
        </w:r>
      </w:hyperlink>
      <w:hyperlink r:id="rId36">
        <w:r w:rsidR="00B538DB">
          <w:rPr>
            <w:rFonts w:ascii="Times New Roman" w:eastAsia="Times New Roman" w:hAnsi="Times New Roman" w:cs="Times New Roman"/>
            <w:color w:val="1155CC"/>
            <w:sz w:val="24"/>
            <w:szCs w:val="24"/>
            <w:u w:val="single"/>
          </w:rPr>
          <w:t>https://www.researchgate.net/profile/Abuh-Sani/publication/385879582_The_Future_of_Cybersecurity_Leveraging_Artificial_Intelligence_to_Combat_Evolving_Threats_and_Enhance_Digital_Defense_Strategies/links/6738929b68de5e5a30783143/The-Future-of-Cybersecurity-Leveraging-Artificial-Intelligence-to-Combat-Evolving-Threats-and-Enhance-Digital-Defense-Strategies.pdf</w:t>
        </w:r>
      </w:hyperlink>
    </w:p>
    <w:p w14:paraId="00772C7C" w14:textId="5A6792D8"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[16] Kitsios, F., Chatzidimitriou, E. and Kamariotou, M., 2023. The ISO/IEC 27001 information security management standard: how to extract value from data in the IT sector.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(7), p.5828.</w:t>
      </w:r>
      <w:hyperlink r:id="rId37">
        <w:r w:rsidR="00B538DB">
          <w:rPr>
            <w:rFonts w:ascii="Times New Roman" w:eastAsia="Times New Roman" w:hAnsi="Times New Roman" w:cs="Times New Roman"/>
            <w:sz w:val="24"/>
            <w:szCs w:val="24"/>
          </w:rPr>
          <w:t xml:space="preserve"> </w:t>
        </w:r>
      </w:hyperlink>
      <w:hyperlink r:id="rId38">
        <w:r w:rsidR="00B538DB">
          <w:rPr>
            <w:rFonts w:ascii="Times New Roman" w:eastAsia="Times New Roman" w:hAnsi="Times New Roman" w:cs="Times New Roman"/>
            <w:color w:val="1155CC"/>
            <w:sz w:val="24"/>
            <w:szCs w:val="24"/>
            <w:u w:val="single"/>
          </w:rPr>
          <w:t>https://www.mdpi.com/2071-1050/15/7/5828</w:t>
        </w:r>
      </w:hyperlink>
    </w:p>
    <w:p w14:paraId="76F23802" w14:textId="5408CC84"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[17] Machaladze, O., 2025. IT infrastructure management in educational institutions using the ITIL framework. </w:t>
      </w:r>
      <w:r>
        <w:rPr>
          <w:rFonts w:ascii="Times New Roman" w:eastAsia="Times New Roman" w:hAnsi="Times New Roman" w:cs="Times New Roman"/>
          <w:i/>
          <w:iCs/>
          <w:sz w:val="24"/>
          <w:szCs w:val="24"/>
        </w:rPr>
        <w:t>International Science Journal of Engineering &amp; Agriculture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(2), pp.215-225.</w:t>
      </w:r>
      <w:hyperlink r:id="rId39">
        <w:r w:rsidR="00B538DB">
          <w:rPr>
            <w:rFonts w:ascii="Times New Roman" w:eastAsia="Times New Roman" w:hAnsi="Times New Roman" w:cs="Times New Roman"/>
            <w:sz w:val="24"/>
            <w:szCs w:val="24"/>
          </w:rPr>
          <w:t xml:space="preserve"> </w:t>
        </w:r>
      </w:hyperlink>
      <w:hyperlink r:id="rId40">
        <w:r w:rsidR="00B538DB">
          <w:rPr>
            <w:rFonts w:ascii="Times New Roman" w:eastAsia="Times New Roman" w:hAnsi="Times New Roman" w:cs="Times New Roman"/>
            <w:color w:val="1155CC"/>
            <w:sz w:val="24"/>
            <w:szCs w:val="24"/>
            <w:u w:val="single"/>
          </w:rPr>
          <w:t>https://isg-journal.com/isjea/article/download/985/553</w:t>
        </w:r>
      </w:hyperlink>
    </w:p>
    <w:p w14:paraId="455B8FF3" w14:textId="78B8CC6B"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lastRenderedPageBreak/>
        <w:t xml:space="preserve">[18] Malatji, M., 2023, January. Management of enterprise cyber security: A review of ISO/IEC 27001: 2022. In </w:t>
      </w:r>
      <w:r>
        <w:rPr>
          <w:rFonts w:ascii="Times New Roman" w:eastAsia="Times New Roman" w:hAnsi="Times New Roman" w:cs="Times New Roman"/>
          <w:i/>
          <w:iCs/>
          <w:sz w:val="24"/>
          <w:szCs w:val="24"/>
        </w:rPr>
        <w:t>2023 International conference on cyber management and engineering (CyMaEn)</w:t>
      </w:r>
      <w:r>
        <w:rPr>
          <w:rFonts w:ascii="Times New Roman" w:eastAsia="Times New Roman" w:hAnsi="Times New Roman" w:cs="Times New Roman"/>
          <w:sz w:val="24"/>
          <w:szCs w:val="24"/>
        </w:rPr>
        <w:t xml:space="preserve"> (pp. 117-122). IEEE.</w:t>
      </w:r>
      <w:hyperlink r:id="rId41">
        <w:r w:rsidR="00B538DB">
          <w:rPr>
            <w:rFonts w:ascii="Times New Roman" w:eastAsia="Times New Roman" w:hAnsi="Times New Roman" w:cs="Times New Roman"/>
            <w:color w:val="1155CC"/>
            <w:sz w:val="24"/>
            <w:szCs w:val="24"/>
            <w:u w:val="single"/>
          </w:rPr>
          <w:t xml:space="preserve"> https://www.johanolausson.com/management.pdf</w:t>
        </w:r>
      </w:hyperlink>
    </w:p>
    <w:p w14:paraId="64AE3FF5" w14:textId="1C74A156"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[19] Metin, B., Özhan, F.G. and Wynn, M., 2024. Digitalisation and cybersecurity: Towards an operational framework. </w:t>
      </w:r>
      <w:r>
        <w:rPr>
          <w:rFonts w:ascii="Times New Roman" w:eastAsia="Times New Roman" w:hAnsi="Times New Roman" w:cs="Times New Roman"/>
          <w:i/>
          <w:iCs/>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13</w:t>
      </w:r>
      <w:r>
        <w:rPr>
          <w:rFonts w:ascii="Times New Roman" w:eastAsia="Times New Roman" w:hAnsi="Times New Roman" w:cs="Times New Roman"/>
          <w:sz w:val="24"/>
          <w:szCs w:val="24"/>
        </w:rPr>
        <w:t>(21), p.4226.</w:t>
      </w:r>
      <w:hyperlink r:id="rId42">
        <w:r w:rsidR="00B538DB">
          <w:rPr>
            <w:rFonts w:ascii="Times New Roman" w:eastAsia="Times New Roman" w:hAnsi="Times New Roman" w:cs="Times New Roman"/>
            <w:color w:val="1155CC"/>
            <w:sz w:val="24"/>
            <w:szCs w:val="24"/>
            <w:u w:val="single"/>
          </w:rPr>
          <w:t xml:space="preserve"> https://www.mdpi.com/2079-9292/13/21/4226</w:t>
        </w:r>
      </w:hyperlink>
    </w:p>
    <w:p w14:paraId="0BD87C50" w14:textId="1008D65C"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[20] Michael, D., 2025. Disaster Recovery Plan for Business Continuity.</w:t>
      </w:r>
      <w:hyperlink r:id="rId43">
        <w:r w:rsidR="00B538DB">
          <w:rPr>
            <w:rFonts w:ascii="Times New Roman" w:eastAsia="Times New Roman" w:hAnsi="Times New Roman" w:cs="Times New Roman"/>
            <w:sz w:val="24"/>
            <w:szCs w:val="24"/>
          </w:rPr>
          <w:t xml:space="preserve"> </w:t>
        </w:r>
      </w:hyperlink>
      <w:hyperlink r:id="rId44">
        <w:r w:rsidR="00B538DB">
          <w:rPr>
            <w:rFonts w:ascii="Times New Roman" w:eastAsia="Times New Roman" w:hAnsi="Times New Roman" w:cs="Times New Roman"/>
            <w:color w:val="1155CC"/>
            <w:sz w:val="24"/>
            <w:szCs w:val="24"/>
            <w:u w:val="single"/>
          </w:rPr>
          <w:t>https://www.researchgate.net/profile/Dave-Micheal/publication/393164358_Disaster_Recovery_Plan_for_Business_Continuity/links/6862a25992697d42903bed05/Disaster-Recovery-Plan-for-Business-Continuity.pdf</w:t>
        </w:r>
      </w:hyperlink>
    </w:p>
    <w:p w14:paraId="0B25C888" w14:textId="18D7553D"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[21] Mohammed, A.H.Y., Dziyauddin, R.A. and Latiff, L.A., 2023. Current multi-factor of authentication: Approaches, requirements, attacks and challenges. </w:t>
      </w:r>
      <w:r>
        <w:rPr>
          <w:rFonts w:ascii="Times New Roman" w:eastAsia="Times New Roman" w:hAnsi="Times New Roman" w:cs="Times New Roman"/>
          <w:i/>
          <w:iCs/>
          <w:sz w:val="24"/>
          <w:szCs w:val="24"/>
        </w:rPr>
        <w:t>International Journal of Advanced Computer Science and Applications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14</w:t>
      </w:r>
      <w:r>
        <w:rPr>
          <w:rFonts w:ascii="Times New Roman" w:eastAsia="Times New Roman" w:hAnsi="Times New Roman" w:cs="Times New Roman"/>
          <w:sz w:val="24"/>
          <w:szCs w:val="24"/>
        </w:rPr>
        <w:t>(1).</w:t>
      </w:r>
      <w:hyperlink r:id="rId45">
        <w:r w:rsidR="00B538DB">
          <w:rPr>
            <w:rFonts w:ascii="Times New Roman" w:eastAsia="Times New Roman" w:hAnsi="Times New Roman" w:cs="Times New Roman"/>
            <w:sz w:val="24"/>
            <w:szCs w:val="24"/>
          </w:rPr>
          <w:t xml:space="preserve"> </w:t>
        </w:r>
      </w:hyperlink>
      <w:hyperlink r:id="rId46">
        <w:r w:rsidR="00B538DB">
          <w:rPr>
            <w:rFonts w:ascii="Times New Roman" w:eastAsia="Times New Roman" w:hAnsi="Times New Roman" w:cs="Times New Roman"/>
            <w:color w:val="1155CC"/>
            <w:sz w:val="24"/>
            <w:szCs w:val="24"/>
            <w:u w:val="single"/>
          </w:rPr>
          <w:t>https://www.researchgate.net/profile/Ali-Mohammed-172/publication/367987835_Current_Multi-factor_of_Authentication_Approaches_Requirements_Attacks_and_Challenges/links/673857b968de5e5a307829c7/Current-Multi-factor-of-Authentication-Approaches-Requirements-Attacks-and-Challenges.pdf</w:t>
        </w:r>
      </w:hyperlink>
      <w:r>
        <w:rPr>
          <w:rFonts w:ascii="Times New Roman" w:eastAsia="Times New Roman" w:hAnsi="Times New Roman" w:cs="Times New Roman"/>
          <w:sz w:val="24"/>
          <w:szCs w:val="24"/>
        </w:rPr>
        <w:t xml:space="preserve"> </w:t>
      </w:r>
    </w:p>
    <w:p w14:paraId="438AB71D" w14:textId="10035B7B"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[22] Mokodaser, W.G., Mambu, J.Y., Koapaha, H. and Lompoliu, E., 2024. Aligning Information Technology Governance with Business Goals Using the COBIT 2019 Framework: A Case Study of a Innovation Consultancy Firm. </w:t>
      </w:r>
      <w:r>
        <w:rPr>
          <w:rFonts w:ascii="Times New Roman" w:eastAsia="Times New Roman" w:hAnsi="Times New Roman" w:cs="Times New Roman"/>
          <w:i/>
          <w:iCs/>
          <w:sz w:val="24"/>
          <w:szCs w:val="24"/>
        </w:rPr>
        <w:t>CogITo Smart Journal</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10</w:t>
      </w:r>
      <w:r>
        <w:rPr>
          <w:rFonts w:ascii="Times New Roman" w:eastAsia="Times New Roman" w:hAnsi="Times New Roman" w:cs="Times New Roman"/>
          <w:sz w:val="24"/>
          <w:szCs w:val="24"/>
        </w:rPr>
        <w:t>(2), pp.548-560.</w:t>
      </w:r>
      <w:hyperlink r:id="rId47">
        <w:r w:rsidR="00B538DB">
          <w:rPr>
            <w:rFonts w:ascii="Times New Roman" w:eastAsia="Times New Roman" w:hAnsi="Times New Roman" w:cs="Times New Roman"/>
            <w:sz w:val="24"/>
            <w:szCs w:val="24"/>
          </w:rPr>
          <w:t xml:space="preserve"> </w:t>
        </w:r>
      </w:hyperlink>
      <w:hyperlink r:id="rId48">
        <w:r w:rsidR="00B538DB">
          <w:rPr>
            <w:rFonts w:ascii="Times New Roman" w:eastAsia="Times New Roman" w:hAnsi="Times New Roman" w:cs="Times New Roman"/>
            <w:color w:val="1155CC"/>
            <w:sz w:val="24"/>
            <w:szCs w:val="24"/>
            <w:u w:val="single"/>
          </w:rPr>
          <w:t>https://cogito.unklab.ac.id/index.php/cogito/article/download/799/369</w:t>
        </w:r>
      </w:hyperlink>
    </w:p>
    <w:p w14:paraId="3B9FA5BB" w14:textId="5F672A0C"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[23] Muhammad, A.R., Sukarno, P. and Wardana, A.A., 2023. Integrated security information and event management (siem) with intrusion detection system (ids) for live analysis based on machine learning. </w:t>
      </w:r>
      <w:r>
        <w:rPr>
          <w:rFonts w:ascii="Times New Roman" w:eastAsia="Times New Roman" w:hAnsi="Times New Roman" w:cs="Times New Roman"/>
          <w:i/>
          <w:iCs/>
          <w:sz w:val="24"/>
          <w:szCs w:val="24"/>
        </w:rPr>
        <w:t>Procedia Computer Science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217</w:t>
      </w:r>
      <w:r>
        <w:rPr>
          <w:rFonts w:ascii="Times New Roman" w:eastAsia="Times New Roman" w:hAnsi="Times New Roman" w:cs="Times New Roman"/>
          <w:sz w:val="24"/>
          <w:szCs w:val="24"/>
        </w:rPr>
        <w:t>, pp.1406-1415.</w:t>
      </w:r>
      <w:hyperlink r:id="rId49">
        <w:r w:rsidR="00B538DB">
          <w:rPr>
            <w:rFonts w:ascii="Times New Roman" w:eastAsia="Times New Roman" w:hAnsi="Times New Roman" w:cs="Times New Roman"/>
            <w:sz w:val="24"/>
            <w:szCs w:val="24"/>
          </w:rPr>
          <w:t xml:space="preserve"> </w:t>
        </w:r>
      </w:hyperlink>
      <w:hyperlink r:id="rId50">
        <w:r w:rsidR="00B538DB">
          <w:rPr>
            <w:rFonts w:ascii="Times New Roman" w:eastAsia="Times New Roman" w:hAnsi="Times New Roman" w:cs="Times New Roman"/>
            <w:color w:val="1155CC"/>
            <w:sz w:val="24"/>
            <w:szCs w:val="24"/>
            <w:u w:val="single"/>
          </w:rPr>
          <w:t>https://www.sciencedirect.com/science/article/pii/S1877050922024243/pdf?md5=b0f04476320307a236d42581e8d4ae56&amp;pid=1-s2.0-S1877050922024243-main.pdf</w:t>
        </w:r>
      </w:hyperlink>
      <w:r>
        <w:rPr>
          <w:rFonts w:ascii="Times New Roman" w:eastAsia="Times New Roman" w:hAnsi="Times New Roman" w:cs="Times New Roman"/>
          <w:sz w:val="24"/>
          <w:szCs w:val="24"/>
        </w:rPr>
        <w:t xml:space="preserve"> </w:t>
      </w:r>
    </w:p>
    <w:p w14:paraId="76A5DABC" w14:textId="72C8092A"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[24] Nicolazzo, S., Nocera, A. and Pedrycz, W., 2024. Service level agreements and security SLA: A comprehensive survey. </w:t>
      </w:r>
      <w:r>
        <w:rPr>
          <w:rFonts w:ascii="Times New Roman" w:eastAsia="Times New Roman" w:hAnsi="Times New Roman" w:cs="Times New Roman"/>
          <w:i/>
          <w:iCs/>
          <w:sz w:val="24"/>
          <w:szCs w:val="24"/>
        </w:rPr>
        <w:t>arXiv preprint arXiv:2405.00009</w:t>
      </w:r>
      <w:r>
        <w:rPr>
          <w:rFonts w:ascii="Times New Roman" w:eastAsia="Times New Roman" w:hAnsi="Times New Roman" w:cs="Times New Roman"/>
          <w:sz w:val="24"/>
          <w:szCs w:val="24"/>
        </w:rPr>
        <w:t>.</w:t>
      </w:r>
      <w:hyperlink r:id="rId51">
        <w:r w:rsidR="00B538DB">
          <w:rPr>
            <w:rFonts w:ascii="Times New Roman" w:eastAsia="Times New Roman" w:hAnsi="Times New Roman" w:cs="Times New Roman"/>
            <w:sz w:val="24"/>
            <w:szCs w:val="24"/>
          </w:rPr>
          <w:t xml:space="preserve"> </w:t>
        </w:r>
      </w:hyperlink>
      <w:hyperlink r:id="rId52">
        <w:r w:rsidR="00B538DB">
          <w:rPr>
            <w:rFonts w:ascii="Times New Roman" w:eastAsia="Times New Roman" w:hAnsi="Times New Roman" w:cs="Times New Roman"/>
            <w:color w:val="1155CC"/>
            <w:sz w:val="24"/>
            <w:szCs w:val="24"/>
            <w:u w:val="single"/>
          </w:rPr>
          <w:t>https://arxiv.org/pdf/2405.00009</w:t>
        </w:r>
      </w:hyperlink>
    </w:p>
    <w:p w14:paraId="53C55C66" w14:textId="07DDB2A3"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[25] NIST (2026) Cybersecurity Framework Available at:</w:t>
      </w:r>
      <w:hyperlink r:id="rId53">
        <w:r w:rsidR="00B538DB">
          <w:rPr>
            <w:rFonts w:ascii="Times New Roman" w:eastAsia="Times New Roman" w:hAnsi="Times New Roman" w:cs="Times New Roman"/>
            <w:sz w:val="24"/>
            <w:szCs w:val="24"/>
          </w:rPr>
          <w:t xml:space="preserve"> </w:t>
        </w:r>
      </w:hyperlink>
      <w:hyperlink r:id="rId54">
        <w:r w:rsidR="00B538DB">
          <w:rPr>
            <w:rFonts w:ascii="Times New Roman" w:eastAsia="Times New Roman" w:hAnsi="Times New Roman" w:cs="Times New Roman"/>
            <w:color w:val="1155CC"/>
            <w:sz w:val="24"/>
            <w:szCs w:val="24"/>
            <w:u w:val="single"/>
          </w:rPr>
          <w:t>https://www.nist.gov/cyberframework</w:t>
        </w:r>
      </w:hyperlink>
      <w:r>
        <w:rPr>
          <w:rFonts w:ascii="Times New Roman" w:eastAsia="Times New Roman" w:hAnsi="Times New Roman" w:cs="Times New Roman"/>
          <w:sz w:val="24"/>
          <w:szCs w:val="24"/>
        </w:rPr>
        <w:t xml:space="preserve"> [Accessed on 27</w:t>
      </w:r>
      <w:r>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July 2026]</w:t>
      </w:r>
    </w:p>
    <w:p w14:paraId="5576A9DE" w14:textId="6C452517"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[26] Pathak, M., Mishra, K.N. and Singh, S.P., 2024. Securing data and preserving privacy in cloud IoT-based technologies an analysis of assessing threats and developing effective safeguard. </w:t>
      </w:r>
      <w:r>
        <w:rPr>
          <w:rFonts w:ascii="Times New Roman" w:eastAsia="Times New Roman" w:hAnsi="Times New Roman" w:cs="Times New Roman"/>
          <w:i/>
          <w:iCs/>
          <w:sz w:val="24"/>
          <w:szCs w:val="24"/>
        </w:rPr>
        <w:t>Artificial intelligence review</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57</w:t>
      </w:r>
      <w:r>
        <w:rPr>
          <w:rFonts w:ascii="Times New Roman" w:eastAsia="Times New Roman" w:hAnsi="Times New Roman" w:cs="Times New Roman"/>
          <w:sz w:val="24"/>
          <w:szCs w:val="24"/>
        </w:rPr>
        <w:t>(10), p.269.</w:t>
      </w:r>
      <w:hyperlink r:id="rId55">
        <w:r w:rsidR="00B538DB">
          <w:rPr>
            <w:rFonts w:ascii="Times New Roman" w:eastAsia="Times New Roman" w:hAnsi="Times New Roman" w:cs="Times New Roman"/>
            <w:color w:val="1155CC"/>
            <w:sz w:val="24"/>
            <w:szCs w:val="24"/>
            <w:u w:val="single"/>
          </w:rPr>
          <w:t xml:space="preserve"> https://link.springer.com/content/pdf/10.1007/s10462-024-10908-x.pdf</w:t>
        </w:r>
      </w:hyperlink>
    </w:p>
    <w:p w14:paraId="445F8A4E" w14:textId="210641E3"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[27] Rambau, T.M., Munyoka, W., Phahlamohlaka, L.J. and Kadyamatimba, A., 2026. Evaluating cyber resilience frameworks for e-government: applicability of NIST CSF, ISO/IEC 27001</w:t>
      </w:r>
      <w:r w:rsidR="00DA630F">
        <w:rPr>
          <w:rFonts w:ascii="Times New Roman" w:eastAsia="Times New Roman" w:hAnsi="Times New Roman" w:cs="Times New Roman"/>
          <w:sz w:val="24"/>
          <w:szCs w:val="24"/>
        </w:rPr>
        <w:t xml:space="preserve"> and </w:t>
      </w:r>
      <w:r w:rsidR="00DA630F" w:rsidRPr="00DA630F">
        <w:rPr>
          <w:rFonts w:ascii="Times New Roman" w:eastAsia="Times New Roman" w:hAnsi="Times New Roman" w:cs="Times New Roman"/>
          <w:sz w:val="24"/>
          <w:szCs w:val="24"/>
        </w:rPr>
        <w:lastRenderedPageBreak/>
        <w:t xml:space="preserve">Rambau, T.M., Munyoka, W., Phahlamohlaka, L.J. and Kadyamatimba, A., 2026. Evaluating cyber resilience frameworks for e-government: applicability of NIST CSF, ISO/IEC 27001 and </w:t>
      </w:r>
      <w:r>
        <w:rPr>
          <w:rFonts w:ascii="Times New Roman" w:eastAsia="Times New Roman" w:hAnsi="Times New Roman" w:cs="Times New Roman"/>
          <w:sz w:val="24"/>
          <w:szCs w:val="24"/>
        </w:rPr>
        <w:t xml:space="preserve">COBIT 2019 in developing country contexts. </w:t>
      </w:r>
      <w:r>
        <w:rPr>
          <w:rFonts w:ascii="Times New Roman" w:eastAsia="Times New Roman" w:hAnsi="Times New Roman" w:cs="Times New Roman"/>
          <w:i/>
          <w:iCs/>
          <w:sz w:val="24"/>
          <w:szCs w:val="24"/>
        </w:rPr>
        <w:t>Information &amp; Computer Security</w:t>
      </w:r>
      <w:r>
        <w:rPr>
          <w:rFonts w:ascii="Times New Roman" w:eastAsia="Times New Roman" w:hAnsi="Times New Roman" w:cs="Times New Roman"/>
          <w:sz w:val="24"/>
          <w:szCs w:val="24"/>
        </w:rPr>
        <w:t>, pp.1-22.</w:t>
      </w:r>
      <w:hyperlink r:id="rId56">
        <w:r w:rsidR="00B538DB">
          <w:rPr>
            <w:rFonts w:ascii="Times New Roman" w:eastAsia="Times New Roman" w:hAnsi="Times New Roman" w:cs="Times New Roman"/>
            <w:color w:val="1155CC"/>
            <w:sz w:val="24"/>
            <w:szCs w:val="24"/>
            <w:u w:val="single"/>
          </w:rPr>
          <w:t>https://www.emerald.com/ics/article-pdf/doi/10.1108/ICS-09-2025-0376/11493712/ics-09-2025-0376en.pdf</w:t>
        </w:r>
      </w:hyperlink>
    </w:p>
    <w:p w14:paraId="2049B851" w14:textId="79BA1F5C"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[2</w:t>
      </w:r>
      <w:r w:rsidR="00DA630F">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Setiadi, L.H. and Fianty, M.I., 2024. Enhancing Organizational Performance through COBIT 2019-Based IT Governance Audit: A Case Study of a Digital Technology Company. </w:t>
      </w:r>
      <w:r>
        <w:rPr>
          <w:rFonts w:ascii="Times New Roman" w:eastAsia="Times New Roman" w:hAnsi="Times New Roman" w:cs="Times New Roman"/>
          <w:i/>
          <w:iCs/>
          <w:sz w:val="24"/>
          <w:szCs w:val="24"/>
        </w:rPr>
        <w:t>J. Inf. Syst. Informatics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6</w:t>
      </w:r>
      <w:r>
        <w:rPr>
          <w:rFonts w:ascii="Times New Roman" w:eastAsia="Times New Roman" w:hAnsi="Times New Roman" w:cs="Times New Roman"/>
          <w:sz w:val="24"/>
          <w:szCs w:val="24"/>
        </w:rPr>
        <w:t>(2), pp.676-688.</w:t>
      </w:r>
      <w:hyperlink r:id="rId57">
        <w:r w:rsidR="00B538DB">
          <w:rPr>
            <w:rFonts w:ascii="Times New Roman" w:eastAsia="Times New Roman" w:hAnsi="Times New Roman" w:cs="Times New Roman"/>
            <w:sz w:val="24"/>
            <w:szCs w:val="24"/>
          </w:rPr>
          <w:t xml:space="preserve"> </w:t>
        </w:r>
      </w:hyperlink>
      <w:hyperlink r:id="rId58">
        <w:r w:rsidR="00B538DB">
          <w:rPr>
            <w:rFonts w:ascii="Times New Roman" w:eastAsia="Times New Roman" w:hAnsi="Times New Roman" w:cs="Times New Roman"/>
            <w:color w:val="1155CC"/>
            <w:sz w:val="24"/>
            <w:szCs w:val="24"/>
            <w:u w:val="single"/>
          </w:rPr>
          <w:t>https://pdfs.semanticscholar.org/a633/7d2dd33de14b021d10c8477d3468646ae26b.pdf</w:t>
        </w:r>
      </w:hyperlink>
    </w:p>
    <w:p w14:paraId="4730B712" w14:textId="65AA1540"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w:t>
      </w:r>
      <w:r w:rsidR="00DA630F">
        <w:rPr>
          <w:rFonts w:ascii="Times New Roman" w:eastAsia="Times New Roman" w:hAnsi="Times New Roman" w:cs="Times New Roman"/>
          <w:sz w:val="24"/>
          <w:szCs w:val="24"/>
        </w:rPr>
        <w:t>29</w:t>
      </w:r>
      <w:r>
        <w:rPr>
          <w:rFonts w:ascii="Times New Roman" w:eastAsia="Times New Roman" w:hAnsi="Times New Roman" w:cs="Times New Roman"/>
          <w:sz w:val="24"/>
          <w:szCs w:val="24"/>
        </w:rPr>
        <w:t xml:space="preserve">] Sholeh, M.B. and Pramudya, N.D., 2025. Comparative study of information system governance frameworks: foundations for IT risk management using COBIT 2019 and ITIL. </w:t>
      </w:r>
      <w:r>
        <w:rPr>
          <w:rFonts w:ascii="Times New Roman" w:eastAsia="Times New Roman" w:hAnsi="Times New Roman" w:cs="Times New Roman"/>
          <w:i/>
          <w:iCs/>
          <w:sz w:val="24"/>
          <w:szCs w:val="24"/>
        </w:rPr>
        <w:t>Jurnal Transformatika</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22</w:t>
      </w:r>
      <w:r>
        <w:rPr>
          <w:rFonts w:ascii="Times New Roman" w:eastAsia="Times New Roman" w:hAnsi="Times New Roman" w:cs="Times New Roman"/>
          <w:sz w:val="24"/>
          <w:szCs w:val="24"/>
        </w:rPr>
        <w:t>(2), pp.73-80.</w:t>
      </w:r>
      <w:hyperlink r:id="rId59">
        <w:r w:rsidR="00B538DB">
          <w:rPr>
            <w:rFonts w:ascii="Times New Roman" w:eastAsia="Times New Roman" w:hAnsi="Times New Roman" w:cs="Times New Roman"/>
            <w:sz w:val="24"/>
            <w:szCs w:val="24"/>
          </w:rPr>
          <w:t xml:space="preserve"> </w:t>
        </w:r>
      </w:hyperlink>
      <w:hyperlink r:id="rId60">
        <w:r w:rsidR="00B538DB">
          <w:rPr>
            <w:rFonts w:ascii="Times New Roman" w:eastAsia="Times New Roman" w:hAnsi="Times New Roman" w:cs="Times New Roman"/>
            <w:color w:val="1155CC"/>
            <w:sz w:val="24"/>
            <w:szCs w:val="24"/>
            <w:u w:val="single"/>
          </w:rPr>
          <w:t>https://journals.usm.ac.id/index.php/transformatika/article/download/9269/6096</w:t>
        </w:r>
      </w:hyperlink>
    </w:p>
    <w:p w14:paraId="32EBF77F" w14:textId="6083D3D4"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0</w:t>
      </w:r>
      <w:r>
        <w:rPr>
          <w:rFonts w:ascii="Times New Roman" w:eastAsia="Times New Roman" w:hAnsi="Times New Roman" w:cs="Times New Roman"/>
          <w:sz w:val="24"/>
          <w:szCs w:val="24"/>
        </w:rPr>
        <w:t>] Sokolov, V. and Skladannyi, P., 2025. Developing a Balanced Security Policy for Bring Your Own Device in Corporate Networks.</w:t>
      </w:r>
      <w:hyperlink r:id="rId61">
        <w:r w:rsidR="00B538DB">
          <w:rPr>
            <w:rFonts w:ascii="Times New Roman" w:eastAsia="Times New Roman" w:hAnsi="Times New Roman" w:cs="Times New Roman"/>
            <w:color w:val="1155CC"/>
            <w:sz w:val="24"/>
            <w:szCs w:val="24"/>
            <w:u w:val="single"/>
          </w:rPr>
          <w:t>https://elibrary.kubg.edu.ua/id/eprint/56408/1/V_Sokolov_P_Skladannyi_ITSC_2025.pdf</w:t>
        </w:r>
      </w:hyperlink>
    </w:p>
    <w:p w14:paraId="21828154" w14:textId="21FEEA25"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 Süzen, A.A. and Ceylan, O., 2025. Robustness Assessment of Data Loss Prevention (DLP) Software for Data Leakage against Different Data Types and Sources. </w:t>
      </w:r>
      <w:r>
        <w:rPr>
          <w:rFonts w:ascii="Times New Roman" w:eastAsia="Times New Roman" w:hAnsi="Times New Roman" w:cs="Times New Roman"/>
          <w:i/>
          <w:iCs/>
          <w:sz w:val="24"/>
          <w:szCs w:val="24"/>
        </w:rPr>
        <w:t>International Journal of Education and Management Engineering</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15</w:t>
      </w:r>
      <w:r>
        <w:rPr>
          <w:rFonts w:ascii="Times New Roman" w:eastAsia="Times New Roman" w:hAnsi="Times New Roman" w:cs="Times New Roman"/>
          <w:sz w:val="24"/>
          <w:szCs w:val="24"/>
        </w:rPr>
        <w:t>(2), pp.1-10.</w:t>
      </w:r>
      <w:hyperlink r:id="rId62">
        <w:r w:rsidR="00B538DB">
          <w:rPr>
            <w:rFonts w:ascii="Times New Roman" w:eastAsia="Times New Roman" w:hAnsi="Times New Roman" w:cs="Times New Roman"/>
            <w:sz w:val="24"/>
            <w:szCs w:val="24"/>
          </w:rPr>
          <w:t xml:space="preserve"> </w:t>
        </w:r>
      </w:hyperlink>
      <w:hyperlink r:id="rId63">
        <w:r w:rsidR="00B538DB">
          <w:rPr>
            <w:rFonts w:ascii="Times New Roman" w:eastAsia="Times New Roman" w:hAnsi="Times New Roman" w:cs="Times New Roman"/>
            <w:color w:val="1155CC"/>
            <w:sz w:val="24"/>
            <w:szCs w:val="24"/>
            <w:u w:val="single"/>
          </w:rPr>
          <w:t>https://www.mecs-press.org/ijeme/ijeme-v15-n2/IJEME-V15-N2-1.pdf</w:t>
        </w:r>
      </w:hyperlink>
    </w:p>
    <w:p w14:paraId="26A84437" w14:textId="236D20B2"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Talluri, S., Anne, V.P. and Chadalavada, V.S., 2023. Role-Based Access Control (Rbac) in a Centralized Identity and Access Management (Iam) System. </w:t>
      </w:r>
      <w:r>
        <w:rPr>
          <w:rFonts w:ascii="Times New Roman" w:eastAsia="Times New Roman" w:hAnsi="Times New Roman" w:cs="Times New Roman"/>
          <w:i/>
          <w:iCs/>
          <w:sz w:val="24"/>
          <w:szCs w:val="24"/>
        </w:rPr>
        <w:t>International Journal of Information Technology (IJIT)</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4</w:t>
      </w:r>
      <w:r>
        <w:rPr>
          <w:rFonts w:ascii="Times New Roman" w:eastAsia="Times New Roman" w:hAnsi="Times New Roman" w:cs="Times New Roman"/>
          <w:sz w:val="24"/>
          <w:szCs w:val="24"/>
        </w:rPr>
        <w:t>(1).</w:t>
      </w:r>
      <w:hyperlink r:id="rId64">
        <w:r w:rsidR="00B538DB">
          <w:rPr>
            <w:rFonts w:ascii="Times New Roman" w:eastAsia="Times New Roman" w:hAnsi="Times New Roman" w:cs="Times New Roman"/>
            <w:sz w:val="24"/>
            <w:szCs w:val="24"/>
          </w:rPr>
          <w:t xml:space="preserve"> </w:t>
        </w:r>
      </w:hyperlink>
      <w:hyperlink r:id="rId65">
        <w:r w:rsidR="00B538DB">
          <w:rPr>
            <w:rFonts w:ascii="Times New Roman" w:eastAsia="Times New Roman" w:hAnsi="Times New Roman" w:cs="Times New Roman"/>
            <w:color w:val="1155CC"/>
            <w:sz w:val="24"/>
            <w:szCs w:val="24"/>
            <w:u w:val="single"/>
          </w:rPr>
          <w:t>https://www.academia.edu/download/110784056/IJIT_04_01_011.pdf</w:t>
        </w:r>
      </w:hyperlink>
    </w:p>
    <w:p w14:paraId="204DBD83" w14:textId="00D52D60"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3</w:t>
      </w:r>
      <w:r>
        <w:rPr>
          <w:rFonts w:ascii="Times New Roman" w:eastAsia="Times New Roman" w:hAnsi="Times New Roman" w:cs="Times New Roman"/>
          <w:sz w:val="24"/>
          <w:szCs w:val="24"/>
        </w:rPr>
        <w:t xml:space="preserve">] Thomas, G. and Sule, M.J., 2023. A service lens on cybersecurity continuity and management for organizations’ subsistence and growth. </w:t>
      </w:r>
      <w:r>
        <w:rPr>
          <w:rFonts w:ascii="Times New Roman" w:eastAsia="Times New Roman" w:hAnsi="Times New Roman" w:cs="Times New Roman"/>
          <w:i/>
          <w:iCs/>
          <w:sz w:val="24"/>
          <w:szCs w:val="24"/>
        </w:rPr>
        <w:t>Organizational Cybersecurity Journal: Practice, Process and People</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3</w:t>
      </w:r>
      <w:r>
        <w:rPr>
          <w:rFonts w:ascii="Times New Roman" w:eastAsia="Times New Roman" w:hAnsi="Times New Roman" w:cs="Times New Roman"/>
          <w:sz w:val="24"/>
          <w:szCs w:val="24"/>
        </w:rPr>
        <w:t>(1), pp.18-40.</w:t>
      </w:r>
      <w:hyperlink r:id="rId66">
        <w:r w:rsidR="00B538DB">
          <w:rPr>
            <w:rFonts w:ascii="Times New Roman" w:eastAsia="Times New Roman" w:hAnsi="Times New Roman" w:cs="Times New Roman"/>
            <w:sz w:val="24"/>
            <w:szCs w:val="24"/>
          </w:rPr>
          <w:t xml:space="preserve"> </w:t>
        </w:r>
      </w:hyperlink>
      <w:hyperlink r:id="rId67">
        <w:r w:rsidR="00B538DB">
          <w:rPr>
            <w:rFonts w:ascii="Times New Roman" w:eastAsia="Times New Roman" w:hAnsi="Times New Roman" w:cs="Times New Roman"/>
            <w:color w:val="1155CC"/>
            <w:sz w:val="24"/>
            <w:szCs w:val="24"/>
            <w:u w:val="single"/>
          </w:rPr>
          <w:t>https://www.emerald.com/ocj/article-pdf/3/1/18/2031059/ocj-09-2021-0025.pdf</w:t>
        </w:r>
      </w:hyperlink>
    </w:p>
    <w:p w14:paraId="616C01A9" w14:textId="1835C5B2" w:rsidR="00B538DB" w:rsidRDefault="003108A3">
      <w:pPr>
        <w:spacing w:after="160"/>
        <w:jc w:val="both"/>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4</w:t>
      </w:r>
      <w:r>
        <w:rPr>
          <w:rFonts w:ascii="Times New Roman" w:eastAsia="Times New Roman" w:hAnsi="Times New Roman" w:cs="Times New Roman"/>
          <w:sz w:val="24"/>
          <w:szCs w:val="24"/>
        </w:rPr>
        <w:t>] Tuomisto, J., 2022. Value co-creation in ITIL 4-framework.</w:t>
      </w:r>
      <w:hyperlink r:id="rId68">
        <w:r w:rsidR="00B538DB">
          <w:rPr>
            <w:rFonts w:ascii="Times New Roman" w:eastAsia="Times New Roman" w:hAnsi="Times New Roman" w:cs="Times New Roman"/>
            <w:sz w:val="24"/>
            <w:szCs w:val="24"/>
          </w:rPr>
          <w:t xml:space="preserve"> </w:t>
        </w:r>
      </w:hyperlink>
      <w:hyperlink r:id="rId69">
        <w:r w:rsidR="00B538DB">
          <w:rPr>
            <w:rFonts w:ascii="Times New Roman" w:eastAsia="Times New Roman" w:hAnsi="Times New Roman" w:cs="Times New Roman"/>
            <w:color w:val="1155CC"/>
            <w:sz w:val="24"/>
            <w:szCs w:val="24"/>
            <w:u w:val="single"/>
          </w:rPr>
          <w:t>https://jyx.jyu.fi/bitstreams/9d9b2909-68c0-4a6a-9f60-fdd0a7c89d7a/download</w:t>
        </w:r>
      </w:hyperlink>
    </w:p>
    <w:p w14:paraId="07889DA5" w14:textId="0201FFE7" w:rsidR="00B538DB" w:rsidRDefault="003108A3">
      <w:pPr>
        <w:spacing w:after="1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DA630F">
        <w:rPr>
          <w:rFonts w:ascii="Times New Roman" w:eastAsia="Times New Roman" w:hAnsi="Times New Roman" w:cs="Times New Roman"/>
          <w:sz w:val="24"/>
          <w:szCs w:val="24"/>
        </w:rPr>
        <w:t>5</w:t>
      </w:r>
      <w:r>
        <w:rPr>
          <w:rFonts w:ascii="Times New Roman" w:eastAsia="Times New Roman" w:hAnsi="Times New Roman" w:cs="Times New Roman"/>
          <w:sz w:val="24"/>
          <w:szCs w:val="24"/>
        </w:rPr>
        <w:t>] Wedeha Pathirana, A., 2025. ISO 27001 and Global Privacy Compliance: The Role of ISO 27001 in Emerging Privacy Frameworks in Europe, the USA and China.</w:t>
      </w:r>
      <w:hyperlink r:id="rId70">
        <w:r w:rsidR="00B538DB">
          <w:rPr>
            <w:rFonts w:ascii="Times New Roman" w:eastAsia="Times New Roman" w:hAnsi="Times New Roman" w:cs="Times New Roman"/>
            <w:sz w:val="24"/>
            <w:szCs w:val="24"/>
          </w:rPr>
          <w:t xml:space="preserve"> </w:t>
        </w:r>
      </w:hyperlink>
      <w:hyperlink r:id="rId71">
        <w:r w:rsidR="00B538DB">
          <w:rPr>
            <w:rFonts w:ascii="Times New Roman" w:eastAsia="Times New Roman" w:hAnsi="Times New Roman" w:cs="Times New Roman"/>
            <w:color w:val="1155CC"/>
            <w:sz w:val="24"/>
            <w:szCs w:val="24"/>
            <w:u w:val="single"/>
          </w:rPr>
          <w:t>https://www.utupub.fi/bitstreams/09515715-0870-42a6-aae5-627413418096/download</w:t>
        </w:r>
      </w:hyperlink>
      <w:r>
        <w:rPr>
          <w:rFonts w:ascii="Times New Roman" w:eastAsia="Times New Roman" w:hAnsi="Times New Roman" w:cs="Times New Roman"/>
          <w:sz w:val="24"/>
          <w:szCs w:val="24"/>
        </w:rPr>
        <w:t xml:space="preserve">  </w:t>
      </w:r>
    </w:p>
    <w:p w14:paraId="1F146FFA" w14:textId="77777777" w:rsidR="00B538DB" w:rsidRDefault="00B538DB">
      <w:pPr>
        <w:spacing w:after="160"/>
        <w:jc w:val="both"/>
        <w:rPr>
          <w:rFonts w:ascii="Times New Roman" w:eastAsia="Times New Roman" w:hAnsi="Times New Roman" w:cs="Times New Roman"/>
          <w:sz w:val="24"/>
          <w:szCs w:val="24"/>
        </w:rPr>
      </w:pPr>
    </w:p>
    <w:p w14:paraId="6E1883AA" w14:textId="77777777" w:rsidR="00B538DB" w:rsidRDefault="00B538DB">
      <w:pPr>
        <w:rPr>
          <w:rFonts w:ascii="Times New Roman" w:eastAsia="Times New Roman" w:hAnsi="Times New Roman" w:cs="Times New Roman"/>
          <w:sz w:val="24"/>
          <w:szCs w:val="24"/>
        </w:rPr>
      </w:pPr>
    </w:p>
    <w:sectPr w:rsidR="00B538DB" w:rsidSect="00AE164A">
      <w:footerReference w:type="default" r:id="rId7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6D92C" w14:textId="77777777" w:rsidR="00AE5539" w:rsidRDefault="00AE5539">
      <w:pPr>
        <w:spacing w:line="240" w:lineRule="auto"/>
      </w:pPr>
      <w:r>
        <w:separator/>
      </w:r>
    </w:p>
  </w:endnote>
  <w:endnote w:type="continuationSeparator" w:id="0">
    <w:p w14:paraId="10A441C3" w14:textId="77777777" w:rsidR="00AE5539" w:rsidRDefault="00AE55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99C6F9E-7548-4CDB-8C7F-E31645BC0088}"/>
  </w:font>
  <w:font w:name="Shruti">
    <w:panose1 w:val="02000500000000000000"/>
    <w:charset w:val="00"/>
    <w:family w:val="swiss"/>
    <w:pitch w:val="variable"/>
    <w:sig w:usb0="00040003" w:usb1="00000000" w:usb2="00000000" w:usb3="00000000" w:csb0="00000001" w:csb1="00000000"/>
    <w:embedRegular r:id="rId2" w:fontKey="{D26DD993-C7E8-461F-BE40-897FFEB95EAE}"/>
  </w:font>
  <w:font w:name="Cambria">
    <w:panose1 w:val="02040503050406030204"/>
    <w:charset w:val="00"/>
    <w:family w:val="roman"/>
    <w:pitch w:val="variable"/>
    <w:sig w:usb0="E00006FF" w:usb1="420024FF" w:usb2="02000000" w:usb3="00000000" w:csb0="0000019F" w:csb1="00000000"/>
    <w:embedRegular r:id="rId3" w:fontKey="{7ACDD17E-28CF-47D0-AF43-95BA86D83B5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27AB53" w14:textId="77777777" w:rsidR="00B538DB" w:rsidRDefault="00AE5539">
    <w:pPr>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AE164A">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72916" w14:textId="77777777" w:rsidR="00AE5539" w:rsidRDefault="00AE5539">
      <w:pPr>
        <w:spacing w:line="240" w:lineRule="auto"/>
      </w:pPr>
      <w:r>
        <w:separator/>
      </w:r>
    </w:p>
  </w:footnote>
  <w:footnote w:type="continuationSeparator" w:id="0">
    <w:p w14:paraId="28AD5DF6" w14:textId="77777777" w:rsidR="00AE5539" w:rsidRDefault="00AE553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38DB"/>
    <w:rsid w:val="00105513"/>
    <w:rsid w:val="00201155"/>
    <w:rsid w:val="002666CA"/>
    <w:rsid w:val="003108A3"/>
    <w:rsid w:val="00522543"/>
    <w:rsid w:val="00995343"/>
    <w:rsid w:val="00AE164A"/>
    <w:rsid w:val="00AE5539"/>
    <w:rsid w:val="00B3791D"/>
    <w:rsid w:val="00B538DB"/>
    <w:rsid w:val="00B80917"/>
    <w:rsid w:val="00DA630F"/>
    <w:rsid w:val="00ED1DA6"/>
    <w:rsid w:val="00EE3C0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11C4D"/>
  <w15:docId w15:val="{088EEC7F-3F78-435C-B133-0BE19BC46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80" w:after="80"/>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TOCHeading">
    <w:name w:val="TOC Heading"/>
    <w:basedOn w:val="Heading1"/>
    <w:next w:val="Normal"/>
    <w:uiPriority w:val="39"/>
    <w:unhideWhenUsed/>
    <w:qFormat/>
    <w:rsid w:val="00AE164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GB"/>
    </w:rPr>
  </w:style>
  <w:style w:type="paragraph" w:styleId="TOC1">
    <w:name w:val="toc 1"/>
    <w:basedOn w:val="Normal"/>
    <w:next w:val="Normal"/>
    <w:autoRedefine/>
    <w:uiPriority w:val="39"/>
    <w:unhideWhenUsed/>
    <w:rsid w:val="00AE164A"/>
    <w:pPr>
      <w:spacing w:after="100"/>
    </w:pPr>
  </w:style>
  <w:style w:type="paragraph" w:styleId="TOC2">
    <w:name w:val="toc 2"/>
    <w:basedOn w:val="Normal"/>
    <w:next w:val="Normal"/>
    <w:autoRedefine/>
    <w:uiPriority w:val="39"/>
    <w:unhideWhenUsed/>
    <w:rsid w:val="00AE164A"/>
    <w:pPr>
      <w:spacing w:after="100"/>
      <w:ind w:left="220"/>
    </w:pPr>
  </w:style>
  <w:style w:type="character" w:styleId="Hyperlink">
    <w:name w:val="Hyperlink"/>
    <w:basedOn w:val="DefaultParagraphFont"/>
    <w:uiPriority w:val="99"/>
    <w:unhideWhenUsed/>
    <w:rsid w:val="00AE16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Ifeoluwa-Wada/publication/385427490_The_impact_of_ISO_security_standards_on_enhancing_cybersecurity_posture_in_organizations/links/67a5b926461fb56424ccb620/The-impact-of-ISO-security-standards-on-enhancing-cybersecurity-posture-in-organizations.pdf" TargetMode="External"/><Relationship Id="rId21" Type="http://schemas.openxmlformats.org/officeDocument/2006/relationships/hyperlink" Target="https://www.mdpi.com/2624-800X/4/2/18" TargetMode="External"/><Relationship Id="rId42" Type="http://schemas.openxmlformats.org/officeDocument/2006/relationships/hyperlink" Target="https://www.mdpi.com/2079-9292/13/21/4226" TargetMode="External"/><Relationship Id="rId47" Type="http://schemas.openxmlformats.org/officeDocument/2006/relationships/hyperlink" Target="https://cogito.unklab.ac.id/index.php/cogito/article/download/799/369" TargetMode="External"/><Relationship Id="rId63" Type="http://schemas.openxmlformats.org/officeDocument/2006/relationships/hyperlink" Target="https://www.mecs-press.org/ijeme/ijeme-v15-n2/IJEME-V15-N2-1.pdf" TargetMode="External"/><Relationship Id="rId68" Type="http://schemas.openxmlformats.org/officeDocument/2006/relationships/hyperlink" Target="https://jyx.jyu.fi/bitstreams/9d9b2909-68c0-4a6a-9f60-fdd0a7c89d7a/download" TargetMode="External"/><Relationship Id="rId2" Type="http://schemas.openxmlformats.org/officeDocument/2006/relationships/styles" Target="styles.xml"/><Relationship Id="rId16" Type="http://schemas.openxmlformats.org/officeDocument/2006/relationships/hyperlink" Target="https://hal.science/hal-04972073v1/file/Security%20Auditing%20and%20Monitoring%20Incident%20response%20and%20management..pdf" TargetMode="External"/><Relationship Id="rId29" Type="http://schemas.openxmlformats.org/officeDocument/2006/relationships/hyperlink" Target="http://yuktabpublisher.com/index.php/IJAI/article/download/265/253" TargetMode="External"/><Relationship Id="rId11" Type="http://schemas.openxmlformats.org/officeDocument/2006/relationships/image" Target="media/image5.png"/><Relationship Id="rId24" Type="http://schemas.openxmlformats.org/officeDocument/2006/relationships/hyperlink" Target="https://ijbei-journal.org/index.php/ijbei/article/download/2/2" TargetMode="External"/><Relationship Id="rId32" Type="http://schemas.openxmlformats.org/officeDocument/2006/relationships/hyperlink" Target="https://www.iso.org/standard/27001" TargetMode="External"/><Relationship Id="rId37" Type="http://schemas.openxmlformats.org/officeDocument/2006/relationships/hyperlink" Target="https://www.mdpi.com/2071-1050/15/7/5828" TargetMode="External"/><Relationship Id="rId40" Type="http://schemas.openxmlformats.org/officeDocument/2006/relationships/hyperlink" Target="https://isg-journal.com/isjea/article/download/985/553" TargetMode="External"/><Relationship Id="rId45" Type="http://schemas.openxmlformats.org/officeDocument/2006/relationships/hyperlink" Target="https://www.researchgate.net/profile/Ali-Mohammed-172/publication/367987835_Current_Multi-factor_of_Authentication_Approaches_Requirements_Attacks_and_Challenges/links/673857b968de5e5a307829c7/Current-Multi-factor-of-Authentication-Approaches-Requirements-Attacks-and-Challenges.pdf" TargetMode="External"/><Relationship Id="rId53" Type="http://schemas.openxmlformats.org/officeDocument/2006/relationships/hyperlink" Target="https://www.nist.gov/cyberframework" TargetMode="External"/><Relationship Id="rId58" Type="http://schemas.openxmlformats.org/officeDocument/2006/relationships/hyperlink" Target="https://pdfs.semanticscholar.org/a633/7d2dd33de14b021d10c8477d3468646ae26b.pdf" TargetMode="External"/><Relationship Id="rId66" Type="http://schemas.openxmlformats.org/officeDocument/2006/relationships/hyperlink" Target="https://www.emerald.com/ocj/article-pdf/3/1/18/2031059/ocj-09-2021-0025.pdf"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elibrary.kubg.edu.ua/id/eprint/56408/1/V_Sokolov_P_Skladannyi_ITSC_2025.pdf" TargetMode="External"/><Relationship Id="rId19" Type="http://schemas.openxmlformats.org/officeDocument/2006/relationships/hyperlink" Target="https://csrc.nist.gov/glossary/term/chief_information_security_officer" TargetMode="External"/><Relationship Id="rId14" Type="http://schemas.openxmlformats.org/officeDocument/2006/relationships/hyperlink" Target="https://www.mdpi.com/2079-9292/14/7/1364" TargetMode="External"/><Relationship Id="rId22" Type="http://schemas.openxmlformats.org/officeDocument/2006/relationships/hyperlink" Target="https://www.researchgate.net/profile/Abdulmutalib-Lawal/publication/395104534_Optimizing_Cyber_Risk_Governance_Using_Global_Frameworks_ISO_NIST_and_COBIT_Alignment/links/68c3f6b5f3032e2b4be040fb/Optimizing-Cyber-Risk-Governance-Using-Global-Frameworks-ISO-NIST-and-COBIT-Alignment.pdf" TargetMode="External"/><Relationship Id="rId27" Type="http://schemas.openxmlformats.org/officeDocument/2006/relationships/hyperlink" Target="https://www.researchgate.net/profile/Ifeoluwa-Wada/publication/385427490_The_impact_of_ISO_security_standards_on_enhancing_cybersecurity_posture_in_organizations/links/67a5b926461fb56424ccb620/The-impact-of-ISO-security-standards-on-enhancing-cybersecurity-posture-in-organizations.pdf" TargetMode="External"/><Relationship Id="rId30" Type="http://schemas.openxmlformats.org/officeDocument/2006/relationships/hyperlink" Target="https://papers.ssrn.com/sol3/Delivery.cfm?abstractid=4652028" TargetMode="External"/><Relationship Id="rId35" Type="http://schemas.openxmlformats.org/officeDocument/2006/relationships/hyperlink" Target="https://www.researchgate.net/profile/Abuh-Sani/publication/385879582_The_Future_of_Cybersecurity_Leveraging_Artificial_Intelligence_to_Combat_Evolving_Threats_and_Enhance_Digital_Defense_Strategies/links/6738929b68de5e5a30783143/The-Future-of-Cybersecurity-Leveraging-Artificial-Intelligence-to-Combat-Evolving-Threats-and-Enhance-Digital-Defense-Strategies.pdf" TargetMode="External"/><Relationship Id="rId43" Type="http://schemas.openxmlformats.org/officeDocument/2006/relationships/hyperlink" Target="https://www.researchgate.net/profile/Dave-Micheal/publication/393164358_Disaster_Recovery_Plan_for_Business_Continuity/links/6862a25992697d42903bed05/Disaster-Recovery-Plan-for-Business-Continuity.pdf" TargetMode="External"/><Relationship Id="rId48" Type="http://schemas.openxmlformats.org/officeDocument/2006/relationships/hyperlink" Target="https://cogito.unklab.ac.id/index.php/cogito/article/download/799/369" TargetMode="External"/><Relationship Id="rId56" Type="http://schemas.openxmlformats.org/officeDocument/2006/relationships/hyperlink" Target="https://www.emerald.com/ics/article-pdf/doi/10.1108/ICS-09-2025-0376/11493712/ics-09-2025-0376en.pdf" TargetMode="External"/><Relationship Id="rId64" Type="http://schemas.openxmlformats.org/officeDocument/2006/relationships/hyperlink" Target="https://www.academia.edu/download/110784056/IJIT_04_01_011.pdf" TargetMode="External"/><Relationship Id="rId69" Type="http://schemas.openxmlformats.org/officeDocument/2006/relationships/hyperlink" Target="https://jyx.jyu.fi/bitstreams/9d9b2909-68c0-4a6a-9f60-fdd0a7c89d7a/download" TargetMode="External"/><Relationship Id="rId8" Type="http://schemas.openxmlformats.org/officeDocument/2006/relationships/image" Target="media/image2.png"/><Relationship Id="rId51" Type="http://schemas.openxmlformats.org/officeDocument/2006/relationships/hyperlink" Target="https://arxiv.org/pdf/2405.00009"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hal.science/hal-04972073v1/file/Security%20Auditing%20and%20Monitoring%20Incident%20response%20and%20management..pdf" TargetMode="External"/><Relationship Id="rId25" Type="http://schemas.openxmlformats.org/officeDocument/2006/relationships/hyperlink" Target="https://ijbei-journal.org/index.php/ijbei/article/download/2/2" TargetMode="External"/><Relationship Id="rId33" Type="http://schemas.openxmlformats.org/officeDocument/2006/relationships/hyperlink" Target="https://www.iso.org/standard/27001" TargetMode="External"/><Relationship Id="rId38" Type="http://schemas.openxmlformats.org/officeDocument/2006/relationships/hyperlink" Target="https://www.mdpi.com/2071-1050/15/7/5828" TargetMode="External"/><Relationship Id="rId46" Type="http://schemas.openxmlformats.org/officeDocument/2006/relationships/hyperlink" Target="https://www.researchgate.net/profile/Ali-Mohammed-172/publication/367987835_Current_Multi-factor_of_Authentication_Approaches_Requirements_Attacks_and_Challenges/links/673857b968de5e5a307829c7/Current-Multi-factor-of-Authentication-Approaches-Requirements-Attacks-and-Challenges.pdf" TargetMode="External"/><Relationship Id="rId59" Type="http://schemas.openxmlformats.org/officeDocument/2006/relationships/hyperlink" Target="https://journals.usm.ac.id/index.php/transformatika/article/download/9269/6096" TargetMode="External"/><Relationship Id="rId67" Type="http://schemas.openxmlformats.org/officeDocument/2006/relationships/hyperlink" Target="https://www.emerald.com/ocj/article-pdf/3/1/18/2031059/ocj-09-2021-0025.pdf" TargetMode="External"/><Relationship Id="rId20" Type="http://schemas.openxmlformats.org/officeDocument/2006/relationships/hyperlink" Target="https://www.mdpi.com/2624-800X/4/2/18" TargetMode="External"/><Relationship Id="rId41" Type="http://schemas.openxmlformats.org/officeDocument/2006/relationships/hyperlink" Target="https://www.johanolausson.com/management.pdf" TargetMode="External"/><Relationship Id="rId54" Type="http://schemas.openxmlformats.org/officeDocument/2006/relationships/hyperlink" Target="https://www.nist.gov/cyberframework" TargetMode="External"/><Relationship Id="rId62" Type="http://schemas.openxmlformats.org/officeDocument/2006/relationships/hyperlink" Target="https://www.mecs-press.org/ijeme/ijeme-v15-n2/IJEME-V15-N2-1.pdf" TargetMode="External"/><Relationship Id="rId70" Type="http://schemas.openxmlformats.org/officeDocument/2006/relationships/hyperlink" Target="https://www.utupub.fi/bitstreams/09515715-0870-42a6-aae5-627413418096/download"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www.mdpi.com/2079-9292/14/7/1364" TargetMode="External"/><Relationship Id="rId23" Type="http://schemas.openxmlformats.org/officeDocument/2006/relationships/hyperlink" Target="https://www.researchgate.net/profile/Abdulmutalib-Lawal/publication/395104534_Optimizing_Cyber_Risk_Governance_Using_Global_Frameworks_ISO_NIST_and_COBIT_Alignment/links/68c3f6b5f3032e2b4be040fb/Optimizing-Cyber-Risk-Governance-Using-Global-Frameworks-ISO-NIST-and-COBIT-Alignment.pdf" TargetMode="External"/><Relationship Id="rId28" Type="http://schemas.openxmlformats.org/officeDocument/2006/relationships/hyperlink" Target="https://puiij.com/index.php/research/article/download/220/186" TargetMode="External"/><Relationship Id="rId36" Type="http://schemas.openxmlformats.org/officeDocument/2006/relationships/hyperlink" Target="https://www.researchgate.net/profile/Abuh-Sani/publication/385879582_The_Future_of_Cybersecurity_Leveraging_Artificial_Intelligence_to_Combat_Evolving_Threats_and_Enhance_Digital_Defense_Strategies/links/6738929b68de5e5a30783143/The-Future-of-Cybersecurity-Leveraging-Artificial-Intelligence-to-Combat-Evolving-Threats-and-Enhance-Digital-Defense-Strategies.pdf" TargetMode="External"/><Relationship Id="rId49" Type="http://schemas.openxmlformats.org/officeDocument/2006/relationships/hyperlink" Target="https://www.sciencedirect.com/science/article/pii/S1877050922024243/pdf?md5=b0f04476320307a236d42581e8d4ae56&amp;pid=1-s2.0-S1877050922024243-main.pdf" TargetMode="External"/><Relationship Id="rId57" Type="http://schemas.openxmlformats.org/officeDocument/2006/relationships/hyperlink" Target="https://pdfs.semanticscholar.org/a633/7d2dd33de14b021d10c8477d3468646ae26b.pdf" TargetMode="External"/><Relationship Id="rId10" Type="http://schemas.openxmlformats.org/officeDocument/2006/relationships/image" Target="media/image4.png"/><Relationship Id="rId31" Type="http://schemas.openxmlformats.org/officeDocument/2006/relationships/hyperlink" Target="https://scholar.archive.org/work/synq6xbjufcelf2bqb7srgdvve/access/wayback/https:/ebooks.iospress.nl/pdf/doi/10.3233/SHTI220066" TargetMode="External"/><Relationship Id="rId44" Type="http://schemas.openxmlformats.org/officeDocument/2006/relationships/hyperlink" Target="https://www.researchgate.net/profile/Dave-Micheal/publication/393164358_Disaster_Recovery_Plan_for_Business_Continuity/links/6862a25992697d42903bed05/Disaster-Recovery-Plan-for-Business-Continuity.pdf" TargetMode="External"/><Relationship Id="rId52" Type="http://schemas.openxmlformats.org/officeDocument/2006/relationships/hyperlink" Target="https://arxiv.org/pdf/2405.00009" TargetMode="External"/><Relationship Id="rId60" Type="http://schemas.openxmlformats.org/officeDocument/2006/relationships/hyperlink" Target="https://journals.usm.ac.id/index.php/transformatika/article/download/9269/6096" TargetMode="External"/><Relationship Id="rId65" Type="http://schemas.openxmlformats.org/officeDocument/2006/relationships/hyperlink" Target="https://www.academia.edu/download/110784056/IJIT_04_01_011.pdf"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tandfonline.com/doi/pdf/10.1080/08874417.2024.2329985" TargetMode="External"/><Relationship Id="rId18" Type="http://schemas.openxmlformats.org/officeDocument/2006/relationships/hyperlink" Target="https://csrc.nist.gov/glossary/term/chief_information_security_officer" TargetMode="External"/><Relationship Id="rId39" Type="http://schemas.openxmlformats.org/officeDocument/2006/relationships/hyperlink" Target="https://isg-journal.com/isjea/article/download/985/553" TargetMode="External"/><Relationship Id="rId34" Type="http://schemas.openxmlformats.org/officeDocument/2006/relationships/hyperlink" Target="https://www.emerald.com/ijpdlm/article-pdf/54/11/1/9587983/ijpdlm-12-2023-0445.pdf" TargetMode="External"/><Relationship Id="rId50" Type="http://schemas.openxmlformats.org/officeDocument/2006/relationships/hyperlink" Target="https://www.sciencedirect.com/science/article/pii/S1877050922024243/pdf?md5=b0f04476320307a236d42581e8d4ae56&amp;pid=1-s2.0-S1877050922024243-main.pdf" TargetMode="External"/><Relationship Id="rId55" Type="http://schemas.openxmlformats.org/officeDocument/2006/relationships/hyperlink" Target="https://link.springer.com/content/pdf/10.1007/s10462-024-10908-x.pdf" TargetMode="External"/><Relationship Id="rId7" Type="http://schemas.openxmlformats.org/officeDocument/2006/relationships/image" Target="media/image1.jpeg"/><Relationship Id="rId71" Type="http://schemas.openxmlformats.org/officeDocument/2006/relationships/hyperlink" Target="https://www.utupub.fi/bitstreams/09515715-0870-42a6-aae5-627413418096/download"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1043D9-E694-4EA1-9C96-37B708C09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20</Pages>
  <Words>7363</Words>
  <Characters>41973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kareena jiwani</dc:creator>
  <cp:lastModifiedBy>Karina Jiwani</cp:lastModifiedBy>
  <cp:revision>2</cp:revision>
  <dcterms:created xsi:type="dcterms:W3CDTF">2026-08-12T05:45:00Z</dcterms:created>
  <dcterms:modified xsi:type="dcterms:W3CDTF">2026-08-12T05:45:00Z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8f969d9d-9cdc-4853-9afa-3157f739b6d3</vt:lpwstr>
  </property>
</Properties>
</file>