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DFE684" w14:textId="3CCB1CCA" w:rsidR="003D66DF" w:rsidRPr="003D66DF" w:rsidRDefault="003D66DF" w:rsidP="003D66DF">
      <w:pPr>
        <w:pStyle w:val="Title"/>
        <w:rPr>
          <w:rFonts w:ascii="Arial" w:eastAsia="Times New Roman" w:hAnsi="Arial" w:cs="Arial"/>
          <w:sz w:val="32"/>
          <w:szCs w:val="32"/>
          <w:shd w:val="clear" w:color="auto" w:fill="FFFFFF"/>
          <w:lang w:eastAsia="en-GB"/>
        </w:rPr>
      </w:pPr>
      <w:r>
        <w:rPr>
          <w:rFonts w:eastAsia="Times New Roman"/>
          <w:shd w:val="clear" w:color="auto" w:fill="FFFFFF"/>
          <w:lang w:eastAsia="en-GB"/>
        </w:rPr>
        <w:t xml:space="preserve">             </w:t>
      </w:r>
      <w:r w:rsidRPr="003D66DF">
        <w:rPr>
          <w:rFonts w:ascii="Arial" w:eastAsia="Times New Roman" w:hAnsi="Arial" w:cs="Arial"/>
          <w:sz w:val="32"/>
          <w:szCs w:val="32"/>
          <w:shd w:val="clear" w:color="auto" w:fill="FFFFFF"/>
          <w:lang w:eastAsia="en-GB"/>
        </w:rPr>
        <w:t>University of Wales Trinity Saint David</w:t>
      </w:r>
    </w:p>
    <w:p w14:paraId="126503CE" w14:textId="77777777" w:rsidR="003D66DF" w:rsidRDefault="003D66DF" w:rsidP="003D66DF">
      <w:pPr>
        <w:rPr>
          <w:rFonts w:eastAsia="Times New Roman" w:cs="Arial"/>
          <w:color w:val="000000"/>
          <w:sz w:val="32"/>
          <w:szCs w:val="32"/>
          <w:shd w:val="clear" w:color="auto" w:fill="FFFFFF"/>
          <w:lang w:eastAsia="en-GB"/>
        </w:rPr>
      </w:pPr>
    </w:p>
    <w:p w14:paraId="32B4D885" w14:textId="77777777" w:rsidR="003D66DF" w:rsidRDefault="003D66DF" w:rsidP="003D66DF">
      <w:pPr>
        <w:rPr>
          <w:rFonts w:eastAsia="Times New Roman" w:cs="Arial"/>
          <w:color w:val="000000"/>
          <w:sz w:val="32"/>
          <w:szCs w:val="32"/>
          <w:shd w:val="clear" w:color="auto" w:fill="FFFFFF"/>
          <w:lang w:eastAsia="en-GB"/>
        </w:rPr>
      </w:pPr>
    </w:p>
    <w:p w14:paraId="4EEA72A9" w14:textId="77777777" w:rsidR="003D66DF" w:rsidRDefault="003D66DF" w:rsidP="003D66DF">
      <w:pPr>
        <w:rPr>
          <w:rFonts w:eastAsia="Times New Roman" w:cs="Arial"/>
          <w:color w:val="000000"/>
          <w:sz w:val="32"/>
          <w:szCs w:val="32"/>
          <w:shd w:val="clear" w:color="auto" w:fill="FFFFFF"/>
          <w:lang w:eastAsia="en-GB"/>
        </w:rPr>
      </w:pPr>
    </w:p>
    <w:p w14:paraId="3D0AC888" w14:textId="77777777" w:rsidR="003D66DF" w:rsidRDefault="003D66DF" w:rsidP="003D66DF">
      <w:pPr>
        <w:rPr>
          <w:rFonts w:eastAsia="Times New Roman" w:cs="Arial"/>
          <w:color w:val="000000"/>
          <w:sz w:val="32"/>
          <w:szCs w:val="32"/>
          <w:shd w:val="clear" w:color="auto" w:fill="FFFFFF"/>
          <w:lang w:eastAsia="en-GB"/>
        </w:rPr>
      </w:pPr>
    </w:p>
    <w:p w14:paraId="7C74C2CF" w14:textId="77777777" w:rsidR="003D66DF" w:rsidRDefault="003D66DF" w:rsidP="003D66DF">
      <w:pPr>
        <w:rPr>
          <w:rFonts w:eastAsia="Times New Roman" w:cs="Arial"/>
          <w:color w:val="000000"/>
          <w:sz w:val="32"/>
          <w:szCs w:val="32"/>
          <w:shd w:val="clear" w:color="auto" w:fill="FFFFFF"/>
          <w:lang w:eastAsia="en-GB"/>
        </w:rPr>
      </w:pPr>
    </w:p>
    <w:p w14:paraId="2D36F34D" w14:textId="77777777" w:rsidR="003D66DF" w:rsidRDefault="003D66DF" w:rsidP="003D66DF">
      <w:pPr>
        <w:rPr>
          <w:rFonts w:eastAsia="Times New Roman" w:cs="Arial"/>
          <w:color w:val="000000"/>
          <w:sz w:val="32"/>
          <w:szCs w:val="32"/>
          <w:shd w:val="clear" w:color="auto" w:fill="FFFFFF"/>
          <w:lang w:eastAsia="en-GB"/>
        </w:rPr>
      </w:pPr>
    </w:p>
    <w:p w14:paraId="6C210EF4" w14:textId="77777777" w:rsidR="003D66DF" w:rsidRDefault="003D66DF" w:rsidP="003D66DF">
      <w:pPr>
        <w:rPr>
          <w:rFonts w:eastAsia="Times New Roman" w:cs="Arial"/>
          <w:color w:val="000000"/>
          <w:sz w:val="32"/>
          <w:szCs w:val="32"/>
          <w:shd w:val="clear" w:color="auto" w:fill="FFFFFF"/>
          <w:lang w:eastAsia="en-GB"/>
        </w:rPr>
      </w:pPr>
    </w:p>
    <w:p w14:paraId="6EEEE882" w14:textId="571C53F3" w:rsidR="003D66DF" w:rsidRDefault="003D66DF" w:rsidP="003D66DF">
      <w:pPr>
        <w:pStyle w:val="Title"/>
        <w:rPr>
          <w:rFonts w:eastAsia="Times New Roman"/>
          <w:shd w:val="clear" w:color="auto" w:fill="FFFFFF"/>
          <w:lang w:eastAsia="en-GB"/>
        </w:rPr>
      </w:pPr>
      <w:r w:rsidRPr="003D66DF">
        <w:rPr>
          <w:rFonts w:eastAsia="Times New Roman"/>
          <w:shd w:val="clear" w:color="auto" w:fill="FFFFFF"/>
          <w:lang w:eastAsia="en-GB"/>
        </w:rPr>
        <w:t>The impact of cultural and institutional perspectives on approaches to leadership</w:t>
      </w:r>
    </w:p>
    <w:p w14:paraId="74CD7C46" w14:textId="0A2571F5" w:rsidR="003D66DF" w:rsidRDefault="003D66DF" w:rsidP="003D66DF">
      <w:pPr>
        <w:rPr>
          <w:lang w:eastAsia="en-GB"/>
        </w:rPr>
      </w:pPr>
    </w:p>
    <w:p w14:paraId="59918677" w14:textId="3EE0617E" w:rsidR="003D66DF" w:rsidRDefault="003D66DF" w:rsidP="003D66DF">
      <w:pPr>
        <w:rPr>
          <w:lang w:eastAsia="en-GB"/>
        </w:rPr>
      </w:pPr>
    </w:p>
    <w:p w14:paraId="4108E595" w14:textId="0D5C518F" w:rsidR="003D66DF" w:rsidRDefault="003D66DF" w:rsidP="003D66DF">
      <w:pPr>
        <w:rPr>
          <w:lang w:eastAsia="en-GB"/>
        </w:rPr>
      </w:pPr>
    </w:p>
    <w:p w14:paraId="29B198EB" w14:textId="1D442B2B" w:rsidR="003D66DF" w:rsidRDefault="003D66DF" w:rsidP="003D66DF">
      <w:pPr>
        <w:rPr>
          <w:lang w:eastAsia="en-GB"/>
        </w:rPr>
      </w:pPr>
    </w:p>
    <w:p w14:paraId="5B38C226" w14:textId="2B7D081E" w:rsidR="003D66DF" w:rsidRDefault="003D66DF" w:rsidP="003D66DF">
      <w:pPr>
        <w:rPr>
          <w:lang w:eastAsia="en-GB"/>
        </w:rPr>
      </w:pPr>
    </w:p>
    <w:p w14:paraId="76AD3858" w14:textId="6E5772D0" w:rsidR="003D66DF" w:rsidRDefault="003D66DF" w:rsidP="003D66DF">
      <w:pPr>
        <w:rPr>
          <w:lang w:eastAsia="en-GB"/>
        </w:rPr>
      </w:pPr>
    </w:p>
    <w:p w14:paraId="2BDC96AA" w14:textId="488CD066" w:rsidR="003D66DF" w:rsidRDefault="003D66DF" w:rsidP="003D66DF">
      <w:pPr>
        <w:rPr>
          <w:lang w:eastAsia="en-GB"/>
        </w:rPr>
      </w:pPr>
    </w:p>
    <w:p w14:paraId="5D23AE52" w14:textId="48D6E459" w:rsidR="003D66DF" w:rsidRDefault="003D66DF" w:rsidP="003D66DF">
      <w:pPr>
        <w:rPr>
          <w:lang w:eastAsia="en-GB"/>
        </w:rPr>
      </w:pPr>
      <w:r>
        <w:rPr>
          <w:lang w:eastAsia="en-GB"/>
        </w:rPr>
        <w:t xml:space="preserve">       </w:t>
      </w:r>
    </w:p>
    <w:p w14:paraId="770307C4" w14:textId="4A4DD773" w:rsidR="003D66DF" w:rsidRDefault="003D66DF" w:rsidP="003D66DF">
      <w:pPr>
        <w:rPr>
          <w:lang w:eastAsia="en-GB"/>
        </w:rPr>
      </w:pPr>
    </w:p>
    <w:p w14:paraId="274F2A53" w14:textId="231779F0" w:rsidR="003D66DF" w:rsidRDefault="003D66DF" w:rsidP="003D66DF">
      <w:pPr>
        <w:rPr>
          <w:lang w:eastAsia="en-GB"/>
        </w:rPr>
      </w:pPr>
    </w:p>
    <w:p w14:paraId="56ADA01D" w14:textId="5DE44DA7" w:rsidR="003D66DF" w:rsidRDefault="003D66DF" w:rsidP="003D66DF">
      <w:pPr>
        <w:rPr>
          <w:lang w:eastAsia="en-GB"/>
        </w:rPr>
      </w:pPr>
    </w:p>
    <w:p w14:paraId="1A83E6B2" w14:textId="1C2DF9D1" w:rsidR="003D66DF" w:rsidRPr="003D66DF" w:rsidRDefault="003D66DF" w:rsidP="003D66DF">
      <w:pPr>
        <w:rPr>
          <w:rFonts w:cs="Arial"/>
          <w:sz w:val="28"/>
          <w:szCs w:val="28"/>
          <w:lang w:eastAsia="en-GB"/>
        </w:rPr>
      </w:pPr>
      <w:r>
        <w:rPr>
          <w:lang w:eastAsia="en-GB"/>
        </w:rPr>
        <w:t xml:space="preserve">                                                                      </w:t>
      </w:r>
      <w:r w:rsidRPr="003D66DF">
        <w:rPr>
          <w:rFonts w:cs="Arial"/>
          <w:sz w:val="28"/>
          <w:szCs w:val="28"/>
          <w:lang w:eastAsia="en-GB"/>
        </w:rPr>
        <w:t>Student name: Silvia Stancu</w:t>
      </w:r>
    </w:p>
    <w:p w14:paraId="3FC38CA5" w14:textId="32F31720" w:rsidR="003D66DF" w:rsidRPr="003D66DF" w:rsidRDefault="003D66DF" w:rsidP="003D66DF">
      <w:pPr>
        <w:rPr>
          <w:rFonts w:cs="Arial"/>
          <w:sz w:val="28"/>
          <w:szCs w:val="28"/>
          <w:lang w:eastAsia="en-GB"/>
        </w:rPr>
      </w:pPr>
      <w:r w:rsidRPr="003D66DF">
        <w:rPr>
          <w:rFonts w:cs="Arial"/>
          <w:sz w:val="28"/>
          <w:szCs w:val="28"/>
          <w:lang w:eastAsia="en-GB"/>
        </w:rPr>
        <w:t xml:space="preserve">                                                            Student number: 1906421</w:t>
      </w:r>
    </w:p>
    <w:p w14:paraId="00644A7A" w14:textId="2AD57BAD" w:rsidR="003D66DF" w:rsidRDefault="003D66DF">
      <w:pPr>
        <w:rPr>
          <w:rFonts w:cs="Arial"/>
          <w:sz w:val="28"/>
          <w:szCs w:val="28"/>
          <w:lang w:eastAsia="en-GB"/>
        </w:rPr>
      </w:pPr>
      <w:r w:rsidRPr="003D66DF">
        <w:rPr>
          <w:rFonts w:cs="Arial"/>
          <w:sz w:val="28"/>
          <w:szCs w:val="28"/>
          <w:lang w:eastAsia="en-GB"/>
        </w:rPr>
        <w:t xml:space="preserve">                                                            Lecturer: Robyn Griffiths</w:t>
      </w:r>
    </w:p>
    <w:p w14:paraId="1ED7E3BB" w14:textId="5B4850C7" w:rsidR="003D66DF" w:rsidRDefault="003D66DF">
      <w:pPr>
        <w:rPr>
          <w:rFonts w:cs="Arial"/>
          <w:sz w:val="28"/>
          <w:szCs w:val="28"/>
        </w:rPr>
      </w:pPr>
    </w:p>
    <w:p w14:paraId="004FC5F4" w14:textId="0F69C516" w:rsidR="003D66DF" w:rsidRDefault="003D66DF">
      <w:pPr>
        <w:rPr>
          <w:rFonts w:cs="Arial"/>
          <w:sz w:val="28"/>
          <w:szCs w:val="28"/>
        </w:rPr>
      </w:pPr>
    </w:p>
    <w:p w14:paraId="67BA8D3F" w14:textId="7AC99131" w:rsidR="003D66DF" w:rsidRDefault="003D66DF">
      <w:pPr>
        <w:rPr>
          <w:rFonts w:cs="Arial"/>
          <w:sz w:val="28"/>
          <w:szCs w:val="28"/>
        </w:rPr>
      </w:pPr>
    </w:p>
    <w:sdt>
      <w:sdtPr>
        <w:rPr>
          <w:rFonts w:ascii="Times New Roman" w:eastAsiaTheme="minorHAnsi" w:hAnsi="Times New Roman" w:cstheme="minorBidi"/>
          <w:color w:val="000000" w:themeColor="text1"/>
          <w:kern w:val="2"/>
          <w:sz w:val="24"/>
          <w:szCs w:val="22"/>
          <w:lang w:val="en-IN"/>
          <w14:ligatures w14:val="standardContextual"/>
        </w:rPr>
        <w:id w:val="466469455"/>
        <w:docPartObj>
          <w:docPartGallery w:val="Table of Contents"/>
          <w:docPartUnique/>
        </w:docPartObj>
      </w:sdtPr>
      <w:sdtEndPr>
        <w:rPr>
          <w:rFonts w:ascii="Arial" w:hAnsi="Arial"/>
          <w:b/>
          <w:bCs/>
          <w:noProof/>
          <w:color w:val="auto"/>
          <w:kern w:val="0"/>
          <w:szCs w:val="24"/>
          <w:lang w:val="en-GB"/>
          <w14:ligatures w14:val="none"/>
        </w:rPr>
      </w:sdtEndPr>
      <w:sdtContent>
        <w:p w14:paraId="4414F23B" w14:textId="77777777" w:rsidR="003D66DF" w:rsidRPr="0047337D" w:rsidRDefault="003D66DF" w:rsidP="003D66DF">
          <w:pPr>
            <w:pStyle w:val="TOCHeading"/>
            <w:rPr>
              <w:rFonts w:ascii="Times New Roman" w:hAnsi="Times New Roman" w:cs="Times New Roman"/>
              <w:b/>
              <w:bCs/>
              <w:color w:val="000000" w:themeColor="text1"/>
            </w:rPr>
          </w:pPr>
          <w:r w:rsidRPr="0047337D">
            <w:rPr>
              <w:rFonts w:ascii="Times New Roman" w:hAnsi="Times New Roman" w:cs="Times New Roman"/>
              <w:b/>
              <w:bCs/>
              <w:color w:val="000000" w:themeColor="text1"/>
            </w:rPr>
            <w:t>Table of Contents</w:t>
          </w:r>
        </w:p>
        <w:p w14:paraId="729DA7EF" w14:textId="77777777" w:rsidR="003D66DF" w:rsidRDefault="003D66DF" w:rsidP="003D66DF">
          <w:pPr>
            <w:pStyle w:val="TOC1"/>
            <w:tabs>
              <w:tab w:val="right" w:leader="dot" w:pos="9016"/>
            </w:tabs>
            <w:rPr>
              <w:rFonts w:asciiTheme="minorHAnsi" w:eastAsiaTheme="minorEastAsia" w:hAnsiTheme="minorHAnsi"/>
              <w:noProof/>
              <w:color w:val="auto"/>
              <w:kern w:val="0"/>
              <w:sz w:val="22"/>
              <w:lang w:val="en-US"/>
              <w14:ligatures w14:val="none"/>
            </w:rPr>
          </w:pPr>
          <w:r>
            <w:fldChar w:fldCharType="begin"/>
          </w:r>
          <w:r>
            <w:instrText xml:space="preserve"> TOC \o "1-3" \h \z \u </w:instrText>
          </w:r>
          <w:r>
            <w:fldChar w:fldCharType="separate"/>
          </w:r>
          <w:hyperlink w:anchor="_Toc133402742" w:history="1">
            <w:r w:rsidRPr="001F5CFB">
              <w:rPr>
                <w:rStyle w:val="Hyperlink"/>
                <w:noProof/>
              </w:rPr>
              <w:t>Task1: Essay</w:t>
            </w:r>
            <w:r>
              <w:rPr>
                <w:noProof/>
                <w:webHidden/>
              </w:rPr>
              <w:tab/>
            </w:r>
            <w:r>
              <w:rPr>
                <w:noProof/>
                <w:webHidden/>
              </w:rPr>
              <w:fldChar w:fldCharType="begin"/>
            </w:r>
            <w:r>
              <w:rPr>
                <w:noProof/>
                <w:webHidden/>
              </w:rPr>
              <w:instrText xml:space="preserve"> PAGEREF _Toc133402742 \h </w:instrText>
            </w:r>
            <w:r>
              <w:rPr>
                <w:noProof/>
                <w:webHidden/>
              </w:rPr>
            </w:r>
            <w:r>
              <w:rPr>
                <w:noProof/>
                <w:webHidden/>
              </w:rPr>
              <w:fldChar w:fldCharType="separate"/>
            </w:r>
            <w:r>
              <w:rPr>
                <w:noProof/>
                <w:webHidden/>
              </w:rPr>
              <w:t>3</w:t>
            </w:r>
            <w:r>
              <w:rPr>
                <w:noProof/>
                <w:webHidden/>
              </w:rPr>
              <w:fldChar w:fldCharType="end"/>
            </w:r>
          </w:hyperlink>
        </w:p>
        <w:p w14:paraId="2540683F" w14:textId="77777777" w:rsidR="003D66DF" w:rsidRDefault="003D66DF" w:rsidP="003D66DF">
          <w:pPr>
            <w:pStyle w:val="TOC2"/>
            <w:tabs>
              <w:tab w:val="right" w:leader="dot" w:pos="9016"/>
            </w:tabs>
            <w:rPr>
              <w:rFonts w:asciiTheme="minorHAnsi" w:eastAsiaTheme="minorEastAsia" w:hAnsiTheme="minorHAnsi"/>
              <w:noProof/>
              <w:color w:val="auto"/>
              <w:kern w:val="0"/>
              <w:sz w:val="22"/>
              <w:lang w:val="en-US"/>
              <w14:ligatures w14:val="none"/>
            </w:rPr>
          </w:pPr>
          <w:hyperlink w:anchor="_Toc133402743" w:history="1">
            <w:r w:rsidRPr="001F5CFB">
              <w:rPr>
                <w:rStyle w:val="Hyperlink"/>
                <w:noProof/>
              </w:rPr>
              <w:t>Introdu</w:t>
            </w:r>
            <w:r w:rsidRPr="001F5CFB">
              <w:rPr>
                <w:rStyle w:val="Hyperlink"/>
                <w:noProof/>
              </w:rPr>
              <w:t>c</w:t>
            </w:r>
            <w:r w:rsidRPr="001F5CFB">
              <w:rPr>
                <w:rStyle w:val="Hyperlink"/>
                <w:noProof/>
              </w:rPr>
              <w:t>tion</w:t>
            </w:r>
            <w:r>
              <w:rPr>
                <w:noProof/>
                <w:webHidden/>
              </w:rPr>
              <w:tab/>
            </w:r>
            <w:r>
              <w:rPr>
                <w:noProof/>
                <w:webHidden/>
              </w:rPr>
              <w:fldChar w:fldCharType="begin"/>
            </w:r>
            <w:r>
              <w:rPr>
                <w:noProof/>
                <w:webHidden/>
              </w:rPr>
              <w:instrText xml:space="preserve"> PAGEREF _Toc133402743 \h </w:instrText>
            </w:r>
            <w:r>
              <w:rPr>
                <w:noProof/>
                <w:webHidden/>
              </w:rPr>
            </w:r>
            <w:r>
              <w:rPr>
                <w:noProof/>
                <w:webHidden/>
              </w:rPr>
              <w:fldChar w:fldCharType="separate"/>
            </w:r>
            <w:r>
              <w:rPr>
                <w:noProof/>
                <w:webHidden/>
              </w:rPr>
              <w:t>3</w:t>
            </w:r>
            <w:r>
              <w:rPr>
                <w:noProof/>
                <w:webHidden/>
              </w:rPr>
              <w:fldChar w:fldCharType="end"/>
            </w:r>
          </w:hyperlink>
        </w:p>
        <w:p w14:paraId="32EC0C6F" w14:textId="77777777" w:rsidR="003D66DF" w:rsidRDefault="003D66DF" w:rsidP="003D66DF">
          <w:pPr>
            <w:pStyle w:val="TOC2"/>
            <w:tabs>
              <w:tab w:val="right" w:leader="dot" w:pos="9016"/>
            </w:tabs>
            <w:rPr>
              <w:rFonts w:asciiTheme="minorHAnsi" w:eastAsiaTheme="minorEastAsia" w:hAnsiTheme="minorHAnsi"/>
              <w:noProof/>
              <w:color w:val="auto"/>
              <w:kern w:val="0"/>
              <w:sz w:val="22"/>
              <w:lang w:val="en-US"/>
              <w14:ligatures w14:val="none"/>
            </w:rPr>
          </w:pPr>
          <w:hyperlink w:anchor="_Toc133402744" w:history="1">
            <w:r w:rsidRPr="001F5CFB">
              <w:rPr>
                <w:rStyle w:val="Hyperlink"/>
                <w:noProof/>
              </w:rPr>
              <w:t>Main Body</w:t>
            </w:r>
            <w:r>
              <w:rPr>
                <w:noProof/>
                <w:webHidden/>
              </w:rPr>
              <w:tab/>
            </w:r>
            <w:r>
              <w:rPr>
                <w:noProof/>
                <w:webHidden/>
              </w:rPr>
              <w:fldChar w:fldCharType="begin"/>
            </w:r>
            <w:r>
              <w:rPr>
                <w:noProof/>
                <w:webHidden/>
              </w:rPr>
              <w:instrText xml:space="preserve"> PAGEREF _Toc133402744 \h </w:instrText>
            </w:r>
            <w:r>
              <w:rPr>
                <w:noProof/>
                <w:webHidden/>
              </w:rPr>
            </w:r>
            <w:r>
              <w:rPr>
                <w:noProof/>
                <w:webHidden/>
              </w:rPr>
              <w:fldChar w:fldCharType="separate"/>
            </w:r>
            <w:r>
              <w:rPr>
                <w:noProof/>
                <w:webHidden/>
              </w:rPr>
              <w:t>4</w:t>
            </w:r>
            <w:r>
              <w:rPr>
                <w:noProof/>
                <w:webHidden/>
              </w:rPr>
              <w:fldChar w:fldCharType="end"/>
            </w:r>
          </w:hyperlink>
        </w:p>
        <w:p w14:paraId="24A5C61C" w14:textId="77777777" w:rsidR="003D66DF" w:rsidRDefault="003D66DF" w:rsidP="003D66DF">
          <w:pPr>
            <w:pStyle w:val="TOC2"/>
            <w:tabs>
              <w:tab w:val="right" w:leader="dot" w:pos="9016"/>
            </w:tabs>
            <w:rPr>
              <w:rFonts w:asciiTheme="minorHAnsi" w:eastAsiaTheme="minorEastAsia" w:hAnsiTheme="minorHAnsi"/>
              <w:noProof/>
              <w:color w:val="auto"/>
              <w:kern w:val="0"/>
              <w:sz w:val="22"/>
              <w:lang w:val="en-US"/>
              <w14:ligatures w14:val="none"/>
            </w:rPr>
          </w:pPr>
          <w:hyperlink w:anchor="_Toc133402745" w:history="1">
            <w:r w:rsidRPr="001F5CFB">
              <w:rPr>
                <w:rStyle w:val="Hyperlink"/>
                <w:noProof/>
              </w:rPr>
              <w:t>Conclusion</w:t>
            </w:r>
            <w:r>
              <w:rPr>
                <w:noProof/>
                <w:webHidden/>
              </w:rPr>
              <w:tab/>
            </w:r>
            <w:r>
              <w:rPr>
                <w:noProof/>
                <w:webHidden/>
              </w:rPr>
              <w:fldChar w:fldCharType="begin"/>
            </w:r>
            <w:r>
              <w:rPr>
                <w:noProof/>
                <w:webHidden/>
              </w:rPr>
              <w:instrText xml:space="preserve"> PAGEREF _Toc133402745 \h </w:instrText>
            </w:r>
            <w:r>
              <w:rPr>
                <w:noProof/>
                <w:webHidden/>
              </w:rPr>
            </w:r>
            <w:r>
              <w:rPr>
                <w:noProof/>
                <w:webHidden/>
              </w:rPr>
              <w:fldChar w:fldCharType="separate"/>
            </w:r>
            <w:r>
              <w:rPr>
                <w:noProof/>
                <w:webHidden/>
              </w:rPr>
              <w:t>13</w:t>
            </w:r>
            <w:r>
              <w:rPr>
                <w:noProof/>
                <w:webHidden/>
              </w:rPr>
              <w:fldChar w:fldCharType="end"/>
            </w:r>
          </w:hyperlink>
        </w:p>
        <w:p w14:paraId="06ADD41A" w14:textId="77777777" w:rsidR="003D66DF" w:rsidRDefault="003D66DF" w:rsidP="003D66DF">
          <w:pPr>
            <w:pStyle w:val="TOC1"/>
            <w:tabs>
              <w:tab w:val="right" w:leader="dot" w:pos="9016"/>
            </w:tabs>
            <w:rPr>
              <w:rFonts w:asciiTheme="minorHAnsi" w:eastAsiaTheme="minorEastAsia" w:hAnsiTheme="minorHAnsi"/>
              <w:noProof/>
              <w:color w:val="auto"/>
              <w:kern w:val="0"/>
              <w:sz w:val="22"/>
              <w:lang w:val="en-US"/>
              <w14:ligatures w14:val="none"/>
            </w:rPr>
          </w:pPr>
          <w:hyperlink w:anchor="_Toc133402746" w:history="1">
            <w:r w:rsidRPr="001F5CFB">
              <w:rPr>
                <w:rStyle w:val="Hyperlink"/>
                <w:noProof/>
              </w:rPr>
              <w:t>Task 2: Critical Reflection</w:t>
            </w:r>
            <w:r>
              <w:rPr>
                <w:noProof/>
                <w:webHidden/>
              </w:rPr>
              <w:tab/>
            </w:r>
            <w:r>
              <w:rPr>
                <w:noProof/>
                <w:webHidden/>
              </w:rPr>
              <w:fldChar w:fldCharType="begin"/>
            </w:r>
            <w:r>
              <w:rPr>
                <w:noProof/>
                <w:webHidden/>
              </w:rPr>
              <w:instrText xml:space="preserve"> PAGEREF _Toc133402746 \h </w:instrText>
            </w:r>
            <w:r>
              <w:rPr>
                <w:noProof/>
                <w:webHidden/>
              </w:rPr>
            </w:r>
            <w:r>
              <w:rPr>
                <w:noProof/>
                <w:webHidden/>
              </w:rPr>
              <w:fldChar w:fldCharType="separate"/>
            </w:r>
            <w:r>
              <w:rPr>
                <w:noProof/>
                <w:webHidden/>
              </w:rPr>
              <w:t>14</w:t>
            </w:r>
            <w:r>
              <w:rPr>
                <w:noProof/>
                <w:webHidden/>
              </w:rPr>
              <w:fldChar w:fldCharType="end"/>
            </w:r>
          </w:hyperlink>
        </w:p>
        <w:p w14:paraId="55AE9833" w14:textId="77777777" w:rsidR="003D66DF" w:rsidRDefault="003D66DF" w:rsidP="003D66DF">
          <w:pPr>
            <w:pStyle w:val="TOC2"/>
            <w:tabs>
              <w:tab w:val="right" w:leader="dot" w:pos="9016"/>
            </w:tabs>
            <w:rPr>
              <w:rFonts w:asciiTheme="minorHAnsi" w:eastAsiaTheme="minorEastAsia" w:hAnsiTheme="minorHAnsi"/>
              <w:noProof/>
              <w:color w:val="auto"/>
              <w:kern w:val="0"/>
              <w:sz w:val="22"/>
              <w:lang w:val="en-US"/>
              <w14:ligatures w14:val="none"/>
            </w:rPr>
          </w:pPr>
          <w:hyperlink w:anchor="_Toc133402747" w:history="1">
            <w:r w:rsidRPr="001F5CFB">
              <w:rPr>
                <w:rStyle w:val="Hyperlink"/>
                <w:noProof/>
              </w:rPr>
              <w:t>Introduction</w:t>
            </w:r>
            <w:r>
              <w:rPr>
                <w:noProof/>
                <w:webHidden/>
              </w:rPr>
              <w:tab/>
            </w:r>
            <w:r>
              <w:rPr>
                <w:noProof/>
                <w:webHidden/>
              </w:rPr>
              <w:fldChar w:fldCharType="begin"/>
            </w:r>
            <w:r>
              <w:rPr>
                <w:noProof/>
                <w:webHidden/>
              </w:rPr>
              <w:instrText xml:space="preserve"> PAGEREF _Toc133402747 \h </w:instrText>
            </w:r>
            <w:r>
              <w:rPr>
                <w:noProof/>
                <w:webHidden/>
              </w:rPr>
            </w:r>
            <w:r>
              <w:rPr>
                <w:noProof/>
                <w:webHidden/>
              </w:rPr>
              <w:fldChar w:fldCharType="separate"/>
            </w:r>
            <w:r>
              <w:rPr>
                <w:noProof/>
                <w:webHidden/>
              </w:rPr>
              <w:t>14</w:t>
            </w:r>
            <w:r>
              <w:rPr>
                <w:noProof/>
                <w:webHidden/>
              </w:rPr>
              <w:fldChar w:fldCharType="end"/>
            </w:r>
          </w:hyperlink>
        </w:p>
        <w:p w14:paraId="2611C38E" w14:textId="77777777" w:rsidR="003D66DF" w:rsidRDefault="003D66DF" w:rsidP="003D66DF">
          <w:pPr>
            <w:pStyle w:val="TOC2"/>
            <w:tabs>
              <w:tab w:val="right" w:leader="dot" w:pos="9016"/>
            </w:tabs>
            <w:rPr>
              <w:rFonts w:asciiTheme="minorHAnsi" w:eastAsiaTheme="minorEastAsia" w:hAnsiTheme="minorHAnsi"/>
              <w:noProof/>
              <w:color w:val="auto"/>
              <w:kern w:val="0"/>
              <w:sz w:val="22"/>
              <w:lang w:val="en-US"/>
              <w14:ligatures w14:val="none"/>
            </w:rPr>
          </w:pPr>
          <w:hyperlink w:anchor="_Toc133402748" w:history="1">
            <w:r w:rsidRPr="001F5CFB">
              <w:rPr>
                <w:rStyle w:val="Hyperlink"/>
                <w:noProof/>
              </w:rPr>
              <w:t>Personal reflection</w:t>
            </w:r>
            <w:r>
              <w:rPr>
                <w:noProof/>
                <w:webHidden/>
              </w:rPr>
              <w:tab/>
            </w:r>
            <w:r>
              <w:rPr>
                <w:noProof/>
                <w:webHidden/>
              </w:rPr>
              <w:fldChar w:fldCharType="begin"/>
            </w:r>
            <w:r>
              <w:rPr>
                <w:noProof/>
                <w:webHidden/>
              </w:rPr>
              <w:instrText xml:space="preserve"> PAGEREF _Toc133402748 \h </w:instrText>
            </w:r>
            <w:r>
              <w:rPr>
                <w:noProof/>
                <w:webHidden/>
              </w:rPr>
            </w:r>
            <w:r>
              <w:rPr>
                <w:noProof/>
                <w:webHidden/>
              </w:rPr>
              <w:fldChar w:fldCharType="separate"/>
            </w:r>
            <w:r>
              <w:rPr>
                <w:noProof/>
                <w:webHidden/>
              </w:rPr>
              <w:t>15</w:t>
            </w:r>
            <w:r>
              <w:rPr>
                <w:noProof/>
                <w:webHidden/>
              </w:rPr>
              <w:fldChar w:fldCharType="end"/>
            </w:r>
          </w:hyperlink>
        </w:p>
        <w:p w14:paraId="1287EF10" w14:textId="77777777" w:rsidR="003D66DF" w:rsidRDefault="003D66DF" w:rsidP="003D66DF">
          <w:pPr>
            <w:pStyle w:val="TOC2"/>
            <w:tabs>
              <w:tab w:val="right" w:leader="dot" w:pos="9016"/>
            </w:tabs>
            <w:rPr>
              <w:rFonts w:asciiTheme="minorHAnsi" w:eastAsiaTheme="minorEastAsia" w:hAnsiTheme="minorHAnsi"/>
              <w:noProof/>
              <w:color w:val="auto"/>
              <w:kern w:val="0"/>
              <w:sz w:val="22"/>
              <w:lang w:val="en-US"/>
              <w14:ligatures w14:val="none"/>
            </w:rPr>
          </w:pPr>
          <w:hyperlink w:anchor="_Toc133402749" w:history="1">
            <w:r w:rsidRPr="001F5CFB">
              <w:rPr>
                <w:rStyle w:val="Hyperlink"/>
                <w:noProof/>
              </w:rPr>
              <w:t>Conclusion</w:t>
            </w:r>
            <w:r>
              <w:rPr>
                <w:noProof/>
                <w:webHidden/>
              </w:rPr>
              <w:tab/>
            </w:r>
            <w:r>
              <w:rPr>
                <w:noProof/>
                <w:webHidden/>
              </w:rPr>
              <w:fldChar w:fldCharType="begin"/>
            </w:r>
            <w:r>
              <w:rPr>
                <w:noProof/>
                <w:webHidden/>
              </w:rPr>
              <w:instrText xml:space="preserve"> PAGEREF _Toc133402749 \h </w:instrText>
            </w:r>
            <w:r>
              <w:rPr>
                <w:noProof/>
                <w:webHidden/>
              </w:rPr>
            </w:r>
            <w:r>
              <w:rPr>
                <w:noProof/>
                <w:webHidden/>
              </w:rPr>
              <w:fldChar w:fldCharType="separate"/>
            </w:r>
            <w:r>
              <w:rPr>
                <w:noProof/>
                <w:webHidden/>
              </w:rPr>
              <w:t>20</w:t>
            </w:r>
            <w:r>
              <w:rPr>
                <w:noProof/>
                <w:webHidden/>
              </w:rPr>
              <w:fldChar w:fldCharType="end"/>
            </w:r>
          </w:hyperlink>
        </w:p>
        <w:p w14:paraId="03EAEF70" w14:textId="77777777" w:rsidR="003D66DF" w:rsidRDefault="003D66DF" w:rsidP="003D66DF">
          <w:pPr>
            <w:pStyle w:val="TOC2"/>
            <w:tabs>
              <w:tab w:val="right" w:leader="dot" w:pos="9016"/>
            </w:tabs>
            <w:rPr>
              <w:rFonts w:asciiTheme="minorHAnsi" w:eastAsiaTheme="minorEastAsia" w:hAnsiTheme="minorHAnsi"/>
              <w:noProof/>
              <w:color w:val="auto"/>
              <w:kern w:val="0"/>
              <w:sz w:val="22"/>
              <w:lang w:val="en-US"/>
              <w14:ligatures w14:val="none"/>
            </w:rPr>
          </w:pPr>
          <w:hyperlink w:anchor="_Toc133402750" w:history="1">
            <w:r w:rsidRPr="001F5CFB">
              <w:rPr>
                <w:rStyle w:val="Hyperlink"/>
                <w:noProof/>
              </w:rPr>
              <w:t>Bibliography</w:t>
            </w:r>
            <w:r>
              <w:rPr>
                <w:noProof/>
                <w:webHidden/>
              </w:rPr>
              <w:tab/>
            </w:r>
            <w:r>
              <w:rPr>
                <w:noProof/>
                <w:webHidden/>
              </w:rPr>
              <w:fldChar w:fldCharType="begin"/>
            </w:r>
            <w:r>
              <w:rPr>
                <w:noProof/>
                <w:webHidden/>
              </w:rPr>
              <w:instrText xml:space="preserve"> PAGEREF _Toc133402750 \h </w:instrText>
            </w:r>
            <w:r>
              <w:rPr>
                <w:noProof/>
                <w:webHidden/>
              </w:rPr>
            </w:r>
            <w:r>
              <w:rPr>
                <w:noProof/>
                <w:webHidden/>
              </w:rPr>
              <w:fldChar w:fldCharType="separate"/>
            </w:r>
            <w:r>
              <w:rPr>
                <w:noProof/>
                <w:webHidden/>
              </w:rPr>
              <w:t>21</w:t>
            </w:r>
            <w:r>
              <w:rPr>
                <w:noProof/>
                <w:webHidden/>
              </w:rPr>
              <w:fldChar w:fldCharType="end"/>
            </w:r>
          </w:hyperlink>
        </w:p>
        <w:p w14:paraId="66F05F1F" w14:textId="77777777" w:rsidR="003D66DF" w:rsidRDefault="003D66DF" w:rsidP="003D66DF">
          <w:pPr>
            <w:spacing w:after="160" w:line="480" w:lineRule="auto"/>
            <w:rPr>
              <w:b/>
              <w:bCs/>
              <w:noProof/>
            </w:rPr>
          </w:pPr>
          <w:r>
            <w:rPr>
              <w:b/>
              <w:bCs/>
              <w:noProof/>
            </w:rPr>
            <w:fldChar w:fldCharType="end"/>
          </w:r>
        </w:p>
      </w:sdtContent>
    </w:sdt>
    <w:p w14:paraId="21D3F904" w14:textId="2E7E1462" w:rsidR="003D66DF" w:rsidRDefault="003D66DF">
      <w:pPr>
        <w:rPr>
          <w:rFonts w:cs="Arial"/>
          <w:sz w:val="28"/>
          <w:szCs w:val="28"/>
        </w:rPr>
      </w:pPr>
    </w:p>
    <w:p w14:paraId="35E0D190" w14:textId="0CD4529D" w:rsidR="003D66DF" w:rsidRDefault="003D66DF">
      <w:pPr>
        <w:rPr>
          <w:rFonts w:cs="Arial"/>
          <w:sz w:val="28"/>
          <w:szCs w:val="28"/>
        </w:rPr>
      </w:pPr>
    </w:p>
    <w:p w14:paraId="48720795" w14:textId="5999C1F5" w:rsidR="003D66DF" w:rsidRDefault="003D66DF">
      <w:pPr>
        <w:rPr>
          <w:rFonts w:cs="Arial"/>
          <w:sz w:val="28"/>
          <w:szCs w:val="28"/>
        </w:rPr>
      </w:pPr>
    </w:p>
    <w:p w14:paraId="7AB2C43E" w14:textId="371F8279" w:rsidR="003D66DF" w:rsidRDefault="003D66DF">
      <w:pPr>
        <w:rPr>
          <w:rFonts w:cs="Arial"/>
          <w:sz w:val="28"/>
          <w:szCs w:val="28"/>
        </w:rPr>
      </w:pPr>
    </w:p>
    <w:p w14:paraId="4EDD30DA" w14:textId="16A7ED52" w:rsidR="003D66DF" w:rsidRDefault="003D66DF">
      <w:pPr>
        <w:rPr>
          <w:rFonts w:cs="Arial"/>
          <w:sz w:val="28"/>
          <w:szCs w:val="28"/>
        </w:rPr>
      </w:pPr>
    </w:p>
    <w:p w14:paraId="43481943" w14:textId="3FFDFB34" w:rsidR="003D66DF" w:rsidRDefault="003D66DF">
      <w:pPr>
        <w:rPr>
          <w:rFonts w:cs="Arial"/>
          <w:sz w:val="28"/>
          <w:szCs w:val="28"/>
        </w:rPr>
      </w:pPr>
    </w:p>
    <w:p w14:paraId="0D9AC7E5" w14:textId="05F3530B" w:rsidR="003D66DF" w:rsidRDefault="003D66DF">
      <w:pPr>
        <w:rPr>
          <w:rFonts w:cs="Arial"/>
          <w:sz w:val="28"/>
          <w:szCs w:val="28"/>
        </w:rPr>
      </w:pPr>
    </w:p>
    <w:p w14:paraId="62C57EF9" w14:textId="4DA4F637" w:rsidR="003D66DF" w:rsidRDefault="003D66DF">
      <w:pPr>
        <w:rPr>
          <w:rFonts w:cs="Arial"/>
          <w:sz w:val="28"/>
          <w:szCs w:val="28"/>
        </w:rPr>
      </w:pPr>
    </w:p>
    <w:p w14:paraId="4C867B10" w14:textId="5E2C01E8" w:rsidR="003D66DF" w:rsidRDefault="003D66DF">
      <w:pPr>
        <w:rPr>
          <w:rFonts w:cs="Arial"/>
          <w:sz w:val="28"/>
          <w:szCs w:val="28"/>
        </w:rPr>
      </w:pPr>
    </w:p>
    <w:p w14:paraId="59520D1A" w14:textId="3BCD86E5" w:rsidR="003D66DF" w:rsidRDefault="003D66DF">
      <w:pPr>
        <w:rPr>
          <w:rFonts w:cs="Arial"/>
          <w:sz w:val="28"/>
          <w:szCs w:val="28"/>
        </w:rPr>
      </w:pPr>
    </w:p>
    <w:p w14:paraId="56BCE0F9" w14:textId="270F8BDF" w:rsidR="003D66DF" w:rsidRDefault="003D66DF">
      <w:pPr>
        <w:rPr>
          <w:rFonts w:cs="Arial"/>
          <w:sz w:val="28"/>
          <w:szCs w:val="28"/>
        </w:rPr>
      </w:pPr>
    </w:p>
    <w:p w14:paraId="1A75B491" w14:textId="309CEE40" w:rsidR="003D66DF" w:rsidRDefault="003D66DF">
      <w:pPr>
        <w:rPr>
          <w:rFonts w:cs="Arial"/>
          <w:sz w:val="28"/>
          <w:szCs w:val="28"/>
        </w:rPr>
      </w:pPr>
    </w:p>
    <w:p w14:paraId="0F6CE359" w14:textId="5F5A757E" w:rsidR="003D66DF" w:rsidRDefault="003D66DF">
      <w:pPr>
        <w:rPr>
          <w:rFonts w:cs="Arial"/>
          <w:sz w:val="28"/>
          <w:szCs w:val="28"/>
        </w:rPr>
      </w:pPr>
    </w:p>
    <w:p w14:paraId="6E1B30AC" w14:textId="24271EDD" w:rsidR="003D66DF" w:rsidRDefault="003D66DF">
      <w:pPr>
        <w:rPr>
          <w:rFonts w:cs="Arial"/>
          <w:sz w:val="28"/>
          <w:szCs w:val="28"/>
        </w:rPr>
      </w:pPr>
    </w:p>
    <w:p w14:paraId="0BD7B8D0" w14:textId="6DD9C3B3" w:rsidR="003D66DF" w:rsidRDefault="003D66DF">
      <w:pPr>
        <w:rPr>
          <w:rFonts w:cs="Arial"/>
          <w:sz w:val="28"/>
          <w:szCs w:val="28"/>
        </w:rPr>
      </w:pPr>
    </w:p>
    <w:p w14:paraId="1C9D80B9" w14:textId="77777777" w:rsidR="003D66DF" w:rsidRPr="003D66DF" w:rsidRDefault="003D66DF" w:rsidP="003D66DF">
      <w:pPr>
        <w:pStyle w:val="Heading1"/>
        <w:rPr>
          <w:rFonts w:ascii="Arial" w:hAnsi="Arial" w:cs="Arial"/>
          <w:sz w:val="24"/>
          <w:szCs w:val="24"/>
        </w:rPr>
      </w:pPr>
      <w:bookmarkStart w:id="0" w:name="_Toc133402742"/>
      <w:r w:rsidRPr="003D66DF">
        <w:rPr>
          <w:rFonts w:ascii="Arial" w:hAnsi="Arial" w:cs="Arial"/>
          <w:sz w:val="24"/>
          <w:szCs w:val="24"/>
        </w:rPr>
        <w:t>Task1: Essay</w:t>
      </w:r>
      <w:bookmarkEnd w:id="0"/>
      <w:r w:rsidRPr="003D66DF">
        <w:rPr>
          <w:rFonts w:ascii="Arial" w:hAnsi="Arial" w:cs="Arial"/>
          <w:sz w:val="24"/>
          <w:szCs w:val="24"/>
        </w:rPr>
        <w:t xml:space="preserve"> </w:t>
      </w:r>
    </w:p>
    <w:p w14:paraId="615FEA6F" w14:textId="77777777" w:rsidR="003D66DF" w:rsidRPr="003D66DF" w:rsidRDefault="003D66DF" w:rsidP="003D66DF">
      <w:pPr>
        <w:pStyle w:val="Heading2"/>
        <w:rPr>
          <w:rFonts w:ascii="Arial" w:hAnsi="Arial" w:cs="Arial"/>
          <w:sz w:val="24"/>
          <w:szCs w:val="24"/>
        </w:rPr>
      </w:pPr>
      <w:bookmarkStart w:id="1" w:name="_Toc133402743"/>
      <w:r w:rsidRPr="003D66DF">
        <w:rPr>
          <w:rFonts w:ascii="Arial" w:hAnsi="Arial" w:cs="Arial"/>
          <w:sz w:val="24"/>
          <w:szCs w:val="24"/>
        </w:rPr>
        <w:t>Introduction</w:t>
      </w:r>
      <w:bookmarkEnd w:id="1"/>
      <w:r w:rsidRPr="003D66DF">
        <w:rPr>
          <w:rFonts w:ascii="Arial" w:hAnsi="Arial" w:cs="Arial"/>
          <w:sz w:val="24"/>
          <w:szCs w:val="24"/>
        </w:rPr>
        <w:t xml:space="preserve"> </w:t>
      </w:r>
    </w:p>
    <w:p w14:paraId="37B18B20" w14:textId="77777777" w:rsidR="003D66DF" w:rsidRPr="003D66DF" w:rsidRDefault="003D66DF" w:rsidP="003D66DF">
      <w:pPr>
        <w:rPr>
          <w:rFonts w:cs="Arial"/>
        </w:rPr>
      </w:pPr>
      <w:r w:rsidRPr="003D66DF">
        <w:rPr>
          <w:rFonts w:cs="Arial"/>
        </w:rPr>
        <w:t xml:space="preserve">The purpose of the research that follows is to examine how cultural and institutional viewpoints affect the leadership styles of two disparate businesses, </w:t>
      </w:r>
      <w:proofErr w:type="gramStart"/>
      <w:r w:rsidRPr="003D66DF">
        <w:rPr>
          <w:rFonts w:cs="Arial"/>
        </w:rPr>
        <w:t>Amazon</w:t>
      </w:r>
      <w:proofErr w:type="gramEnd"/>
      <w:r w:rsidRPr="003D66DF">
        <w:rPr>
          <w:rFonts w:cs="Arial"/>
        </w:rPr>
        <w:t xml:space="preserve"> and Marriott UK. Both businesses are leading the way in the industries they serve and are known across the world for their creative and client-focused business models. This study will explore the institutional and cultural variables that have shaped these firms' leadership styles. The leadership styles of Marriott UK and Amazon will be compared and analysed, and the significance of institutional and cultural views will be investigated to comprehend how they influence leadership strategies and practices. This study will look at various aspects of leadership, such as organisation size and scope, industry-specific standards and laws, and social responsibility, along with cultural and institutional viewpoints. This research will give a thorough grasp of how cultural and institutional views affect the leadership styles of Amazon and Marriott UK by analysing these variables. This study is important because it clarifies the intricate and varied characteristics of organisational leadership. It offers insightful information on how institutional and cultural viewpoints influence leadership styles and how executives may work around these issues to succeed in their fields. Academics, researchers, and operators in the domains of administration, leadership, and organisational behaviour will find the findings of this study to be useful. </w:t>
      </w:r>
    </w:p>
    <w:p w14:paraId="31332C8F" w14:textId="77777777" w:rsidR="003D66DF" w:rsidRPr="003D66DF" w:rsidRDefault="003D66DF" w:rsidP="003D66DF">
      <w:pPr>
        <w:spacing w:line="259" w:lineRule="auto"/>
        <w:jc w:val="left"/>
        <w:rPr>
          <w:rFonts w:cs="Arial"/>
        </w:rPr>
      </w:pPr>
      <w:r w:rsidRPr="003D66DF">
        <w:rPr>
          <w:rFonts w:cs="Arial"/>
        </w:rPr>
        <w:br w:type="page"/>
      </w:r>
    </w:p>
    <w:p w14:paraId="13412CF0" w14:textId="77777777" w:rsidR="003D66DF" w:rsidRPr="003D66DF" w:rsidRDefault="003D66DF" w:rsidP="003D66DF">
      <w:pPr>
        <w:pStyle w:val="Heading2"/>
        <w:rPr>
          <w:rFonts w:ascii="Arial" w:hAnsi="Arial" w:cs="Arial"/>
          <w:sz w:val="24"/>
          <w:szCs w:val="24"/>
        </w:rPr>
      </w:pPr>
      <w:bookmarkStart w:id="2" w:name="_Toc133402744"/>
      <w:r w:rsidRPr="003D66DF">
        <w:rPr>
          <w:rFonts w:ascii="Arial" w:hAnsi="Arial" w:cs="Arial"/>
          <w:sz w:val="24"/>
          <w:szCs w:val="24"/>
        </w:rPr>
        <w:lastRenderedPageBreak/>
        <w:t>Main Body</w:t>
      </w:r>
      <w:bookmarkEnd w:id="2"/>
    </w:p>
    <w:p w14:paraId="4665B580" w14:textId="77777777" w:rsidR="003D66DF" w:rsidRPr="003D66DF" w:rsidRDefault="003D66DF" w:rsidP="003D66DF">
      <w:pPr>
        <w:rPr>
          <w:rFonts w:cs="Arial"/>
          <w:b/>
          <w:bCs/>
        </w:rPr>
      </w:pPr>
      <w:r w:rsidRPr="003D66DF">
        <w:rPr>
          <w:rFonts w:cs="Arial"/>
          <w:b/>
          <w:bCs/>
        </w:rPr>
        <w:t>About amazon</w:t>
      </w:r>
    </w:p>
    <w:p w14:paraId="46F0BFD3" w14:textId="0655AC2C" w:rsidR="003D66DF" w:rsidRPr="003D66DF" w:rsidRDefault="003D66DF" w:rsidP="003D66DF">
      <w:pPr>
        <w:rPr>
          <w:rFonts w:cs="Arial"/>
        </w:rPr>
      </w:pPr>
      <w:r w:rsidRPr="003D66DF">
        <w:rPr>
          <w:rFonts w:cs="Arial"/>
        </w:rPr>
        <w:t xml:space="preserve">Jeff Bezos created one of the largest and most recognised e-commerce businesses in the world, Amazon, in 1994. It began as an online bookstore but quickly grew to offer a wide variety of goods and services, including furniture, electronics, groceries, clothing, and more. Customers can choose from an extensive assortment of products thanks to Amazon's platform, which enables third-party retailers to sell their goods through its website. Additionally, Amazon sells several offerings, including Amazon Prime, which is a service which offers free two-day shipping and access to streaming TV shows and films, among other things. Amazon has diversified into several other sectors in addition to e-commerce, such as the cloud (Amazon Web Resources), machine learning (Alexa), and film (Amazon Studios). The business has a substantial global </w:t>
      </w:r>
      <w:r w:rsidR="00136DA3" w:rsidRPr="003D66DF">
        <w:rPr>
          <w:rFonts w:cs="Arial"/>
        </w:rPr>
        <w:t>presence,</w:t>
      </w:r>
      <w:r w:rsidRPr="003D66DF">
        <w:rPr>
          <w:rFonts w:cs="Arial"/>
        </w:rPr>
        <w:t xml:space="preserve"> and its headquarters are in Seattle, Washington. The UK-based division of the Amazon corporation, which was founded in the UK in 1998, is known as Amazon UK. Customers in the UK may use it as a platform for e-commerce to buy products like books, electronics, apparel, furniture, food, and a wide range of other things online (Wittig, and Wittig, 2018). By enabling third-party sellers, the platform broadens the range of goods that are available to shoppers on Amazon UK's website. Additionally, Amazon UK provides several services, such as Amazon Prime, which entitles members to free delivery the next day, access to streaming media, and other benefits. Early on, Amazon encountered several difficulties, including a lack of capital and fierce rivalry from well-established companies like Barnes &amp; Noble (Pires, et al, 2016). However, the business's unwavering attention to the customer experience, innovative technology, and aggressive development assisted in its quick growth. When Amazon went public in 1997, it raised $54 million and had a $438 million market value. The business kept growing its selection of goods and services, and in 2005 it introduced Amazon Prime, which gave users free two-day shipping. Amazon has acquired many companies over the years, including Whole Foods Market, Twitch, and Zappos. The business has furthermore introduced several popular goods and services, including Amazon Web Services, AWS, Kindle e-reader Fire tablets, and Alexa smart speakers. With a market valuation of more than $1.6 trillion as of 2021, Amazon is now among the biggest and most valuable firms in the world. More than </w:t>
      </w:r>
      <w:r w:rsidRPr="003D66DF">
        <w:rPr>
          <w:rFonts w:cs="Arial"/>
        </w:rPr>
        <w:lastRenderedPageBreak/>
        <w:t>1.3 million individuals are employed worldwide by the corporation, which has operations in several nations (Cardoso, et al, 2017).</w:t>
      </w:r>
    </w:p>
    <w:p w14:paraId="1CFBD0B4" w14:textId="77777777" w:rsidR="003D66DF" w:rsidRPr="003D66DF" w:rsidRDefault="003D66DF" w:rsidP="003D66DF">
      <w:pPr>
        <w:rPr>
          <w:rFonts w:cs="Arial"/>
          <w:b/>
          <w:bCs/>
        </w:rPr>
      </w:pPr>
      <w:r w:rsidRPr="003D66DF">
        <w:rPr>
          <w:rFonts w:cs="Arial"/>
          <w:b/>
          <w:bCs/>
        </w:rPr>
        <w:t xml:space="preserve">About Marriott UK </w:t>
      </w:r>
    </w:p>
    <w:p w14:paraId="03825512" w14:textId="77777777" w:rsidR="003D66DF" w:rsidRPr="003D66DF" w:rsidRDefault="003D66DF" w:rsidP="003D66DF">
      <w:pPr>
        <w:rPr>
          <w:rFonts w:cs="Arial"/>
        </w:rPr>
      </w:pPr>
      <w:r w:rsidRPr="003D66DF">
        <w:rPr>
          <w:rFonts w:cs="Arial"/>
        </w:rPr>
        <w:t>Marriott Worldwide is a multinational hotel chain that manages a variety of accommodations all over the globe, including in the UK. The headquarters of Marriott International is in Bethesda, Maryland, where it was established in 1927. Marriott International has more than 80 hotels and resorts in the UK, ranging from opulent five-star establishments to reasonably priced lodging. Marriott UK has a wide selection of lodging options, including resorts, metropolitan hotels, and rural getaways (Marriott, Williams, and Dwivedi, 2017). JW Marriott, The Ritz-Carlton, the Sheraton, Westin, and Marriott Hotels &amp; Resorts are just a few of the hotel brands in Marriott UK's portfolio. Each company caters to various traveller types and their wants with its own distinct style and product offers. Marriott UK provides a variety of hospitality services in addition to its accommodation properties, including organising events and food service, spa and fitness centres, and loyalty programmes like Marriott Bonvoy, which provide members access to exclusive advantages and prizes. In general, Marriott UK is a well-liked option for business as well as leisure travellers because of its first-rate lodging, outstanding customer service, and dedication to detail (Graham-Clarke, et al, 2019).</w:t>
      </w:r>
    </w:p>
    <w:p w14:paraId="3A06588C" w14:textId="77777777" w:rsidR="003D66DF" w:rsidRPr="003D66DF" w:rsidRDefault="003D66DF" w:rsidP="003D66DF">
      <w:pPr>
        <w:rPr>
          <w:rFonts w:cs="Arial"/>
          <w:b/>
          <w:bCs/>
        </w:rPr>
      </w:pPr>
    </w:p>
    <w:p w14:paraId="207FD7DD" w14:textId="77777777" w:rsidR="003D66DF" w:rsidRPr="003D66DF" w:rsidRDefault="003D66DF" w:rsidP="003D66DF">
      <w:pPr>
        <w:rPr>
          <w:rFonts w:cs="Arial"/>
          <w:b/>
          <w:bCs/>
        </w:rPr>
      </w:pPr>
      <w:r w:rsidRPr="003D66DF">
        <w:rPr>
          <w:rFonts w:cs="Arial"/>
          <w:b/>
          <w:bCs/>
        </w:rPr>
        <w:t xml:space="preserve">Leadership approach by Amazon </w:t>
      </w:r>
    </w:p>
    <w:p w14:paraId="63890D6E" w14:textId="77777777" w:rsidR="003D66DF" w:rsidRPr="003D66DF" w:rsidRDefault="003D66DF" w:rsidP="00645685">
      <w:r w:rsidRPr="003D66DF">
        <w:t>Amazon is renowned for its data-driven, customer-focused, and creative leadership style. The company's creator, Jeff Bezos, who is renowned for his dedication to long-term thinking, innovation, and constant development, has had a significant effect on this strategy (Denning, 2018). The significance of being customer-obsessed is one of the fundamental ideas that Amazon emphasises in its leadership strategy. In other words, the business places the client at the centre of all it does, and executives are required to put the customer experience first in everything they do. Everything at Amazon is developed with the needs of the consumer in mind, and this strategy is a major factor in the company's success (</w:t>
      </w:r>
      <w:proofErr w:type="spellStart"/>
      <w:r w:rsidRPr="003D66DF">
        <w:t>Athayde</w:t>
      </w:r>
      <w:proofErr w:type="spellEnd"/>
      <w:r w:rsidRPr="003D66DF">
        <w:t xml:space="preserve">, et al, 2017). The focus that Amazon places on data-driven decision-making is another important part of its leadership strategy. Leaders are required to be at ease and skilled with data analysis because the organisation employs data and analytics to guide its decision-making processes. This strategy helps Amazon to swiftly reach educated judgements, iterate, and </w:t>
      </w:r>
      <w:r w:rsidRPr="003D66DF">
        <w:lastRenderedPageBreak/>
        <w:t xml:space="preserve">enhance its goods and services. </w:t>
      </w:r>
      <w:proofErr w:type="gramStart"/>
      <w:r w:rsidRPr="003D66DF">
        <w:t>Last but not least</w:t>
      </w:r>
      <w:proofErr w:type="gramEnd"/>
      <w:r w:rsidRPr="003D66DF">
        <w:t>, Amazon is renowned for its innovative culture, which is evident in its leadership style. Leaders are required to be innovative, enterprising, and open-minded. The organisation promotes experimentation and risk-taking (</w:t>
      </w:r>
      <w:proofErr w:type="spellStart"/>
      <w:r w:rsidRPr="003D66DF">
        <w:t>Zabaniotou</w:t>
      </w:r>
      <w:proofErr w:type="spellEnd"/>
      <w:r w:rsidRPr="003D66DF">
        <w:t>, et al, 2020). The success of Amazon has been greatly influenced by its innovative culture, which has allowed it to upend established businesses and sectors. Overall, a strong customer orientation, data-driven decision-making, and an innovation-friendly culture define Amazon's leadership strategy. These values have played a crucial role in the success of the business, and they still influence the way it approaches leadership today. Amazon's leadership philosophy is significantly impacted by institutional and cultural attitudes. Amazon works in an international business climate and must negotiate a variety of institutional structures and cultural norms in the nations where it does business. From a cultural standpoint, Amazon's leadership style is impacted by the country of its founding. Individualism, rivalry, and innovation are valued in American society, and Amazon's leadership style reflects these principles. The leadership of the organisation places a high value on individual success and entrepreneurial spirit while fostering a culture of innovation and risk-taking (</w:t>
      </w:r>
      <w:proofErr w:type="spellStart"/>
      <w:r w:rsidRPr="003D66DF">
        <w:t>Mergen</w:t>
      </w:r>
      <w:proofErr w:type="spellEnd"/>
      <w:r w:rsidRPr="003D66DF">
        <w:t xml:space="preserve">, and </w:t>
      </w:r>
      <w:proofErr w:type="spellStart"/>
      <w:r w:rsidRPr="003D66DF">
        <w:t>Ozbilgin</w:t>
      </w:r>
      <w:proofErr w:type="spellEnd"/>
      <w:r w:rsidRPr="003D66DF">
        <w:t xml:space="preserve">, 2021). This cultural orientation has helped Amazon be successful in upending established sectors and industries. But Amazon also does business in societies with various standards of behaviour, and the corporation has had to modify its leadership style appropriately. For instance, there could be a stronger focus on consensus-building and collaboration in other nations, necessitating a different kind of leadership style than Amazon's individual and data-driven one. Amazon's leadership strategy </w:t>
      </w:r>
      <w:proofErr w:type="gramStart"/>
      <w:r w:rsidRPr="003D66DF">
        <w:t>takes into account</w:t>
      </w:r>
      <w:proofErr w:type="gramEnd"/>
      <w:r w:rsidRPr="003D66DF">
        <w:t xml:space="preserve"> institutional aspects as well. For instance, Amazon could need to engage more cooperatively with labour unions and employees in nations with strict labour laws and regulations. The leadership of Amazon must traverse these many institutional structures to maintain compliance while also attaining corporate objectives because legislative and legal frameworks differ between nations. In conclusion, Amazon's leadership philosophy is significantly influenced by cultural and institutional viewpoints (</w:t>
      </w:r>
      <w:proofErr w:type="spellStart"/>
      <w:r w:rsidRPr="003D66DF">
        <w:t>Perz</w:t>
      </w:r>
      <w:proofErr w:type="spellEnd"/>
      <w:r w:rsidRPr="003D66DF">
        <w:t xml:space="preserve">, et al, 2021). The institutional frameworks and laws as well as the cultural norms and values of the nations where the firm conducts business all have an impact on the leadership style of the organisation. Amazon must modify its leadership style following the global business climate if it is to prosper (Rossman, and </w:t>
      </w:r>
      <w:proofErr w:type="spellStart"/>
      <w:r w:rsidRPr="003D66DF">
        <w:t>Euchner</w:t>
      </w:r>
      <w:proofErr w:type="spellEnd"/>
      <w:r w:rsidRPr="003D66DF">
        <w:t>, 2018).</w:t>
      </w:r>
    </w:p>
    <w:p w14:paraId="5A82F70C" w14:textId="77777777" w:rsidR="00136DA3" w:rsidRDefault="00136DA3" w:rsidP="003D66DF">
      <w:pPr>
        <w:rPr>
          <w:rFonts w:cs="Arial"/>
          <w:b/>
          <w:bCs/>
        </w:rPr>
      </w:pPr>
    </w:p>
    <w:p w14:paraId="1BD50E21" w14:textId="1FBAC0CB" w:rsidR="003D66DF" w:rsidRPr="003D66DF" w:rsidRDefault="003D66DF" w:rsidP="003D66DF">
      <w:pPr>
        <w:rPr>
          <w:rFonts w:cs="Arial"/>
          <w:b/>
          <w:bCs/>
        </w:rPr>
      </w:pPr>
      <w:r w:rsidRPr="003D66DF">
        <w:rPr>
          <w:rFonts w:cs="Arial"/>
          <w:b/>
          <w:bCs/>
        </w:rPr>
        <w:lastRenderedPageBreak/>
        <w:t xml:space="preserve">Leadership approach by Marriott UK </w:t>
      </w:r>
    </w:p>
    <w:p w14:paraId="578BC14F" w14:textId="77777777" w:rsidR="003D66DF" w:rsidRPr="003D66DF" w:rsidRDefault="003D66DF" w:rsidP="003D66DF">
      <w:pPr>
        <w:rPr>
          <w:rFonts w:cs="Arial"/>
        </w:rPr>
      </w:pPr>
      <w:r w:rsidRPr="003D66DF">
        <w:rPr>
          <w:rFonts w:cs="Arial"/>
        </w:rPr>
        <w:t>The corporate culture and guiding principles of Marriott UK have a significant impact on the company's leadership style. The leadership strategy adopted by Marriott is concentrated on creating an inclusive and diverse work environment that values honesty, respect, and cooperation. Marriott's leadership philosophy prioritises the welfare and well-being of its workers because one of its key principles is putting people first (</w:t>
      </w:r>
      <w:proofErr w:type="spellStart"/>
      <w:r w:rsidRPr="003D66DF">
        <w:rPr>
          <w:rFonts w:cs="Arial"/>
        </w:rPr>
        <w:t>Qadri</w:t>
      </w:r>
      <w:proofErr w:type="spellEnd"/>
      <w:r w:rsidRPr="003D66DF">
        <w:rPr>
          <w:rFonts w:cs="Arial"/>
        </w:rPr>
        <w:t>, Ahsan, and Hashmi, 2016). Marriott UK promotes a cooperative workplace where staff members are allowed to impart ideas and help the business succeed. This style of leadership fosters a supportive work environment that draws and keeps talented individuals. Additionally, Marriott UK places a high priority on learning and growth, which is evident in its leadership style. The management team at Marriott is dedicated to giving its staff the abilities and information needed to carry out their responsibilities successfully (</w:t>
      </w:r>
      <w:proofErr w:type="spellStart"/>
      <w:r w:rsidRPr="003D66DF">
        <w:rPr>
          <w:rFonts w:cs="Arial"/>
        </w:rPr>
        <w:t>Thurstan</w:t>
      </w:r>
      <w:proofErr w:type="spellEnd"/>
      <w:r w:rsidRPr="003D66DF">
        <w:rPr>
          <w:rFonts w:cs="Arial"/>
        </w:rPr>
        <w:t>, et al, 2021). This strategy promotes a sense of worth and support among staff members, which improves performance and work happiness. Marriott's dedication to social responsibility is another essential component of its leadership style. Marriott UK is dedicated to improving the communities it supports via a variety of programmes, such as sustainability and charity. This strategy promotes goodwill and strengthens Marriott's standing as a socially conscious business. In addition, the company's emphasis on quality and creativity informs Marriott UK's leadership style. Marriott is renowned for its meticulousness, and its management is dedicated to constantly enhancing its goods and services (Hancock, Marriott, and Duff, 2019). This strategy keeps the business competitive and improves the client experience. Overall, the company's basic values, dedication to employee growth and social responsibility, focus on innovation and excellence, and cooperative work culture all have an impact on Marriott UK's leadership style. With this strategy, the firm may flourish in a cutthroat market by attracting and keeping skilled individuals in a happy work atmosphere. The leadership philosophy of Marriott UK is significantly influenced by institutional and cultural viewpoints. Marriott works in a global corporate environment and must negotiate a variety of institutional systems and cultural norms in the nations where it does business (</w:t>
      </w:r>
      <w:proofErr w:type="spellStart"/>
      <w:r w:rsidRPr="003D66DF">
        <w:rPr>
          <w:rFonts w:cs="Arial"/>
        </w:rPr>
        <w:t>Picken</w:t>
      </w:r>
      <w:proofErr w:type="spellEnd"/>
      <w:r w:rsidRPr="003D66DF">
        <w:rPr>
          <w:rFonts w:cs="Arial"/>
        </w:rPr>
        <w:t xml:space="preserve">, and Liyanage, 2017). From a cultural standpoint, the American roots of the business have an impact on Marriott UK's leadership style. Individualism, rivalry, and innovation are valued in American society, and Marriott's leadership style reflects these principles. The leadership of the organisation places a high value on individual success and entrepreneurial spirit while </w:t>
      </w:r>
      <w:r w:rsidRPr="003D66DF">
        <w:rPr>
          <w:rFonts w:cs="Arial"/>
        </w:rPr>
        <w:lastRenderedPageBreak/>
        <w:t xml:space="preserve">fostering a culture of innovation and risk-taking. This cultural approach has helped Marriott succeed in upending established businesses and sectors. Marriott also conducts business in societies with diverse beliefs and customs, therefore the business has had to modify its leadership style accordingly. For instance, there could be a stronger focus on cooperation and teamwork in other nations, necessitating a different kind of leadership style than Marriott's independent and creative style. Marriott UK's leadership strategy also takes institutional considerations into account. For instance, Marriott could need to engage more cooperatively with labour unions and employees in nations with strict labour laws and regulations. The leadership of Marriott must traverse these many institutional systems to maintain compliance while also attaining commercial objectives because legislative and legal frameworks differ between nations. Additionally, the company's dedication to social responsibility has an impact on Marriott UK's leadership style (Benson, Marriott, and </w:t>
      </w:r>
      <w:proofErr w:type="spellStart"/>
      <w:r w:rsidRPr="003D66DF">
        <w:rPr>
          <w:rFonts w:cs="Arial"/>
        </w:rPr>
        <w:t>McCandliss</w:t>
      </w:r>
      <w:proofErr w:type="spellEnd"/>
      <w:r w:rsidRPr="003D66DF">
        <w:rPr>
          <w:rFonts w:cs="Arial"/>
        </w:rPr>
        <w:t xml:space="preserve">, 2022). The business is dedicated to improving the areas that it serves through a variety of programmes, such as sustainability and charity. This strategy, which is influenced by the institutional standards and cultural norms of the nations where Marriott operates, promotes </w:t>
      </w:r>
      <w:proofErr w:type="gramStart"/>
      <w:r w:rsidRPr="003D66DF">
        <w:rPr>
          <w:rFonts w:cs="Arial"/>
        </w:rPr>
        <w:t>goodwill</w:t>
      </w:r>
      <w:proofErr w:type="gramEnd"/>
      <w:r w:rsidRPr="003D66DF">
        <w:rPr>
          <w:rFonts w:cs="Arial"/>
        </w:rPr>
        <w:t xml:space="preserve"> and strengthens the company's standing as an ethical business. Overall, Marriott UK's leadership philosophy is significantly influenced by cultural and institutional viewpoints. The institutional frameworks and laws as well as the cultural norms and values of the nations where the firm conducts business all have an impact on the leadership style of the organisation. Marriott must modify its leadership style following the global business climate if it is to prosper.</w:t>
      </w:r>
    </w:p>
    <w:p w14:paraId="29616EDC" w14:textId="77777777" w:rsidR="00136DA3" w:rsidRDefault="00136DA3" w:rsidP="003D66DF">
      <w:pPr>
        <w:rPr>
          <w:rFonts w:cs="Arial"/>
          <w:b/>
          <w:bCs/>
        </w:rPr>
      </w:pPr>
    </w:p>
    <w:p w14:paraId="2783CBD1" w14:textId="6D4C7640" w:rsidR="003D66DF" w:rsidRPr="003D66DF" w:rsidRDefault="003D66DF" w:rsidP="003D66DF">
      <w:pPr>
        <w:rPr>
          <w:rFonts w:cs="Arial"/>
          <w:b/>
          <w:bCs/>
        </w:rPr>
      </w:pPr>
      <w:r w:rsidRPr="003D66DF">
        <w:rPr>
          <w:rFonts w:cs="Arial"/>
          <w:b/>
          <w:bCs/>
        </w:rPr>
        <w:t>Impact of Cultural and Institutional Perspectives on Amazon and Marriott UK</w:t>
      </w:r>
    </w:p>
    <w:p w14:paraId="062EDBC8" w14:textId="77777777" w:rsidR="003D66DF" w:rsidRPr="003D66DF" w:rsidRDefault="003D66DF" w:rsidP="003D66DF">
      <w:pPr>
        <w:rPr>
          <w:rFonts w:cs="Arial"/>
        </w:rPr>
      </w:pPr>
      <w:r w:rsidRPr="003D66DF">
        <w:rPr>
          <w:rFonts w:cs="Arial"/>
        </w:rPr>
        <w:t>Both Amazon and Marriott UK's approaches to leadership are significantly influenced by cultural and institutional viewpoints, and there are clear distinctions between the two businesses. In terms of culture, Amazon's leadership style is impacted by the country where it was founded, which is known for its emphasis on individualism, competitiveness, and innovation (</w:t>
      </w:r>
      <w:proofErr w:type="spellStart"/>
      <w:r w:rsidRPr="003D66DF">
        <w:rPr>
          <w:rFonts w:cs="Arial"/>
        </w:rPr>
        <w:t>Hitt</w:t>
      </w:r>
      <w:proofErr w:type="spellEnd"/>
      <w:r w:rsidRPr="003D66DF">
        <w:rPr>
          <w:rFonts w:cs="Arial"/>
        </w:rPr>
        <w:t xml:space="preserve">, Ireland, and </w:t>
      </w:r>
      <w:proofErr w:type="spellStart"/>
      <w:r w:rsidRPr="003D66DF">
        <w:rPr>
          <w:rFonts w:cs="Arial"/>
        </w:rPr>
        <w:t>Hoskisson</w:t>
      </w:r>
      <w:proofErr w:type="spellEnd"/>
      <w:r w:rsidRPr="003D66DF">
        <w:rPr>
          <w:rFonts w:cs="Arial"/>
        </w:rPr>
        <w:t xml:space="preserve">, 2016). The leadership of Amazon places a high value on individual success and entrepreneurial spirit while encouraging a culture of innovation and risk-taking. Contrary to this, Marriott UK's leadership philosophy places a premium on cooperation, respect, and honesty. The organisation also promotes a collaborative workplace where staff members are urged to share ideas and support the growth of the business (Marriott, Williams, and Dwivedi, </w:t>
      </w:r>
      <w:r w:rsidRPr="003D66DF">
        <w:rPr>
          <w:rFonts w:cs="Arial"/>
        </w:rPr>
        <w:lastRenderedPageBreak/>
        <w:t xml:space="preserve">2017). Institutional viewpoints are a factor in both firms' leadership philosophies as well. The leadership of Amazon must negotiate these frameworks to maintain compliance while still reaching commercial objectives because the firm works in an atmosphere of strict regulation with several regulatory frameworks. To guarantee that its leadership strategy is successful and compliant, Marriott UK, in contrast, must manage a variety of customs and institutional frameworks in the nations where it operates, including labour laws and regulations. Their approaches to social responsibility are another area where the two businesses have different cultural backgrounds. While Marriott UK's leadership has committed to having a good influence on the communities it serves via numerous programmes, including sustainability and charity, Amazon's leadership has come under fire for failing to do enough to address environmental and social issues (Choi, et al, 2019). Different leadership philosophies have emerged </w:t>
      </w:r>
      <w:proofErr w:type="gramStart"/>
      <w:r w:rsidRPr="003D66DF">
        <w:rPr>
          <w:rFonts w:cs="Arial"/>
        </w:rPr>
        <w:t>as a result of</w:t>
      </w:r>
      <w:proofErr w:type="gramEnd"/>
      <w:r w:rsidRPr="003D66DF">
        <w:rPr>
          <w:rFonts w:cs="Arial"/>
        </w:rPr>
        <w:t xml:space="preserve"> these institutional and cultural disparities. Amazon has a decentralised decision-making system that gives individual employees influence, and the company's leadership is renowned for its strong attention to obsessing about customers. On the contrary, Marriott UK's management places a high priority on education and growth because it is devoted to giving its workers the information and skills, they need to carry out their jobs successfully. Overall, there is a considerable influence of institutional and cultural viewpoints on how Amazon and Marriott UK handle leadership (Abramson, and Moran, 2017). These variances are a product of the complicated global business environment where the firms operate and reflect the origins, values, and business strategies of the individual organisations. But the leadership styles employed by both businesses have helped them develop and succeed in their respective sectors in their unique ways. The emphasis that Amazon places on invention and experimentation is a significant component that affects its leadership style. The leadership at Amazon encourages staff to think creatively and take calculated chances, even if that means upending established markets. This strategy reflects the importance of innovation and entrepreneurship in American society. The leadership of Marriott UK, in contrast, is committed to fostering a good work atmosphere and delivering great customer service. The business places a high priority on education and growth, and its executives are urged to cooperate and work collaboratively to achieve shared objectives. This strategy is a good representation of the hospitality sector, which places high importance on collaboration, communication, and client happiness. The scale and </w:t>
      </w:r>
      <w:r w:rsidRPr="003D66DF">
        <w:rPr>
          <w:rFonts w:cs="Arial"/>
        </w:rPr>
        <w:lastRenderedPageBreak/>
        <w:t>breadth of the two firms' separate operations are another element that affects their distinct leadership strategies. Marriott UK is a lesser, more specialised company than Amazon, a huge international firm with activities across several nations. As a result, individual groups and business divisions are given more freedom to make choices under Amazon's more decentralised leadership style. Marriott UK's leadership style, in contrast, is more top-down and centralised, with more monitoring and control. Both businesses handle change and adaptation in different ways, which are influenced by institutional and cultural attitudes (</w:t>
      </w:r>
      <w:proofErr w:type="spellStart"/>
      <w:r w:rsidRPr="003D66DF">
        <w:rPr>
          <w:rFonts w:cs="Arial"/>
        </w:rPr>
        <w:t>Meadenall</w:t>
      </w:r>
      <w:proofErr w:type="spellEnd"/>
      <w:r w:rsidRPr="003D66DF">
        <w:rPr>
          <w:rFonts w:cs="Arial"/>
        </w:rPr>
        <w:t xml:space="preserve">, </w:t>
      </w:r>
      <w:proofErr w:type="spellStart"/>
      <w:r w:rsidRPr="003D66DF">
        <w:rPr>
          <w:rFonts w:cs="Arial"/>
        </w:rPr>
        <w:t>Osland</w:t>
      </w:r>
      <w:proofErr w:type="spellEnd"/>
      <w:r w:rsidRPr="003D66DF">
        <w:rPr>
          <w:rFonts w:cs="Arial"/>
        </w:rPr>
        <w:t>, and Bird, 2017). Constant enhancement and agility are key components of Amazon's leadership style, along with a readiness to make swift changes in reaction to shifting market circumstances. This strategy is in line with American culture, which places a high priority on adaptation and flexibility. Finally, how Amazon and Marriott UK handle social responsibility differ showing how cultural and institutional viewpoints have influenced their leadership strategies. Some have claimed that Amazon puts money ahead of people and the environment in its handling of social and environmental concerns. On the contrary, Marriott UK has put in place many sustainability and charity programmes as part of its commitment to have a good influence on the neighbourhoods that it serves.</w:t>
      </w:r>
    </w:p>
    <w:p w14:paraId="2293A982" w14:textId="77777777" w:rsidR="0004201D" w:rsidRDefault="0004201D" w:rsidP="0004201D">
      <w:pPr>
        <w:spacing w:line="259" w:lineRule="auto"/>
        <w:jc w:val="left"/>
        <w:rPr>
          <w:rFonts w:cs="Arial"/>
        </w:rPr>
      </w:pPr>
      <w:bookmarkStart w:id="3" w:name="_Toc133402745"/>
    </w:p>
    <w:p w14:paraId="2936DAA2" w14:textId="6CC37CB2" w:rsidR="003D66DF" w:rsidRPr="0004201D" w:rsidRDefault="003D66DF" w:rsidP="0004201D">
      <w:pPr>
        <w:spacing w:line="259" w:lineRule="auto"/>
        <w:jc w:val="left"/>
        <w:rPr>
          <w:rFonts w:cs="Arial"/>
          <w:b/>
          <w:bCs/>
        </w:rPr>
      </w:pPr>
      <w:r w:rsidRPr="0004201D">
        <w:rPr>
          <w:rFonts w:cs="Arial"/>
          <w:b/>
          <w:bCs/>
        </w:rPr>
        <w:t>Conclusion</w:t>
      </w:r>
      <w:bookmarkEnd w:id="3"/>
      <w:r w:rsidRPr="0004201D">
        <w:rPr>
          <w:rFonts w:cs="Arial"/>
          <w:b/>
          <w:bCs/>
        </w:rPr>
        <w:t xml:space="preserve"> </w:t>
      </w:r>
    </w:p>
    <w:p w14:paraId="386E48E0" w14:textId="77777777" w:rsidR="003D66DF" w:rsidRPr="003D66DF" w:rsidRDefault="003D66DF" w:rsidP="003D66DF">
      <w:pPr>
        <w:rPr>
          <w:rFonts w:cs="Arial"/>
        </w:rPr>
      </w:pPr>
      <w:r w:rsidRPr="003D66DF">
        <w:rPr>
          <w:rFonts w:cs="Arial"/>
        </w:rPr>
        <w:t xml:space="preserve">In conclusion, our study has shed important light on how cultural and institutional views affect the leadership styles of two very different businesses: Amazon and Marriott UK. It was discovered through a review of these organisations' leadership techniques that institutional and cultural viewpoints significantly influence the tactics and strategies used by organisational leaders. The divergent leadership styles of Amazon and Marriott UK emphasise how crucial it is to comprehend the specific institutional and cultural elements that influence organisational leadership. The emphasis placed on cooperation and collaboration by Marriott UK reflects its activities in the hospitality business, whereas Amazon's emphasis on individual accomplishment and risk-taking recalls its American roots. The significance of </w:t>
      </w:r>
      <w:proofErr w:type="gramStart"/>
      <w:r w:rsidRPr="003D66DF">
        <w:rPr>
          <w:rFonts w:cs="Arial"/>
        </w:rPr>
        <w:t>taking into account</w:t>
      </w:r>
      <w:proofErr w:type="gramEnd"/>
      <w:r w:rsidRPr="003D66DF">
        <w:rPr>
          <w:rFonts w:cs="Arial"/>
        </w:rPr>
        <w:t xml:space="preserve"> additional elements that affect leadership, including industry-specific laws, accountability to society, and the size and breadth of the organisation, has also been underlined by this research. By taking into consideration these elements, leaders may successfully traverse the intricate and dynamic world of organisational leadership. For organisational executives, especially those working for international firms, the research's conclusions </w:t>
      </w:r>
      <w:r w:rsidRPr="003D66DF">
        <w:rPr>
          <w:rFonts w:cs="Arial"/>
        </w:rPr>
        <w:lastRenderedPageBreak/>
        <w:t>have practical ramifications. Leaders may modify their methods and practise to be successful in various cultural and organisational settings by understanding how cultural and institutional views affect leadership. Overall, this research has advanced our knowledge of how cultural and institutional viewpoints affect organisational leadership and has offered insightful information that can guide the creation of successful leadership practices and strategies in a range of cultural and institutional contexts.</w:t>
      </w:r>
    </w:p>
    <w:p w14:paraId="79EE92E9" w14:textId="77777777" w:rsidR="003D66DF" w:rsidRPr="003D66DF" w:rsidRDefault="003D66DF" w:rsidP="003D66DF">
      <w:pPr>
        <w:spacing w:line="259" w:lineRule="auto"/>
        <w:jc w:val="left"/>
        <w:rPr>
          <w:rFonts w:cs="Arial"/>
        </w:rPr>
      </w:pPr>
      <w:r w:rsidRPr="003D66DF">
        <w:rPr>
          <w:rFonts w:cs="Arial"/>
        </w:rPr>
        <w:br w:type="page"/>
      </w:r>
    </w:p>
    <w:p w14:paraId="5086F72B" w14:textId="77777777" w:rsidR="003D66DF" w:rsidRPr="003D66DF" w:rsidRDefault="003D66DF" w:rsidP="003D66DF">
      <w:pPr>
        <w:pStyle w:val="Heading1"/>
        <w:rPr>
          <w:rFonts w:ascii="Arial" w:hAnsi="Arial" w:cs="Arial"/>
          <w:sz w:val="24"/>
          <w:szCs w:val="24"/>
        </w:rPr>
      </w:pPr>
      <w:bookmarkStart w:id="4" w:name="_Toc133402746"/>
      <w:r w:rsidRPr="003D66DF">
        <w:rPr>
          <w:rFonts w:ascii="Arial" w:hAnsi="Arial" w:cs="Arial"/>
          <w:sz w:val="24"/>
          <w:szCs w:val="24"/>
        </w:rPr>
        <w:lastRenderedPageBreak/>
        <w:t>Task 2: Critical Reflection</w:t>
      </w:r>
      <w:bookmarkEnd w:id="4"/>
    </w:p>
    <w:p w14:paraId="64C516A5" w14:textId="77777777" w:rsidR="003D66DF" w:rsidRPr="003D66DF" w:rsidRDefault="003D66DF" w:rsidP="003D66DF">
      <w:pPr>
        <w:pStyle w:val="Heading2"/>
        <w:rPr>
          <w:rFonts w:ascii="Arial" w:hAnsi="Arial" w:cs="Arial"/>
          <w:sz w:val="24"/>
          <w:szCs w:val="24"/>
        </w:rPr>
      </w:pPr>
      <w:bookmarkStart w:id="5" w:name="_Toc133402747"/>
      <w:r w:rsidRPr="003D66DF">
        <w:rPr>
          <w:rFonts w:ascii="Arial" w:hAnsi="Arial" w:cs="Arial"/>
          <w:sz w:val="24"/>
          <w:szCs w:val="24"/>
        </w:rPr>
        <w:t>Introduction</w:t>
      </w:r>
      <w:bookmarkEnd w:id="5"/>
      <w:r w:rsidRPr="003D66DF">
        <w:rPr>
          <w:rFonts w:ascii="Arial" w:hAnsi="Arial" w:cs="Arial"/>
          <w:sz w:val="24"/>
          <w:szCs w:val="24"/>
        </w:rPr>
        <w:t xml:space="preserve"> </w:t>
      </w:r>
    </w:p>
    <w:p w14:paraId="7802929A" w14:textId="77777777" w:rsidR="003D66DF" w:rsidRPr="003D66DF" w:rsidRDefault="003D66DF" w:rsidP="003D66DF">
      <w:pPr>
        <w:rPr>
          <w:rFonts w:cs="Arial"/>
        </w:rPr>
      </w:pPr>
      <w:r w:rsidRPr="003D66DF">
        <w:rPr>
          <w:rFonts w:cs="Arial"/>
        </w:rPr>
        <w:t>Intercultural competence has grown into a crucial competency for managers and leaders in today's globalised environment. People must be able to modify their interpersonal and managerial styles to fit various cultural standards if they want to be successful in a variety of cultural situations. People can measure their intercultural competence and create improvement plans using self-assessment instruments like the Intercultural Development Inventory (IDI) and the Cultural Intelligence Scale (CQS). While the IDI and CQS are both useful tools for evaluating and increasing intercultural competence, each has advantages and disadvantages. This essay examines the benefits and drawbacks of IDI and CQS and stresses the significance of actively pursuing the acquisition of intercultural competence. It's critical to stress the significance of actively striving to improve intercultural competence in addition to the benefits and drawbacks of IDI and CQS. This might involve looking for chances to communicate with individuals from other cultural backgrounds, reading about various cultural customs and principles, and taking part in intercultural training courses. The ability to learn and adapt is necessary for the continuing process of establishing intercultural competence. People may become more successful leaders and managers in a variety of cultural situations and contribute to better intercultural understanding and collaboration by actively trying to build their intercultural competence.</w:t>
      </w:r>
      <w:r w:rsidRPr="003D66DF">
        <w:rPr>
          <w:rFonts w:cs="Arial"/>
        </w:rPr>
        <w:br w:type="page"/>
      </w:r>
    </w:p>
    <w:p w14:paraId="15BF15E9" w14:textId="77777777" w:rsidR="003D66DF" w:rsidRPr="003D66DF" w:rsidRDefault="003D66DF" w:rsidP="003D66DF">
      <w:pPr>
        <w:pStyle w:val="Heading2"/>
        <w:rPr>
          <w:rFonts w:ascii="Arial" w:hAnsi="Arial" w:cs="Arial"/>
          <w:sz w:val="24"/>
          <w:szCs w:val="24"/>
        </w:rPr>
      </w:pPr>
      <w:bookmarkStart w:id="6" w:name="_Toc133402748"/>
      <w:r w:rsidRPr="003D66DF">
        <w:rPr>
          <w:rFonts w:ascii="Arial" w:hAnsi="Arial" w:cs="Arial"/>
          <w:sz w:val="24"/>
          <w:szCs w:val="24"/>
        </w:rPr>
        <w:lastRenderedPageBreak/>
        <w:t>Personal reflection</w:t>
      </w:r>
      <w:bookmarkEnd w:id="6"/>
      <w:r w:rsidRPr="003D66DF">
        <w:rPr>
          <w:rFonts w:ascii="Arial" w:hAnsi="Arial" w:cs="Arial"/>
          <w:sz w:val="24"/>
          <w:szCs w:val="24"/>
        </w:rPr>
        <w:t xml:space="preserve"> </w:t>
      </w:r>
    </w:p>
    <w:p w14:paraId="5EB837C7" w14:textId="77777777" w:rsidR="003D66DF" w:rsidRPr="003D66DF" w:rsidRDefault="003D66DF" w:rsidP="003D66DF">
      <w:pPr>
        <w:rPr>
          <w:rFonts w:cs="Arial"/>
        </w:rPr>
      </w:pPr>
      <w:r w:rsidRPr="003D66DF">
        <w:rPr>
          <w:rFonts w:cs="Arial"/>
        </w:rPr>
        <w:t xml:space="preserve">I am aware of the value of intercultural management and leadership abilities. I am aware that to be effective across a range of cultural situations, I must be able to modify my leadership and communication techniques to accommodate various cultural conventions. I have utilised self-assessment tools like the Intercultural Development Inventory (IDI) and the Cultural Intelligence Scale (CQS) to gauge my intercultural proficiency. With the use of these tools, I was able to pinpoint my intercultural competence's strong and weak points and create improvement plans. For instance, I've discovered via the IDI that I occasionally have preconceptions and biases about different cultures that can affect how I interact and relate to people from other cultures. I have improved my leadership style by becoming more inclusive and open-minded by acknowledging and addressing these prejudices. </w:t>
      </w:r>
      <w:proofErr w:type="gramStart"/>
      <w:r w:rsidRPr="003D66DF">
        <w:rPr>
          <w:rFonts w:cs="Arial"/>
        </w:rPr>
        <w:t>Similar to</w:t>
      </w:r>
      <w:proofErr w:type="gramEnd"/>
      <w:r w:rsidRPr="003D66DF">
        <w:rPr>
          <w:rFonts w:cs="Arial"/>
        </w:rPr>
        <w:t xml:space="preserve"> this, I have discovered via the CQS areas that I need to strengthen my comprehension of cultural distinctions and my capacity to modify my behaviour to fit various cultural situations. I've attempted to develop my understanding of culture by researching the traditions and practices of many countries and getting input from co-workers with various ethnic backgrounds. In addition to assisting me in increasing my intercultural competence, using these self-assessment tools has benefitted my organisation by encouraging a culture of diversity and inclusion. We have been able to elevate people with high intercultural competency levels into leadership roles, serving as mentors and role models for others. In conclusion, as a leader working in cross-cultural environments, self-assessment techniques have proven beneficial. I have been enabled to enhance communication, forge deeper connections, and produce better business results by identifying and correcting biases and preconceptions, developing my understanding of culture, and changing my leadership approach to fit various cultural situations. The ability to identify and resolve prejudices and presumptions that could affect cross-cultural interactions and communication is one of the most important advantages of utilising self-assessment tools. For instance, I could have preconceived notions or preconceptions about people from </w:t>
      </w:r>
      <w:proofErr w:type="gramStart"/>
      <w:r w:rsidRPr="003D66DF">
        <w:rPr>
          <w:rFonts w:cs="Arial"/>
        </w:rPr>
        <w:t>particular cultures</w:t>
      </w:r>
      <w:proofErr w:type="gramEnd"/>
      <w:r w:rsidRPr="003D66DF">
        <w:rPr>
          <w:rFonts w:cs="Arial"/>
        </w:rPr>
        <w:t xml:space="preserve">, which could hinder my ability to collaborate well with people from such cultures. I have been more tolerant and inclusive in my approach to management by identifying and addressing these prejudices, which has aided me in forging closer bonds with people from various cultural backgrounds. Additionally, using self-assessment instruments has improved my knowledge of the </w:t>
      </w:r>
      <w:r w:rsidRPr="003D66DF">
        <w:rPr>
          <w:rFonts w:cs="Arial"/>
        </w:rPr>
        <w:lastRenderedPageBreak/>
        <w:t xml:space="preserve">cultural variations that occur across other nations and cultures. I can now interact and forge greater connections with people from various cultural backgrounds thanks to my increased knowledge of them. I have been able to improve business results and create a more varied and welcoming work environment by adjusting my method of communication and leading approach to the cultural setting in which I am operating. Utilising self-assessment tools has also helped me pinpoint areas where my intercultural competency needs to be strengthened. For instance, I have determined areas where I need to develop my mental, physical, emotional, and behavioural facets of cultural intelligence using the CQS. I was able to increase my understanding of other cultures and become a more successful leader in a variety of cultural situations by focusing on these areas. Overall, adopting tools for self-assessment has been a crucial step in my quest to improve as an intercultural leader. I have been able to enhance communication, forge deeper connections, and produce better business results by identifying and correcting prejudices and preconceptions, growing my understanding of culture, and changing my approach to management to fit various cultural situations. </w:t>
      </w:r>
    </w:p>
    <w:p w14:paraId="5C40A69B" w14:textId="77777777" w:rsidR="003D66DF" w:rsidRPr="003D66DF" w:rsidRDefault="003D66DF" w:rsidP="003D66DF">
      <w:pPr>
        <w:rPr>
          <w:rFonts w:cs="Arial"/>
        </w:rPr>
      </w:pPr>
      <w:r w:rsidRPr="003D66DF">
        <w:rPr>
          <w:rFonts w:cs="Arial"/>
        </w:rPr>
        <w:t>Utilising self-assessment tools to increase intercultural competence offers the chance to get unbiased evaluations of my strengths and growth areas. This may be especially helpful for managers and leaders who might not frequently have the chance to hear feedback from people with diverse cultural backgrounds. Finally, it is important to remember that cultivating intercultural competence is a continuous process rather than an event. Self-assessment techniques may be used often to track development and spot new opportunities for improvement, ensuring that managers and leaders are consistently enhancing their capacity to function successfully in a range of cultural situations.</w:t>
      </w:r>
    </w:p>
    <w:p w14:paraId="4DA4AFD0" w14:textId="77777777" w:rsidR="00865C8D" w:rsidRDefault="00865C8D" w:rsidP="003D66DF">
      <w:pPr>
        <w:rPr>
          <w:rFonts w:cs="Arial"/>
          <w:b/>
          <w:bCs/>
        </w:rPr>
      </w:pPr>
    </w:p>
    <w:p w14:paraId="374475EE" w14:textId="5BF47E78" w:rsidR="003D66DF" w:rsidRPr="003D66DF" w:rsidRDefault="003D66DF" w:rsidP="003D66DF">
      <w:pPr>
        <w:rPr>
          <w:rFonts w:cs="Arial"/>
        </w:rPr>
      </w:pPr>
      <w:r w:rsidRPr="003D66DF">
        <w:rPr>
          <w:rFonts w:cs="Arial"/>
          <w:b/>
          <w:bCs/>
        </w:rPr>
        <w:t>Self-Assessment Tools</w:t>
      </w:r>
    </w:p>
    <w:p w14:paraId="3A039A96" w14:textId="77777777" w:rsidR="00865C8D" w:rsidRDefault="003D66DF" w:rsidP="003D66DF">
      <w:pPr>
        <w:rPr>
          <w:rFonts w:cs="Arial"/>
        </w:rPr>
      </w:pPr>
      <w:r w:rsidRPr="003D66DF">
        <w:rPr>
          <w:rFonts w:cs="Arial"/>
        </w:rPr>
        <w:t xml:space="preserve">Intercultural competence is now a crucial competency for managers and leaders in today's globalised environment. People must be able to modify their interpersonal and managerial styles to fit various cultural standards if they want to be successful in a variety of cultural situations. People can measure their intercultural competence and create improvement plans using self-assessment instruments like the Intercultural Development Inventory (IDI) and the Cultural Intelligence Scale (CQS) (Borg, </w:t>
      </w:r>
      <w:proofErr w:type="gramStart"/>
      <w:r w:rsidRPr="003D66DF">
        <w:rPr>
          <w:rFonts w:cs="Arial"/>
        </w:rPr>
        <w:t>and,</w:t>
      </w:r>
      <w:proofErr w:type="gramEnd"/>
      <w:r w:rsidRPr="003D66DF">
        <w:rPr>
          <w:rFonts w:cs="Arial"/>
        </w:rPr>
        <w:t xml:space="preserve"> </w:t>
      </w:r>
      <w:proofErr w:type="spellStart"/>
      <w:r w:rsidRPr="003D66DF">
        <w:rPr>
          <w:rFonts w:cs="Arial"/>
        </w:rPr>
        <w:t>Edmett</w:t>
      </w:r>
      <w:proofErr w:type="spellEnd"/>
      <w:r w:rsidRPr="003D66DF">
        <w:rPr>
          <w:rFonts w:cs="Arial"/>
        </w:rPr>
        <w:t xml:space="preserve">, 2019). The IDI evaluates a person's perspective on cultural diversity and </w:t>
      </w:r>
      <w:r w:rsidRPr="003D66DF">
        <w:rPr>
          <w:rFonts w:cs="Arial"/>
        </w:rPr>
        <w:lastRenderedPageBreak/>
        <w:t xml:space="preserve">reveals prejudices and presumptions that might affect cross-cultural interactions. Each of the developmental phases in the IDI denotes a distinct level of intercultural proficiency. Denial, polarization, and minimization are among the stages, followed by approval, adaptation, and integration. People may assess where they are in terms of intercultural competence and devise plans to advance by doing so. </w:t>
      </w:r>
    </w:p>
    <w:p w14:paraId="50BC1EC0" w14:textId="77777777" w:rsidR="00865C8D" w:rsidRDefault="00865C8D" w:rsidP="003D66DF">
      <w:pPr>
        <w:rPr>
          <w:rFonts w:cs="Arial"/>
        </w:rPr>
      </w:pPr>
    </w:p>
    <w:p w14:paraId="586CFB55" w14:textId="374E450F" w:rsidR="003D66DF" w:rsidRPr="003D66DF" w:rsidRDefault="003D66DF" w:rsidP="003D66DF">
      <w:pPr>
        <w:rPr>
          <w:rFonts w:cs="Arial"/>
        </w:rPr>
      </w:pPr>
      <w:r w:rsidRPr="003D66DF">
        <w:rPr>
          <w:rFonts w:cs="Arial"/>
        </w:rPr>
        <w:t>The IDI's ability to give people a clear road map to assess their progress in gaining intercultural competence is one of its many advantages. The various levels of cultural competency are clearly defined and offer a methodical framework for people to strive towards. To achieve intercultural competence, people must be able to recognise their prejudices and presumptions about other cultures. The IDI does, however, have certain restrictions. As it needs a certain amount of self-awareness and comprehension of cultural differences, it might not be appropriate for people who are just beginning their path towards acquiring intercultural competence. Additionally, the IDI may not offer a thorough explanation of the many components of intercultural competence since it places greater emphasis on a person's attitude towards cultural differences (</w:t>
      </w:r>
      <w:proofErr w:type="spellStart"/>
      <w:r w:rsidRPr="003D66DF">
        <w:rPr>
          <w:rFonts w:cs="Arial"/>
        </w:rPr>
        <w:t>Moodian</w:t>
      </w:r>
      <w:proofErr w:type="spellEnd"/>
      <w:r w:rsidRPr="003D66DF">
        <w:rPr>
          <w:rFonts w:cs="Arial"/>
        </w:rPr>
        <w:t>, 2008).</w:t>
      </w:r>
    </w:p>
    <w:p w14:paraId="3F0784C3" w14:textId="77777777" w:rsidR="00865C8D" w:rsidRDefault="00865C8D" w:rsidP="003D66DF">
      <w:pPr>
        <w:rPr>
          <w:rFonts w:cs="Arial"/>
        </w:rPr>
      </w:pPr>
    </w:p>
    <w:p w14:paraId="67F2DDD8" w14:textId="5F6EF706" w:rsidR="003D66DF" w:rsidRPr="003D66DF" w:rsidRDefault="003D66DF" w:rsidP="003D66DF">
      <w:pPr>
        <w:rPr>
          <w:rFonts w:cs="Arial"/>
        </w:rPr>
      </w:pPr>
      <w:r w:rsidRPr="003D66DF">
        <w:rPr>
          <w:rFonts w:cs="Arial"/>
        </w:rPr>
        <w:t xml:space="preserve">The CQS, on the contrary hand, gauges a person's capacity for comprehension and productivity within various cultural situations. It evaluates cultural intelligence on four different levels: cognitive, mental, physical, and behavioural. While the physical component evaluates a person's capacity for adaptation to various physical surroundings, the cognitive dimension gauges a person's comprehension of cultural variations. The behavioural dimension examines a person's capacity to modify their behaviour to fit various cultural contexts, whereas the emotional dimension assesses a person's capacity to control their emotions in cross-cultural scenarios. The CQS's ability to provide a more thorough description of the many facets of intercultural competence is one of its advantages. People can comprehend the many abilities they must learn to become more culturally competent thanks to the four aspects of cultural intelligence. The CQS assesses a person's capacity for adapting to various physical surroundings, a crucial component of intercultural competence. The CQS does, however, have some restrictions. As it places greater emphasis on a person's capacity to function well in many cultural situations, it could not offer a full evaluation of their degree of intercultural competence. Additionally, because the CQS needs a certain </w:t>
      </w:r>
      <w:r w:rsidRPr="003D66DF">
        <w:rPr>
          <w:rFonts w:cs="Arial"/>
        </w:rPr>
        <w:lastRenderedPageBreak/>
        <w:t>amount of cultural knowledge and comprehension, it may not be appropriate for people who are just beginning their path towards building intercultural competence (Ramakrishnan, 2013). It is crucial to keep in mind that gaining intercultural competence involves several steps, and self-assessment tools are only one of them. It's also crucial to actively focus on developing relationships with people from other cultural backgrounds, get comments from co-workers from various cultural backgrounds, and understand the traditions and practises of many cultures. People need to develop a variety of talents, such as cultural awareness, communication abilities, empathy, and flexibility, to be successful in intercultural contexts. These abilities must be acquired through time, with effort, and with a commitment to learn and advance. While useful for assessing intercultural competence and pinpointing areas for improvement, self-assessment instruments like the IDI and CQS are only one step in the process of acquiring intercultural competence (</w:t>
      </w:r>
      <w:proofErr w:type="spellStart"/>
      <w:r w:rsidRPr="003D66DF">
        <w:rPr>
          <w:rFonts w:cs="Arial"/>
        </w:rPr>
        <w:t>Wibbeke</w:t>
      </w:r>
      <w:proofErr w:type="spellEnd"/>
      <w:r w:rsidRPr="003D66DF">
        <w:rPr>
          <w:rFonts w:cs="Arial"/>
        </w:rPr>
        <w:t>, and McArthur, 2013).  Individuals can enhance communication by actively trying to strengthen their intercultural competency.</w:t>
      </w:r>
    </w:p>
    <w:p w14:paraId="6B358BDF" w14:textId="77777777" w:rsidR="003D66DF" w:rsidRPr="003D66DF" w:rsidRDefault="003D66DF" w:rsidP="003D66DF">
      <w:pPr>
        <w:spacing w:line="259" w:lineRule="auto"/>
        <w:jc w:val="left"/>
        <w:rPr>
          <w:rFonts w:cs="Arial"/>
        </w:rPr>
      </w:pPr>
      <w:r w:rsidRPr="003D66DF">
        <w:rPr>
          <w:rFonts w:cs="Arial"/>
        </w:rPr>
        <w:br w:type="page"/>
      </w:r>
    </w:p>
    <w:p w14:paraId="0043D324" w14:textId="77777777" w:rsidR="003D66DF" w:rsidRPr="003D66DF" w:rsidRDefault="003D66DF" w:rsidP="003D66DF">
      <w:pPr>
        <w:pStyle w:val="Heading2"/>
        <w:rPr>
          <w:rFonts w:ascii="Arial" w:hAnsi="Arial" w:cs="Arial"/>
          <w:sz w:val="24"/>
          <w:szCs w:val="24"/>
        </w:rPr>
      </w:pPr>
      <w:bookmarkStart w:id="7" w:name="_Toc133402749"/>
      <w:r w:rsidRPr="003D66DF">
        <w:rPr>
          <w:rFonts w:ascii="Arial" w:hAnsi="Arial" w:cs="Arial"/>
          <w:sz w:val="24"/>
          <w:szCs w:val="24"/>
        </w:rPr>
        <w:lastRenderedPageBreak/>
        <w:t>Conclusion</w:t>
      </w:r>
      <w:bookmarkEnd w:id="7"/>
      <w:r w:rsidRPr="003D66DF">
        <w:rPr>
          <w:rFonts w:ascii="Arial" w:hAnsi="Arial" w:cs="Arial"/>
          <w:sz w:val="24"/>
          <w:szCs w:val="24"/>
        </w:rPr>
        <w:t xml:space="preserve"> </w:t>
      </w:r>
    </w:p>
    <w:p w14:paraId="4507B98F" w14:textId="77777777" w:rsidR="003D66DF" w:rsidRPr="003D66DF" w:rsidRDefault="003D66DF" w:rsidP="003D66DF">
      <w:pPr>
        <w:rPr>
          <w:rFonts w:cs="Arial"/>
        </w:rPr>
      </w:pPr>
      <w:r w:rsidRPr="003D66DF">
        <w:rPr>
          <w:rFonts w:cs="Arial"/>
        </w:rPr>
        <w:t>To sum everything up, intercultural awareness is a crucial ability for people to have to function well in a variety of cultural situations. Self-assessment instruments like the IDI and CQS help determine one's degree of intercultural competence as well as areas that need improvement. The CQS gives a more thorough explanation of the many facets of intercultural competence, whereas the IDI offers a clear route for people to assess their progress in gaining intercultural competence. Self-assessment techniques are simply one step in the process of gaining intercultural competence, therefore it's vital to keep that in mind. The key to achieving intercultural competence is to actively work on developing abilities like understanding of cultures, ability to communicate, empathy, and flexibility. Other crucial actions include asking for input from co-workers with various cultural backgrounds and researching the traditions and practises of various countries. People may improve communication, forge stronger bonds with others, and increase their effectiveness in a variety of cultural circumstances by devoting time and effort to establishing intercultural competence. Furthermore, intercultural competence is a dynamic and continuing process that calls for constant work and progress rather than a set feature that people either have or don't. others must thus be receptive to criticism and prepared to examine their presumptions, prejudices, and beliefs that could influence how they engage with others from different cultural backgrounds. Individuals may achieve this by identifying areas for improvement, broadening their societal knowledge, and learning new skills that will enable them to function and lead successfully in a variety of cultural contexts. In the end, cultivating intercultural competence serves as a means of fostering more intercultural understanding, respect, and cooperation as well as a goal for personal and professional growth.</w:t>
      </w:r>
    </w:p>
    <w:p w14:paraId="5466869B" w14:textId="77777777" w:rsidR="003D66DF" w:rsidRPr="003D66DF" w:rsidRDefault="003D66DF" w:rsidP="003D66DF">
      <w:pPr>
        <w:spacing w:line="259" w:lineRule="auto"/>
        <w:jc w:val="left"/>
        <w:rPr>
          <w:rFonts w:cs="Arial"/>
        </w:rPr>
      </w:pPr>
      <w:r w:rsidRPr="003D66DF">
        <w:rPr>
          <w:rFonts w:cs="Arial"/>
        </w:rPr>
        <w:br w:type="page"/>
      </w:r>
    </w:p>
    <w:p w14:paraId="7C46C07F" w14:textId="77777777" w:rsidR="003D66DF" w:rsidRPr="003D66DF" w:rsidRDefault="003D66DF" w:rsidP="003D66DF">
      <w:pPr>
        <w:pStyle w:val="Heading2"/>
        <w:rPr>
          <w:rFonts w:ascii="Arial" w:hAnsi="Arial" w:cs="Arial"/>
          <w:sz w:val="24"/>
          <w:szCs w:val="24"/>
        </w:rPr>
      </w:pPr>
      <w:bookmarkStart w:id="8" w:name="_Toc133402750"/>
      <w:r w:rsidRPr="003D66DF">
        <w:rPr>
          <w:rFonts w:ascii="Arial" w:hAnsi="Arial" w:cs="Arial"/>
          <w:sz w:val="24"/>
          <w:szCs w:val="24"/>
        </w:rPr>
        <w:lastRenderedPageBreak/>
        <w:t>Bibliography</w:t>
      </w:r>
      <w:bookmarkEnd w:id="8"/>
    </w:p>
    <w:p w14:paraId="4153C052" w14:textId="51FC893C" w:rsidR="003D66DF" w:rsidRDefault="003D66DF" w:rsidP="003D66DF">
      <w:pPr>
        <w:rPr>
          <w:rFonts w:cs="Arial"/>
        </w:rPr>
      </w:pPr>
      <w:r w:rsidRPr="003D66DF">
        <w:rPr>
          <w:rFonts w:cs="Arial"/>
        </w:rPr>
        <w:t xml:space="preserve"> Abramson, N.R. and Moran, R. (2017) Managing Cultural Differences: Global Leadership for the 21st Century. Routledge. </w:t>
      </w:r>
    </w:p>
    <w:p w14:paraId="6029A7A6" w14:textId="77777777" w:rsidR="003D66DF" w:rsidRPr="003D66DF" w:rsidRDefault="003D66DF" w:rsidP="003D66DF">
      <w:pPr>
        <w:rPr>
          <w:rFonts w:cs="Arial"/>
        </w:rPr>
      </w:pPr>
    </w:p>
    <w:p w14:paraId="4505F11D" w14:textId="15DAA8FC" w:rsidR="003D66DF" w:rsidRDefault="003D66DF" w:rsidP="003D66DF">
      <w:pPr>
        <w:rPr>
          <w:rFonts w:cs="Arial"/>
        </w:rPr>
      </w:pPr>
      <w:proofErr w:type="spellStart"/>
      <w:r w:rsidRPr="003D66DF">
        <w:rPr>
          <w:rFonts w:cs="Arial"/>
        </w:rPr>
        <w:t>Athayde</w:t>
      </w:r>
      <w:proofErr w:type="spellEnd"/>
      <w:r w:rsidRPr="003D66DF">
        <w:rPr>
          <w:rFonts w:cs="Arial"/>
        </w:rPr>
        <w:t xml:space="preserve">, S., Silva-Lugo, J., </w:t>
      </w:r>
      <w:proofErr w:type="spellStart"/>
      <w:r w:rsidRPr="003D66DF">
        <w:rPr>
          <w:rFonts w:cs="Arial"/>
        </w:rPr>
        <w:t>Schmink</w:t>
      </w:r>
      <w:proofErr w:type="spellEnd"/>
      <w:r w:rsidRPr="003D66DF">
        <w:rPr>
          <w:rFonts w:cs="Arial"/>
        </w:rPr>
        <w:t xml:space="preserve">, M., </w:t>
      </w:r>
      <w:proofErr w:type="spellStart"/>
      <w:r w:rsidRPr="003D66DF">
        <w:rPr>
          <w:rFonts w:cs="Arial"/>
        </w:rPr>
        <w:t>Kaiabi</w:t>
      </w:r>
      <w:proofErr w:type="spellEnd"/>
      <w:r w:rsidRPr="003D66DF">
        <w:rPr>
          <w:rFonts w:cs="Arial"/>
        </w:rPr>
        <w:t xml:space="preserve">, A. and </w:t>
      </w:r>
      <w:proofErr w:type="spellStart"/>
      <w:r w:rsidRPr="003D66DF">
        <w:rPr>
          <w:rFonts w:cs="Arial"/>
        </w:rPr>
        <w:t>Heckenberger</w:t>
      </w:r>
      <w:proofErr w:type="spellEnd"/>
      <w:r w:rsidRPr="003D66DF">
        <w:rPr>
          <w:rFonts w:cs="Arial"/>
        </w:rPr>
        <w:t>, M., (2017). Reconnecting art and science for sustainability: learning from indigenous knowledge through participatory action-research in the Amazon. Ecology and Society, 22(2).</w:t>
      </w:r>
    </w:p>
    <w:p w14:paraId="00918D57" w14:textId="77777777" w:rsidR="0004201D" w:rsidRPr="003D66DF" w:rsidRDefault="0004201D" w:rsidP="003D66DF">
      <w:pPr>
        <w:rPr>
          <w:rFonts w:cs="Arial"/>
        </w:rPr>
      </w:pPr>
    </w:p>
    <w:p w14:paraId="0FFFD1E2" w14:textId="6AE7E226" w:rsidR="003D66DF" w:rsidRDefault="003D66DF" w:rsidP="003D66DF">
      <w:pPr>
        <w:rPr>
          <w:rFonts w:cs="Arial"/>
        </w:rPr>
      </w:pPr>
      <w:r w:rsidRPr="003D66DF">
        <w:rPr>
          <w:rFonts w:cs="Arial"/>
        </w:rPr>
        <w:t xml:space="preserve">Benson, I., Marriott, N. and </w:t>
      </w:r>
      <w:proofErr w:type="spellStart"/>
      <w:r w:rsidRPr="003D66DF">
        <w:rPr>
          <w:rFonts w:cs="Arial"/>
        </w:rPr>
        <w:t>McCandliss</w:t>
      </w:r>
      <w:proofErr w:type="spellEnd"/>
      <w:r w:rsidRPr="003D66DF">
        <w:rPr>
          <w:rFonts w:cs="Arial"/>
        </w:rPr>
        <w:t>, B.D., (2022). Equational Reasoning: A Systematic Review of the Cuisenaire-</w:t>
      </w:r>
      <w:proofErr w:type="spellStart"/>
      <w:r w:rsidRPr="003D66DF">
        <w:rPr>
          <w:rFonts w:cs="Arial"/>
        </w:rPr>
        <w:t>Gattegno</w:t>
      </w:r>
      <w:proofErr w:type="spellEnd"/>
      <w:r w:rsidRPr="003D66DF">
        <w:rPr>
          <w:rFonts w:cs="Arial"/>
        </w:rPr>
        <w:t xml:space="preserve"> Approach. In Frontiers in Education (p. 507). Frontiers.</w:t>
      </w:r>
    </w:p>
    <w:p w14:paraId="5CDBB7B3" w14:textId="77777777" w:rsidR="0004201D" w:rsidRPr="003D66DF" w:rsidRDefault="0004201D" w:rsidP="003D66DF">
      <w:pPr>
        <w:rPr>
          <w:rFonts w:cs="Arial"/>
        </w:rPr>
      </w:pPr>
    </w:p>
    <w:p w14:paraId="6423979A" w14:textId="742348FB" w:rsidR="003D66DF" w:rsidRDefault="003D66DF" w:rsidP="003D66DF">
      <w:pPr>
        <w:rPr>
          <w:rFonts w:cs="Arial"/>
        </w:rPr>
      </w:pPr>
      <w:r w:rsidRPr="003D66DF">
        <w:rPr>
          <w:rFonts w:cs="Arial"/>
        </w:rPr>
        <w:t xml:space="preserve">Borg, S. and </w:t>
      </w:r>
      <w:proofErr w:type="spellStart"/>
      <w:r w:rsidRPr="003D66DF">
        <w:rPr>
          <w:rFonts w:cs="Arial"/>
        </w:rPr>
        <w:t>Edmett</w:t>
      </w:r>
      <w:proofErr w:type="spellEnd"/>
      <w:r w:rsidRPr="003D66DF">
        <w:rPr>
          <w:rFonts w:cs="Arial"/>
        </w:rPr>
        <w:t>, A., (2019). Developing a self-assessment tool for English language teachers. Language Teaching Research, 23(5), pp.655-679.</w:t>
      </w:r>
    </w:p>
    <w:p w14:paraId="08B3C829" w14:textId="77777777" w:rsidR="0004201D" w:rsidRPr="003D66DF" w:rsidRDefault="0004201D" w:rsidP="003D66DF">
      <w:pPr>
        <w:rPr>
          <w:rFonts w:cs="Arial"/>
        </w:rPr>
      </w:pPr>
    </w:p>
    <w:p w14:paraId="447BDA3E" w14:textId="741293D9" w:rsidR="003D66DF" w:rsidRDefault="003D66DF" w:rsidP="003D66DF">
      <w:pPr>
        <w:rPr>
          <w:rFonts w:cs="Arial"/>
        </w:rPr>
      </w:pPr>
      <w:r w:rsidRPr="003D66DF">
        <w:rPr>
          <w:rFonts w:cs="Arial"/>
        </w:rPr>
        <w:t xml:space="preserve">Cardoso, D., </w:t>
      </w:r>
      <w:proofErr w:type="spellStart"/>
      <w:r w:rsidRPr="003D66DF">
        <w:rPr>
          <w:rFonts w:cs="Arial"/>
        </w:rPr>
        <w:t>Särkinen</w:t>
      </w:r>
      <w:proofErr w:type="spellEnd"/>
      <w:r w:rsidRPr="003D66DF">
        <w:rPr>
          <w:rFonts w:cs="Arial"/>
        </w:rPr>
        <w:t xml:space="preserve">, T., Alexander, S., Amorim, A.M., </w:t>
      </w:r>
      <w:proofErr w:type="spellStart"/>
      <w:r w:rsidRPr="003D66DF">
        <w:rPr>
          <w:rFonts w:cs="Arial"/>
        </w:rPr>
        <w:t>Bittrich</w:t>
      </w:r>
      <w:proofErr w:type="spellEnd"/>
      <w:r w:rsidRPr="003D66DF">
        <w:rPr>
          <w:rFonts w:cs="Arial"/>
        </w:rPr>
        <w:t xml:space="preserve">, V., </w:t>
      </w:r>
      <w:proofErr w:type="spellStart"/>
      <w:r w:rsidRPr="003D66DF">
        <w:rPr>
          <w:rFonts w:cs="Arial"/>
        </w:rPr>
        <w:t>Celis</w:t>
      </w:r>
      <w:proofErr w:type="spellEnd"/>
      <w:r w:rsidRPr="003D66DF">
        <w:rPr>
          <w:rFonts w:cs="Arial"/>
        </w:rPr>
        <w:t xml:space="preserve">, M., Daly, D.C., </w:t>
      </w:r>
      <w:proofErr w:type="spellStart"/>
      <w:r w:rsidRPr="003D66DF">
        <w:rPr>
          <w:rFonts w:cs="Arial"/>
        </w:rPr>
        <w:t>Fiaschi</w:t>
      </w:r>
      <w:proofErr w:type="spellEnd"/>
      <w:r w:rsidRPr="003D66DF">
        <w:rPr>
          <w:rFonts w:cs="Arial"/>
        </w:rPr>
        <w:t xml:space="preserve">, P., Funk, V.A., </w:t>
      </w:r>
      <w:proofErr w:type="spellStart"/>
      <w:r w:rsidRPr="003D66DF">
        <w:rPr>
          <w:rFonts w:cs="Arial"/>
        </w:rPr>
        <w:t>Giacomin</w:t>
      </w:r>
      <w:proofErr w:type="spellEnd"/>
      <w:r w:rsidRPr="003D66DF">
        <w:rPr>
          <w:rFonts w:cs="Arial"/>
        </w:rPr>
        <w:t>, L.L. and Goldenberg, R., (2017). Amazon plant diversity was revealed by a taxonomically verified species list. Proceedings of the National Academy of Sciences, 114(40), pp.10695-10700.</w:t>
      </w:r>
    </w:p>
    <w:p w14:paraId="07BEEC90" w14:textId="77777777" w:rsidR="0004201D" w:rsidRPr="003D66DF" w:rsidRDefault="0004201D" w:rsidP="003D66DF">
      <w:pPr>
        <w:rPr>
          <w:rFonts w:cs="Arial"/>
        </w:rPr>
      </w:pPr>
    </w:p>
    <w:p w14:paraId="5E705A8F" w14:textId="42860630" w:rsidR="003D66DF" w:rsidRDefault="003D66DF" w:rsidP="003D66DF">
      <w:pPr>
        <w:rPr>
          <w:rFonts w:cs="Arial"/>
        </w:rPr>
      </w:pPr>
      <w:r w:rsidRPr="003D66DF">
        <w:rPr>
          <w:rFonts w:cs="Arial"/>
        </w:rPr>
        <w:t xml:space="preserve">Choi, H.M., Kim, W.G., Kim, Y.J. and </w:t>
      </w:r>
      <w:proofErr w:type="spellStart"/>
      <w:r w:rsidRPr="003D66DF">
        <w:rPr>
          <w:rFonts w:cs="Arial"/>
        </w:rPr>
        <w:t>Agmapisarn</w:t>
      </w:r>
      <w:proofErr w:type="spellEnd"/>
      <w:r w:rsidRPr="003D66DF">
        <w:rPr>
          <w:rFonts w:cs="Arial"/>
        </w:rPr>
        <w:t>, C., (2019). Hotel environmental management initiative (HEMI) scale development. International Journal of Hospitality Management, 77, pp.562-572.</w:t>
      </w:r>
    </w:p>
    <w:p w14:paraId="2AA829EB" w14:textId="77777777" w:rsidR="0004201D" w:rsidRPr="003D66DF" w:rsidRDefault="0004201D" w:rsidP="003D66DF">
      <w:pPr>
        <w:rPr>
          <w:rFonts w:cs="Arial"/>
        </w:rPr>
      </w:pPr>
    </w:p>
    <w:p w14:paraId="174EF838" w14:textId="105CE4FB" w:rsidR="003D66DF" w:rsidRDefault="003D66DF" w:rsidP="003D66DF">
      <w:pPr>
        <w:rPr>
          <w:rFonts w:cs="Arial"/>
        </w:rPr>
      </w:pPr>
      <w:r w:rsidRPr="003D66DF">
        <w:rPr>
          <w:rFonts w:cs="Arial"/>
        </w:rPr>
        <w:t>Denning, S., (2018). The role of the C-suite in agile transformation: the case of amazon. Strategy &amp; Leadership, 46(6), pp.14-21.</w:t>
      </w:r>
    </w:p>
    <w:p w14:paraId="56C92508" w14:textId="77777777" w:rsidR="0004201D" w:rsidRPr="003D66DF" w:rsidRDefault="0004201D" w:rsidP="003D66DF">
      <w:pPr>
        <w:rPr>
          <w:rFonts w:cs="Arial"/>
        </w:rPr>
      </w:pPr>
    </w:p>
    <w:p w14:paraId="4B952EC5" w14:textId="7D9E986B" w:rsidR="003D66DF" w:rsidRDefault="003D66DF" w:rsidP="003D66DF">
      <w:pPr>
        <w:rPr>
          <w:rFonts w:cs="Arial"/>
        </w:rPr>
      </w:pPr>
      <w:r w:rsidRPr="003D66DF">
        <w:rPr>
          <w:rFonts w:cs="Arial"/>
        </w:rPr>
        <w:t xml:space="preserve">Graham-Clarke, E., Rushton, A., </w:t>
      </w:r>
      <w:proofErr w:type="spellStart"/>
      <w:r w:rsidRPr="003D66DF">
        <w:rPr>
          <w:rFonts w:cs="Arial"/>
        </w:rPr>
        <w:t>Noblet</w:t>
      </w:r>
      <w:proofErr w:type="spellEnd"/>
      <w:r w:rsidRPr="003D66DF">
        <w:rPr>
          <w:rFonts w:cs="Arial"/>
        </w:rPr>
        <w:t xml:space="preserve">, T. and Marriott, J., (2019). Non-medical prescribing in the United Kingdom National Health Service: A systematic policy review. </w:t>
      </w:r>
      <w:proofErr w:type="spellStart"/>
      <w:r w:rsidRPr="003D66DF">
        <w:rPr>
          <w:rFonts w:cs="Arial"/>
        </w:rPr>
        <w:t>PloS</w:t>
      </w:r>
      <w:proofErr w:type="spellEnd"/>
      <w:r w:rsidRPr="003D66DF">
        <w:rPr>
          <w:rFonts w:cs="Arial"/>
        </w:rPr>
        <w:t xml:space="preserve"> one, 14(7), p.e0214630.</w:t>
      </w:r>
    </w:p>
    <w:p w14:paraId="484A2C05" w14:textId="77777777" w:rsidR="0004201D" w:rsidRPr="003D66DF" w:rsidRDefault="0004201D" w:rsidP="003D66DF">
      <w:pPr>
        <w:rPr>
          <w:rFonts w:cs="Arial"/>
        </w:rPr>
      </w:pPr>
    </w:p>
    <w:p w14:paraId="35301EC6" w14:textId="60878C10" w:rsidR="003D66DF" w:rsidRDefault="003D66DF" w:rsidP="003D66DF">
      <w:pPr>
        <w:rPr>
          <w:rFonts w:cs="Arial"/>
        </w:rPr>
      </w:pPr>
      <w:r w:rsidRPr="003D66DF">
        <w:rPr>
          <w:rFonts w:cs="Arial"/>
        </w:rPr>
        <w:lastRenderedPageBreak/>
        <w:t>Hancock, P., Marriott, N. and Duff, A., (2019). Research–teaching yin–yang? An empirical study of accounting and finance academics in Australia and New Zealand. Accounting &amp; Finance, 59(1), pp.219-252.</w:t>
      </w:r>
    </w:p>
    <w:p w14:paraId="4B153042" w14:textId="77777777" w:rsidR="0004201D" w:rsidRPr="003D66DF" w:rsidRDefault="0004201D" w:rsidP="003D66DF">
      <w:pPr>
        <w:rPr>
          <w:rFonts w:cs="Arial"/>
        </w:rPr>
      </w:pPr>
    </w:p>
    <w:p w14:paraId="79D76D82" w14:textId="58911208" w:rsidR="0004201D" w:rsidRPr="003D66DF" w:rsidRDefault="003D66DF" w:rsidP="003D66DF">
      <w:pPr>
        <w:rPr>
          <w:rFonts w:cs="Arial"/>
        </w:rPr>
      </w:pPr>
      <w:proofErr w:type="spellStart"/>
      <w:r w:rsidRPr="003D66DF">
        <w:rPr>
          <w:rFonts w:cs="Arial"/>
        </w:rPr>
        <w:t>Hitt</w:t>
      </w:r>
      <w:proofErr w:type="spellEnd"/>
      <w:r w:rsidRPr="003D66DF">
        <w:rPr>
          <w:rFonts w:cs="Arial"/>
        </w:rPr>
        <w:t xml:space="preserve">, M.A., Ireland, R.D. and </w:t>
      </w:r>
      <w:proofErr w:type="spellStart"/>
      <w:r w:rsidRPr="003D66DF">
        <w:rPr>
          <w:rFonts w:cs="Arial"/>
        </w:rPr>
        <w:t>Hoskisson</w:t>
      </w:r>
      <w:proofErr w:type="spellEnd"/>
      <w:r w:rsidRPr="003D66DF">
        <w:rPr>
          <w:rFonts w:cs="Arial"/>
        </w:rPr>
        <w:t>, R.E., (2016). Strategic management: Concepts and cases: Competitiveness and globalization. Cengage Learning.</w:t>
      </w:r>
    </w:p>
    <w:p w14:paraId="715CD7DC" w14:textId="06E923C7" w:rsidR="003D66DF" w:rsidRDefault="003D66DF" w:rsidP="003D66DF">
      <w:pPr>
        <w:rPr>
          <w:rFonts w:cs="Arial"/>
        </w:rPr>
      </w:pPr>
      <w:r w:rsidRPr="003D66DF">
        <w:rPr>
          <w:rFonts w:cs="Arial"/>
        </w:rPr>
        <w:t xml:space="preserve">Marriott, H.R., Williams, M.D. and Dwivedi, Y.K., (2017). What do we know about consumer m-shopping </w:t>
      </w:r>
      <w:proofErr w:type="gramStart"/>
      <w:r w:rsidRPr="003D66DF">
        <w:rPr>
          <w:rFonts w:cs="Arial"/>
        </w:rPr>
        <w:t>behaviour?.</w:t>
      </w:r>
      <w:proofErr w:type="gramEnd"/>
      <w:r w:rsidRPr="003D66DF">
        <w:rPr>
          <w:rFonts w:cs="Arial"/>
        </w:rPr>
        <w:t xml:space="preserve"> International Journal of Retail &amp; Distribution Management, 45(6), pp.568-586.</w:t>
      </w:r>
    </w:p>
    <w:p w14:paraId="390E4DEE" w14:textId="77777777" w:rsidR="0004201D" w:rsidRPr="003D66DF" w:rsidRDefault="0004201D" w:rsidP="003D66DF">
      <w:pPr>
        <w:rPr>
          <w:rFonts w:cs="Arial"/>
        </w:rPr>
      </w:pPr>
    </w:p>
    <w:p w14:paraId="11D20FFB" w14:textId="506D95D8" w:rsidR="003D66DF" w:rsidRDefault="003D66DF" w:rsidP="003D66DF">
      <w:pPr>
        <w:rPr>
          <w:rFonts w:cs="Arial"/>
        </w:rPr>
      </w:pPr>
      <w:proofErr w:type="spellStart"/>
      <w:r w:rsidRPr="003D66DF">
        <w:rPr>
          <w:rFonts w:cs="Arial"/>
        </w:rPr>
        <w:t>Meadenall</w:t>
      </w:r>
      <w:proofErr w:type="spellEnd"/>
      <w:r w:rsidRPr="003D66DF">
        <w:rPr>
          <w:rFonts w:cs="Arial"/>
        </w:rPr>
        <w:t xml:space="preserve">, </w:t>
      </w:r>
      <w:proofErr w:type="gramStart"/>
      <w:r w:rsidRPr="003D66DF">
        <w:rPr>
          <w:rFonts w:cs="Arial"/>
        </w:rPr>
        <w:t>M. ,</w:t>
      </w:r>
      <w:proofErr w:type="gramEnd"/>
      <w:r w:rsidRPr="003D66DF">
        <w:rPr>
          <w:rFonts w:cs="Arial"/>
        </w:rPr>
        <w:t xml:space="preserve"> </w:t>
      </w:r>
      <w:proofErr w:type="spellStart"/>
      <w:r w:rsidRPr="003D66DF">
        <w:rPr>
          <w:rFonts w:cs="Arial"/>
        </w:rPr>
        <w:t>Osland</w:t>
      </w:r>
      <w:proofErr w:type="spellEnd"/>
      <w:r w:rsidRPr="003D66DF">
        <w:rPr>
          <w:rFonts w:cs="Arial"/>
        </w:rPr>
        <w:t xml:space="preserve">, J. (eds) and Bird, A. (2017) Global Leadership: Research, Practice and Development. </w:t>
      </w:r>
      <w:proofErr w:type="gramStart"/>
      <w:r w:rsidRPr="003D66DF">
        <w:rPr>
          <w:rFonts w:cs="Arial"/>
        </w:rPr>
        <w:t>Routledge .</w:t>
      </w:r>
      <w:proofErr w:type="gramEnd"/>
    </w:p>
    <w:p w14:paraId="171A709D" w14:textId="77777777" w:rsidR="0004201D" w:rsidRPr="003D66DF" w:rsidRDefault="0004201D" w:rsidP="003D66DF">
      <w:pPr>
        <w:rPr>
          <w:rFonts w:cs="Arial"/>
        </w:rPr>
      </w:pPr>
    </w:p>
    <w:p w14:paraId="42BBC9CE" w14:textId="6C5EF526" w:rsidR="003D66DF" w:rsidRDefault="003D66DF" w:rsidP="003D66DF">
      <w:pPr>
        <w:rPr>
          <w:rFonts w:cs="Arial"/>
        </w:rPr>
      </w:pPr>
      <w:proofErr w:type="spellStart"/>
      <w:r w:rsidRPr="003D66DF">
        <w:rPr>
          <w:rFonts w:cs="Arial"/>
        </w:rPr>
        <w:t>Mergen</w:t>
      </w:r>
      <w:proofErr w:type="spellEnd"/>
      <w:r w:rsidRPr="003D66DF">
        <w:rPr>
          <w:rFonts w:cs="Arial"/>
        </w:rPr>
        <w:t xml:space="preserve">, A. and </w:t>
      </w:r>
      <w:proofErr w:type="spellStart"/>
      <w:r w:rsidRPr="003D66DF">
        <w:rPr>
          <w:rFonts w:cs="Arial"/>
        </w:rPr>
        <w:t>Ozbilgin</w:t>
      </w:r>
      <w:proofErr w:type="spellEnd"/>
      <w:r w:rsidRPr="003D66DF">
        <w:rPr>
          <w:rFonts w:cs="Arial"/>
        </w:rPr>
        <w:t xml:space="preserve">, M., (2021). Toxic </w:t>
      </w:r>
      <w:proofErr w:type="spellStart"/>
      <w:r w:rsidRPr="003D66DF">
        <w:rPr>
          <w:rFonts w:cs="Arial"/>
        </w:rPr>
        <w:t>illusio</w:t>
      </w:r>
      <w:proofErr w:type="spellEnd"/>
      <w:r w:rsidRPr="003D66DF">
        <w:rPr>
          <w:rFonts w:cs="Arial"/>
        </w:rPr>
        <w:t xml:space="preserve"> in the global value chain: the case of amazon. In Destructive leadership and management hypocrisy (pp. 163-178). Emerald Publishing Limited.</w:t>
      </w:r>
    </w:p>
    <w:p w14:paraId="11EFA2E7" w14:textId="77777777" w:rsidR="0004201D" w:rsidRPr="003D66DF" w:rsidRDefault="0004201D" w:rsidP="003D66DF">
      <w:pPr>
        <w:rPr>
          <w:rFonts w:cs="Arial"/>
        </w:rPr>
      </w:pPr>
    </w:p>
    <w:p w14:paraId="3939B176" w14:textId="77777777" w:rsidR="003D66DF" w:rsidRPr="003D66DF" w:rsidRDefault="003D66DF" w:rsidP="003D66DF">
      <w:pPr>
        <w:rPr>
          <w:rFonts w:cs="Arial"/>
        </w:rPr>
      </w:pPr>
      <w:proofErr w:type="spellStart"/>
      <w:r w:rsidRPr="003D66DF">
        <w:rPr>
          <w:rFonts w:cs="Arial"/>
        </w:rPr>
        <w:t>Moodian</w:t>
      </w:r>
      <w:proofErr w:type="spellEnd"/>
      <w:r w:rsidRPr="003D66DF">
        <w:rPr>
          <w:rFonts w:cs="Arial"/>
        </w:rPr>
        <w:t>, M. (2008) Cross-Cultural Dynamics within Organisations. Sage Publications.</w:t>
      </w:r>
    </w:p>
    <w:p w14:paraId="7559DC99" w14:textId="31492134" w:rsidR="003D66DF" w:rsidRDefault="003D66DF" w:rsidP="003D66DF">
      <w:pPr>
        <w:rPr>
          <w:rFonts w:cs="Arial"/>
        </w:rPr>
      </w:pPr>
      <w:proofErr w:type="spellStart"/>
      <w:r w:rsidRPr="003D66DF">
        <w:rPr>
          <w:rFonts w:cs="Arial"/>
        </w:rPr>
        <w:t>Perz</w:t>
      </w:r>
      <w:proofErr w:type="spellEnd"/>
      <w:r w:rsidRPr="003D66DF">
        <w:rPr>
          <w:rFonts w:cs="Arial"/>
        </w:rPr>
        <w:t xml:space="preserve">, S.G., Arteaga, M., </w:t>
      </w:r>
      <w:proofErr w:type="spellStart"/>
      <w:r w:rsidRPr="003D66DF">
        <w:rPr>
          <w:rFonts w:cs="Arial"/>
        </w:rPr>
        <w:t>Baudoin</w:t>
      </w:r>
      <w:proofErr w:type="spellEnd"/>
      <w:r w:rsidRPr="003D66DF">
        <w:rPr>
          <w:rFonts w:cs="Arial"/>
        </w:rPr>
        <w:t xml:space="preserve"> Farah, A., Brown, I.F., Mendoza, E.R.H., de Paula, Y.A.P., Perales </w:t>
      </w:r>
      <w:proofErr w:type="spellStart"/>
      <w:r w:rsidRPr="003D66DF">
        <w:rPr>
          <w:rFonts w:cs="Arial"/>
        </w:rPr>
        <w:t>Yabar</w:t>
      </w:r>
      <w:proofErr w:type="spellEnd"/>
      <w:r w:rsidRPr="003D66DF">
        <w:rPr>
          <w:rFonts w:cs="Arial"/>
        </w:rPr>
        <w:t>, L.M., Pimentel, A.D.S., Ribeiro, S.C., Rioja-</w:t>
      </w:r>
      <w:proofErr w:type="spellStart"/>
      <w:r w:rsidRPr="003D66DF">
        <w:rPr>
          <w:rFonts w:cs="Arial"/>
        </w:rPr>
        <w:t>Ballivián</w:t>
      </w:r>
      <w:proofErr w:type="spellEnd"/>
      <w:r w:rsidRPr="003D66DF">
        <w:rPr>
          <w:rFonts w:cs="Arial"/>
        </w:rPr>
        <w:t xml:space="preserve">, G. and </w:t>
      </w:r>
      <w:proofErr w:type="spellStart"/>
      <w:r w:rsidRPr="003D66DF">
        <w:rPr>
          <w:rFonts w:cs="Arial"/>
        </w:rPr>
        <w:t>Rosero</w:t>
      </w:r>
      <w:proofErr w:type="spellEnd"/>
      <w:r w:rsidRPr="003D66DF">
        <w:rPr>
          <w:rFonts w:cs="Arial"/>
        </w:rPr>
        <w:t xml:space="preserve"> Peña, M.C., (2021). Participatory action research for conservation and development: Experiences from the Amazon. Sustainability, 14(1), p.233.</w:t>
      </w:r>
    </w:p>
    <w:p w14:paraId="5D8BA4F3" w14:textId="77777777" w:rsidR="0004201D" w:rsidRPr="003D66DF" w:rsidRDefault="0004201D" w:rsidP="003D66DF">
      <w:pPr>
        <w:rPr>
          <w:rFonts w:cs="Arial"/>
        </w:rPr>
      </w:pPr>
    </w:p>
    <w:p w14:paraId="1370C688" w14:textId="5143EF0B" w:rsidR="003D66DF" w:rsidRDefault="003D66DF" w:rsidP="003D66DF">
      <w:pPr>
        <w:rPr>
          <w:rFonts w:cs="Arial"/>
        </w:rPr>
      </w:pPr>
      <w:proofErr w:type="spellStart"/>
      <w:r w:rsidRPr="003D66DF">
        <w:rPr>
          <w:rFonts w:cs="Arial"/>
        </w:rPr>
        <w:t>Picken</w:t>
      </w:r>
      <w:proofErr w:type="spellEnd"/>
      <w:r w:rsidRPr="003D66DF">
        <w:rPr>
          <w:rFonts w:cs="Arial"/>
        </w:rPr>
        <w:t>, J. and Liyanage, C., (2017), September. Examining the key leadership attributes that lead to successful delivery of complex construction projects in the UK. In 13 TH INTERNATIONAL POSTGRADUATE RESEARCH CONFERENCE 2017 (p. 718).</w:t>
      </w:r>
    </w:p>
    <w:p w14:paraId="363660FF" w14:textId="77777777" w:rsidR="0004201D" w:rsidRPr="003D66DF" w:rsidRDefault="0004201D" w:rsidP="003D66DF">
      <w:pPr>
        <w:rPr>
          <w:rFonts w:cs="Arial"/>
        </w:rPr>
      </w:pPr>
    </w:p>
    <w:p w14:paraId="687D0713" w14:textId="5F33F4F8" w:rsidR="003D66DF" w:rsidRDefault="003D66DF" w:rsidP="003D66DF">
      <w:pPr>
        <w:rPr>
          <w:rFonts w:cs="Arial"/>
        </w:rPr>
      </w:pPr>
      <w:r w:rsidRPr="003D66DF">
        <w:rPr>
          <w:rFonts w:cs="Arial"/>
        </w:rPr>
        <w:t xml:space="preserve">Pires, F.B., </w:t>
      </w:r>
      <w:proofErr w:type="spellStart"/>
      <w:r w:rsidRPr="003D66DF">
        <w:rPr>
          <w:rFonts w:cs="Arial"/>
        </w:rPr>
        <w:t>Dolwitsch</w:t>
      </w:r>
      <w:proofErr w:type="spellEnd"/>
      <w:r w:rsidRPr="003D66DF">
        <w:rPr>
          <w:rFonts w:cs="Arial"/>
        </w:rPr>
        <w:t xml:space="preserve">, C.B., Dal </w:t>
      </w:r>
      <w:proofErr w:type="spellStart"/>
      <w:r w:rsidRPr="003D66DF">
        <w:rPr>
          <w:rFonts w:cs="Arial"/>
        </w:rPr>
        <w:t>Prá</w:t>
      </w:r>
      <w:proofErr w:type="spellEnd"/>
      <w:r w:rsidRPr="003D66DF">
        <w:rPr>
          <w:rFonts w:cs="Arial"/>
        </w:rPr>
        <w:t xml:space="preserve">, V., </w:t>
      </w:r>
      <w:proofErr w:type="spellStart"/>
      <w:r w:rsidRPr="003D66DF">
        <w:rPr>
          <w:rFonts w:cs="Arial"/>
        </w:rPr>
        <w:t>Monego</w:t>
      </w:r>
      <w:proofErr w:type="spellEnd"/>
      <w:r w:rsidRPr="003D66DF">
        <w:rPr>
          <w:rFonts w:cs="Arial"/>
        </w:rPr>
        <w:t xml:space="preserve">, D.L., Schneider, V.M., Loose, R.F., Schmidt, M.E.P., </w:t>
      </w:r>
      <w:proofErr w:type="spellStart"/>
      <w:r w:rsidRPr="003D66DF">
        <w:rPr>
          <w:rFonts w:cs="Arial"/>
        </w:rPr>
        <w:t>Bressan</w:t>
      </w:r>
      <w:proofErr w:type="spellEnd"/>
      <w:r w:rsidRPr="003D66DF">
        <w:rPr>
          <w:rFonts w:cs="Arial"/>
        </w:rPr>
        <w:t xml:space="preserve">, L.P., </w:t>
      </w:r>
      <w:proofErr w:type="spellStart"/>
      <w:r w:rsidRPr="003D66DF">
        <w:rPr>
          <w:rFonts w:cs="Arial"/>
        </w:rPr>
        <w:t>Mazutti</w:t>
      </w:r>
      <w:proofErr w:type="spellEnd"/>
      <w:r w:rsidRPr="003D66DF">
        <w:rPr>
          <w:rFonts w:cs="Arial"/>
        </w:rPr>
        <w:t>, M.A. and da Rosa, M.B., (2016). An Overview about the chemical composition and Biological Activity of Medicinal species found in the Brazilian Amazon. Journal of Applied Pharmaceutical Science, 6(12), pp.233-238.</w:t>
      </w:r>
    </w:p>
    <w:p w14:paraId="6749C23B" w14:textId="77777777" w:rsidR="0004201D" w:rsidRPr="003D66DF" w:rsidRDefault="0004201D" w:rsidP="003D66DF">
      <w:pPr>
        <w:rPr>
          <w:rFonts w:cs="Arial"/>
        </w:rPr>
      </w:pPr>
    </w:p>
    <w:p w14:paraId="1F856289" w14:textId="77777777" w:rsidR="003D66DF" w:rsidRPr="003D66DF" w:rsidRDefault="003D66DF" w:rsidP="003D66DF">
      <w:pPr>
        <w:rPr>
          <w:rFonts w:cs="Arial"/>
        </w:rPr>
      </w:pPr>
      <w:proofErr w:type="spellStart"/>
      <w:r w:rsidRPr="003D66DF">
        <w:rPr>
          <w:rFonts w:cs="Arial"/>
        </w:rPr>
        <w:lastRenderedPageBreak/>
        <w:t>Qadri</w:t>
      </w:r>
      <w:proofErr w:type="spellEnd"/>
      <w:r w:rsidRPr="003D66DF">
        <w:rPr>
          <w:rFonts w:cs="Arial"/>
        </w:rPr>
        <w:t>, M.A., Ahsan, K.D.L. and Hashmi, S., (2016). A Study of Cross-Cultural Communication Strategy: Case of Marriott Hotels &amp; Resorts. environment, 19.</w:t>
      </w:r>
    </w:p>
    <w:p w14:paraId="5B21D432" w14:textId="13AD401B" w:rsidR="003D66DF" w:rsidRDefault="003D66DF" w:rsidP="003D66DF">
      <w:pPr>
        <w:rPr>
          <w:rFonts w:cs="Arial"/>
        </w:rPr>
      </w:pPr>
      <w:r w:rsidRPr="003D66DF">
        <w:rPr>
          <w:rFonts w:cs="Arial"/>
        </w:rPr>
        <w:t>Ramakrishnan, K. (2013) Managerial Leadership in Multicultural Organisations. Prentice – Hall.</w:t>
      </w:r>
    </w:p>
    <w:p w14:paraId="78810A25" w14:textId="77777777" w:rsidR="0004201D" w:rsidRPr="003D66DF" w:rsidRDefault="0004201D" w:rsidP="003D66DF">
      <w:pPr>
        <w:rPr>
          <w:rFonts w:cs="Arial"/>
        </w:rPr>
      </w:pPr>
    </w:p>
    <w:p w14:paraId="3BD6655F" w14:textId="096F3271" w:rsidR="003D66DF" w:rsidRDefault="003D66DF" w:rsidP="003D66DF">
      <w:pPr>
        <w:rPr>
          <w:rFonts w:cs="Arial"/>
        </w:rPr>
      </w:pPr>
      <w:r w:rsidRPr="003D66DF">
        <w:rPr>
          <w:rFonts w:cs="Arial"/>
        </w:rPr>
        <w:t xml:space="preserve">Rossman, J. and </w:t>
      </w:r>
      <w:proofErr w:type="spellStart"/>
      <w:r w:rsidRPr="003D66DF">
        <w:rPr>
          <w:rFonts w:cs="Arial"/>
        </w:rPr>
        <w:t>Euchner</w:t>
      </w:r>
      <w:proofErr w:type="spellEnd"/>
      <w:r w:rsidRPr="003D66DF">
        <w:rPr>
          <w:rFonts w:cs="Arial"/>
        </w:rPr>
        <w:t xml:space="preserve">, J., (2018). Innovation the Amazon Way: An Interview with John Rossman John Rossman talks with Jim </w:t>
      </w:r>
      <w:proofErr w:type="spellStart"/>
      <w:r w:rsidRPr="003D66DF">
        <w:rPr>
          <w:rFonts w:cs="Arial"/>
        </w:rPr>
        <w:t>Euchner</w:t>
      </w:r>
      <w:proofErr w:type="spellEnd"/>
      <w:r w:rsidRPr="003D66DF">
        <w:rPr>
          <w:rFonts w:cs="Arial"/>
        </w:rPr>
        <w:t xml:space="preserve"> about how Amazon manages to be both operationally excellent and disruptively innovative. Research-Technology Management, 61(1), pp.13-22.</w:t>
      </w:r>
    </w:p>
    <w:p w14:paraId="09EEDC6A" w14:textId="77777777" w:rsidR="0004201D" w:rsidRPr="003D66DF" w:rsidRDefault="0004201D" w:rsidP="003D66DF">
      <w:pPr>
        <w:rPr>
          <w:rFonts w:cs="Arial"/>
        </w:rPr>
      </w:pPr>
    </w:p>
    <w:p w14:paraId="2AFBB3DF" w14:textId="2B8A8D4D" w:rsidR="003D66DF" w:rsidRDefault="003D66DF" w:rsidP="003D66DF">
      <w:pPr>
        <w:rPr>
          <w:rFonts w:cs="Arial"/>
        </w:rPr>
      </w:pPr>
      <w:proofErr w:type="spellStart"/>
      <w:r w:rsidRPr="003D66DF">
        <w:rPr>
          <w:rFonts w:cs="Arial"/>
        </w:rPr>
        <w:t>Thurstan</w:t>
      </w:r>
      <w:proofErr w:type="spellEnd"/>
      <w:r w:rsidRPr="003D66DF">
        <w:rPr>
          <w:rFonts w:cs="Arial"/>
        </w:rPr>
        <w:t xml:space="preserve">, R.H., Hockings, K.J., Hedlund, J.S., </w:t>
      </w:r>
      <w:proofErr w:type="spellStart"/>
      <w:r w:rsidRPr="003D66DF">
        <w:rPr>
          <w:rFonts w:cs="Arial"/>
        </w:rPr>
        <w:t>Bersacola</w:t>
      </w:r>
      <w:proofErr w:type="spellEnd"/>
      <w:r w:rsidRPr="003D66DF">
        <w:rPr>
          <w:rFonts w:cs="Arial"/>
        </w:rPr>
        <w:t xml:space="preserve">, E., Collins, C., Early, R., </w:t>
      </w:r>
      <w:proofErr w:type="spellStart"/>
      <w:r w:rsidRPr="003D66DF">
        <w:rPr>
          <w:rFonts w:cs="Arial"/>
        </w:rPr>
        <w:t>Ermiasi</w:t>
      </w:r>
      <w:proofErr w:type="spellEnd"/>
      <w:r w:rsidRPr="003D66DF">
        <w:rPr>
          <w:rFonts w:cs="Arial"/>
        </w:rPr>
        <w:t>, Y., Fleischer</w:t>
      </w:r>
      <w:r w:rsidRPr="003D66DF">
        <w:rPr>
          <w:rFonts w:ascii="Cambria Math" w:hAnsi="Cambria Math" w:cs="Cambria Math"/>
        </w:rPr>
        <w:t>‐</w:t>
      </w:r>
      <w:proofErr w:type="spellStart"/>
      <w:r w:rsidRPr="003D66DF">
        <w:rPr>
          <w:rFonts w:cs="Arial"/>
        </w:rPr>
        <w:t>Dogley</w:t>
      </w:r>
      <w:proofErr w:type="spellEnd"/>
      <w:r w:rsidRPr="003D66DF">
        <w:rPr>
          <w:rFonts w:cs="Arial"/>
        </w:rPr>
        <w:t xml:space="preserve">, F., </w:t>
      </w:r>
      <w:proofErr w:type="spellStart"/>
      <w:r w:rsidRPr="003D66DF">
        <w:rPr>
          <w:rFonts w:cs="Arial"/>
        </w:rPr>
        <w:t>Gilkes</w:t>
      </w:r>
      <w:proofErr w:type="spellEnd"/>
      <w:r w:rsidRPr="003D66DF">
        <w:rPr>
          <w:rFonts w:cs="Arial"/>
        </w:rPr>
        <w:t xml:space="preserve">, G., Harrison, M.E. and </w:t>
      </w:r>
      <w:proofErr w:type="spellStart"/>
      <w:r w:rsidRPr="003D66DF">
        <w:rPr>
          <w:rFonts w:cs="Arial"/>
        </w:rPr>
        <w:t>Imron</w:t>
      </w:r>
      <w:proofErr w:type="spellEnd"/>
      <w:r w:rsidRPr="003D66DF">
        <w:rPr>
          <w:rFonts w:cs="Arial"/>
        </w:rPr>
        <w:t>, M.A., (2021). Envisioning a resilient future for biodiversity conservation in the wake of the COVID</w:t>
      </w:r>
      <w:r w:rsidRPr="003D66DF">
        <w:rPr>
          <w:rFonts w:ascii="Cambria Math" w:hAnsi="Cambria Math" w:cs="Cambria Math"/>
        </w:rPr>
        <w:t>‐</w:t>
      </w:r>
      <w:r w:rsidRPr="003D66DF">
        <w:rPr>
          <w:rFonts w:cs="Arial"/>
        </w:rPr>
        <w:t>19 pandemic. People and Nature, 3(5), pp.990-1013.</w:t>
      </w:r>
    </w:p>
    <w:p w14:paraId="7D5B7EB0" w14:textId="77777777" w:rsidR="0004201D" w:rsidRPr="003D66DF" w:rsidRDefault="0004201D" w:rsidP="003D66DF">
      <w:pPr>
        <w:rPr>
          <w:rFonts w:cs="Arial"/>
        </w:rPr>
      </w:pPr>
    </w:p>
    <w:p w14:paraId="15303AFF" w14:textId="77777777" w:rsidR="003D66DF" w:rsidRPr="003D66DF" w:rsidRDefault="003D66DF" w:rsidP="003D66DF">
      <w:pPr>
        <w:rPr>
          <w:rFonts w:cs="Arial"/>
        </w:rPr>
      </w:pPr>
      <w:proofErr w:type="spellStart"/>
      <w:r w:rsidRPr="003D66DF">
        <w:rPr>
          <w:rFonts w:cs="Arial"/>
        </w:rPr>
        <w:t>Wibbeke</w:t>
      </w:r>
      <w:proofErr w:type="spellEnd"/>
      <w:r w:rsidRPr="003D66DF">
        <w:rPr>
          <w:rFonts w:cs="Arial"/>
        </w:rPr>
        <w:t>, E. S. and McArthur, S. (2013) Global Business Leadership. Routledge.</w:t>
      </w:r>
    </w:p>
    <w:p w14:paraId="7653F8F6" w14:textId="77777777" w:rsidR="003D66DF" w:rsidRPr="003D66DF" w:rsidRDefault="003D66DF" w:rsidP="003D66DF">
      <w:pPr>
        <w:rPr>
          <w:rFonts w:cs="Arial"/>
        </w:rPr>
      </w:pPr>
      <w:r w:rsidRPr="003D66DF">
        <w:rPr>
          <w:rFonts w:cs="Arial"/>
        </w:rPr>
        <w:t>Wittig, M. and Wittig, A. (2018) Amazon web services in action. Simon and Schuster.</w:t>
      </w:r>
    </w:p>
    <w:p w14:paraId="0E82FBA4" w14:textId="77777777" w:rsidR="003D66DF" w:rsidRPr="003D66DF" w:rsidRDefault="003D66DF" w:rsidP="003D66DF">
      <w:pPr>
        <w:rPr>
          <w:rFonts w:cs="Arial"/>
        </w:rPr>
      </w:pPr>
      <w:proofErr w:type="spellStart"/>
      <w:r w:rsidRPr="003D66DF">
        <w:rPr>
          <w:rFonts w:cs="Arial"/>
        </w:rPr>
        <w:t>Zabaniotou</w:t>
      </w:r>
      <w:proofErr w:type="spellEnd"/>
      <w:r w:rsidRPr="003D66DF">
        <w:rPr>
          <w:rFonts w:cs="Arial"/>
        </w:rPr>
        <w:t xml:space="preserve">, A., </w:t>
      </w:r>
      <w:proofErr w:type="spellStart"/>
      <w:r w:rsidRPr="003D66DF">
        <w:rPr>
          <w:rFonts w:cs="Arial"/>
        </w:rPr>
        <w:t>Syrgiannis</w:t>
      </w:r>
      <w:proofErr w:type="spellEnd"/>
      <w:r w:rsidRPr="003D66DF">
        <w:rPr>
          <w:rFonts w:cs="Arial"/>
        </w:rPr>
        <w:t xml:space="preserve">, C., </w:t>
      </w:r>
      <w:proofErr w:type="spellStart"/>
      <w:r w:rsidRPr="003D66DF">
        <w:rPr>
          <w:rFonts w:cs="Arial"/>
        </w:rPr>
        <w:t>Gasperin</w:t>
      </w:r>
      <w:proofErr w:type="spellEnd"/>
      <w:r w:rsidRPr="003D66DF">
        <w:rPr>
          <w:rFonts w:cs="Arial"/>
        </w:rPr>
        <w:t xml:space="preserve">, D., de </w:t>
      </w:r>
      <w:proofErr w:type="spellStart"/>
      <w:r w:rsidRPr="003D66DF">
        <w:rPr>
          <w:rFonts w:cs="Arial"/>
        </w:rPr>
        <w:t>Hoyos</w:t>
      </w:r>
      <w:proofErr w:type="spellEnd"/>
      <w:r w:rsidRPr="003D66DF">
        <w:rPr>
          <w:rFonts w:cs="Arial"/>
        </w:rPr>
        <w:t xml:space="preserve"> </w:t>
      </w:r>
      <w:proofErr w:type="spellStart"/>
      <w:r w:rsidRPr="003D66DF">
        <w:rPr>
          <w:rFonts w:cs="Arial"/>
        </w:rPr>
        <w:t>Guevera</w:t>
      </w:r>
      <w:proofErr w:type="spellEnd"/>
      <w:r w:rsidRPr="003D66DF">
        <w:rPr>
          <w:rFonts w:cs="Arial"/>
        </w:rPr>
        <w:t xml:space="preserve">, A.J., Fazenda, I. and </w:t>
      </w:r>
      <w:proofErr w:type="spellStart"/>
      <w:r w:rsidRPr="003D66DF">
        <w:rPr>
          <w:rFonts w:cs="Arial"/>
        </w:rPr>
        <w:t>Huisingh</w:t>
      </w:r>
      <w:proofErr w:type="spellEnd"/>
      <w:r w:rsidRPr="003D66DF">
        <w:rPr>
          <w:rFonts w:cs="Arial"/>
        </w:rPr>
        <w:t xml:space="preserve">, D., (2020). From </w:t>
      </w:r>
      <w:proofErr w:type="spellStart"/>
      <w:r w:rsidRPr="003D66DF">
        <w:rPr>
          <w:rFonts w:cs="Arial"/>
        </w:rPr>
        <w:t>multidisciplinarity</w:t>
      </w:r>
      <w:proofErr w:type="spellEnd"/>
      <w:r w:rsidRPr="003D66DF">
        <w:rPr>
          <w:rFonts w:cs="Arial"/>
        </w:rPr>
        <w:t xml:space="preserve"> to </w:t>
      </w:r>
      <w:proofErr w:type="spellStart"/>
      <w:r w:rsidRPr="003D66DF">
        <w:rPr>
          <w:rFonts w:cs="Arial"/>
        </w:rPr>
        <w:t>transdisciplinarity</w:t>
      </w:r>
      <w:proofErr w:type="spellEnd"/>
      <w:r w:rsidRPr="003D66DF">
        <w:rPr>
          <w:rFonts w:cs="Arial"/>
        </w:rPr>
        <w:t xml:space="preserve"> and from local to global foci: integrative approaches to systemic resilience based upon the value of life in the context of environmental and gender vulnerabilities with a special focus upon the Brazilian Amazon biome. Sustainability, 12(20), p.8407.</w:t>
      </w:r>
    </w:p>
    <w:p w14:paraId="56359673" w14:textId="77777777" w:rsidR="003D66DF" w:rsidRPr="003D66DF" w:rsidRDefault="003D66DF">
      <w:pPr>
        <w:rPr>
          <w:rFonts w:cs="Arial"/>
          <w:sz w:val="28"/>
          <w:szCs w:val="28"/>
        </w:rPr>
      </w:pPr>
    </w:p>
    <w:sectPr w:rsidR="003D66DF" w:rsidRPr="003D6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6DF"/>
    <w:rsid w:val="0004201D"/>
    <w:rsid w:val="00136DA3"/>
    <w:rsid w:val="003D66DF"/>
    <w:rsid w:val="00645685"/>
    <w:rsid w:val="00865C8D"/>
    <w:rsid w:val="00993479"/>
    <w:rsid w:val="00CE4877"/>
    <w:rsid w:val="00EB3E73"/>
    <w:rsid w:val="00ED3F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8EDC07"/>
  <w15:chartTrackingRefBased/>
  <w15:docId w15:val="{0594B7D3-B4FE-684F-87BC-566FFD075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5685"/>
    <w:pPr>
      <w:spacing w:line="360" w:lineRule="auto"/>
      <w:jc w:val="both"/>
    </w:pPr>
    <w:rPr>
      <w:rFonts w:ascii="Arial" w:hAnsi="Arial"/>
    </w:rPr>
  </w:style>
  <w:style w:type="paragraph" w:styleId="Heading1">
    <w:name w:val="heading 1"/>
    <w:basedOn w:val="Normal"/>
    <w:next w:val="Normal"/>
    <w:link w:val="Heading1Char"/>
    <w:uiPriority w:val="9"/>
    <w:qFormat/>
    <w:rsid w:val="003D66D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66DF"/>
    <w:pPr>
      <w:keepNext/>
      <w:keepLines/>
      <w:spacing w:before="40" w:line="480" w:lineRule="auto"/>
      <w:outlineLvl w:val="1"/>
    </w:pPr>
    <w:rPr>
      <w:rFonts w:ascii="Times New Roman" w:eastAsiaTheme="majorEastAsia" w:hAnsi="Times New Roman" w:cstheme="majorBidi"/>
      <w:b/>
      <w:kern w:val="2"/>
      <w:sz w:val="32"/>
      <w:szCs w:val="26"/>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3D66DF"/>
  </w:style>
  <w:style w:type="paragraph" w:styleId="Title">
    <w:name w:val="Title"/>
    <w:basedOn w:val="Normal"/>
    <w:next w:val="Normal"/>
    <w:link w:val="TitleChar"/>
    <w:uiPriority w:val="10"/>
    <w:qFormat/>
    <w:rsid w:val="003D66D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66D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D66D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66DF"/>
    <w:pPr>
      <w:spacing w:line="259" w:lineRule="auto"/>
      <w:outlineLvl w:val="9"/>
    </w:pPr>
    <w:rPr>
      <w:lang w:val="en-US"/>
    </w:rPr>
  </w:style>
  <w:style w:type="paragraph" w:styleId="TOC1">
    <w:name w:val="toc 1"/>
    <w:basedOn w:val="Normal"/>
    <w:next w:val="Normal"/>
    <w:autoRedefine/>
    <w:uiPriority w:val="39"/>
    <w:unhideWhenUsed/>
    <w:rsid w:val="003D66DF"/>
    <w:pPr>
      <w:spacing w:after="100" w:line="480" w:lineRule="auto"/>
    </w:pPr>
    <w:rPr>
      <w:rFonts w:ascii="Times New Roman" w:hAnsi="Times New Roman"/>
      <w:color w:val="000000" w:themeColor="text1"/>
      <w:kern w:val="2"/>
      <w:szCs w:val="22"/>
      <w:lang w:val="en-IN"/>
      <w14:ligatures w14:val="standardContextual"/>
    </w:rPr>
  </w:style>
  <w:style w:type="paragraph" w:styleId="TOC2">
    <w:name w:val="toc 2"/>
    <w:basedOn w:val="Normal"/>
    <w:next w:val="Normal"/>
    <w:autoRedefine/>
    <w:uiPriority w:val="39"/>
    <w:unhideWhenUsed/>
    <w:rsid w:val="003D66DF"/>
    <w:pPr>
      <w:spacing w:after="100" w:line="480" w:lineRule="auto"/>
      <w:ind w:left="240"/>
    </w:pPr>
    <w:rPr>
      <w:rFonts w:ascii="Times New Roman" w:hAnsi="Times New Roman"/>
      <w:color w:val="000000" w:themeColor="text1"/>
      <w:kern w:val="2"/>
      <w:szCs w:val="22"/>
      <w:lang w:val="en-IN"/>
      <w14:ligatures w14:val="standardContextual"/>
    </w:rPr>
  </w:style>
  <w:style w:type="character" w:styleId="Hyperlink">
    <w:name w:val="Hyperlink"/>
    <w:basedOn w:val="DefaultParagraphFont"/>
    <w:uiPriority w:val="99"/>
    <w:unhideWhenUsed/>
    <w:rsid w:val="003D66DF"/>
    <w:rPr>
      <w:color w:val="0563C1" w:themeColor="hyperlink"/>
      <w:u w:val="single"/>
    </w:rPr>
  </w:style>
  <w:style w:type="character" w:customStyle="1" w:styleId="Heading2Char">
    <w:name w:val="Heading 2 Char"/>
    <w:basedOn w:val="DefaultParagraphFont"/>
    <w:link w:val="Heading2"/>
    <w:uiPriority w:val="9"/>
    <w:rsid w:val="003D66DF"/>
    <w:rPr>
      <w:rFonts w:ascii="Times New Roman" w:eastAsiaTheme="majorEastAsia" w:hAnsi="Times New Roman" w:cstheme="majorBidi"/>
      <w:b/>
      <w:kern w:val="2"/>
      <w:sz w:val="32"/>
      <w:szCs w:val="26"/>
      <w:lang w:val="e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3188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20</Pages>
  <Words>5652</Words>
  <Characters>33801</Characters>
  <Application>Microsoft Office Word</Application>
  <DocSecurity>0</DocSecurity>
  <Lines>536</Lines>
  <Paragraphs>78</Paragraphs>
  <ScaleCrop>false</ScaleCrop>
  <Company/>
  <LinksUpToDate>false</LinksUpToDate>
  <CharactersWithSpaces>39375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Stancu (1906421)</dc:creator>
  <cp:keywords/>
  <dc:description/>
  <cp:lastModifiedBy>Silvia Stancu (1906421)</cp:lastModifiedBy>
  <cp:revision>6</cp:revision>
  <dcterms:created xsi:type="dcterms:W3CDTF">2023-04-28T18:29:00Z</dcterms:created>
  <dcterms:modified xsi:type="dcterms:W3CDTF">2023-04-28T21:15:00Z</dcterms:modified>
</cp:coreProperties>
</file>