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2CE28" w14:textId="77777777" w:rsidR="00AF690B" w:rsidRDefault="00D23E1E">
      <w:pPr>
        <w:jc w:val="both"/>
      </w:pPr>
      <w:r>
        <w:t xml:space="preserve">                                          </w:t>
      </w:r>
    </w:p>
    <w:p w14:paraId="4582CE29" w14:textId="77777777" w:rsidR="00AF690B" w:rsidRDefault="00AF690B">
      <w:pPr>
        <w:jc w:val="both"/>
      </w:pPr>
    </w:p>
    <w:p w14:paraId="4582CE2A" w14:textId="77777777" w:rsidR="00AF690B" w:rsidRDefault="00D23E1E">
      <w:pPr>
        <w:jc w:val="both"/>
      </w:pPr>
      <w:r>
        <w:t xml:space="preserve">                             </w:t>
      </w:r>
      <w:r>
        <w:rPr>
          <w:rFonts w:cs="Arial"/>
          <w:bCs/>
          <w:sz w:val="36"/>
          <w:szCs w:val="36"/>
        </w:rPr>
        <w:t xml:space="preserve">Holding the UK government to account </w:t>
      </w:r>
    </w:p>
    <w:p w14:paraId="4582CE2B" w14:textId="77777777" w:rsidR="00AF690B" w:rsidRDefault="00D23E1E">
      <w:pPr>
        <w:jc w:val="both"/>
      </w:pPr>
      <w:r>
        <w:t xml:space="preserve">   </w:t>
      </w:r>
    </w:p>
    <w:p w14:paraId="4582CE2C" w14:textId="77777777" w:rsidR="00AF690B" w:rsidRDefault="00AF690B">
      <w:pPr>
        <w:jc w:val="both"/>
      </w:pPr>
    </w:p>
    <w:p w14:paraId="4582CE2D" w14:textId="77777777" w:rsidR="00AF690B" w:rsidRDefault="00D23E1E">
      <w:pPr>
        <w:jc w:val="both"/>
      </w:pPr>
      <w:r>
        <w:t xml:space="preserve">      In this essay, we will explore the UK executive, diving into its definition, the individuals who make up this </w:t>
      </w:r>
      <w:r>
        <w:t>important body, and their roles and responsibilities in governing the country. By examining the UK executive, we can gain a deeper understanding and the decision-making process.</w:t>
      </w:r>
    </w:p>
    <w:p w14:paraId="4582CE2E" w14:textId="77777777" w:rsidR="00AF690B" w:rsidRDefault="00D23E1E">
      <w:pPr>
        <w:jc w:val="both"/>
      </w:pPr>
      <w:r>
        <w:t xml:space="preserve">   According to</w:t>
      </w:r>
      <w:r>
        <w:rPr>
          <w:i/>
          <w:iCs/>
          <w:u w:val="single"/>
        </w:rPr>
        <w:t xml:space="preserve"> (</w:t>
      </w:r>
      <w:hyperlink r:id="rId7" w:history="1">
        <w:r>
          <w:rPr>
            <w:rStyle w:val="Hyperlink"/>
            <w:i/>
            <w:iCs/>
          </w:rPr>
          <w:t>www.lexisnexis.co.uk</w:t>
        </w:r>
      </w:hyperlink>
      <w:r>
        <w:rPr>
          <w:i/>
          <w:iCs/>
          <w:u w:val="single"/>
        </w:rPr>
        <w:t xml:space="preserve">, n.d.) </w:t>
      </w:r>
      <w:r>
        <w:t xml:space="preserve">describing executive power can be a bit tricky but involves managing public affairs and enforcing the law. In the UK, the executive used to be the monarch, but nowadays, it’s carried out by Ministers of the Crown, the Prime Minister, and the Cabinet. The Prime Minister, who is usually the leader of the winning party, has the power to choose who joins the government. According to </w:t>
      </w:r>
      <w:r>
        <w:rPr>
          <w:i/>
          <w:iCs/>
          <w:color w:val="000000"/>
          <w:u w:val="single"/>
        </w:rPr>
        <w:t>The Constitution Society (2022</w:t>
      </w:r>
      <w:r>
        <w:rPr>
          <w:b/>
          <w:bCs/>
          <w:i/>
          <w:iCs/>
          <w:color w:val="000000"/>
          <w:u w:val="single"/>
        </w:rPr>
        <w:t>)</w:t>
      </w:r>
      <w:r>
        <w:t>, they appoint key positions like the Chancellor of the Exchequer, who handles economic pol</w:t>
      </w:r>
      <w:r>
        <w:t>icy, and the Home Secretary. So basically, the executive branch is like the boss of the UK government. They make the big decisions and run the show. However, there are many more government departments, each led by a Secretary of State or their equivalent and appointed by the Prime Minister. The role and powers of the executive in the UK can be a bit unclear because they're not clearly defined by a single legal document. Instead, they rely on conventions and rules that have developed over time. One interesti</w:t>
      </w:r>
      <w:r>
        <w:t xml:space="preserve">ng aspect is the prerogative powers, which are derived from common law and can be a bit tricky to pin down </w:t>
      </w:r>
      <w:r>
        <w:rPr>
          <w:i/>
          <w:iCs/>
          <w:u w:val="single"/>
        </w:rPr>
        <w:t>The Cabinet Manual published in 2011</w:t>
      </w:r>
      <w:r>
        <w:t>, is a valuable resource that outlines important conventions and rules for the government's operation. It's fascinating how these unwritten rules and customs shape the role of the executive in the UK. The executive branch of government has a vital role in carrying out the laws and policies set by the legislative body. They’re responsible for making and implementing p</w:t>
      </w:r>
      <w:r>
        <w:t xml:space="preserve">olicies, and they oversee the day-to-day operations of the government. The specific titles and structures within the executive branch can vary from country to country. It includes both the political executives, who shape government policies, and the permanent executive, who handles the administrative tasks. Together, they work to ensure the smooth functioning of the government. In the UK Parliament, the House of Lords brings a different flavour to holding the executive accountable. </w:t>
      </w:r>
      <w:r>
        <w:rPr>
          <w:i/>
          <w:iCs/>
          <w:u w:val="single"/>
        </w:rPr>
        <w:t>(Government of the UK, 20</w:t>
      </w:r>
      <w:r>
        <w:rPr>
          <w:i/>
          <w:iCs/>
          <w:u w:val="single"/>
        </w:rPr>
        <w:t xml:space="preserve">22). </w:t>
      </w:r>
      <w:r>
        <w:t xml:space="preserve">They have experts and are less focused on political parties, which adds a unique perspective. On the other hand, the House of Commons has these cool departmental select committees. With their diverse membership, they dig deep into government actions, conduct inquiries, and have meaningful discussions. It’s their way of making sure the executive stays transparent and accountable. </w:t>
      </w:r>
    </w:p>
    <w:p w14:paraId="4582CE2F" w14:textId="77777777" w:rsidR="00AF690B" w:rsidRDefault="00D23E1E">
      <w:pPr>
        <w:jc w:val="both"/>
      </w:pPr>
      <w:r>
        <w:t xml:space="preserve">   According </w:t>
      </w:r>
      <w:r>
        <w:rPr>
          <w:b/>
          <w:bCs/>
        </w:rPr>
        <w:t xml:space="preserve">to </w:t>
      </w:r>
      <w:r>
        <w:rPr>
          <w:i/>
          <w:iCs/>
          <w:u w:val="single"/>
        </w:rPr>
        <w:t>Benwell, R., and Gay, O. (2011)</w:t>
      </w:r>
      <w:r>
        <w:t xml:space="preserve"> The separation of powers theory is a fundamental concept in a democratic system, including the UK. It aims to prevent the concentration of power in one branch of government by dividing it into three separate branches: the executive, legislative, and judicial.</w:t>
      </w:r>
      <w:r>
        <w:rPr>
          <w:b/>
          <w:bCs/>
        </w:rPr>
        <w:t xml:space="preserve"> </w:t>
      </w:r>
      <w:r>
        <w:rPr>
          <w:i/>
          <w:iCs/>
          <w:u w:val="single"/>
        </w:rPr>
        <w:t>law.gov.wales, (2021)</w:t>
      </w:r>
      <w:r>
        <w:t xml:space="preserve"> Each branch has distinct functions and powers, acting as a check and balance on the others. The legislative branch, consisting of Parliament, has the power to scrutinize the executive’s decisions</w:t>
      </w:r>
      <w:r>
        <w:t xml:space="preserve">, pass laws, and hold the government to account through debates, questions, and committee hearings. This mechanism allows for transparency and oversight. Additionally, the judicial branch, including the Supreme Court, ensures that the executive's actions are lawful and constitutional. While the UK does not have a strict separation </w:t>
      </w:r>
      <w:r>
        <w:lastRenderedPageBreak/>
        <w:t>of powers like some other countries, the principles of accountability and checks and balances are still applicable. The Constitutional Reform Act of 2005 aimed to clarify the sepa</w:t>
      </w:r>
      <w:r>
        <w:t xml:space="preserve">ration of powers and enhance judicial independence, further strengthening the mechanisms for holding the UK executive accountable. Montesquieu, the French social commentator, and political thinker made one of the earliest and clearest statements about the separation of powers he quotes </w:t>
      </w:r>
      <w:r>
        <w:rPr>
          <w:b/>
          <w:bCs/>
          <w:i/>
          <w:iCs/>
        </w:rPr>
        <w:t>“</w:t>
      </w:r>
      <w:r>
        <w:rPr>
          <w:i/>
          <w:iCs/>
        </w:rPr>
        <w:t>When the legislative and executive powers are united in the same person, or the same body of magistrates, there can be no liberty…there is no liberty if the powers of judging are not separated from the legislative and execut</w:t>
      </w:r>
      <w:r>
        <w:rPr>
          <w:i/>
          <w:iCs/>
        </w:rPr>
        <w:t>ive…there would be an end to everything if the same man or the same body…were to exercise those three powers</w:t>
      </w:r>
      <w:r>
        <w:rPr>
          <w:b/>
          <w:bCs/>
          <w:i/>
          <w:iCs/>
        </w:rPr>
        <w:t>”</w:t>
      </w:r>
      <w:r>
        <w:t>. It was way back in 1748 when he emphasized the importance of dividing government into the hands of just a few individuals. It’s amazing how his insights from centuries ago still hold today.  Let’s say you’re at a coffee shop and you notice the barista taking orders, making coffee, and handling payments. In this scenario, the barista represents the executive branch, responsible for carrying out dail</w:t>
      </w:r>
      <w:r>
        <w:t>y operations. The customers, including you, represent the legislative branch as you have the power to make choices and give instructions by placing orders. Finally, the manager of the coffee shop acts as the judicial branch, ensuring that everything is running smoothly, resolving any conflicts, and making sure the barista follows the rules and regulations. This way, power is divided, and each branch has its role in maintaining a well-functioning coffee shop.</w:t>
      </w:r>
    </w:p>
    <w:p w14:paraId="4582CE30" w14:textId="77777777" w:rsidR="00AF690B" w:rsidRDefault="00D23E1E">
      <w:pPr>
        <w:jc w:val="both"/>
      </w:pPr>
      <w:r>
        <w:t xml:space="preserve">  Basically, in the UK, Parliament plays a crucial role in holding the executive accountable. The House of Commons, being the elected chamber, has the primary responsibility for scrutinizing the executive’s policies and actions. They question ministers and senior officials, making them publicly account for their decisions. While the House of Lords has a secondary role in scrutinizing the executive, it can still contribute significantly to Parliament’s overall task. The House of Commons holds the power to br</w:t>
      </w:r>
      <w:r>
        <w:t xml:space="preserve">ing down government through a motion of no confidence. </w:t>
      </w:r>
      <w:r>
        <w:rPr>
          <w:i/>
          <w:iCs/>
          <w:u w:val="single"/>
        </w:rPr>
        <w:t>(Parliament, 2011)</w:t>
      </w:r>
      <w:r>
        <w:t xml:space="preserve"> On the other hand, The House of Lords has unique strengths that can contribute to maintaining high standards of scrutiny. The House has various means of scrutinizing the executive, such as oral or written questions, debates, select committees, and the presentation of papers. While active scrutiny involves direct interaction, passive scrutiny includes the publication of written statements and the laying of papers. It’s important to str</w:t>
      </w:r>
      <w:r>
        <w:t>ike a balance between holding the executive accountable and providing a forum for discussion. Just like in the House of Commons, debates in this format are split into two sides: the proposition (or government) and the opposition. Each side has opening and closing teams, with two speakers on each team. They are named after their equivalent positions in the British Parliament. The opening proposition consists of the MP and Deputy Prime Minister, while the opening opposition includes the Leader of the Oppositi</w:t>
      </w:r>
      <w:r>
        <w:t xml:space="preserve">on and Deputy Leader of the Opposition. The speaker takes turns presenting their arguments either argument either in favor of or against the motion being debated. </w:t>
      </w:r>
    </w:p>
    <w:p w14:paraId="4582CE31" w14:textId="77777777" w:rsidR="00AF690B" w:rsidRDefault="00D23E1E">
      <w:pPr>
        <w:jc w:val="both"/>
      </w:pPr>
      <w:r>
        <w:t xml:space="preserve">    Select committees play a crucial role in both the House of Lords and the House of Commons according to </w:t>
      </w:r>
      <w:r>
        <w:rPr>
          <w:i/>
          <w:iCs/>
          <w:u w:val="single"/>
        </w:rPr>
        <w:t>Team (2020)</w:t>
      </w:r>
      <w:r>
        <w:t>. They have the responsibility of checking and reporting on various areas, including government departments and economic affairs. These committees conduct inquiries on specific topics, and their findings are made public. In many cases, the government is required to respond to the outcome of these inquiries. The select committee also engages with the public through correspondence, events, surveys, round-table discussions, and visits. It’s a comprehensive approach to gathering information and ensur</w:t>
      </w:r>
      <w:r>
        <w:t xml:space="preserve">ing accountability. It’s clear that the UK Parliament, with the House of Commons and the House of Lords, plays a vital role in holding the executive accountable. The House of Commons, as the elected chamber, has the primary responsibility for scrutinizing the executive’s policies and actions. They question ministers and officials, making them publicly account for their decisions. Meanwhile, with expertise, a less partisan nature, and dedicated time, the House of Lords contributes significantly to scrutiny. </w:t>
      </w:r>
      <w:r>
        <w:t xml:space="preserve">Both </w:t>
      </w:r>
      <w:r>
        <w:lastRenderedPageBreak/>
        <w:t xml:space="preserve">chambers ensure transparency and effective governance through various means like questions, debates, select committees, and papers. It’s a fascinating system that balances accountability and discussion according to </w:t>
      </w:r>
      <w:r>
        <w:rPr>
          <w:rFonts w:ascii="Roboto" w:hAnsi="Roboto"/>
          <w:b/>
          <w:bCs/>
          <w:color w:val="2C3E50"/>
          <w:sz w:val="23"/>
          <w:szCs w:val="23"/>
          <w:shd w:val="clear" w:color="auto" w:fill="FFFFFF"/>
        </w:rPr>
        <w:t>(</w:t>
      </w:r>
      <w:r>
        <w:rPr>
          <w:b/>
          <w:bCs/>
          <w:i/>
          <w:iCs/>
          <w:color w:val="2C3E50"/>
          <w:u w:val="single"/>
          <w:shd w:val="clear" w:color="auto" w:fill="FFFFFF"/>
        </w:rPr>
        <w:t>Enfranchiser’s Blog, 2010).</w:t>
      </w:r>
      <w:r>
        <w:rPr>
          <w:i/>
          <w:iCs/>
          <w:color w:val="2C3E50"/>
          <w:u w:val="single"/>
          <w:shd w:val="clear" w:color="auto" w:fill="FFFFFF"/>
        </w:rPr>
        <w:t xml:space="preserve"> </w:t>
      </w:r>
    </w:p>
    <w:p w14:paraId="4582CE32" w14:textId="77777777" w:rsidR="00AF690B" w:rsidRDefault="00D23E1E">
      <w:pPr>
        <w:jc w:val="both"/>
      </w:pPr>
      <w:r>
        <w:rPr>
          <w:color w:val="2C3E50"/>
          <w:shd w:val="clear" w:color="auto" w:fill="FFFFFF"/>
        </w:rPr>
        <w:t xml:space="preserve">    </w:t>
      </w:r>
      <w:r>
        <w:rPr>
          <w:color w:val="000000"/>
          <w:shd w:val="clear" w:color="auto" w:fill="FFFFFF"/>
        </w:rPr>
        <w:t xml:space="preserve">There are a few things to consider about the </w:t>
      </w:r>
      <w:r>
        <w:rPr>
          <w:rFonts w:cs="Arial"/>
        </w:rPr>
        <w:t xml:space="preserve">advantages and disadvantages of how the executive is held to </w:t>
      </w:r>
      <w:r>
        <w:rPr>
          <w:rFonts w:cs="Arial"/>
        </w:rPr>
        <w:t>account. On the positive side, the executive branch, led by the Prime Minister, can make decisions quickly and take action efficiently. This allows for effective governance and policy implementation. Additionally, the executive is accountable to the Parliament, which means they can be held responsible for their actions through various means and scrutiny. However, there are also some drawbacks to consider. The executive branch holds significant power, which leads to a concentration of authority and potential</w:t>
      </w:r>
      <w:r>
        <w:rPr>
          <w:rFonts w:cs="Arial"/>
        </w:rPr>
        <w:t>ly limits the effectiveness of checks and balances. There is also a risk of the misuse or abuse of power by those in authority, which could undermine democratic principles. Lastly, since the executive is not directly elected by the people, there may be concerns about the representation of diverse interests and voices. When it comes to reform suggestions for the executive branch according to</w:t>
      </w:r>
      <w:r>
        <w:rPr>
          <w:rFonts w:ascii="Roboto" w:hAnsi="Roboto"/>
          <w:color w:val="2C3E50"/>
          <w:sz w:val="23"/>
          <w:szCs w:val="23"/>
          <w:shd w:val="clear" w:color="auto" w:fill="FFFFFF"/>
        </w:rPr>
        <w:t>,</w:t>
      </w:r>
      <w:r>
        <w:rPr>
          <w:rFonts w:cs="Arial"/>
        </w:rPr>
        <w:t xml:space="preserve"> the </w:t>
      </w:r>
      <w:r>
        <w:rPr>
          <w:rFonts w:cs="Arial"/>
          <w:b/>
          <w:bCs/>
          <w:i/>
          <w:iCs/>
          <w:u w:val="single"/>
        </w:rPr>
        <w:t>Commission on</w:t>
      </w:r>
      <w:r>
        <w:rPr>
          <w:rFonts w:cs="Arial"/>
          <w:i/>
          <w:iCs/>
          <w:u w:val="single"/>
        </w:rPr>
        <w:t xml:space="preserve"> </w:t>
      </w:r>
      <w:r>
        <w:rPr>
          <w:rFonts w:cs="Arial"/>
          <w:b/>
          <w:bCs/>
          <w:i/>
          <w:iCs/>
          <w:u w:val="single"/>
        </w:rPr>
        <w:t>Political Power. (n. d.)</w:t>
      </w:r>
      <w:r>
        <w:rPr>
          <w:rFonts w:cs="Arial"/>
        </w:rPr>
        <w:t xml:space="preserve"> few ideas have been discussed. One suggestion is to enhance the accountabi</w:t>
      </w:r>
      <w:r>
        <w:rPr>
          <w:rFonts w:cs="Arial"/>
        </w:rPr>
        <w:t>lity of the executive by strengthening the role of the select committee in scrutinizing the government’s actions. Another suggestion is to introduce greater transparency in decision-making processes, ensuring that important decisions are made with proper consultation and public input. Additionally, some propose the idea of introducing term limits for the Prime Minister or limiting their powers to prevent potential abuses. It’s crucial to establish a clear understanding of the execution, power, and responsib</w:t>
      </w:r>
      <w:r>
        <w:rPr>
          <w:rFonts w:cs="Arial"/>
        </w:rPr>
        <w:t xml:space="preserve">ilities of these positions. Currently, they lack a legal foundation, which can lead to confusion and uncertainty. Introducing legislation that outlines the specific roles and their associated duties, democratic functions, and limitations would provide much-needed clarity. This way, everyone involved can have a better understanding of what these positions entail.  </w:t>
      </w:r>
    </w:p>
    <w:p w14:paraId="4582CE33" w14:textId="77777777" w:rsidR="00AF690B" w:rsidRDefault="00AF690B">
      <w:pPr>
        <w:jc w:val="both"/>
      </w:pPr>
    </w:p>
    <w:p w14:paraId="4582CE34" w14:textId="77777777" w:rsidR="00AF690B" w:rsidRDefault="00AF690B">
      <w:pPr>
        <w:jc w:val="both"/>
      </w:pPr>
    </w:p>
    <w:p w14:paraId="4582CE35" w14:textId="77777777" w:rsidR="00AF690B" w:rsidRDefault="00D23E1E">
      <w:pPr>
        <w:jc w:val="both"/>
      </w:pPr>
      <w:r>
        <w:t xml:space="preserve">  </w:t>
      </w:r>
    </w:p>
    <w:p w14:paraId="4582CE36" w14:textId="77777777" w:rsidR="00AF690B" w:rsidRDefault="00AF690B"/>
    <w:p w14:paraId="4582CE37" w14:textId="77777777" w:rsidR="00AF690B" w:rsidRDefault="00AF690B"/>
    <w:p w14:paraId="4582CE38" w14:textId="77777777" w:rsidR="00AF690B" w:rsidRDefault="00AF690B"/>
    <w:p w14:paraId="4582CE39" w14:textId="77777777" w:rsidR="00AF690B" w:rsidRDefault="00AF690B"/>
    <w:p w14:paraId="4582CE3A" w14:textId="77777777" w:rsidR="00AF690B" w:rsidRDefault="00AF690B"/>
    <w:p w14:paraId="4582CE3B" w14:textId="77777777" w:rsidR="00AF690B" w:rsidRDefault="00D23E1E">
      <w:pPr>
        <w:pStyle w:val="NormalWeb"/>
        <w:rPr>
          <w:rFonts w:ascii="Calibri" w:hAnsi="Calibri" w:cs="Calibri"/>
          <w:color w:val="000000"/>
          <w:sz w:val="27"/>
          <w:szCs w:val="27"/>
        </w:rPr>
      </w:pPr>
      <w:r>
        <w:rPr>
          <w:rFonts w:ascii="Calibri" w:hAnsi="Calibri" w:cs="Calibri"/>
          <w:color w:val="000000"/>
          <w:sz w:val="27"/>
          <w:szCs w:val="27"/>
        </w:rPr>
        <w:t>‌</w:t>
      </w:r>
    </w:p>
    <w:p w14:paraId="4582CE3C" w14:textId="77777777" w:rsidR="00AF690B" w:rsidRDefault="00AF690B"/>
    <w:p w14:paraId="4582CE3D" w14:textId="77777777" w:rsidR="00AF690B" w:rsidRDefault="00AF690B"/>
    <w:p w14:paraId="4582CE3E" w14:textId="77777777" w:rsidR="00AF690B" w:rsidRDefault="00AF690B">
      <w:pPr>
        <w:pStyle w:val="NormalWeb"/>
        <w:spacing w:before="0" w:after="0" w:line="360" w:lineRule="atLeast"/>
        <w:rPr>
          <w:rFonts w:ascii="Calibri" w:hAnsi="Calibri" w:cs="Calibri"/>
          <w:color w:val="000000"/>
          <w:sz w:val="27"/>
          <w:szCs w:val="27"/>
        </w:rPr>
      </w:pPr>
    </w:p>
    <w:p w14:paraId="4582CE3F" w14:textId="77777777" w:rsidR="00AF690B" w:rsidRDefault="00D23E1E">
      <w:pPr>
        <w:pStyle w:val="NormalWeb"/>
        <w:rPr>
          <w:rFonts w:ascii="Calibri" w:hAnsi="Calibri" w:cs="Calibri"/>
          <w:color w:val="000000"/>
          <w:sz w:val="27"/>
          <w:szCs w:val="27"/>
        </w:rPr>
      </w:pPr>
      <w:r>
        <w:rPr>
          <w:rFonts w:ascii="Calibri" w:hAnsi="Calibri" w:cs="Calibri"/>
          <w:color w:val="000000"/>
          <w:sz w:val="27"/>
          <w:szCs w:val="27"/>
        </w:rPr>
        <w:t>‌References:</w:t>
      </w:r>
    </w:p>
    <w:p w14:paraId="4582CE40" w14:textId="77777777" w:rsidR="00AF690B" w:rsidRDefault="00AF690B"/>
    <w:p w14:paraId="4582CE41" w14:textId="77777777" w:rsidR="00AF690B" w:rsidRDefault="00AF690B"/>
    <w:p w14:paraId="4582CE42" w14:textId="77777777" w:rsidR="00AF690B" w:rsidRDefault="00AF690B"/>
    <w:p w14:paraId="4582CE43" w14:textId="77777777" w:rsidR="00AF690B" w:rsidRDefault="00D23E1E">
      <w:pPr>
        <w:pStyle w:val="ListParagraph"/>
        <w:numPr>
          <w:ilvl w:val="0"/>
          <w:numId w:val="1"/>
        </w:numPr>
        <w:rPr>
          <w:b/>
          <w:bCs/>
          <w:i/>
          <w:iCs/>
          <w:sz w:val="16"/>
          <w:szCs w:val="16"/>
        </w:rPr>
      </w:pPr>
      <w:r>
        <w:rPr>
          <w:b/>
          <w:bCs/>
          <w:i/>
          <w:iCs/>
          <w:sz w:val="16"/>
          <w:szCs w:val="16"/>
        </w:rPr>
        <w:t xml:space="preserve">The Constitution Society (2022). The executive. [online] The Constitution Society. Available at: </w:t>
      </w:r>
      <w:r>
        <w:rPr>
          <w:b/>
          <w:bCs/>
          <w:i/>
          <w:iCs/>
          <w:sz w:val="16"/>
          <w:szCs w:val="16"/>
        </w:rPr>
        <w:t>https://consoc.org.uk/the-constitution-explained/the-executive/.</w:t>
      </w:r>
    </w:p>
    <w:p w14:paraId="4582CE44" w14:textId="77777777" w:rsidR="00AF690B" w:rsidRDefault="00D23E1E">
      <w:r>
        <w:rPr>
          <w:b/>
          <w:bCs/>
          <w:i/>
          <w:iCs/>
          <w:sz w:val="16"/>
          <w:szCs w:val="16"/>
        </w:rPr>
        <w:t>(Accessed 15</w:t>
      </w:r>
      <w:r>
        <w:rPr>
          <w:b/>
          <w:bCs/>
          <w:i/>
          <w:iCs/>
          <w:sz w:val="16"/>
          <w:szCs w:val="16"/>
          <w:vertAlign w:val="superscript"/>
        </w:rPr>
        <w:t>th</w:t>
      </w:r>
      <w:r>
        <w:rPr>
          <w:b/>
          <w:bCs/>
          <w:i/>
          <w:iCs/>
          <w:sz w:val="16"/>
          <w:szCs w:val="16"/>
        </w:rPr>
        <w:t xml:space="preserve"> February 2024)</w:t>
      </w:r>
    </w:p>
    <w:p w14:paraId="4582CE45" w14:textId="77777777" w:rsidR="00AF690B" w:rsidRDefault="00D23E1E">
      <w:pPr>
        <w:pStyle w:val="ListParagraph"/>
        <w:numPr>
          <w:ilvl w:val="0"/>
          <w:numId w:val="1"/>
        </w:numPr>
        <w:suppressAutoHyphens w:val="0"/>
        <w:spacing w:after="0" w:line="360" w:lineRule="atLeast"/>
        <w:rPr>
          <w:rFonts w:eastAsia="Times New Roman" w:cs="Calibri"/>
          <w:b/>
          <w:bCs/>
          <w:i/>
          <w:iCs/>
          <w:color w:val="000000"/>
          <w:kern w:val="0"/>
          <w:sz w:val="16"/>
          <w:szCs w:val="16"/>
          <w:lang w:eastAsia="en-GB"/>
        </w:rPr>
      </w:pPr>
      <w:r>
        <w:rPr>
          <w:rFonts w:eastAsia="Times New Roman" w:cs="Calibri"/>
          <w:b/>
          <w:bCs/>
          <w:i/>
          <w:iCs/>
          <w:color w:val="000000"/>
          <w:kern w:val="0"/>
          <w:sz w:val="16"/>
          <w:szCs w:val="16"/>
          <w:lang w:eastAsia="en-GB"/>
        </w:rPr>
        <w:t xml:space="preserve">Government of the UK (2022). How Government Works - GOV.UK. [online] Www.gov.uk. Available at: </w:t>
      </w:r>
      <w:r>
        <w:rPr>
          <w:rFonts w:eastAsia="Times New Roman" w:cs="Calibri"/>
          <w:b/>
          <w:bCs/>
          <w:i/>
          <w:iCs/>
          <w:color w:val="000000"/>
          <w:kern w:val="0"/>
          <w:sz w:val="16"/>
          <w:szCs w:val="16"/>
          <w:lang w:eastAsia="en-GB"/>
        </w:rPr>
        <w:t>https://www.gov.uk/government/how-government-works.</w:t>
      </w:r>
    </w:p>
    <w:p w14:paraId="4582CE46" w14:textId="77777777" w:rsidR="00AF690B" w:rsidRDefault="00D23E1E">
      <w:pPr>
        <w:suppressAutoHyphens w:val="0"/>
        <w:spacing w:before="100" w:after="100" w:line="240" w:lineRule="auto"/>
      </w:pPr>
      <w:r>
        <w:rPr>
          <w:rFonts w:ascii="Calibri" w:eastAsia="Times New Roman" w:hAnsi="Calibri" w:cs="Calibri"/>
          <w:color w:val="000000"/>
          <w:kern w:val="0"/>
          <w:sz w:val="27"/>
          <w:szCs w:val="27"/>
          <w:lang w:eastAsia="en-GB"/>
        </w:rPr>
        <w:t>‌</w:t>
      </w:r>
      <w:r>
        <w:rPr>
          <w:b/>
          <w:bCs/>
          <w:i/>
          <w:iCs/>
          <w:sz w:val="16"/>
          <w:szCs w:val="16"/>
        </w:rPr>
        <w:t>(Accessed 19</w:t>
      </w:r>
      <w:r>
        <w:rPr>
          <w:b/>
          <w:bCs/>
          <w:i/>
          <w:iCs/>
          <w:sz w:val="16"/>
          <w:szCs w:val="16"/>
          <w:vertAlign w:val="superscript"/>
        </w:rPr>
        <w:t>th</w:t>
      </w:r>
      <w:r>
        <w:rPr>
          <w:b/>
          <w:bCs/>
          <w:i/>
          <w:iCs/>
          <w:sz w:val="16"/>
          <w:szCs w:val="16"/>
        </w:rPr>
        <w:t xml:space="preserve"> February 2024)</w:t>
      </w:r>
    </w:p>
    <w:p w14:paraId="4582CE47" w14:textId="77777777" w:rsidR="00AF690B" w:rsidRDefault="00D23E1E">
      <w:pPr>
        <w:pStyle w:val="ListParagraph"/>
        <w:numPr>
          <w:ilvl w:val="0"/>
          <w:numId w:val="1"/>
        </w:numPr>
      </w:pPr>
      <w:r>
        <w:rPr>
          <w:b/>
          <w:bCs/>
          <w:i/>
          <w:iCs/>
          <w:sz w:val="16"/>
          <w:szCs w:val="16"/>
        </w:rPr>
        <w:t xml:space="preserve">Benwell, R. and Gay, O. (2011). The Separation of Powers. [online] Parliament. uk. Available at: </w:t>
      </w:r>
      <w:hyperlink r:id="rId8" w:history="1">
        <w:r>
          <w:rPr>
            <w:rStyle w:val="Hyperlink"/>
            <w:b/>
            <w:bCs/>
            <w:i/>
            <w:iCs/>
            <w:sz w:val="16"/>
            <w:szCs w:val="16"/>
          </w:rPr>
          <w:t>https://researchbriefings.files.parliament.uk/documents/SN06053/SN06053.pdf</w:t>
        </w:r>
      </w:hyperlink>
      <w:r>
        <w:rPr>
          <w:b/>
          <w:bCs/>
          <w:i/>
          <w:iCs/>
          <w:sz w:val="16"/>
          <w:szCs w:val="16"/>
        </w:rPr>
        <w:t>.</w:t>
      </w:r>
    </w:p>
    <w:p w14:paraId="4582CE48" w14:textId="77777777" w:rsidR="00AF690B" w:rsidRDefault="00D23E1E">
      <w:r>
        <w:rPr>
          <w:b/>
          <w:bCs/>
          <w:i/>
          <w:iCs/>
          <w:sz w:val="16"/>
          <w:szCs w:val="16"/>
        </w:rPr>
        <w:t>(Accessed 25</w:t>
      </w:r>
      <w:r>
        <w:rPr>
          <w:b/>
          <w:bCs/>
          <w:i/>
          <w:iCs/>
          <w:sz w:val="16"/>
          <w:szCs w:val="16"/>
          <w:vertAlign w:val="superscript"/>
        </w:rPr>
        <w:t>th</w:t>
      </w:r>
      <w:r>
        <w:rPr>
          <w:b/>
          <w:bCs/>
          <w:i/>
          <w:iCs/>
          <w:sz w:val="16"/>
          <w:szCs w:val="16"/>
        </w:rPr>
        <w:t xml:space="preserve"> February 2024)</w:t>
      </w:r>
    </w:p>
    <w:p w14:paraId="4582CE49" w14:textId="77777777" w:rsidR="00AF690B" w:rsidRDefault="00D23E1E">
      <w:pPr>
        <w:pStyle w:val="ListParagraph"/>
        <w:numPr>
          <w:ilvl w:val="0"/>
          <w:numId w:val="1"/>
        </w:numPr>
        <w:rPr>
          <w:b/>
          <w:bCs/>
          <w:i/>
          <w:iCs/>
          <w:sz w:val="16"/>
          <w:szCs w:val="16"/>
        </w:rPr>
      </w:pPr>
      <w:r>
        <w:rPr>
          <w:b/>
          <w:bCs/>
          <w:i/>
          <w:iCs/>
          <w:sz w:val="16"/>
          <w:szCs w:val="16"/>
        </w:rPr>
        <w:t>Separation of Powers. (n.d.). Available at: https://www.supremecourt.uk/docs/separation-of-powers-worksheets-for-students.pdf.</w:t>
      </w:r>
    </w:p>
    <w:p w14:paraId="4582CE4A" w14:textId="77777777" w:rsidR="00AF690B" w:rsidRDefault="00D23E1E">
      <w:r>
        <w:rPr>
          <w:b/>
          <w:bCs/>
          <w:i/>
          <w:iCs/>
          <w:sz w:val="16"/>
          <w:szCs w:val="16"/>
        </w:rPr>
        <w:t>(Accessed 1</w:t>
      </w:r>
      <w:r>
        <w:rPr>
          <w:b/>
          <w:bCs/>
          <w:i/>
          <w:iCs/>
          <w:sz w:val="16"/>
          <w:szCs w:val="16"/>
          <w:vertAlign w:val="superscript"/>
        </w:rPr>
        <w:t>st</w:t>
      </w:r>
      <w:r>
        <w:rPr>
          <w:b/>
          <w:bCs/>
          <w:i/>
          <w:iCs/>
          <w:sz w:val="16"/>
          <w:szCs w:val="16"/>
        </w:rPr>
        <w:t xml:space="preserve"> March 2024)</w:t>
      </w:r>
    </w:p>
    <w:p w14:paraId="4582CE4B" w14:textId="77777777" w:rsidR="00AF690B" w:rsidRDefault="00D23E1E">
      <w:pPr>
        <w:pStyle w:val="ListParagraph"/>
        <w:numPr>
          <w:ilvl w:val="0"/>
          <w:numId w:val="1"/>
        </w:numPr>
        <w:rPr>
          <w:b/>
          <w:bCs/>
          <w:i/>
          <w:iCs/>
          <w:sz w:val="16"/>
          <w:szCs w:val="16"/>
        </w:rPr>
      </w:pPr>
      <w:r>
        <w:rPr>
          <w:b/>
          <w:bCs/>
          <w:i/>
          <w:iCs/>
          <w:sz w:val="16"/>
          <w:szCs w:val="16"/>
        </w:rPr>
        <w:t>Parliament. uk. (2011). House of Lords - Report of the Leader’s Group on Working Practices - Leader’s Group on Working Practices. [online] Available at: https://publications.parliament.uk/pa/ld201012/ldselect/ldspeak/136/13605.htm.</w:t>
      </w:r>
    </w:p>
    <w:p w14:paraId="4582CE4C" w14:textId="77777777" w:rsidR="00AF690B" w:rsidRDefault="00D23E1E">
      <w:r>
        <w:rPr>
          <w:b/>
          <w:bCs/>
          <w:i/>
          <w:iCs/>
          <w:sz w:val="16"/>
          <w:szCs w:val="16"/>
        </w:rPr>
        <w:t>(Accessed 2</w:t>
      </w:r>
      <w:r>
        <w:rPr>
          <w:b/>
          <w:bCs/>
          <w:i/>
          <w:iCs/>
          <w:sz w:val="16"/>
          <w:szCs w:val="16"/>
          <w:vertAlign w:val="superscript"/>
        </w:rPr>
        <w:t>nd</w:t>
      </w:r>
      <w:r>
        <w:rPr>
          <w:b/>
          <w:bCs/>
          <w:i/>
          <w:iCs/>
          <w:sz w:val="16"/>
          <w:szCs w:val="16"/>
        </w:rPr>
        <w:t xml:space="preserve"> March 2024)</w:t>
      </w:r>
    </w:p>
    <w:p w14:paraId="4582CE4D" w14:textId="77777777" w:rsidR="00AF690B" w:rsidRDefault="00D23E1E">
      <w:pPr>
        <w:pStyle w:val="ListParagraph"/>
        <w:numPr>
          <w:ilvl w:val="0"/>
          <w:numId w:val="1"/>
        </w:numPr>
        <w:rPr>
          <w:b/>
          <w:bCs/>
          <w:i/>
          <w:iCs/>
          <w:sz w:val="16"/>
          <w:szCs w:val="16"/>
        </w:rPr>
      </w:pPr>
      <w:r>
        <w:rPr>
          <w:b/>
          <w:bCs/>
          <w:i/>
          <w:iCs/>
          <w:sz w:val="16"/>
          <w:szCs w:val="16"/>
        </w:rPr>
        <w:t>Team, T.O.S. (2020). What Is British Parliamentary Style Debate? [online] Oxford Summer School 2023 | Oxford Scholastica Academy. Available at: https://www.oxfordscholastica.com/blog/what-is-british-parliamentary-style-debate/.</w:t>
      </w:r>
    </w:p>
    <w:p w14:paraId="4582CE4E" w14:textId="77777777" w:rsidR="00AF690B" w:rsidRDefault="00D23E1E">
      <w:pPr>
        <w:rPr>
          <w:b/>
          <w:bCs/>
          <w:i/>
          <w:iCs/>
          <w:sz w:val="16"/>
          <w:szCs w:val="16"/>
        </w:rPr>
      </w:pPr>
      <w:r>
        <w:rPr>
          <w:b/>
          <w:bCs/>
          <w:i/>
          <w:iCs/>
          <w:sz w:val="16"/>
          <w:szCs w:val="16"/>
        </w:rPr>
        <w:t>(Accessed 6th March 2024)</w:t>
      </w:r>
    </w:p>
    <w:p w14:paraId="4582CE4F" w14:textId="77777777" w:rsidR="00AF690B" w:rsidRDefault="00D23E1E">
      <w:pPr>
        <w:pStyle w:val="ListParagraph"/>
        <w:numPr>
          <w:ilvl w:val="0"/>
          <w:numId w:val="1"/>
        </w:numPr>
        <w:rPr>
          <w:b/>
          <w:bCs/>
          <w:i/>
          <w:iCs/>
          <w:sz w:val="16"/>
          <w:szCs w:val="16"/>
        </w:rPr>
      </w:pPr>
      <w:r>
        <w:rPr>
          <w:b/>
          <w:bCs/>
          <w:i/>
          <w:iCs/>
          <w:sz w:val="16"/>
          <w:szCs w:val="16"/>
        </w:rPr>
        <w:t xml:space="preserve">Enfranchiser’s Blog. (2010). Advantages &amp; Disadvantages of a Parliamentary System. [online] Available at: </w:t>
      </w:r>
      <w:r>
        <w:rPr>
          <w:b/>
          <w:bCs/>
          <w:i/>
          <w:iCs/>
          <w:sz w:val="16"/>
          <w:szCs w:val="16"/>
        </w:rPr>
        <w:t>https://enfranchise.wordpress.com/advantages-disadvantages-of-a-parliamentary-system/.</w:t>
      </w:r>
    </w:p>
    <w:p w14:paraId="4582CE50" w14:textId="77777777" w:rsidR="00AF690B" w:rsidRDefault="00D23E1E">
      <w:r>
        <w:rPr>
          <w:b/>
          <w:bCs/>
          <w:i/>
          <w:iCs/>
          <w:sz w:val="16"/>
          <w:szCs w:val="16"/>
        </w:rPr>
        <w:t>(Accessed 8</w:t>
      </w:r>
      <w:r>
        <w:rPr>
          <w:b/>
          <w:bCs/>
          <w:i/>
          <w:iCs/>
          <w:sz w:val="16"/>
          <w:szCs w:val="16"/>
          <w:vertAlign w:val="superscript"/>
        </w:rPr>
        <w:t>th</w:t>
      </w:r>
      <w:r>
        <w:rPr>
          <w:b/>
          <w:bCs/>
          <w:i/>
          <w:iCs/>
          <w:sz w:val="16"/>
          <w:szCs w:val="16"/>
        </w:rPr>
        <w:t xml:space="preserve">  March 2024)</w:t>
      </w:r>
    </w:p>
    <w:p w14:paraId="4582CE51" w14:textId="77777777" w:rsidR="00AF690B" w:rsidRDefault="00D23E1E">
      <w:pPr>
        <w:pStyle w:val="ListParagraph"/>
        <w:numPr>
          <w:ilvl w:val="0"/>
          <w:numId w:val="1"/>
        </w:numPr>
      </w:pPr>
      <w:r>
        <w:rPr>
          <w:b/>
          <w:bCs/>
          <w:i/>
          <w:iCs/>
          <w:sz w:val="16"/>
          <w:szCs w:val="16"/>
        </w:rPr>
        <w:t xml:space="preserve">Commission on Political Power. (n.d.). OPTIONS PAPER: EXECUTIVE REFORM. [online] Available at: </w:t>
      </w:r>
      <w:hyperlink r:id="rId9" w:history="1">
        <w:r>
          <w:rPr>
            <w:rStyle w:val="Hyperlink"/>
            <w:b/>
            <w:bCs/>
            <w:i/>
            <w:iCs/>
            <w:sz w:val="16"/>
            <w:szCs w:val="16"/>
          </w:rPr>
          <w:t>https://commissionpoliticalpower.uk/publications/executivereform</w:t>
        </w:r>
      </w:hyperlink>
      <w:r>
        <w:rPr>
          <w:b/>
          <w:bCs/>
          <w:i/>
          <w:iCs/>
          <w:sz w:val="16"/>
          <w:szCs w:val="16"/>
        </w:rPr>
        <w:t xml:space="preserve"> </w:t>
      </w:r>
    </w:p>
    <w:p w14:paraId="4582CE52" w14:textId="77777777" w:rsidR="00AF690B" w:rsidRDefault="00D23E1E">
      <w:pPr>
        <w:rPr>
          <w:b/>
          <w:bCs/>
          <w:i/>
          <w:iCs/>
          <w:sz w:val="16"/>
          <w:szCs w:val="16"/>
        </w:rPr>
      </w:pPr>
      <w:r>
        <w:rPr>
          <w:b/>
          <w:bCs/>
          <w:i/>
          <w:iCs/>
          <w:sz w:val="16"/>
          <w:szCs w:val="16"/>
        </w:rPr>
        <w:t>(Accessed 9th March 2024)</w:t>
      </w:r>
    </w:p>
    <w:p w14:paraId="4582CE53" w14:textId="77777777" w:rsidR="00AF690B" w:rsidRDefault="00D23E1E">
      <w:pPr>
        <w:pStyle w:val="ListParagraph"/>
        <w:numPr>
          <w:ilvl w:val="0"/>
          <w:numId w:val="1"/>
        </w:numPr>
        <w:rPr>
          <w:b/>
          <w:bCs/>
          <w:i/>
          <w:iCs/>
          <w:sz w:val="16"/>
          <w:szCs w:val="16"/>
        </w:rPr>
      </w:pPr>
      <w:r>
        <w:rPr>
          <w:b/>
          <w:bCs/>
          <w:i/>
          <w:iCs/>
          <w:sz w:val="16"/>
          <w:szCs w:val="16"/>
        </w:rPr>
        <w:t>www.law.gov.wales. (2021). The three branches of government | Law Wales. [online]               Available at: https://law.gov.wales/three-branches-government.</w:t>
      </w:r>
    </w:p>
    <w:p w14:paraId="4582CE54" w14:textId="77777777" w:rsidR="00AF690B" w:rsidRDefault="00D23E1E">
      <w:pPr>
        <w:rPr>
          <w:b/>
          <w:bCs/>
          <w:i/>
          <w:iCs/>
          <w:sz w:val="16"/>
          <w:szCs w:val="16"/>
        </w:rPr>
      </w:pPr>
      <w:r>
        <w:rPr>
          <w:b/>
          <w:bCs/>
          <w:i/>
          <w:iCs/>
          <w:sz w:val="16"/>
          <w:szCs w:val="16"/>
        </w:rPr>
        <w:t>(Accessed 11th March 2024 )</w:t>
      </w:r>
    </w:p>
    <w:p w14:paraId="4582CE55" w14:textId="77777777" w:rsidR="00AF690B" w:rsidRDefault="00D23E1E">
      <w:pPr>
        <w:pStyle w:val="ListParagraph"/>
        <w:numPr>
          <w:ilvl w:val="0"/>
          <w:numId w:val="1"/>
        </w:numPr>
        <w:rPr>
          <w:b/>
          <w:bCs/>
          <w:i/>
          <w:iCs/>
          <w:sz w:val="16"/>
          <w:szCs w:val="16"/>
        </w:rPr>
      </w:pPr>
      <w:r>
        <w:rPr>
          <w:b/>
          <w:bCs/>
          <w:i/>
          <w:iCs/>
          <w:sz w:val="16"/>
          <w:szCs w:val="16"/>
        </w:rPr>
        <w:t xml:space="preserve"> www.lexisnexis.co.uk. (n.d.). Executive powers | Constitutional and administrative law | Public Law | LexisNexis. [online] Available at: https://www.lexisnexis.co.uk/legal/public-law/constitutional-administrative-law/executive-powers.</w:t>
      </w:r>
    </w:p>
    <w:p w14:paraId="4582CE56" w14:textId="77777777" w:rsidR="00AF690B" w:rsidRDefault="00D23E1E">
      <w:r>
        <w:rPr>
          <w:b/>
          <w:bCs/>
          <w:i/>
          <w:iCs/>
          <w:sz w:val="16"/>
          <w:szCs w:val="16"/>
        </w:rPr>
        <w:t>(Accessed 13th March 2024 )</w:t>
      </w:r>
    </w:p>
    <w:sectPr w:rsidR="00AF690B">
      <w:headerReference w:type="default" r:id="rId10"/>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2CE2C" w14:textId="77777777" w:rsidR="00D23E1E" w:rsidRDefault="00D23E1E">
      <w:pPr>
        <w:spacing w:after="0" w:line="240" w:lineRule="auto"/>
      </w:pPr>
      <w:r>
        <w:separator/>
      </w:r>
    </w:p>
  </w:endnote>
  <w:endnote w:type="continuationSeparator" w:id="0">
    <w:p w14:paraId="4582CE2E" w14:textId="77777777" w:rsidR="00D23E1E" w:rsidRDefault="00D2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2CE33" w14:textId="77777777" w:rsidR="00D23E1E" w:rsidRDefault="00D23E1E">
    <w:pPr>
      <w:pStyle w:val="Footer"/>
      <w:jc w:val="right"/>
    </w:pPr>
    <w:r>
      <w:fldChar w:fldCharType="begin"/>
    </w:r>
    <w:r>
      <w:instrText xml:space="preserve"> PAGE </w:instrText>
    </w:r>
    <w:r>
      <w:fldChar w:fldCharType="separate"/>
    </w:r>
    <w:r>
      <w:t>2</w:t>
    </w:r>
    <w:r>
      <w:fldChar w:fldCharType="end"/>
    </w:r>
  </w:p>
  <w:p w14:paraId="4582CE34" w14:textId="77777777" w:rsidR="00D23E1E" w:rsidRDefault="00D23E1E">
    <w:pPr>
      <w:pStyle w:val="Footer"/>
      <w:rPr>
        <w:sz w:val="16"/>
        <w:szCs w:val="16"/>
      </w:rPr>
    </w:pPr>
    <w:r>
      <w:rPr>
        <w:sz w:val="16"/>
        <w:szCs w:val="16"/>
      </w:rPr>
      <w:t>Roxana Andreea Cimpan 2314721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2CE28" w14:textId="77777777" w:rsidR="00D23E1E" w:rsidRDefault="00D23E1E">
      <w:pPr>
        <w:spacing w:after="0" w:line="240" w:lineRule="auto"/>
      </w:pPr>
      <w:r>
        <w:rPr>
          <w:color w:val="000000"/>
        </w:rPr>
        <w:separator/>
      </w:r>
    </w:p>
  </w:footnote>
  <w:footnote w:type="continuationSeparator" w:id="0">
    <w:p w14:paraId="4582CE2A" w14:textId="77777777" w:rsidR="00D23E1E" w:rsidRDefault="00D23E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2CE30" w14:textId="77777777" w:rsidR="00D23E1E" w:rsidRDefault="00D23E1E">
    <w:pPr>
      <w:pStyle w:val="Header"/>
    </w:pPr>
    <w:r>
      <w:rPr>
        <w:rFonts w:cs="Arial"/>
        <w:b/>
        <w:sz w:val="16"/>
        <w:szCs w:val="16"/>
      </w:rPr>
      <w:t xml:space="preserve">LLB(Law and Legal Practice), Criminology and policing, Law and Criminology, Law and Policing, Psychology and Criminology Assessment </w:t>
    </w:r>
  </w:p>
  <w:p w14:paraId="4582CE31" w14:textId="77777777" w:rsidR="00D23E1E" w:rsidRDefault="00D23E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E5CBB"/>
    <w:multiLevelType w:val="multilevel"/>
    <w:tmpl w:val="54E2B6C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286281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F690B"/>
    <w:rsid w:val="00AF690B"/>
    <w:rsid w:val="00D23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82CE28"/>
  <w15:docId w15:val="{A3541F6C-B3C8-40B3-94E8-D4CF2B14C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053/SN06053.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xisnexis.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mmissionpoliticalpower.uk/publications/executiverefor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1797</Words>
  <Characters>10719</Characters>
  <Application>Microsoft Office Word</Application>
  <DocSecurity>0</DocSecurity>
  <Lines>165</Lines>
  <Paragraphs>28</Paragraphs>
  <ScaleCrop>false</ScaleCrop>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Cimpan</dc:creator>
  <dc:description/>
  <cp:lastModifiedBy>Roxana Cimpan</cp:lastModifiedBy>
  <cp:revision>2</cp:revision>
  <dcterms:created xsi:type="dcterms:W3CDTF">2024-03-15T14:29:00Z</dcterms:created>
  <dcterms:modified xsi:type="dcterms:W3CDTF">2024-03-15T14:29:00Z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1f8bb952-2867-45d3-8c7e-4b26e8ae20a7</vt:lpwstr>
  </property>
</Properties>
</file>