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63F7B" w:rsidRPr="00444880" w:rsidRDefault="00CC67D7" w:rsidP="005206F0">
      <w:pPr>
        <w:jc w:val="center"/>
        <w:rPr>
          <w:rFonts w:asciiTheme="minorHAnsi" w:eastAsia="Calibri" w:hAnsiTheme="minorHAnsi" w:cstheme="minorHAnsi"/>
          <w:b/>
        </w:rPr>
      </w:pPr>
      <w:r w:rsidRPr="00444880">
        <w:rPr>
          <w:rFonts w:asciiTheme="minorHAnsi" w:eastAsia="Calibri" w:hAnsiTheme="minorHAnsi" w:cstheme="minorHAnsi"/>
          <w:b/>
        </w:rPr>
        <w:t>Taking into consideration the political divisions evident in Germany during the 1920s, did reactions to civil disobedience and unrest within the Weimar state inevitably lead to autocratic and authoritarian rule?</w:t>
      </w:r>
    </w:p>
    <w:p w:rsidR="005206F0" w:rsidRPr="00444880" w:rsidRDefault="00CC67D7" w:rsidP="005206F0">
      <w:pPr>
        <w:jc w:val="center"/>
        <w:rPr>
          <w:rFonts w:asciiTheme="minorHAnsi" w:eastAsia="Calibri" w:hAnsiTheme="minorHAnsi" w:cstheme="minorHAnsi"/>
        </w:rPr>
      </w:pPr>
      <w:r w:rsidRPr="00444880">
        <w:rPr>
          <w:rFonts w:asciiTheme="minorHAnsi" w:eastAsia="Calibri" w:hAnsiTheme="minorHAnsi" w:cstheme="minorHAnsi"/>
        </w:rPr>
        <w:t>Essay by Marcin Gawlik</w:t>
      </w:r>
    </w:p>
    <w:p w:rsidR="005206F0" w:rsidRPr="00444880" w:rsidRDefault="003857CB" w:rsidP="005206F0">
      <w:pPr>
        <w:jc w:val="center"/>
        <w:rPr>
          <w:rFonts w:asciiTheme="minorHAnsi" w:eastAsia="Calibri" w:hAnsiTheme="minorHAnsi" w:cstheme="minorHAnsi"/>
        </w:rPr>
      </w:pPr>
    </w:p>
    <w:p w:rsidR="005206F0" w:rsidRPr="00444880" w:rsidRDefault="00CC67D7" w:rsidP="005206F0">
      <w:pPr>
        <w:rPr>
          <w:rFonts w:asciiTheme="minorHAnsi" w:eastAsia="Calibri" w:hAnsiTheme="minorHAnsi" w:cstheme="minorHAnsi"/>
        </w:rPr>
      </w:pPr>
      <w:r w:rsidRPr="00444880">
        <w:rPr>
          <w:rFonts w:asciiTheme="minorHAnsi" w:eastAsia="Calibri" w:hAnsiTheme="minorHAnsi" w:cstheme="minorHAnsi"/>
        </w:rPr>
        <w:t>Reactions to unrests within the Weimar state definitely helped lead to future authoritarian rule, however it was only one of the many reasons of this historical outcome. In my opinion the overall fatal policies of the Weimar state, the nationalistic tendencies in society and also the terrible politic</w:t>
      </w:r>
      <w:r w:rsidR="000352AC" w:rsidRPr="00444880">
        <w:rPr>
          <w:rFonts w:asciiTheme="minorHAnsi" w:eastAsia="Calibri" w:hAnsiTheme="minorHAnsi" w:cstheme="minorHAnsi"/>
        </w:rPr>
        <w:t xml:space="preserve"> </w:t>
      </w:r>
      <w:r w:rsidRPr="00444880">
        <w:rPr>
          <w:rFonts w:asciiTheme="minorHAnsi" w:eastAsia="Calibri" w:hAnsiTheme="minorHAnsi" w:cstheme="minorHAnsi"/>
        </w:rPr>
        <w:t>t</w:t>
      </w:r>
      <w:r w:rsidR="000352AC" w:rsidRPr="00444880">
        <w:rPr>
          <w:rFonts w:asciiTheme="minorHAnsi" w:eastAsia="Calibri" w:hAnsiTheme="minorHAnsi" w:cstheme="minorHAnsi"/>
        </w:rPr>
        <w:t>owards Ge</w:t>
      </w:r>
      <w:r w:rsidRPr="00444880">
        <w:rPr>
          <w:rFonts w:asciiTheme="minorHAnsi" w:eastAsia="Calibri" w:hAnsiTheme="minorHAnsi" w:cstheme="minorHAnsi"/>
        </w:rPr>
        <w:t xml:space="preserve">many by the victorious of the First World War, were the main causes of the future radicalisation of the Germany. </w:t>
      </w:r>
    </w:p>
    <w:p w:rsidR="002A4A32" w:rsidRDefault="00CC67D7" w:rsidP="005206F0">
      <w:pPr>
        <w:rPr>
          <w:rFonts w:asciiTheme="minorHAnsi" w:eastAsia="Calibri" w:hAnsiTheme="minorHAnsi" w:cstheme="minorHAnsi"/>
        </w:rPr>
      </w:pPr>
      <w:r w:rsidRPr="00444880">
        <w:rPr>
          <w:rFonts w:asciiTheme="minorHAnsi" w:eastAsia="Calibri" w:hAnsiTheme="minorHAnsi" w:cstheme="minorHAnsi"/>
        </w:rPr>
        <w:t xml:space="preserve">The Weimar Republic emerged as a result of 1918-1919 unrests. German society and economy was exhausted by the First World War and this was reflected in the November Revolution, in which the </w:t>
      </w:r>
      <w:r w:rsidR="000352AC" w:rsidRPr="00444880">
        <w:rPr>
          <w:rFonts w:asciiTheme="minorHAnsi" w:eastAsia="Calibri" w:hAnsiTheme="minorHAnsi" w:cstheme="minorHAnsi"/>
        </w:rPr>
        <w:t>monarchical</w:t>
      </w:r>
      <w:r w:rsidRPr="00444880">
        <w:rPr>
          <w:rFonts w:asciiTheme="minorHAnsi" w:eastAsia="Calibri" w:hAnsiTheme="minorHAnsi" w:cstheme="minorHAnsi"/>
        </w:rPr>
        <w:t xml:space="preserve"> system was replaced with a democratic one. I think the first few years after the war</w:t>
      </w:r>
      <w:r w:rsidR="000352AC" w:rsidRPr="00444880">
        <w:rPr>
          <w:rFonts w:asciiTheme="minorHAnsi" w:eastAsia="Calibri" w:hAnsiTheme="minorHAnsi" w:cstheme="minorHAnsi"/>
        </w:rPr>
        <w:t xml:space="preserve"> </w:t>
      </w:r>
      <w:r w:rsidRPr="00444880">
        <w:rPr>
          <w:rFonts w:asciiTheme="minorHAnsi" w:eastAsia="Calibri" w:hAnsiTheme="minorHAnsi" w:cstheme="minorHAnsi"/>
        </w:rPr>
        <w:t>were crucial</w:t>
      </w:r>
      <w:r w:rsidR="000352AC" w:rsidRPr="00444880">
        <w:rPr>
          <w:rFonts w:asciiTheme="minorHAnsi" w:eastAsia="Calibri" w:hAnsiTheme="minorHAnsi" w:cstheme="minorHAnsi"/>
        </w:rPr>
        <w:t xml:space="preserve"> </w:t>
      </w:r>
      <w:r w:rsidRPr="00444880">
        <w:rPr>
          <w:rFonts w:asciiTheme="minorHAnsi" w:eastAsia="Calibri" w:hAnsiTheme="minorHAnsi" w:cstheme="minorHAnsi"/>
        </w:rPr>
        <w:t>in shaping the future outcome of authoritarian Germany. We do not know what steps might have been taken by the administration of the German Empire to stabilize the economy but policies made by Rudolf Havenstein, the president of Reich's Bank in new Republic, turned out to be devastating to Germany.</w:t>
      </w:r>
      <w:r w:rsidRPr="00444880">
        <w:rPr>
          <w:rStyle w:val="FootnoteReference"/>
          <w:rFonts w:asciiTheme="minorHAnsi" w:eastAsia="Calibri" w:hAnsiTheme="minorHAnsi" w:cstheme="minorHAnsi"/>
        </w:rPr>
        <w:footnoteReference w:id="2"/>
      </w:r>
      <w:r w:rsidRPr="00444880">
        <w:rPr>
          <w:rFonts w:asciiTheme="minorHAnsi" w:eastAsia="Calibri" w:hAnsiTheme="minorHAnsi" w:cstheme="minorHAnsi"/>
        </w:rPr>
        <w:t xml:space="preserve"> I think that the rise of</w:t>
      </w:r>
      <w:r w:rsidR="00E71BAA" w:rsidRPr="00444880">
        <w:rPr>
          <w:rFonts w:asciiTheme="minorHAnsi" w:eastAsia="Calibri" w:hAnsiTheme="minorHAnsi" w:cstheme="minorHAnsi"/>
        </w:rPr>
        <w:t xml:space="preserve"> </w:t>
      </w:r>
      <w:r w:rsidRPr="00444880">
        <w:rPr>
          <w:rFonts w:asciiTheme="minorHAnsi" w:eastAsia="Calibri" w:hAnsiTheme="minorHAnsi" w:cstheme="minorHAnsi"/>
        </w:rPr>
        <w:t>authoritarian rule was the outcome of the poor condition of German society and its radicalisation could have been prevented to a degree where radical parties would have played</w:t>
      </w:r>
      <w:r w:rsidR="00E71BAA" w:rsidRPr="00444880">
        <w:rPr>
          <w:rFonts w:asciiTheme="minorHAnsi" w:eastAsia="Calibri" w:hAnsiTheme="minorHAnsi" w:cstheme="minorHAnsi"/>
        </w:rPr>
        <w:t xml:space="preserve"> </w:t>
      </w:r>
      <w:r w:rsidRPr="00444880">
        <w:rPr>
          <w:rFonts w:asciiTheme="minorHAnsi" w:eastAsia="Calibri" w:hAnsiTheme="minorHAnsi" w:cstheme="minorHAnsi"/>
        </w:rPr>
        <w:t>only a very minor role in Germany.</w:t>
      </w:r>
    </w:p>
    <w:p w:rsidR="000F27B7" w:rsidRPr="00444880" w:rsidRDefault="000F27B7" w:rsidP="005206F0">
      <w:pPr>
        <w:rPr>
          <w:rFonts w:asciiTheme="minorHAnsi" w:eastAsia="Calibri" w:hAnsiTheme="minorHAnsi" w:cstheme="minorHAnsi"/>
        </w:rPr>
      </w:pPr>
    </w:p>
    <w:p w:rsidR="002A4A32" w:rsidRDefault="00CC67D7" w:rsidP="005206F0">
      <w:pPr>
        <w:rPr>
          <w:rFonts w:asciiTheme="minorHAnsi" w:hAnsiTheme="minorHAnsi" w:cstheme="minorHAnsi"/>
        </w:rPr>
      </w:pPr>
      <w:r w:rsidRPr="00444880">
        <w:rPr>
          <w:rFonts w:asciiTheme="minorHAnsi" w:hAnsiTheme="minorHAnsi" w:cstheme="minorHAnsi"/>
        </w:rPr>
        <w:t>The republic was established on 3rd of November 1918. Its first president Friedriech Ebert, a representative of the Social Democratic Party of Germany, was chosen by national assembly. Since the beginning the parliament struggled to form a government. Up to 1924 the ruling parties changed very often and mostly consisted of coalitions of the previously mentioned Ebert's party, the German Democratic Party, the German People's Party and the German Centre Party. These coalitions proved to be highly fragile to attacks by both radical left and right wing groups.</w:t>
      </w:r>
    </w:p>
    <w:p w:rsidR="000F27B7" w:rsidRPr="00444880" w:rsidRDefault="000F27B7" w:rsidP="005206F0">
      <w:pPr>
        <w:rPr>
          <w:rFonts w:asciiTheme="minorHAnsi" w:eastAsia="Calibri" w:hAnsiTheme="minorHAnsi" w:cstheme="minorHAnsi"/>
        </w:rPr>
      </w:pPr>
    </w:p>
    <w:p w:rsidR="00E4578C" w:rsidRDefault="00CC67D7" w:rsidP="005206F0">
      <w:pPr>
        <w:rPr>
          <w:rFonts w:asciiTheme="minorHAnsi" w:eastAsia="Calibri" w:hAnsiTheme="minorHAnsi" w:cstheme="minorHAnsi"/>
        </w:rPr>
      </w:pPr>
      <w:r w:rsidRPr="00444880">
        <w:rPr>
          <w:rFonts w:asciiTheme="minorHAnsi" w:eastAsia="Calibri" w:hAnsiTheme="minorHAnsi" w:cstheme="minorHAnsi"/>
        </w:rPr>
        <w:t>Germany funded its war by borrowing money,</w:t>
      </w:r>
      <w:r w:rsidR="00E71BAA" w:rsidRPr="00444880">
        <w:rPr>
          <w:rFonts w:asciiTheme="minorHAnsi" w:eastAsia="Calibri" w:hAnsiTheme="minorHAnsi" w:cstheme="minorHAnsi"/>
        </w:rPr>
        <w:t xml:space="preserve"> </w:t>
      </w:r>
      <w:r w:rsidRPr="00444880">
        <w:rPr>
          <w:rFonts w:asciiTheme="minorHAnsi" w:eastAsia="Calibri" w:hAnsiTheme="minorHAnsi" w:cstheme="minorHAnsi"/>
        </w:rPr>
        <w:t>where France instead implemented income tax, and therefore the German financial catastrophe was imminent in the face of defeat. To balance this situation Germany abandoned the gold standard. In the last quarter of 1919 the German mark exchange rate was 40-50 to 1 dollar; in mid 1921 it was around 90. Havestein</w:t>
      </w:r>
      <w:r w:rsidR="00E71BAA" w:rsidRPr="00444880">
        <w:rPr>
          <w:rFonts w:asciiTheme="minorHAnsi" w:eastAsia="Calibri" w:hAnsiTheme="minorHAnsi" w:cstheme="minorHAnsi"/>
        </w:rPr>
        <w:t xml:space="preserve"> </w:t>
      </w:r>
      <w:r w:rsidRPr="00444880">
        <w:rPr>
          <w:rFonts w:asciiTheme="minorHAnsi" w:eastAsia="Calibri" w:hAnsiTheme="minorHAnsi" w:cstheme="minorHAnsi"/>
        </w:rPr>
        <w:t>decided to begin printing empty money at much higher levels which caused inflation to increase drastically and caused hyperinflation. At the beginning of the war the exchange rate of the German mark to dollar was around the same as other main currencies such as the</w:t>
      </w:r>
      <w:r w:rsidR="00E71BAA" w:rsidRPr="00444880">
        <w:rPr>
          <w:rFonts w:asciiTheme="minorHAnsi" w:eastAsia="Calibri" w:hAnsiTheme="minorHAnsi" w:cstheme="minorHAnsi"/>
        </w:rPr>
        <w:t xml:space="preserve"> </w:t>
      </w:r>
      <w:r w:rsidRPr="00444880">
        <w:rPr>
          <w:rFonts w:asciiTheme="minorHAnsi" w:eastAsia="Calibri" w:hAnsiTheme="minorHAnsi" w:cstheme="minorHAnsi"/>
        </w:rPr>
        <w:t>French franc or British schilling,</w:t>
      </w:r>
      <w:r w:rsidR="00E71BAA" w:rsidRPr="00444880">
        <w:rPr>
          <w:rFonts w:asciiTheme="minorHAnsi" w:eastAsia="Calibri" w:hAnsiTheme="minorHAnsi" w:cstheme="minorHAnsi"/>
        </w:rPr>
        <w:t xml:space="preserve"> </w:t>
      </w:r>
      <w:r w:rsidRPr="00444880">
        <w:rPr>
          <w:rFonts w:asciiTheme="minorHAnsi" w:eastAsia="Calibri" w:hAnsiTheme="minorHAnsi" w:cstheme="minorHAnsi"/>
        </w:rPr>
        <w:t>however after Havenstein's policy the value of the mark in 1923 was only a tiny billionth of a</w:t>
      </w:r>
      <w:r w:rsidR="00E71BAA" w:rsidRPr="00444880">
        <w:rPr>
          <w:rFonts w:asciiTheme="minorHAnsi" w:eastAsia="Calibri" w:hAnsiTheme="minorHAnsi" w:cstheme="minorHAnsi"/>
        </w:rPr>
        <w:t xml:space="preserve"> </w:t>
      </w:r>
      <w:r w:rsidRPr="00444880">
        <w:rPr>
          <w:rFonts w:asciiTheme="minorHAnsi" w:eastAsia="Calibri" w:hAnsiTheme="minorHAnsi" w:cstheme="minorHAnsi"/>
        </w:rPr>
        <w:t>fraction of its previous value and as a currency was basically dead.</w:t>
      </w:r>
      <w:r w:rsidR="00E71BAA" w:rsidRPr="00444880">
        <w:rPr>
          <w:rStyle w:val="FootnoteReference"/>
          <w:rFonts w:asciiTheme="minorHAnsi" w:eastAsia="Calibri" w:hAnsiTheme="minorHAnsi" w:cstheme="minorHAnsi"/>
        </w:rPr>
        <w:footnoteReference w:id="3"/>
      </w:r>
      <w:r w:rsidR="00E71BAA" w:rsidRPr="00444880">
        <w:rPr>
          <w:rFonts w:asciiTheme="minorHAnsi" w:eastAsia="Calibri" w:hAnsiTheme="minorHAnsi" w:cstheme="minorHAnsi"/>
        </w:rPr>
        <w:t xml:space="preserve"> </w:t>
      </w:r>
      <w:r w:rsidRPr="00444880">
        <w:rPr>
          <w:rFonts w:asciiTheme="minorHAnsi" w:eastAsia="Calibri" w:hAnsiTheme="minorHAnsi" w:cstheme="minorHAnsi"/>
        </w:rPr>
        <w:t>Fergusson described the dramatic situation in Germany:</w:t>
      </w:r>
      <w:r w:rsidR="00E71BAA" w:rsidRPr="00444880">
        <w:rPr>
          <w:rFonts w:asciiTheme="minorHAnsi" w:eastAsia="Calibri" w:hAnsiTheme="minorHAnsi" w:cstheme="minorHAnsi"/>
        </w:rPr>
        <w:t xml:space="preserve"> </w:t>
      </w:r>
      <w:r w:rsidRPr="00444880">
        <w:rPr>
          <w:rFonts w:asciiTheme="minorHAnsi" w:eastAsia="Calibri" w:hAnsiTheme="minorHAnsi" w:cstheme="minorHAnsi"/>
        </w:rPr>
        <w:t>the price of a cup of tea at a restaurant before ordering was a few thousand marks more expensive by the time it had been drunk and this led to bartering, for example a ticket to the cinema could have been paid with a brick of coal. The</w:t>
      </w:r>
      <w:r w:rsidR="00444880">
        <w:rPr>
          <w:rFonts w:asciiTheme="minorHAnsi" w:eastAsia="Calibri" w:hAnsiTheme="minorHAnsi" w:cstheme="minorHAnsi"/>
        </w:rPr>
        <w:t xml:space="preserve"> </w:t>
      </w:r>
      <w:r w:rsidRPr="00444880">
        <w:rPr>
          <w:rFonts w:asciiTheme="minorHAnsi" w:eastAsia="Calibri" w:hAnsiTheme="minorHAnsi" w:cstheme="minorHAnsi"/>
        </w:rPr>
        <w:t xml:space="preserve">German government was unable to govern, and society became further impoverished. Officials' lack of ideas to improve the situation could be reflected in the absurd Bavarian law aimed at punishing gluttony. The most devastated was the middle class which used to live on pensions. The labour class at least could demand more money </w:t>
      </w:r>
      <w:r w:rsidRPr="00444880">
        <w:rPr>
          <w:rFonts w:asciiTheme="minorHAnsi" w:eastAsia="Calibri" w:hAnsiTheme="minorHAnsi" w:cstheme="minorHAnsi"/>
        </w:rPr>
        <w:lastRenderedPageBreak/>
        <w:t>from employers through strikes, while the middle class suffered in "silent dignity", exchanging their life savings as gold and jewellery for food. Farmers were not in as dramatic a situation as the food stocks they produced had real value. Instead of</w:t>
      </w:r>
      <w:r w:rsidR="00DF2D89" w:rsidRPr="00444880">
        <w:rPr>
          <w:rFonts w:asciiTheme="minorHAnsi" w:eastAsia="Calibri" w:hAnsiTheme="minorHAnsi" w:cstheme="minorHAnsi"/>
        </w:rPr>
        <w:t xml:space="preserve"> </w:t>
      </w:r>
      <w:r w:rsidRPr="00444880">
        <w:rPr>
          <w:rFonts w:asciiTheme="minorHAnsi" w:eastAsia="Calibri" w:hAnsiTheme="minorHAnsi" w:cstheme="minorHAnsi"/>
        </w:rPr>
        <w:t>fighting inflation through cutting welfare and bailouts, increasing taxes and improve their execution, the Government began to implement</w:t>
      </w:r>
      <w:r w:rsidR="00DF2D89" w:rsidRPr="00444880">
        <w:rPr>
          <w:rFonts w:asciiTheme="minorHAnsi" w:eastAsia="Calibri" w:hAnsiTheme="minorHAnsi" w:cstheme="minorHAnsi"/>
        </w:rPr>
        <w:t xml:space="preserve"> </w:t>
      </w:r>
      <w:r w:rsidRPr="00444880">
        <w:rPr>
          <w:rFonts w:asciiTheme="minorHAnsi" w:eastAsia="Calibri" w:hAnsiTheme="minorHAnsi" w:cstheme="minorHAnsi"/>
        </w:rPr>
        <w:t>acts restricting free market for example by establishing prices of rents. This was an attempt to ease the suffering of society but results were actually opposite. Factory owners were the only group of society for which hyperinflation was actually beneficial and formed a lobby to sustain the situation. Thanks to the lowering exchange rate they produce was very competitive to foreign products. Profits were -instead of kept in currency- invested in new businesses or in improving existing ones which even more increased the competitiveness of the products. Wealthy citizens could buy properties for "pennies". To counter this lobby the government introduced new currency which resulted in stability of currency but the massive slow down of economic development. The 1924 currency reformations brought some stability to currency and therefore to wider society, ending the period of endless riots and disobedience, however the seeds of radicalism were spread across the country.</w:t>
      </w:r>
      <w:r w:rsidR="00E522A4" w:rsidRPr="00444880">
        <w:rPr>
          <w:rStyle w:val="FootnoteReference"/>
          <w:rFonts w:asciiTheme="minorHAnsi" w:eastAsia="Calibri" w:hAnsiTheme="minorHAnsi" w:cstheme="minorHAnsi"/>
        </w:rPr>
        <w:footnoteReference w:id="4"/>
      </w:r>
    </w:p>
    <w:p w:rsidR="000F27B7" w:rsidRPr="00444880" w:rsidRDefault="000F27B7" w:rsidP="005206F0">
      <w:pPr>
        <w:rPr>
          <w:rFonts w:asciiTheme="minorHAnsi" w:eastAsia="Calibri" w:hAnsiTheme="minorHAnsi" w:cstheme="minorHAnsi"/>
        </w:rPr>
      </w:pPr>
    </w:p>
    <w:p w:rsidR="00C502FF" w:rsidRPr="00444880" w:rsidRDefault="00915EB4" w:rsidP="005206F0">
      <w:pPr>
        <w:rPr>
          <w:rFonts w:asciiTheme="minorHAnsi" w:eastAsia="Calibri" w:hAnsiTheme="minorHAnsi" w:cstheme="minorHAnsi"/>
        </w:rPr>
      </w:pPr>
      <w:r>
        <w:rPr>
          <w:rFonts w:asciiTheme="minorHAnsi" w:eastAsia="Calibri" w:hAnsiTheme="minorHAnsi" w:cstheme="minorHAnsi"/>
        </w:rPr>
        <w:t>According to Koltowski</w:t>
      </w:r>
      <w:r w:rsidR="005129A5" w:rsidRPr="00444880">
        <w:rPr>
          <w:rFonts w:asciiTheme="minorHAnsi" w:eastAsia="Calibri" w:hAnsiTheme="minorHAnsi" w:cstheme="minorHAnsi"/>
        </w:rPr>
        <w:t xml:space="preserve"> </w:t>
      </w:r>
      <w:r>
        <w:rPr>
          <w:rFonts w:asciiTheme="minorHAnsi" w:eastAsia="Calibri" w:hAnsiTheme="minorHAnsi" w:cstheme="minorHAnsi"/>
        </w:rPr>
        <w:t>f</w:t>
      </w:r>
      <w:r w:rsidR="00CC67D7" w:rsidRPr="00444880">
        <w:rPr>
          <w:rFonts w:asciiTheme="minorHAnsi" w:eastAsia="Calibri" w:hAnsiTheme="minorHAnsi" w:cstheme="minorHAnsi"/>
        </w:rPr>
        <w:t>inancial crisis in Germany was deepened by foreign political issues. War reparations dictated by Entente countries were not only humiliating but impossible to pay. Germany lost the Rhineland region which was rich in resources such as iron and coal and this further crippled the economy. In 1923 in reprisal to delayed payment of war reparations the French occupied the Ruhr region, the industrial heart of Germany. Until 1924 French policy towards Germany was pertinacious and was focused on keeping Germany as weak as possible.</w:t>
      </w:r>
      <w:r w:rsidR="00E522A4" w:rsidRPr="00444880">
        <w:rPr>
          <w:rFonts w:asciiTheme="minorHAnsi" w:eastAsia="Calibri" w:hAnsiTheme="minorHAnsi" w:cstheme="minorHAnsi"/>
        </w:rPr>
        <w:t xml:space="preserve"> </w:t>
      </w:r>
      <w:r w:rsidR="00CC67D7" w:rsidRPr="00444880">
        <w:rPr>
          <w:rFonts w:asciiTheme="minorHAnsi" w:eastAsia="Calibri" w:hAnsiTheme="minorHAnsi" w:cstheme="minorHAnsi"/>
        </w:rPr>
        <w:t>That attitude not only made it impossible to pay war reparations but also through the impoverishment of German society resulted in its radicalisation. On that ground the country became a fight theatre of radical political parties.</w:t>
      </w:r>
      <w:r w:rsidR="00E522A4" w:rsidRPr="00444880">
        <w:rPr>
          <w:rStyle w:val="FootnoteReference"/>
          <w:rFonts w:asciiTheme="minorHAnsi" w:eastAsia="Calibri" w:hAnsiTheme="minorHAnsi" w:cstheme="minorHAnsi"/>
        </w:rPr>
        <w:footnoteReference w:id="5"/>
      </w:r>
    </w:p>
    <w:p w:rsidR="00D26AE7" w:rsidRPr="00444880" w:rsidRDefault="00CC67D7" w:rsidP="00D26AE7">
      <w:pPr>
        <w:rPr>
          <w:rFonts w:asciiTheme="minorHAnsi" w:hAnsiTheme="minorHAnsi" w:cstheme="minorHAnsi"/>
        </w:rPr>
      </w:pPr>
      <w:r w:rsidRPr="00444880">
        <w:rPr>
          <w:rFonts w:asciiTheme="minorHAnsi" w:eastAsia="Calibri" w:hAnsiTheme="minorHAnsi" w:cstheme="minorHAnsi"/>
        </w:rPr>
        <w:t xml:space="preserve">Another reason for the chaos in the Weimar Republic and later authoritarian rule was </w:t>
      </w:r>
      <w:r w:rsidR="005129A5" w:rsidRPr="00444880">
        <w:rPr>
          <w:rFonts w:asciiTheme="minorHAnsi" w:eastAsia="Calibri" w:hAnsiTheme="minorHAnsi" w:cstheme="minorHAnsi"/>
        </w:rPr>
        <w:t>its</w:t>
      </w:r>
      <w:r w:rsidRPr="00444880">
        <w:rPr>
          <w:rFonts w:asciiTheme="minorHAnsi" w:eastAsia="Calibri" w:hAnsiTheme="minorHAnsi" w:cstheme="minorHAnsi"/>
        </w:rPr>
        <w:t xml:space="preserve"> cultural background. </w:t>
      </w:r>
      <w:r w:rsidRPr="00444880">
        <w:rPr>
          <w:rFonts w:asciiTheme="minorHAnsi" w:hAnsiTheme="minorHAnsi" w:cstheme="minorHAnsi"/>
        </w:rPr>
        <w:t>The November Revolution of 1917 overthrew the German federal constitutional monarchy established in 1871. Democracy is fragile, especially in the context of political and economic unrest with its tendency to lead to political polarisation. Cultural factors are however equally important in creating stable democracies. Extended authoritarian rule leads to a “political socialisation in authoritarian values” and democratic consolidation too rests on soc</w:t>
      </w:r>
      <w:r w:rsidR="002566CD" w:rsidRPr="00444880">
        <w:rPr>
          <w:rFonts w:asciiTheme="minorHAnsi" w:hAnsiTheme="minorHAnsi" w:cstheme="minorHAnsi"/>
        </w:rPr>
        <w:t xml:space="preserve">ialisation in democratic values. </w:t>
      </w:r>
      <w:r w:rsidRPr="00444880">
        <w:rPr>
          <w:rFonts w:asciiTheme="minorHAnsi" w:hAnsiTheme="minorHAnsi" w:cstheme="minorHAnsi"/>
        </w:rPr>
        <w:t>After the Thirty Years war in 1684 Germany consisted of small states run by despot princes which were united under Prussian leadership in 1871.</w:t>
      </w:r>
      <w:r w:rsidR="005129A5" w:rsidRPr="00444880">
        <w:rPr>
          <w:rStyle w:val="FootnoteReference"/>
          <w:rFonts w:asciiTheme="minorHAnsi" w:hAnsiTheme="minorHAnsi" w:cstheme="minorHAnsi"/>
        </w:rPr>
        <w:footnoteReference w:id="6"/>
      </w:r>
      <w:r w:rsidRPr="00444880">
        <w:rPr>
          <w:rFonts w:asciiTheme="minorHAnsi" w:hAnsiTheme="minorHAnsi" w:cstheme="minorHAnsi"/>
        </w:rPr>
        <w:t xml:space="preserve"> </w:t>
      </w:r>
    </w:p>
    <w:p w:rsidR="00D26AE7" w:rsidRPr="00444880" w:rsidRDefault="003857CB" w:rsidP="00D26AE7">
      <w:pPr>
        <w:rPr>
          <w:rFonts w:asciiTheme="minorHAnsi" w:hAnsiTheme="minorHAnsi" w:cstheme="minorHAnsi"/>
        </w:rPr>
      </w:pPr>
    </w:p>
    <w:p w:rsidR="00D26AE7" w:rsidRPr="00444880" w:rsidRDefault="00CC67D7" w:rsidP="00D26AE7">
      <w:pPr>
        <w:rPr>
          <w:rFonts w:asciiTheme="minorHAnsi" w:hAnsiTheme="minorHAnsi" w:cstheme="minorHAnsi"/>
        </w:rPr>
      </w:pPr>
      <w:r w:rsidRPr="00444880">
        <w:rPr>
          <w:rFonts w:asciiTheme="minorHAnsi" w:hAnsiTheme="minorHAnsi" w:cstheme="minorHAnsi"/>
        </w:rPr>
        <w:t>The German culture of obedience to authority has been traced to this extended conditioning to despotic rule, censorship of information and Prussian culture</w:t>
      </w:r>
      <w:r w:rsidR="002566CD" w:rsidRPr="00444880">
        <w:rPr>
          <w:rFonts w:asciiTheme="minorHAnsi" w:hAnsiTheme="minorHAnsi" w:cstheme="minorHAnsi"/>
        </w:rPr>
        <w:t xml:space="preserve"> of militarism and Clark </w:t>
      </w:r>
      <w:r w:rsidRPr="00444880">
        <w:rPr>
          <w:rFonts w:asciiTheme="minorHAnsi" w:hAnsiTheme="minorHAnsi" w:cstheme="minorHAnsi"/>
        </w:rPr>
        <w:t>draws links between ‘Prussianism’ and its enabling of the rise of Nazism, or of Nazism itself.</w:t>
      </w:r>
      <w:r w:rsidR="002566CD" w:rsidRPr="00444880">
        <w:rPr>
          <w:rStyle w:val="FootnoteReference"/>
          <w:rFonts w:asciiTheme="minorHAnsi" w:hAnsiTheme="minorHAnsi" w:cstheme="minorHAnsi"/>
        </w:rPr>
        <w:footnoteReference w:id="7"/>
      </w:r>
      <w:r w:rsidR="00915EB4">
        <w:rPr>
          <w:rFonts w:asciiTheme="minorHAnsi" w:hAnsiTheme="minorHAnsi" w:cstheme="minorHAnsi"/>
        </w:rPr>
        <w:t xml:space="preserve"> Stern-Rubarth </w:t>
      </w:r>
      <w:r w:rsidRPr="00444880">
        <w:rPr>
          <w:rFonts w:asciiTheme="minorHAnsi" w:hAnsiTheme="minorHAnsi" w:cstheme="minorHAnsi"/>
        </w:rPr>
        <w:t xml:space="preserve">called Hitler the “Arch-Prussian” and described the structure of his ideal Reich as based on the </w:t>
      </w:r>
      <w:r w:rsidRPr="00444880">
        <w:rPr>
          <w:rFonts w:asciiTheme="minorHAnsi" w:hAnsiTheme="minorHAnsi" w:cstheme="minorHAnsi"/>
        </w:rPr>
        <w:lastRenderedPageBreak/>
        <w:t>material but “even more on the philosophical foundations of Prussianism”. There are many examples of the influence of ‘Prussianism’ during the Weimar republic on the rise of autocratic and authoritarian rule.</w:t>
      </w:r>
      <w:r w:rsidR="002566CD" w:rsidRPr="00444880">
        <w:rPr>
          <w:rStyle w:val="FootnoteReference"/>
          <w:rFonts w:asciiTheme="minorHAnsi" w:hAnsiTheme="minorHAnsi" w:cstheme="minorHAnsi"/>
        </w:rPr>
        <w:footnoteReference w:id="8"/>
      </w:r>
    </w:p>
    <w:p w:rsidR="00D26AE7" w:rsidRPr="00444880" w:rsidRDefault="003857CB" w:rsidP="00D26AE7">
      <w:pPr>
        <w:rPr>
          <w:rFonts w:asciiTheme="minorHAnsi" w:hAnsiTheme="minorHAnsi" w:cstheme="minorHAnsi"/>
        </w:rPr>
      </w:pPr>
    </w:p>
    <w:p w:rsidR="00D26AE7" w:rsidRPr="00444880" w:rsidRDefault="00CC67D7" w:rsidP="00D26AE7">
      <w:pPr>
        <w:rPr>
          <w:rFonts w:asciiTheme="minorHAnsi" w:hAnsiTheme="minorHAnsi" w:cstheme="minorHAnsi"/>
        </w:rPr>
      </w:pPr>
      <w:r w:rsidRPr="00444880">
        <w:rPr>
          <w:rFonts w:asciiTheme="minorHAnsi" w:hAnsiTheme="minorHAnsi" w:cstheme="minorHAnsi"/>
        </w:rPr>
        <w:t>German propaganda up to the end of World War 1, which led Germans to believe they were winning the war, combined with the widely propagated ‘stab-in-the-back myth’</w:t>
      </w:r>
      <w:r w:rsidR="00212E7F" w:rsidRPr="00444880">
        <w:rPr>
          <w:rStyle w:val="FootnoteReference"/>
          <w:rFonts w:asciiTheme="minorHAnsi" w:hAnsiTheme="minorHAnsi" w:cstheme="minorHAnsi"/>
        </w:rPr>
        <w:footnoteReference w:id="9"/>
      </w:r>
      <w:r w:rsidR="00212E7F" w:rsidRPr="00444880">
        <w:rPr>
          <w:rFonts w:asciiTheme="minorHAnsi" w:hAnsiTheme="minorHAnsi" w:cstheme="minorHAnsi"/>
        </w:rPr>
        <w:t xml:space="preserve"> ,</w:t>
      </w:r>
      <w:r w:rsidRPr="00444880">
        <w:rPr>
          <w:rFonts w:asciiTheme="minorHAnsi" w:hAnsiTheme="minorHAnsi" w:cstheme="minorHAnsi"/>
        </w:rPr>
        <w:t>which emphasized defeat as a betrayal by defeatists and revolutionaries, led to the association of the Weimar republic wi</w:t>
      </w:r>
      <w:r w:rsidR="00915EB4">
        <w:rPr>
          <w:rFonts w:asciiTheme="minorHAnsi" w:hAnsiTheme="minorHAnsi" w:cstheme="minorHAnsi"/>
        </w:rPr>
        <w:t>th these elements</w:t>
      </w:r>
      <w:r w:rsidRPr="00444880">
        <w:rPr>
          <w:rFonts w:asciiTheme="minorHAnsi" w:hAnsiTheme="minorHAnsi" w:cstheme="minorHAnsi"/>
        </w:rPr>
        <w:t>.</w:t>
      </w:r>
      <w:r w:rsidR="00212E7F" w:rsidRPr="00444880">
        <w:rPr>
          <w:rStyle w:val="FootnoteReference"/>
          <w:rFonts w:asciiTheme="minorHAnsi" w:hAnsiTheme="minorHAnsi" w:cstheme="minorHAnsi"/>
        </w:rPr>
        <w:footnoteReference w:id="10"/>
      </w:r>
      <w:r w:rsidRPr="00444880">
        <w:rPr>
          <w:rFonts w:asciiTheme="minorHAnsi" w:hAnsiTheme="minorHAnsi" w:cstheme="minorHAnsi"/>
        </w:rPr>
        <w:t xml:space="preserve"> As well as increasing polarisation and unrest, because of the instability of the Weimar republic</w:t>
      </w:r>
      <w:r w:rsidR="00694E52" w:rsidRPr="00444880">
        <w:rPr>
          <w:rFonts w:asciiTheme="minorHAnsi" w:hAnsiTheme="minorHAnsi" w:cstheme="minorHAnsi"/>
        </w:rPr>
        <w:t xml:space="preserve"> this can be linked to a rise in the </w:t>
      </w:r>
      <w:r w:rsidRPr="00444880">
        <w:rPr>
          <w:rFonts w:asciiTheme="minorHAnsi" w:hAnsiTheme="minorHAnsi" w:cstheme="minorHAnsi"/>
        </w:rPr>
        <w:t>nationalism, nostalgia for the Prussian past and the resurgence of traditional Prussian values such as honour, obedience, piety and l</w:t>
      </w:r>
      <w:r w:rsidR="00915EB4">
        <w:rPr>
          <w:rFonts w:asciiTheme="minorHAnsi" w:hAnsiTheme="minorHAnsi" w:cstheme="minorHAnsi"/>
        </w:rPr>
        <w:t>oyalty</w:t>
      </w:r>
      <w:r w:rsidRPr="00444880">
        <w:rPr>
          <w:rFonts w:asciiTheme="minorHAnsi" w:hAnsiTheme="minorHAnsi" w:cstheme="minorHAnsi"/>
        </w:rPr>
        <w:t>.</w:t>
      </w:r>
      <w:r w:rsidR="00212E7F" w:rsidRPr="00444880">
        <w:rPr>
          <w:rStyle w:val="FootnoteReference"/>
          <w:rFonts w:asciiTheme="minorHAnsi" w:hAnsiTheme="minorHAnsi" w:cstheme="minorHAnsi"/>
        </w:rPr>
        <w:footnoteReference w:id="11"/>
      </w:r>
    </w:p>
    <w:p w:rsidR="00D26AE7" w:rsidRPr="00444880" w:rsidRDefault="003857CB" w:rsidP="00D26AE7">
      <w:pPr>
        <w:rPr>
          <w:rFonts w:asciiTheme="minorHAnsi" w:hAnsiTheme="minorHAnsi" w:cstheme="minorHAnsi"/>
        </w:rPr>
      </w:pPr>
    </w:p>
    <w:p w:rsidR="00D26AE7" w:rsidRPr="00444880" w:rsidRDefault="00CC67D7" w:rsidP="00D26AE7">
      <w:pPr>
        <w:rPr>
          <w:rFonts w:asciiTheme="minorHAnsi" w:hAnsiTheme="minorHAnsi" w:cstheme="minorHAnsi"/>
        </w:rPr>
      </w:pPr>
      <w:r w:rsidRPr="00444880">
        <w:rPr>
          <w:rFonts w:asciiTheme="minorHAnsi" w:hAnsiTheme="minorHAnsi" w:cstheme="minorHAnsi"/>
        </w:rPr>
        <w:t>In 1925 the Prussian war hero Hindenburg was elected as president of the Weima</w:t>
      </w:r>
      <w:r w:rsidR="00F72970" w:rsidRPr="00444880">
        <w:rPr>
          <w:rFonts w:asciiTheme="minorHAnsi" w:hAnsiTheme="minorHAnsi" w:cstheme="minorHAnsi"/>
        </w:rPr>
        <w:t>r republic. Von der Goltz</w:t>
      </w:r>
      <w:r w:rsidRPr="00444880">
        <w:rPr>
          <w:rFonts w:asciiTheme="minorHAnsi" w:hAnsiTheme="minorHAnsi" w:cstheme="minorHAnsi"/>
        </w:rPr>
        <w:t xml:space="preserve"> shows that a personality cult surrounded him. In </w:t>
      </w:r>
      <w:r w:rsidR="00FA3018">
        <w:rPr>
          <w:rFonts w:asciiTheme="minorHAnsi" w:hAnsiTheme="minorHAnsi" w:cstheme="minorHAnsi"/>
        </w:rPr>
        <w:t xml:space="preserve">1860’s Germany </w:t>
      </w:r>
      <w:r w:rsidRPr="00444880">
        <w:rPr>
          <w:rFonts w:asciiTheme="minorHAnsi" w:hAnsiTheme="minorHAnsi" w:cstheme="minorHAnsi"/>
        </w:rPr>
        <w:t>there was ‘an intense longing for great men’ and this was nurtured under Wilhelm II, for example through the erection of monuments and by emphasising glory and ‘great men’ in the Kaiserreich’s history lessons.</w:t>
      </w:r>
      <w:r w:rsidR="00FA3018">
        <w:rPr>
          <w:rStyle w:val="FootnoteReference"/>
          <w:rFonts w:asciiTheme="minorHAnsi" w:hAnsiTheme="minorHAnsi" w:cstheme="minorHAnsi"/>
        </w:rPr>
        <w:footnoteReference w:id="12"/>
      </w:r>
      <w:r w:rsidRPr="00444880">
        <w:rPr>
          <w:rFonts w:asciiTheme="minorHAnsi" w:hAnsiTheme="minorHAnsi" w:cstheme="minorHAnsi"/>
        </w:rPr>
        <w:t xml:space="preserve"> These sentiments however can also be traced to a European wide increase in ‘mythoplilia’ resulting from the void left by the decline of religiou</w:t>
      </w:r>
      <w:r w:rsidR="00FA3018">
        <w:rPr>
          <w:rFonts w:asciiTheme="minorHAnsi" w:hAnsiTheme="minorHAnsi" w:cstheme="minorHAnsi"/>
        </w:rPr>
        <w:t>s thinking</w:t>
      </w:r>
      <w:r w:rsidRPr="00444880">
        <w:rPr>
          <w:rFonts w:asciiTheme="minorHAnsi" w:hAnsiTheme="minorHAnsi" w:cstheme="minorHAnsi"/>
        </w:rPr>
        <w:t>.</w:t>
      </w:r>
      <w:r w:rsidR="00F72970" w:rsidRPr="00444880">
        <w:rPr>
          <w:rStyle w:val="FootnoteReference"/>
          <w:rFonts w:asciiTheme="minorHAnsi" w:hAnsiTheme="minorHAnsi" w:cstheme="minorHAnsi"/>
        </w:rPr>
        <w:footnoteReference w:id="13"/>
      </w:r>
      <w:r w:rsidRPr="00444880">
        <w:rPr>
          <w:rFonts w:asciiTheme="minorHAnsi" w:hAnsiTheme="minorHAnsi" w:cstheme="minorHAnsi"/>
        </w:rPr>
        <w:t xml:space="preserve"> Hero-worship is incredibly efficient in stabilising political a</w:t>
      </w:r>
      <w:r w:rsidR="00FA3018">
        <w:rPr>
          <w:rFonts w:asciiTheme="minorHAnsi" w:hAnsiTheme="minorHAnsi" w:cstheme="minorHAnsi"/>
        </w:rPr>
        <w:t>nd social orders</w:t>
      </w:r>
      <w:r w:rsidRPr="00444880">
        <w:rPr>
          <w:rFonts w:asciiTheme="minorHAnsi" w:hAnsiTheme="minorHAnsi" w:cstheme="minorHAnsi"/>
        </w:rPr>
        <w:t>, and the emphasis on the need for Hindenburg and other great men to fight the instability and civil unrest of the Weimar state could have paved the way for later autocratic and authoritarian rule.</w:t>
      </w:r>
      <w:r w:rsidR="003F7D1B" w:rsidRPr="00444880">
        <w:rPr>
          <w:rStyle w:val="FootnoteReference"/>
          <w:rFonts w:asciiTheme="minorHAnsi" w:hAnsiTheme="minorHAnsi" w:cstheme="minorHAnsi"/>
        </w:rPr>
        <w:footnoteReference w:id="14"/>
      </w:r>
    </w:p>
    <w:p w:rsidR="00D26AE7" w:rsidRPr="00444880" w:rsidRDefault="003857CB" w:rsidP="00D26AE7">
      <w:pPr>
        <w:rPr>
          <w:rFonts w:asciiTheme="minorHAnsi" w:hAnsiTheme="minorHAnsi" w:cstheme="minorHAnsi"/>
        </w:rPr>
      </w:pPr>
    </w:p>
    <w:p w:rsidR="00D26AE7" w:rsidRPr="00444880" w:rsidRDefault="00CC67D7" w:rsidP="00D26AE7">
      <w:pPr>
        <w:rPr>
          <w:rFonts w:asciiTheme="minorHAnsi" w:hAnsiTheme="minorHAnsi" w:cstheme="minorHAnsi"/>
        </w:rPr>
      </w:pPr>
      <w:r w:rsidRPr="00444880">
        <w:rPr>
          <w:rFonts w:asciiTheme="minorHAnsi" w:hAnsiTheme="minorHAnsi" w:cstheme="minorHAnsi"/>
        </w:rPr>
        <w:t>The historical culture of obedience and traditional Prussian values within Germany could also be considered influential in the failure of the newly established democracy. The Prussian compulsory education system was designed by King Fredrick William I in 1716 in service of building and solidifyin</w:t>
      </w:r>
      <w:r w:rsidR="00FA3018">
        <w:rPr>
          <w:rFonts w:asciiTheme="minorHAnsi" w:hAnsiTheme="minorHAnsi" w:cstheme="minorHAnsi"/>
        </w:rPr>
        <w:t>g the nation</w:t>
      </w:r>
      <w:r w:rsidRPr="00444880">
        <w:rPr>
          <w:rFonts w:asciiTheme="minorHAnsi" w:hAnsiTheme="minorHAnsi" w:cstheme="minorHAnsi"/>
        </w:rPr>
        <w:t>.</w:t>
      </w:r>
      <w:r w:rsidR="00D96133" w:rsidRPr="00444880">
        <w:rPr>
          <w:rStyle w:val="FootnoteReference"/>
          <w:rFonts w:asciiTheme="minorHAnsi" w:hAnsiTheme="minorHAnsi" w:cstheme="minorHAnsi"/>
        </w:rPr>
        <w:footnoteReference w:id="15"/>
      </w:r>
      <w:r w:rsidRPr="00444880">
        <w:rPr>
          <w:rFonts w:asciiTheme="minorHAnsi" w:hAnsiTheme="minorHAnsi" w:cstheme="minorHAnsi"/>
        </w:rPr>
        <w:t xml:space="preserve"> Prussian philosophers emphasised the role of the state in moral and social progress and the Prussian education system has been critiqued for emphasising obedience, </w:t>
      </w:r>
      <w:r w:rsidRPr="00444880">
        <w:rPr>
          <w:rFonts w:asciiTheme="minorHAnsi" w:hAnsiTheme="minorHAnsi" w:cstheme="minorHAnsi"/>
        </w:rPr>
        <w:lastRenderedPageBreak/>
        <w:t>uniformity an</w:t>
      </w:r>
      <w:r w:rsidR="00FA3018">
        <w:rPr>
          <w:rFonts w:asciiTheme="minorHAnsi" w:hAnsiTheme="minorHAnsi" w:cstheme="minorHAnsi"/>
        </w:rPr>
        <w:t>d rote learning</w:t>
      </w:r>
      <w:r w:rsidRPr="00444880">
        <w:rPr>
          <w:rFonts w:asciiTheme="minorHAnsi" w:hAnsiTheme="minorHAnsi" w:cstheme="minorHAnsi"/>
        </w:rPr>
        <w:t>.</w:t>
      </w:r>
      <w:r w:rsidR="00D96133" w:rsidRPr="00444880">
        <w:rPr>
          <w:rStyle w:val="FootnoteReference"/>
          <w:rFonts w:asciiTheme="minorHAnsi" w:hAnsiTheme="minorHAnsi" w:cstheme="minorHAnsi"/>
        </w:rPr>
        <w:footnoteReference w:id="16"/>
      </w:r>
      <w:r w:rsidRPr="00444880">
        <w:rPr>
          <w:rFonts w:asciiTheme="minorHAnsi" w:hAnsiTheme="minorHAnsi" w:cstheme="minorHAnsi"/>
        </w:rPr>
        <w:t xml:space="preserve"> It has also been described as a </w:t>
      </w:r>
      <w:r w:rsidR="00682F53" w:rsidRPr="00444880">
        <w:rPr>
          <w:rFonts w:asciiTheme="minorHAnsi" w:hAnsiTheme="minorHAnsi" w:cstheme="minorHAnsi"/>
        </w:rPr>
        <w:t>influential</w:t>
      </w:r>
      <w:r w:rsidRPr="00444880">
        <w:rPr>
          <w:rFonts w:asciiTheme="minorHAnsi" w:hAnsiTheme="minorHAnsi" w:cstheme="minorHAnsi"/>
        </w:rPr>
        <w:t xml:space="preserve"> form of Fouc</w:t>
      </w:r>
      <w:r w:rsidR="00FA3018">
        <w:rPr>
          <w:rFonts w:asciiTheme="minorHAnsi" w:hAnsiTheme="minorHAnsi" w:cstheme="minorHAnsi"/>
        </w:rPr>
        <w:t>aultian biopower</w:t>
      </w:r>
      <w:r w:rsidRPr="00444880">
        <w:rPr>
          <w:rFonts w:asciiTheme="minorHAnsi" w:hAnsiTheme="minorHAnsi" w:cstheme="minorHAnsi"/>
        </w:rPr>
        <w:t>.</w:t>
      </w:r>
      <w:r w:rsidR="00682F53" w:rsidRPr="00444880">
        <w:rPr>
          <w:rStyle w:val="FootnoteReference"/>
          <w:rFonts w:asciiTheme="minorHAnsi" w:hAnsiTheme="minorHAnsi" w:cstheme="minorHAnsi"/>
        </w:rPr>
        <w:footnoteReference w:id="17"/>
      </w:r>
      <w:r w:rsidRPr="00444880">
        <w:rPr>
          <w:rFonts w:asciiTheme="minorHAnsi" w:hAnsiTheme="minorHAnsi" w:cstheme="minorHAnsi"/>
        </w:rPr>
        <w:t xml:space="preserve"> Despite the November Revolution and the establishment of a democratic parliamentary republic, the German schooling system remained very unchanged, emphasising its historic past, rote learning and down playing criti</w:t>
      </w:r>
      <w:r w:rsidR="00FA3018">
        <w:rPr>
          <w:rFonts w:asciiTheme="minorHAnsi" w:hAnsiTheme="minorHAnsi" w:cstheme="minorHAnsi"/>
        </w:rPr>
        <w:t>cal thinking</w:t>
      </w:r>
      <w:r w:rsidRPr="00444880">
        <w:rPr>
          <w:rFonts w:asciiTheme="minorHAnsi" w:hAnsiTheme="minorHAnsi" w:cstheme="minorHAnsi"/>
        </w:rPr>
        <w:t>.</w:t>
      </w:r>
      <w:r w:rsidR="00682F53" w:rsidRPr="00444880">
        <w:rPr>
          <w:rStyle w:val="FootnoteReference"/>
          <w:rFonts w:asciiTheme="minorHAnsi" w:hAnsiTheme="minorHAnsi" w:cstheme="minorHAnsi"/>
        </w:rPr>
        <w:footnoteReference w:id="18"/>
      </w:r>
      <w:r w:rsidRPr="00444880">
        <w:rPr>
          <w:rFonts w:asciiTheme="minorHAnsi" w:hAnsiTheme="minorHAnsi" w:cstheme="minorHAnsi"/>
        </w:rPr>
        <w:t xml:space="preserve"> This questions how much a schooling system constructed for a monarchical system can ready citizens for life in a participatory democracy, and the influence of this in enabling the rise of the Nazi party.</w:t>
      </w:r>
    </w:p>
    <w:p w:rsidR="004104D6" w:rsidRDefault="004104D6" w:rsidP="00D26AE7">
      <w:pPr>
        <w:rPr>
          <w:rFonts w:asciiTheme="minorHAnsi" w:hAnsiTheme="minorHAnsi" w:cstheme="minorHAnsi"/>
        </w:rPr>
      </w:pPr>
    </w:p>
    <w:p w:rsidR="00D26AE7" w:rsidRPr="00444880" w:rsidRDefault="00CC67D7" w:rsidP="00D26AE7">
      <w:pPr>
        <w:rPr>
          <w:rFonts w:asciiTheme="minorHAnsi" w:hAnsiTheme="minorHAnsi" w:cstheme="minorHAnsi"/>
        </w:rPr>
      </w:pPr>
      <w:r w:rsidRPr="00444880">
        <w:rPr>
          <w:rFonts w:asciiTheme="minorHAnsi" w:hAnsiTheme="minorHAnsi" w:cstheme="minorHAnsi"/>
        </w:rPr>
        <w:t>As discussed, the political, economic and social instability of the Weimar Republic led to political polarisation, in particular the effect of the Great Depression which increased Nazi Party votes by 41.3%. This has been described as the final straw in creating disillusionment and enabling the establishme</w:t>
      </w:r>
      <w:r w:rsidR="004104D6">
        <w:rPr>
          <w:rFonts w:asciiTheme="minorHAnsi" w:hAnsiTheme="minorHAnsi" w:cstheme="minorHAnsi"/>
        </w:rPr>
        <w:t>nt of Nazi Germany</w:t>
      </w:r>
      <w:r w:rsidRPr="00444880">
        <w:rPr>
          <w:rFonts w:asciiTheme="minorHAnsi" w:hAnsiTheme="minorHAnsi" w:cstheme="minorHAnsi"/>
        </w:rPr>
        <w:t>.</w:t>
      </w:r>
      <w:r w:rsidR="00365EEC" w:rsidRPr="00444880">
        <w:rPr>
          <w:rStyle w:val="FootnoteReference"/>
          <w:rFonts w:asciiTheme="minorHAnsi" w:hAnsiTheme="minorHAnsi" w:cstheme="minorHAnsi"/>
        </w:rPr>
        <w:footnoteReference w:id="19"/>
      </w:r>
      <w:r w:rsidRPr="00444880">
        <w:rPr>
          <w:rFonts w:asciiTheme="minorHAnsi" w:hAnsiTheme="minorHAnsi" w:cstheme="minorHAnsi"/>
        </w:rPr>
        <w:t xml:space="preserve"> The civil disobedience and unrest such as the multiple Putsches, the Kapp Putsch or Beerhall Putsch, that resulted from this, as well as reactions to these however were instrumental in the rise of authoritarian rule. I will highlight two main points here, the Reichstag Fire Decree and the Enabling Act of 1933.</w:t>
      </w:r>
    </w:p>
    <w:p w:rsidR="00D26AE7" w:rsidRPr="00444880" w:rsidRDefault="003857CB" w:rsidP="00D26AE7">
      <w:pPr>
        <w:rPr>
          <w:rFonts w:asciiTheme="minorHAnsi" w:hAnsiTheme="minorHAnsi" w:cstheme="minorHAnsi"/>
        </w:rPr>
      </w:pPr>
    </w:p>
    <w:p w:rsidR="00D26AE7" w:rsidRPr="00444880" w:rsidRDefault="00CC67D7" w:rsidP="00D26AE7">
      <w:pPr>
        <w:rPr>
          <w:rFonts w:asciiTheme="minorHAnsi" w:hAnsiTheme="minorHAnsi" w:cstheme="minorHAnsi"/>
        </w:rPr>
      </w:pPr>
      <w:r w:rsidRPr="00444880">
        <w:rPr>
          <w:rFonts w:asciiTheme="minorHAnsi" w:hAnsiTheme="minorHAnsi" w:cstheme="minorHAnsi"/>
        </w:rPr>
        <w:t>On the 27th February 1933, there was an arson attack on the Reichstag building in Berlin which was critical in the rise of Nazi Germany. A council communist, Marinus van der Lubbe, was blamed but although a court found that he was acting alone the Nazi party publicly accused the German Communist Party (KPD), calling them “sub-human”</w:t>
      </w:r>
      <w:r w:rsidR="004104D6">
        <w:rPr>
          <w:rFonts w:asciiTheme="minorHAnsi" w:hAnsiTheme="minorHAnsi" w:cstheme="minorHAnsi"/>
        </w:rPr>
        <w:t>.</w:t>
      </w:r>
      <w:r w:rsidR="00C04932" w:rsidRPr="00444880">
        <w:rPr>
          <w:rStyle w:val="FootnoteReference"/>
          <w:rFonts w:asciiTheme="minorHAnsi" w:hAnsiTheme="minorHAnsi" w:cstheme="minorHAnsi"/>
        </w:rPr>
        <w:footnoteReference w:id="20"/>
      </w:r>
      <w:r w:rsidRPr="00444880">
        <w:rPr>
          <w:rFonts w:asciiTheme="minorHAnsi" w:hAnsiTheme="minorHAnsi" w:cstheme="minorHAnsi"/>
        </w:rPr>
        <w:t xml:space="preserve"> and declaring that the fire was a signal for a “bloody uprising and</w:t>
      </w:r>
      <w:r w:rsidR="004104D6">
        <w:rPr>
          <w:rFonts w:asciiTheme="minorHAnsi" w:hAnsiTheme="minorHAnsi" w:cstheme="minorHAnsi"/>
        </w:rPr>
        <w:t xml:space="preserve"> civil war”</w:t>
      </w:r>
      <w:r w:rsidRPr="00444880">
        <w:rPr>
          <w:rFonts w:asciiTheme="minorHAnsi" w:hAnsiTheme="minorHAnsi" w:cstheme="minorHAnsi"/>
        </w:rPr>
        <w:t>.</w:t>
      </w:r>
      <w:r w:rsidR="00C04932" w:rsidRPr="00444880">
        <w:rPr>
          <w:rStyle w:val="FootnoteReference"/>
          <w:rFonts w:asciiTheme="minorHAnsi" w:hAnsiTheme="minorHAnsi" w:cstheme="minorHAnsi"/>
        </w:rPr>
        <w:footnoteReference w:id="21"/>
      </w:r>
      <w:r w:rsidRPr="00444880">
        <w:rPr>
          <w:rFonts w:asciiTheme="minorHAnsi" w:hAnsiTheme="minorHAnsi" w:cstheme="minorHAnsi"/>
        </w:rPr>
        <w:t xml:space="preserve"> This instrumented widespread fear of communist terror, increased public support of the Nazi party and the public acceptance of the emergency decree discussed below. Hitler, then the Chancellor, encouraged Hindenburg to pursue the German Communist Party (KPD) and pass the ‘Decree of the Reich President for the Protection of People and State’. This gave the government powers reserved for federal states and suspended many civil liberties in the Weimar Constitution, including freedom of expression, the press and free association, privacy of communication </w:t>
      </w:r>
      <w:r w:rsidR="004104D6">
        <w:rPr>
          <w:rFonts w:asciiTheme="minorHAnsi" w:hAnsiTheme="minorHAnsi" w:cstheme="minorHAnsi"/>
        </w:rPr>
        <w:t>and habeas corpus</w:t>
      </w:r>
      <w:r w:rsidRPr="00444880">
        <w:rPr>
          <w:rFonts w:asciiTheme="minorHAnsi" w:hAnsiTheme="minorHAnsi" w:cstheme="minorHAnsi"/>
        </w:rPr>
        <w:t>.</w:t>
      </w:r>
      <w:r w:rsidR="003C0589" w:rsidRPr="00444880">
        <w:rPr>
          <w:rStyle w:val="FootnoteReference"/>
          <w:rFonts w:asciiTheme="minorHAnsi" w:hAnsiTheme="minorHAnsi" w:cstheme="minorHAnsi"/>
        </w:rPr>
        <w:footnoteReference w:id="22"/>
      </w:r>
      <w:r w:rsidRPr="00444880">
        <w:rPr>
          <w:rFonts w:asciiTheme="minorHAnsi" w:hAnsiTheme="minorHAnsi" w:cstheme="minorHAnsi"/>
        </w:rPr>
        <w:t xml:space="preserve"> This resulted in the legal mass arrest of up to 10,000 communists as well as every parliamentary delegate for the Communist Party and the banning of Communist press and meetings, effectively removing the opposition and allowing for the legal Nazi consolidation of power. While the Reichstag fire was crucial in this it is likely some other instance of civil unrest would have been capitalized on or fabricated to manufacture consent for a similar decree. Discussions of implementing similar measures happened before the fire, for example a draft </w:t>
      </w:r>
      <w:r w:rsidRPr="00444880">
        <w:rPr>
          <w:rFonts w:asciiTheme="minorHAnsi" w:hAnsiTheme="minorHAnsi" w:cstheme="minorHAnsi"/>
        </w:rPr>
        <w:lastRenderedPageBreak/>
        <w:t>decree was brought before ca</w:t>
      </w:r>
      <w:r w:rsidR="004104D6">
        <w:rPr>
          <w:rFonts w:asciiTheme="minorHAnsi" w:hAnsiTheme="minorHAnsi" w:cstheme="minorHAnsi"/>
        </w:rPr>
        <w:t>binet the same day</w:t>
      </w:r>
      <w:r w:rsidRPr="00444880">
        <w:rPr>
          <w:rFonts w:asciiTheme="minorHAnsi" w:hAnsiTheme="minorHAnsi" w:cstheme="minorHAnsi"/>
        </w:rPr>
        <w:t>.</w:t>
      </w:r>
      <w:r w:rsidR="00CC2C45" w:rsidRPr="00444880">
        <w:rPr>
          <w:rStyle w:val="FootnoteReference"/>
          <w:rFonts w:asciiTheme="minorHAnsi" w:hAnsiTheme="minorHAnsi" w:cstheme="minorHAnsi"/>
        </w:rPr>
        <w:footnoteReference w:id="23"/>
      </w:r>
      <w:r w:rsidRPr="00444880">
        <w:rPr>
          <w:rFonts w:asciiTheme="minorHAnsi" w:hAnsiTheme="minorHAnsi" w:cstheme="minorHAnsi"/>
        </w:rPr>
        <w:t xml:space="preserve"> Such drastic effects of this manipulation however might not have occurred without such deep political divisions and a social historical context of authoritarian rule.</w:t>
      </w:r>
    </w:p>
    <w:p w:rsidR="00D26AE7" w:rsidRPr="00444880" w:rsidRDefault="003857CB" w:rsidP="00D26AE7">
      <w:pPr>
        <w:rPr>
          <w:rFonts w:asciiTheme="minorHAnsi" w:hAnsiTheme="minorHAnsi" w:cstheme="minorHAnsi"/>
        </w:rPr>
      </w:pPr>
    </w:p>
    <w:p w:rsidR="00D26AE7" w:rsidRPr="00444880" w:rsidRDefault="00CC67D7" w:rsidP="00D26AE7">
      <w:pPr>
        <w:rPr>
          <w:rFonts w:asciiTheme="minorHAnsi" w:hAnsiTheme="minorHAnsi" w:cstheme="minorHAnsi"/>
        </w:rPr>
      </w:pPr>
      <w:r w:rsidRPr="00444880">
        <w:rPr>
          <w:rFonts w:asciiTheme="minorHAnsi" w:hAnsiTheme="minorHAnsi" w:cstheme="minorHAnsi"/>
        </w:rPr>
        <w:t xml:space="preserve">Three weeks after the Reichstag Fire Decree an amendment to the Weimar Constitution named the ‘Law to Remedy the Distress of People and Reich’ or </w:t>
      </w:r>
      <w:r w:rsidR="00CC2C45" w:rsidRPr="00444880">
        <w:rPr>
          <w:rFonts w:asciiTheme="minorHAnsi" w:hAnsiTheme="minorHAnsi" w:cstheme="minorHAnsi"/>
        </w:rPr>
        <w:t>Enabling Act was passed, provi</w:t>
      </w:r>
      <w:r w:rsidRPr="00444880">
        <w:rPr>
          <w:rFonts w:asciiTheme="minorHAnsi" w:hAnsiTheme="minorHAnsi" w:cstheme="minorHAnsi"/>
        </w:rPr>
        <w:t>ding the Cabinet with the right to enact laws in absence of the Reichstag and turning Hitler into a legal dictator. Under the Reichstag Fire Decree the KPD as well as some Social Democrats who would have voted against had been arrested, and the act passed with 83%. Because of widespread contempt of the political and economic instability of the Weimar republic, votes of parties like the Centre Party, for nobility and middle class business interests, were easily gained. For example Hitler made a deal with Ludwik Kass of the Centre Party that assured its protection and the protection of Catholic interests. Weariness within the Weimar republic towards civil unrest played a important role in the establishment of autocratic and authoritarian rule. Some historians however highlight that SA troops intimidated deputies outside and inside the meeting, and the extent that reactions to civil disobedience and unrest influenced the</w:t>
      </w:r>
      <w:r w:rsidR="004104D6">
        <w:rPr>
          <w:rFonts w:asciiTheme="minorHAnsi" w:hAnsiTheme="minorHAnsi" w:cstheme="minorHAnsi"/>
        </w:rPr>
        <w:t xml:space="preserve"> vote is debated</w:t>
      </w:r>
      <w:r w:rsidRPr="00444880">
        <w:rPr>
          <w:rFonts w:asciiTheme="minorHAnsi" w:hAnsiTheme="minorHAnsi" w:cstheme="minorHAnsi"/>
        </w:rPr>
        <w:t>.</w:t>
      </w:r>
      <w:r w:rsidR="00CC2C45" w:rsidRPr="00444880">
        <w:rPr>
          <w:rStyle w:val="FootnoteReference"/>
          <w:rFonts w:asciiTheme="minorHAnsi" w:hAnsiTheme="minorHAnsi" w:cstheme="minorHAnsi"/>
        </w:rPr>
        <w:footnoteReference w:id="24"/>
      </w:r>
    </w:p>
    <w:p w:rsidR="004B3CDE" w:rsidRPr="00444880" w:rsidRDefault="003857CB" w:rsidP="005206F0">
      <w:pPr>
        <w:rPr>
          <w:rFonts w:asciiTheme="minorHAnsi" w:eastAsia="Calibri" w:hAnsiTheme="minorHAnsi" w:cstheme="minorHAnsi"/>
        </w:rPr>
      </w:pPr>
    </w:p>
    <w:p w:rsidR="00CC25AB" w:rsidRDefault="00CC67D7" w:rsidP="005206F0">
      <w:pPr>
        <w:rPr>
          <w:rFonts w:asciiTheme="minorHAnsi" w:eastAsia="Calibri" w:hAnsiTheme="minorHAnsi" w:cstheme="minorHAnsi"/>
        </w:rPr>
      </w:pPr>
      <w:r w:rsidRPr="00444880">
        <w:rPr>
          <w:rFonts w:asciiTheme="minorHAnsi" w:eastAsia="Calibri" w:hAnsiTheme="minorHAnsi" w:cstheme="minorHAnsi"/>
        </w:rPr>
        <w:t>Ebert had to secure law and order in order to implement necessary reformations and avoid possible civil war between radical forces in the country. In November 2018 he made an agreement with the commander of the Reichswehr (German Army) Wilhelm Groener. This assured the head of state the loyalty of the German army and its support in fighting uprisings and maintaining law and order. The agreement was especially aimed at communist movements, but as history soon showed the right wing and nationalistic German army and Freikorps had to fight with rebels from their own environment, for example the Kappa uprising/putsch.</w:t>
      </w:r>
      <w:r w:rsidR="00CC25AB" w:rsidRPr="00444880">
        <w:rPr>
          <w:rStyle w:val="FootnoteReference"/>
          <w:rFonts w:asciiTheme="minorHAnsi" w:eastAsia="Calibri" w:hAnsiTheme="minorHAnsi" w:cstheme="minorHAnsi"/>
        </w:rPr>
        <w:footnoteReference w:id="25"/>
      </w:r>
      <w:r w:rsidRPr="00444880">
        <w:rPr>
          <w:rFonts w:asciiTheme="minorHAnsi" w:eastAsia="Calibri" w:hAnsiTheme="minorHAnsi" w:cstheme="minorHAnsi"/>
        </w:rPr>
        <w:t xml:space="preserve"> </w:t>
      </w:r>
    </w:p>
    <w:p w:rsidR="004104D6" w:rsidRPr="00444880" w:rsidRDefault="004104D6" w:rsidP="005206F0">
      <w:pPr>
        <w:rPr>
          <w:rFonts w:asciiTheme="minorHAnsi" w:eastAsia="Calibri" w:hAnsiTheme="minorHAnsi" w:cstheme="minorHAnsi"/>
        </w:rPr>
      </w:pPr>
    </w:p>
    <w:p w:rsidR="004E6095" w:rsidRPr="00444880" w:rsidRDefault="00CC67D7" w:rsidP="005206F0">
      <w:pPr>
        <w:rPr>
          <w:rFonts w:asciiTheme="minorHAnsi" w:eastAsia="Calibri" w:hAnsiTheme="minorHAnsi" w:cstheme="minorHAnsi"/>
        </w:rPr>
      </w:pPr>
      <w:r w:rsidRPr="00444880">
        <w:rPr>
          <w:rFonts w:asciiTheme="minorHAnsi" w:eastAsia="Calibri" w:hAnsiTheme="minorHAnsi" w:cstheme="minorHAnsi"/>
        </w:rPr>
        <w:t>After the war frustrated ex soldiers left without the support of the state could not find their place in society, often organising themselves in predominantly nationalistic paramilitary groups as Freikorps (voluntary military regiments). They were in opposition to far left movements and this resulted in many regional armed confrontations.</w:t>
      </w:r>
      <w:r w:rsidR="00CC25AB" w:rsidRPr="00444880">
        <w:rPr>
          <w:rFonts w:asciiTheme="minorHAnsi" w:eastAsia="Calibri" w:hAnsiTheme="minorHAnsi" w:cstheme="minorHAnsi"/>
        </w:rPr>
        <w:t xml:space="preserve"> </w:t>
      </w:r>
      <w:r w:rsidRPr="00444880">
        <w:rPr>
          <w:rFonts w:asciiTheme="minorHAnsi" w:eastAsia="Calibri" w:hAnsiTheme="minorHAnsi" w:cstheme="minorHAnsi"/>
        </w:rPr>
        <w:t>As these organisations spread across the country they were the perfect</w:t>
      </w:r>
      <w:r w:rsidR="00CC25AB" w:rsidRPr="00444880">
        <w:rPr>
          <w:rFonts w:asciiTheme="minorHAnsi" w:eastAsia="Calibri" w:hAnsiTheme="minorHAnsi" w:cstheme="minorHAnsi"/>
        </w:rPr>
        <w:t xml:space="preserve"> </w:t>
      </w:r>
      <w:r w:rsidRPr="00444880">
        <w:rPr>
          <w:rFonts w:asciiTheme="minorHAnsi" w:eastAsia="Calibri" w:hAnsiTheme="minorHAnsi" w:cstheme="minorHAnsi"/>
        </w:rPr>
        <w:t>armed hand of the government in keeping stability. Alongside the German army the Freikorps destroyed the January Uprising also known as Spartacist Uprising, a general strike organised by Karl Liebeknecht and Rosa Luxemburg the leaders of the Communist Party of Germany. The reaction of the state was quick and brutal, by order of the Minister of Defence Gustav Noske the German army and Freikorps attacked the striking workers, quickly bringing Berlin under</w:t>
      </w:r>
      <w:r w:rsidR="00012FA9">
        <w:rPr>
          <w:rFonts w:asciiTheme="minorHAnsi" w:eastAsia="Calibri" w:hAnsiTheme="minorHAnsi" w:cstheme="minorHAnsi"/>
        </w:rPr>
        <w:t xml:space="preserve"> control of the government. T</w:t>
      </w:r>
      <w:r w:rsidRPr="00444880">
        <w:rPr>
          <w:rFonts w:asciiTheme="minorHAnsi" w:eastAsia="Calibri" w:hAnsiTheme="minorHAnsi" w:cstheme="minorHAnsi"/>
        </w:rPr>
        <w:t>he same fate communists faced in other cities. The leaders of the Communist party, Liebeknecht and Luxemburg, where killed by the Freikorps and the death toll reached 157 on the side of insurgents and 17 in German army and Freikorps. For the next few months the government consecutively fought communist rebellions across the country as well as crushing the Communist government in Bavaria which ended up in over a thousand casualties</w:t>
      </w:r>
      <w:r w:rsidR="00CC25AB" w:rsidRPr="00444880">
        <w:rPr>
          <w:rFonts w:asciiTheme="minorHAnsi" w:eastAsia="Calibri" w:hAnsiTheme="minorHAnsi" w:cstheme="minorHAnsi"/>
        </w:rPr>
        <w:t>.</w:t>
      </w:r>
      <w:r w:rsidR="00CC25AB" w:rsidRPr="00444880">
        <w:rPr>
          <w:rStyle w:val="FootnoteReference"/>
          <w:rFonts w:asciiTheme="minorHAnsi" w:eastAsia="Calibri" w:hAnsiTheme="minorHAnsi" w:cstheme="minorHAnsi"/>
        </w:rPr>
        <w:footnoteReference w:id="26"/>
      </w:r>
      <w:r w:rsidR="00CC25AB" w:rsidRPr="00444880">
        <w:rPr>
          <w:rFonts w:asciiTheme="minorHAnsi" w:eastAsia="Calibri" w:hAnsiTheme="minorHAnsi" w:cstheme="minorHAnsi"/>
        </w:rPr>
        <w:t xml:space="preserve"> </w:t>
      </w:r>
      <w:r w:rsidRPr="00444880">
        <w:rPr>
          <w:rFonts w:asciiTheme="minorHAnsi" w:hAnsiTheme="minorHAnsi" w:cstheme="minorHAnsi"/>
        </w:rPr>
        <w:t xml:space="preserve">This hostile and </w:t>
      </w:r>
      <w:r w:rsidRPr="00444880">
        <w:rPr>
          <w:rFonts w:asciiTheme="minorHAnsi" w:hAnsiTheme="minorHAnsi" w:cstheme="minorHAnsi"/>
        </w:rPr>
        <w:lastRenderedPageBreak/>
        <w:t>highly repressive attitude of the government towards far left movements was maintained in the following years. Up until 1933 Germany became increasingly polarised, an arena of conflicts between far right and far left movements as the centre increasingly lost popularity,</w:t>
      </w:r>
      <w:r w:rsidR="00CC25AB" w:rsidRPr="00444880">
        <w:rPr>
          <w:rFonts w:asciiTheme="minorHAnsi" w:hAnsiTheme="minorHAnsi" w:cstheme="minorHAnsi"/>
        </w:rPr>
        <w:t xml:space="preserve"> </w:t>
      </w:r>
      <w:r w:rsidRPr="00444880">
        <w:rPr>
          <w:rFonts w:asciiTheme="minorHAnsi" w:hAnsiTheme="minorHAnsi" w:cstheme="minorHAnsi"/>
        </w:rPr>
        <w:t>however the government response to civil disobedience from right wings movement were significantly milder than towards from the left. Bias in the justice system played a large role in this. Courts were often in favour of right wing perpetrators, seeing them as acting in a spirit of patriotism, and perpetrators often left the courtroom with reduced sentences, such as Adolf Hitler, while left wing perpetrators were often sentenced far more harshly.</w:t>
      </w:r>
      <w:r w:rsidR="006E55C5" w:rsidRPr="00444880">
        <w:rPr>
          <w:rStyle w:val="FootnoteReference"/>
          <w:rFonts w:asciiTheme="minorHAnsi" w:hAnsiTheme="minorHAnsi" w:cstheme="minorHAnsi"/>
        </w:rPr>
        <w:footnoteReference w:id="27"/>
      </w:r>
      <w:r w:rsidRPr="00444880">
        <w:rPr>
          <w:rFonts w:asciiTheme="minorHAnsi" w:hAnsiTheme="minorHAnsi" w:cstheme="minorHAnsi"/>
        </w:rPr>
        <w:t xml:space="preserve"> This favourable</w:t>
      </w:r>
      <w:r w:rsidR="006E55C5" w:rsidRPr="00444880">
        <w:rPr>
          <w:rFonts w:asciiTheme="minorHAnsi" w:hAnsiTheme="minorHAnsi" w:cstheme="minorHAnsi"/>
        </w:rPr>
        <w:t xml:space="preserve"> </w:t>
      </w:r>
      <w:r w:rsidRPr="00444880">
        <w:rPr>
          <w:rFonts w:asciiTheme="minorHAnsi" w:hAnsiTheme="minorHAnsi" w:cstheme="minorHAnsi"/>
        </w:rPr>
        <w:t>treating of right wing activists resulted in the strengthening of their position over the years. The best example of this is the Organisation Consul. This far right organisation attempted 354 assassinations of their political enemies such as leftists and Jews and the founder and leader of the organization, Hermann Ehrhardt, established a network throughout the entire country. Since 1919, the Weimar government subsidised the organisation in upper Silesia. Commandant of the Bavarian police, Ernest Pohner, regularly supported the organisation by providing false documents and defrauding money from the state. The police and courts covered up many of the actions of the Consul however the line was crossed with the assassination of Walter Rathenau, the minister of Foreign Affairs. Two of the assassins died during the manhunt but the last one, Ernst Techow, was caught and sentenced to 15 years in prison. This however was not the end of the "indulgency" of the justice system and in 1928 Techow was released under amnesty.</w:t>
      </w:r>
      <w:r w:rsidR="006E55C5" w:rsidRPr="00444880">
        <w:rPr>
          <w:rStyle w:val="FootnoteReference"/>
          <w:rFonts w:asciiTheme="minorHAnsi" w:hAnsiTheme="minorHAnsi" w:cstheme="minorHAnsi"/>
        </w:rPr>
        <w:footnoteReference w:id="28"/>
      </w:r>
      <w:r w:rsidRPr="00444880">
        <w:rPr>
          <w:rFonts w:asciiTheme="minorHAnsi" w:hAnsiTheme="minorHAnsi" w:cstheme="minorHAnsi"/>
        </w:rPr>
        <w:t xml:space="preserve"> The fate Adolf Hitler after the Munich putsch in November 1923 was similar. On the 1st of April 1924 Hitler was sentenced to five years in Landsberg only to be released by the Ministry of Justice, he was then sentenced again in February 1925 to 5 years in prison and again released after only a few weeks. In comparison, between 1919-22 leftist organisations attempted 22 assassinations in which the prosecuted were sentenced to long prison sentences and in some cases the death penalty.</w:t>
      </w:r>
      <w:r w:rsidR="006E55C5" w:rsidRPr="00444880">
        <w:rPr>
          <w:rStyle w:val="FootnoteReference"/>
          <w:rFonts w:asciiTheme="minorHAnsi" w:hAnsiTheme="minorHAnsi" w:cstheme="minorHAnsi"/>
        </w:rPr>
        <w:footnoteReference w:id="29"/>
      </w:r>
    </w:p>
    <w:p w:rsidR="003A5161" w:rsidRPr="00444880" w:rsidRDefault="003857CB" w:rsidP="005206F0">
      <w:pPr>
        <w:rPr>
          <w:rFonts w:asciiTheme="minorHAnsi" w:eastAsia="Calibri" w:hAnsiTheme="minorHAnsi" w:cstheme="minorHAnsi"/>
        </w:rPr>
      </w:pPr>
    </w:p>
    <w:p w:rsidR="004E6095" w:rsidRPr="00444880" w:rsidRDefault="00CC67D7" w:rsidP="005206F0">
      <w:pPr>
        <w:rPr>
          <w:rFonts w:asciiTheme="minorHAnsi" w:eastAsia="Calibri" w:hAnsiTheme="minorHAnsi" w:cstheme="minorHAnsi"/>
        </w:rPr>
      </w:pPr>
      <w:r w:rsidRPr="00444880">
        <w:rPr>
          <w:rFonts w:asciiTheme="minorHAnsi" w:eastAsia="Calibri" w:hAnsiTheme="minorHAnsi" w:cstheme="minorHAnsi"/>
        </w:rPr>
        <w:t>At the beginning of the Weimar republic the majority of Germans supported the nationalised but reasonable political centre. I do not agree that reactions to civil disobedience and unrest within the Weimar state inevitably led to future authoritarian rule; this was the result of the combination of terrible economic policies, cultural background, and the foreign policy</w:t>
      </w:r>
      <w:r w:rsidR="006E55C5" w:rsidRPr="00444880">
        <w:rPr>
          <w:rFonts w:asciiTheme="minorHAnsi" w:eastAsia="Calibri" w:hAnsiTheme="minorHAnsi" w:cstheme="minorHAnsi"/>
        </w:rPr>
        <w:t xml:space="preserve"> </w:t>
      </w:r>
      <w:r w:rsidRPr="00444880">
        <w:rPr>
          <w:rFonts w:asciiTheme="minorHAnsi" w:eastAsia="Calibri" w:hAnsiTheme="minorHAnsi" w:cstheme="minorHAnsi"/>
        </w:rPr>
        <w:t>of Entente towards Germany. Perhaps Hitler's rule could have been avoided, as radicalisation of society often comes along with impoverishment. Perhaps harsher politic towards far right movements could have stopped the radicalisation of German society and stop authoritarian rule in 1933, indeed if the Weimar court system would sentenced Hitler for 30 years of prison future authoritarian rule would be impossible. To do that however it would have been necessary to shift the attitude of the Weimar government towards far right movements and it seems the government chose a more lenient approach towards the right wing on the basis of Germany's cultural background. Likewise, perhaps softer French policy towards Germany would have resulted in the stabilisation of the country and therefore reduced the influence of radical parties to the edge of society.</w:t>
      </w:r>
    </w:p>
    <w:sdt>
      <w:sdtPr>
        <w:rPr>
          <w:rFonts w:asciiTheme="minorHAnsi" w:hAnsiTheme="minorHAnsi" w:cstheme="minorHAnsi"/>
          <w:b w:val="0"/>
          <w:color w:val="000000"/>
          <w:sz w:val="20"/>
          <w:szCs w:val="20"/>
        </w:rPr>
        <w:id w:val="268357694"/>
        <w:docPartObj>
          <w:docPartGallery w:val="Bibliographies"/>
          <w:docPartUnique/>
        </w:docPartObj>
      </w:sdtPr>
      <w:sdtContent>
        <w:p w:rsidR="0037020C" w:rsidRPr="00012FA9" w:rsidRDefault="0037020C">
          <w:pPr>
            <w:pStyle w:val="Heading1"/>
            <w:rPr>
              <w:rFonts w:asciiTheme="minorHAnsi" w:hAnsiTheme="minorHAnsi" w:cstheme="minorHAnsi"/>
              <w:sz w:val="20"/>
              <w:szCs w:val="20"/>
            </w:rPr>
          </w:pPr>
          <w:r w:rsidRPr="00012FA9">
            <w:rPr>
              <w:rFonts w:asciiTheme="minorHAnsi" w:hAnsiTheme="minorHAnsi" w:cstheme="minorHAnsi"/>
              <w:sz w:val="20"/>
              <w:szCs w:val="20"/>
            </w:rPr>
            <w:t>Bibliography</w:t>
          </w:r>
        </w:p>
        <w:sdt>
          <w:sdtPr>
            <w:rPr>
              <w:rFonts w:asciiTheme="minorHAnsi" w:hAnsiTheme="minorHAnsi" w:cstheme="minorHAnsi"/>
              <w:sz w:val="20"/>
              <w:szCs w:val="20"/>
            </w:rPr>
            <w:id w:val="111145805"/>
            <w:bibliography/>
          </w:sdtPr>
          <w:sdtContent>
            <w:p w:rsidR="005A5EA8" w:rsidRPr="00012FA9" w:rsidRDefault="005A5EA8">
              <w:pPr>
                <w:rPr>
                  <w:rFonts w:asciiTheme="minorHAnsi" w:hAnsiTheme="minorHAnsi" w:cstheme="minorHAnsi"/>
                  <w:sz w:val="20"/>
                  <w:szCs w:val="20"/>
                </w:rPr>
              </w:pPr>
            </w:p>
            <w:p w:rsidR="005A5EA8" w:rsidRPr="00012FA9" w:rsidRDefault="005A5EA8">
              <w:pPr>
                <w:rPr>
                  <w:rFonts w:asciiTheme="minorHAnsi" w:hAnsiTheme="minorHAnsi" w:cstheme="minorHAnsi"/>
                  <w:sz w:val="20"/>
                  <w:szCs w:val="20"/>
                </w:rPr>
              </w:pPr>
              <w:r w:rsidRPr="00012FA9">
                <w:rPr>
                  <w:rFonts w:asciiTheme="minorHAnsi" w:hAnsiTheme="minorHAnsi" w:cstheme="minorHAnsi"/>
                  <w:sz w:val="20"/>
                  <w:szCs w:val="20"/>
                </w:rPr>
                <w:lastRenderedPageBreak/>
                <w:t>Anderson, R. D., "</w:t>
              </w:r>
              <w:r w:rsidRPr="00012FA9">
                <w:rPr>
                  <w:rFonts w:asciiTheme="minorHAnsi" w:hAnsiTheme="minorHAnsi" w:cstheme="minorHAnsi"/>
                  <w:i/>
                  <w:sz w:val="20"/>
                  <w:szCs w:val="20"/>
                </w:rPr>
                <w:t>European Universities from the Enlightenment to 1914</w:t>
              </w:r>
              <w:r w:rsidRPr="00012FA9">
                <w:rPr>
                  <w:rFonts w:asciiTheme="minorHAnsi" w:hAnsiTheme="minorHAnsi" w:cstheme="minorHAnsi"/>
                  <w:sz w:val="20"/>
                  <w:szCs w:val="20"/>
                </w:rPr>
                <w:t>", (Oxford: Oxford University Press, 2004)</w:t>
              </w:r>
            </w:p>
            <w:p w:rsidR="005A5EA8" w:rsidRPr="00012FA9" w:rsidRDefault="005A5EA8">
              <w:pPr>
                <w:rPr>
                  <w:rFonts w:asciiTheme="minorHAnsi" w:hAnsiTheme="minorHAnsi" w:cstheme="minorHAnsi"/>
                  <w:sz w:val="20"/>
                  <w:szCs w:val="20"/>
                </w:rPr>
              </w:pPr>
              <w:r w:rsidRPr="00012FA9">
                <w:rPr>
                  <w:rFonts w:asciiTheme="minorHAnsi" w:hAnsiTheme="minorHAnsi" w:cstheme="minorHAnsi"/>
                  <w:sz w:val="20"/>
                  <w:szCs w:val="20"/>
                </w:rPr>
                <w:t>Boli, J., Ramirez O.F., Meyer J .W.</w:t>
              </w:r>
              <w:r w:rsidRPr="00012FA9">
                <w:rPr>
                  <w:rFonts w:asciiTheme="minorHAnsi" w:hAnsiTheme="minorHAnsi" w:cstheme="minorHAnsi"/>
                  <w:i/>
                  <w:sz w:val="20"/>
                  <w:szCs w:val="20"/>
                </w:rPr>
                <w:t xml:space="preserve">, "Explaining the origins and expansion of mass education", </w:t>
              </w:r>
              <w:r w:rsidRPr="00012FA9">
                <w:rPr>
                  <w:rFonts w:asciiTheme="minorHAnsi" w:hAnsiTheme="minorHAnsi" w:cstheme="minorHAnsi"/>
                  <w:sz w:val="20"/>
                  <w:szCs w:val="20"/>
                </w:rPr>
                <w:t>Comparative education review, 29.2 (1985)</w:t>
              </w:r>
            </w:p>
            <w:p w:rsidR="005A5EA8" w:rsidRPr="00012FA9" w:rsidRDefault="00444880">
              <w:pPr>
                <w:rPr>
                  <w:rFonts w:asciiTheme="minorHAnsi" w:hAnsiTheme="minorHAnsi" w:cstheme="minorHAnsi"/>
                  <w:sz w:val="20"/>
                  <w:szCs w:val="20"/>
                </w:rPr>
              </w:pPr>
              <w:r w:rsidRPr="00012FA9">
                <w:rPr>
                  <w:rFonts w:asciiTheme="minorHAnsi" w:hAnsiTheme="minorHAnsi" w:cstheme="minorHAnsi"/>
                  <w:sz w:val="20"/>
                  <w:szCs w:val="20"/>
                </w:rPr>
                <w:t>Carlyle, T.</w:t>
              </w:r>
              <w:r w:rsidR="005A5EA8" w:rsidRPr="00012FA9">
                <w:rPr>
                  <w:rFonts w:asciiTheme="minorHAnsi" w:hAnsiTheme="minorHAnsi" w:cstheme="minorHAnsi"/>
                  <w:sz w:val="20"/>
                  <w:szCs w:val="20"/>
                </w:rPr>
                <w:t xml:space="preserve">, </w:t>
              </w:r>
              <w:r w:rsidR="005A5EA8" w:rsidRPr="00012FA9">
                <w:rPr>
                  <w:rFonts w:asciiTheme="minorHAnsi" w:hAnsiTheme="minorHAnsi" w:cstheme="minorHAnsi"/>
                  <w:i/>
                  <w:sz w:val="20"/>
                  <w:szCs w:val="20"/>
                </w:rPr>
                <w:t>"On heroes, hero-worship, and the heroic in history. vol. 1."</w:t>
              </w:r>
              <w:r w:rsidR="005A5EA8" w:rsidRPr="00012FA9">
                <w:rPr>
                  <w:rFonts w:asciiTheme="minorHAnsi" w:hAnsiTheme="minorHAnsi" w:cstheme="minorHAnsi"/>
                  <w:sz w:val="20"/>
                  <w:szCs w:val="20"/>
                </w:rPr>
                <w:t xml:space="preserve"> (University of California Press, 1993)</w:t>
              </w:r>
            </w:p>
            <w:p w:rsidR="0037020C" w:rsidRPr="00012FA9" w:rsidRDefault="00444880">
              <w:pPr>
                <w:rPr>
                  <w:rFonts w:asciiTheme="minorHAnsi" w:hAnsiTheme="minorHAnsi" w:cstheme="minorHAnsi"/>
                  <w:sz w:val="20"/>
                  <w:szCs w:val="20"/>
                </w:rPr>
              </w:pPr>
              <w:r w:rsidRPr="00012FA9">
                <w:rPr>
                  <w:rFonts w:asciiTheme="minorHAnsi" w:hAnsiTheme="minorHAnsi" w:cstheme="minorHAnsi"/>
                  <w:sz w:val="20"/>
                  <w:szCs w:val="20"/>
                </w:rPr>
                <w:t>Clark, C.</w:t>
              </w:r>
              <w:r w:rsidR="005A5EA8" w:rsidRPr="00012FA9">
                <w:rPr>
                  <w:rFonts w:asciiTheme="minorHAnsi" w:hAnsiTheme="minorHAnsi" w:cstheme="minorHAnsi"/>
                  <w:sz w:val="20"/>
                  <w:szCs w:val="20"/>
                </w:rPr>
                <w:t>, "</w:t>
              </w:r>
              <w:r w:rsidR="005A5EA8" w:rsidRPr="00012FA9">
                <w:rPr>
                  <w:rFonts w:asciiTheme="minorHAnsi" w:hAnsiTheme="minorHAnsi" w:cstheme="minorHAnsi"/>
                  <w:i/>
                  <w:sz w:val="20"/>
                  <w:szCs w:val="20"/>
                </w:rPr>
                <w:t>Iron kingdom: the rise and downfall of Prussia, 1600-1947"</w:t>
              </w:r>
              <w:r w:rsidR="005A5EA8" w:rsidRPr="00012FA9">
                <w:rPr>
                  <w:rFonts w:asciiTheme="minorHAnsi" w:hAnsiTheme="minorHAnsi" w:cstheme="minorHAnsi"/>
                  <w:sz w:val="20"/>
                  <w:szCs w:val="20"/>
                </w:rPr>
                <w:t>. (Harvard University Press, 2006)</w:t>
              </w:r>
            </w:p>
            <w:p w:rsidR="0037020C" w:rsidRPr="00012FA9" w:rsidRDefault="00444880">
              <w:pPr>
                <w:rPr>
                  <w:rFonts w:asciiTheme="minorHAnsi" w:hAnsiTheme="minorHAnsi" w:cstheme="minorHAnsi"/>
                  <w:sz w:val="20"/>
                  <w:szCs w:val="20"/>
                </w:rPr>
              </w:pPr>
              <w:r w:rsidRPr="00012FA9">
                <w:rPr>
                  <w:rFonts w:asciiTheme="minorHAnsi" w:hAnsiTheme="minorHAnsi" w:cstheme="minorHAnsi"/>
                  <w:sz w:val="20"/>
                  <w:szCs w:val="20"/>
                </w:rPr>
                <w:t>Evans, R.</w:t>
              </w:r>
              <w:r w:rsidR="0037020C" w:rsidRPr="00012FA9">
                <w:rPr>
                  <w:rFonts w:asciiTheme="minorHAnsi" w:hAnsiTheme="minorHAnsi" w:cstheme="minorHAnsi"/>
                  <w:sz w:val="20"/>
                  <w:szCs w:val="20"/>
                </w:rPr>
                <w:t xml:space="preserve"> J., </w:t>
              </w:r>
              <w:r w:rsidR="0037020C" w:rsidRPr="00012FA9">
                <w:rPr>
                  <w:rFonts w:asciiTheme="minorHAnsi" w:hAnsiTheme="minorHAnsi" w:cstheme="minorHAnsi"/>
                  <w:i/>
                  <w:sz w:val="20"/>
                  <w:szCs w:val="20"/>
                </w:rPr>
                <w:t>"The Coming of the Third Reich"</w:t>
              </w:r>
              <w:r w:rsidR="0037020C" w:rsidRPr="00012FA9">
                <w:rPr>
                  <w:rFonts w:asciiTheme="minorHAnsi" w:hAnsiTheme="minorHAnsi" w:cstheme="minorHAnsi"/>
                  <w:sz w:val="20"/>
                  <w:szCs w:val="20"/>
                </w:rPr>
                <w:t>, (Penguin Books, New York: Penguin Books, 2004)</w:t>
              </w:r>
            </w:p>
            <w:p w:rsidR="0037020C" w:rsidRPr="00012FA9" w:rsidRDefault="0037020C">
              <w:pPr>
                <w:rPr>
                  <w:rFonts w:asciiTheme="minorHAnsi" w:hAnsiTheme="minorHAnsi" w:cstheme="minorHAnsi"/>
                  <w:sz w:val="20"/>
                  <w:szCs w:val="20"/>
                </w:rPr>
              </w:pPr>
              <w:r w:rsidRPr="00012FA9">
                <w:rPr>
                  <w:rFonts w:asciiTheme="minorHAnsi" w:hAnsiTheme="minorHAnsi" w:cstheme="minorHAnsi"/>
                  <w:sz w:val="20"/>
                  <w:szCs w:val="20"/>
                </w:rPr>
                <w:t>Fergusson</w:t>
              </w:r>
              <w:r w:rsidR="00444880" w:rsidRPr="00012FA9">
                <w:rPr>
                  <w:rFonts w:asciiTheme="minorHAnsi" w:hAnsiTheme="minorHAnsi" w:cstheme="minorHAnsi"/>
                  <w:sz w:val="20"/>
                  <w:szCs w:val="20"/>
                </w:rPr>
                <w:t xml:space="preserve"> A.</w:t>
              </w:r>
              <w:r w:rsidRPr="00012FA9">
                <w:rPr>
                  <w:rFonts w:asciiTheme="minorHAnsi" w:hAnsiTheme="minorHAnsi" w:cstheme="minorHAnsi"/>
                  <w:sz w:val="20"/>
                  <w:szCs w:val="20"/>
                </w:rPr>
                <w:t xml:space="preserve">, </w:t>
              </w:r>
              <w:r w:rsidRPr="00012FA9">
                <w:rPr>
                  <w:rFonts w:asciiTheme="minorHAnsi" w:hAnsiTheme="minorHAnsi" w:cstheme="minorHAnsi"/>
                  <w:i/>
                  <w:sz w:val="20"/>
                  <w:szCs w:val="20"/>
                </w:rPr>
                <w:t>"When the money dies"</w:t>
              </w:r>
              <w:r w:rsidRPr="00012FA9">
                <w:rPr>
                  <w:rFonts w:asciiTheme="minorHAnsi" w:hAnsiTheme="minorHAnsi" w:cstheme="minorHAnsi"/>
                  <w:sz w:val="20"/>
                  <w:szCs w:val="20"/>
                </w:rPr>
                <w:t>, (Warsaw: Studioemka, 2012)</w:t>
              </w:r>
            </w:p>
            <w:p w:rsidR="0037020C" w:rsidRPr="00012FA9" w:rsidRDefault="00444880">
              <w:pPr>
                <w:rPr>
                  <w:rFonts w:asciiTheme="minorHAnsi" w:hAnsiTheme="minorHAnsi" w:cstheme="minorHAnsi"/>
                  <w:sz w:val="20"/>
                  <w:szCs w:val="20"/>
                </w:rPr>
              </w:pPr>
              <w:r w:rsidRPr="00012FA9">
                <w:rPr>
                  <w:rFonts w:asciiTheme="minorHAnsi" w:hAnsiTheme="minorHAnsi" w:cstheme="minorHAnsi"/>
                  <w:sz w:val="20"/>
                  <w:szCs w:val="20"/>
                </w:rPr>
                <w:t>Fest, J.</w:t>
              </w:r>
              <w:r w:rsidR="0037020C" w:rsidRPr="00012FA9">
                <w:rPr>
                  <w:rFonts w:asciiTheme="minorHAnsi" w:hAnsiTheme="minorHAnsi" w:cstheme="minorHAnsi"/>
                  <w:sz w:val="20"/>
                  <w:szCs w:val="20"/>
                </w:rPr>
                <w:t>, "</w:t>
              </w:r>
              <w:r w:rsidR="0037020C" w:rsidRPr="00012FA9">
                <w:rPr>
                  <w:rFonts w:asciiTheme="minorHAnsi" w:hAnsiTheme="minorHAnsi" w:cstheme="minorHAnsi"/>
                  <w:i/>
                  <w:sz w:val="20"/>
                  <w:szCs w:val="20"/>
                </w:rPr>
                <w:t>Hitler",</w:t>
              </w:r>
              <w:r w:rsidR="0037020C" w:rsidRPr="00012FA9">
                <w:rPr>
                  <w:rFonts w:asciiTheme="minorHAnsi" w:hAnsiTheme="minorHAnsi" w:cstheme="minorHAnsi"/>
                  <w:sz w:val="20"/>
                  <w:szCs w:val="20"/>
                </w:rPr>
                <w:t>(Harcourt Brace Jovanovich, 1974)</w:t>
              </w:r>
            </w:p>
            <w:p w:rsidR="0037020C" w:rsidRPr="00012FA9" w:rsidRDefault="00444880">
              <w:pPr>
                <w:rPr>
                  <w:rFonts w:asciiTheme="minorHAnsi" w:hAnsiTheme="minorHAnsi" w:cstheme="minorHAnsi"/>
                  <w:sz w:val="20"/>
                  <w:szCs w:val="20"/>
                </w:rPr>
              </w:pPr>
              <w:r w:rsidRPr="00012FA9">
                <w:rPr>
                  <w:rFonts w:asciiTheme="minorHAnsi" w:hAnsiTheme="minorHAnsi" w:cstheme="minorHAnsi"/>
                  <w:sz w:val="20"/>
                  <w:szCs w:val="20"/>
                </w:rPr>
                <w:t>Gellately, R.</w:t>
              </w:r>
              <w:r w:rsidR="0037020C" w:rsidRPr="00012FA9">
                <w:rPr>
                  <w:rFonts w:asciiTheme="minorHAnsi" w:hAnsiTheme="minorHAnsi" w:cstheme="minorHAnsi"/>
                  <w:sz w:val="20"/>
                  <w:szCs w:val="20"/>
                </w:rPr>
                <w:t>, "</w:t>
              </w:r>
              <w:r w:rsidR="0037020C" w:rsidRPr="00012FA9">
                <w:rPr>
                  <w:rFonts w:asciiTheme="minorHAnsi" w:hAnsiTheme="minorHAnsi" w:cstheme="minorHAnsi"/>
                  <w:i/>
                  <w:sz w:val="20"/>
                  <w:szCs w:val="20"/>
                </w:rPr>
                <w:t>Backing Hitler: consent and coercion in Nazi Germany</w:t>
              </w:r>
              <w:r w:rsidR="0037020C" w:rsidRPr="00012FA9">
                <w:rPr>
                  <w:rFonts w:asciiTheme="minorHAnsi" w:hAnsiTheme="minorHAnsi" w:cstheme="minorHAnsi"/>
                  <w:sz w:val="20"/>
                  <w:szCs w:val="20"/>
                </w:rPr>
                <w:t>", (Oxford: Oxford University Press, 2002)</w:t>
              </w:r>
            </w:p>
            <w:p w:rsidR="0037020C" w:rsidRPr="00012FA9" w:rsidRDefault="00444880">
              <w:pPr>
                <w:rPr>
                  <w:rFonts w:asciiTheme="minorHAnsi" w:hAnsiTheme="minorHAnsi" w:cstheme="minorHAnsi"/>
                  <w:sz w:val="20"/>
                  <w:szCs w:val="20"/>
                </w:rPr>
              </w:pPr>
              <w:r w:rsidRPr="00012FA9">
                <w:rPr>
                  <w:rFonts w:asciiTheme="minorHAnsi" w:hAnsiTheme="minorHAnsi" w:cstheme="minorHAnsi"/>
                  <w:sz w:val="20"/>
                  <w:szCs w:val="20"/>
                </w:rPr>
                <w:t>Holzer, J.</w:t>
              </w:r>
              <w:r w:rsidR="0037020C" w:rsidRPr="00012FA9">
                <w:rPr>
                  <w:rFonts w:asciiTheme="minorHAnsi" w:hAnsiTheme="minorHAnsi" w:cstheme="minorHAnsi"/>
                  <w:sz w:val="20"/>
                  <w:szCs w:val="20"/>
                </w:rPr>
                <w:t xml:space="preserve">, </w:t>
              </w:r>
              <w:r w:rsidR="0037020C" w:rsidRPr="00012FA9">
                <w:rPr>
                  <w:rFonts w:asciiTheme="minorHAnsi" w:hAnsiTheme="minorHAnsi" w:cstheme="minorHAnsi"/>
                  <w:i/>
                  <w:sz w:val="20"/>
                  <w:szCs w:val="20"/>
                </w:rPr>
                <w:t>"From Wilhelm to Hitler",</w:t>
              </w:r>
              <w:r w:rsidR="0037020C" w:rsidRPr="00012FA9">
                <w:rPr>
                  <w:rFonts w:asciiTheme="minorHAnsi" w:hAnsiTheme="minorHAnsi" w:cstheme="minorHAnsi"/>
                  <w:sz w:val="20"/>
                  <w:szCs w:val="20"/>
                </w:rPr>
                <w:t xml:space="preserve"> (Warsaw:Ksiazka i Wiedza, 1963)</w:t>
              </w:r>
            </w:p>
            <w:p w:rsidR="005A5EA8" w:rsidRPr="00012FA9" w:rsidRDefault="00444880">
              <w:pPr>
                <w:rPr>
                  <w:rFonts w:asciiTheme="minorHAnsi" w:hAnsiTheme="minorHAnsi" w:cstheme="minorHAnsi"/>
                  <w:sz w:val="20"/>
                  <w:szCs w:val="20"/>
                </w:rPr>
              </w:pPr>
              <w:r w:rsidRPr="00012FA9">
                <w:rPr>
                  <w:rFonts w:asciiTheme="minorHAnsi" w:hAnsiTheme="minorHAnsi" w:cstheme="minorHAnsi"/>
                  <w:sz w:val="20"/>
                  <w:szCs w:val="20"/>
                </w:rPr>
                <w:t>Holborn, H.</w:t>
              </w:r>
              <w:r w:rsidR="005A5EA8" w:rsidRPr="00012FA9">
                <w:rPr>
                  <w:rFonts w:asciiTheme="minorHAnsi" w:hAnsiTheme="minorHAnsi" w:cstheme="minorHAnsi"/>
                  <w:sz w:val="20"/>
                  <w:szCs w:val="20"/>
                </w:rPr>
                <w:t xml:space="preserve">, </w:t>
              </w:r>
              <w:r w:rsidR="005A5EA8" w:rsidRPr="00012FA9">
                <w:rPr>
                  <w:rFonts w:asciiTheme="minorHAnsi" w:hAnsiTheme="minorHAnsi" w:cstheme="minorHAnsi"/>
                  <w:i/>
                  <w:sz w:val="20"/>
                  <w:szCs w:val="20"/>
                </w:rPr>
                <w:t>"A history of modern Germany",</w:t>
              </w:r>
              <w:r w:rsidR="005A5EA8" w:rsidRPr="00012FA9">
                <w:rPr>
                  <w:rFonts w:asciiTheme="minorHAnsi" w:hAnsiTheme="minorHAnsi" w:cstheme="minorHAnsi"/>
                  <w:sz w:val="20"/>
                  <w:szCs w:val="20"/>
                </w:rPr>
                <w:t xml:space="preserve"> (Knopf, 1973)</w:t>
              </w:r>
            </w:p>
            <w:p w:rsidR="0037020C" w:rsidRPr="00012FA9" w:rsidRDefault="00444880">
              <w:pPr>
                <w:rPr>
                  <w:rFonts w:asciiTheme="minorHAnsi" w:hAnsiTheme="minorHAnsi" w:cstheme="minorHAnsi"/>
                  <w:sz w:val="20"/>
                  <w:szCs w:val="20"/>
                </w:rPr>
              </w:pPr>
              <w:r w:rsidRPr="00012FA9">
                <w:rPr>
                  <w:rFonts w:asciiTheme="minorHAnsi" w:hAnsiTheme="minorHAnsi" w:cstheme="minorHAnsi"/>
                  <w:sz w:val="20"/>
                  <w:szCs w:val="20"/>
                </w:rPr>
                <w:t>Kaack, H.</w:t>
              </w:r>
              <w:r w:rsidR="0037020C" w:rsidRPr="00012FA9">
                <w:rPr>
                  <w:rFonts w:asciiTheme="minorHAnsi" w:hAnsiTheme="minorHAnsi" w:cstheme="minorHAnsi"/>
                  <w:sz w:val="20"/>
                  <w:szCs w:val="20"/>
                </w:rPr>
                <w:t>, "</w:t>
              </w:r>
              <w:r w:rsidR="0037020C" w:rsidRPr="00012FA9">
                <w:rPr>
                  <w:rFonts w:asciiTheme="minorHAnsi" w:hAnsiTheme="minorHAnsi" w:cstheme="minorHAnsi"/>
                  <w:i/>
                  <w:sz w:val="20"/>
                  <w:szCs w:val="20"/>
                </w:rPr>
                <w:t>The story and structure of German Party system"</w:t>
              </w:r>
              <w:r w:rsidR="0037020C" w:rsidRPr="00012FA9">
                <w:rPr>
                  <w:rFonts w:asciiTheme="minorHAnsi" w:hAnsiTheme="minorHAnsi" w:cstheme="minorHAnsi"/>
                  <w:sz w:val="20"/>
                  <w:szCs w:val="20"/>
                </w:rPr>
                <w:t>, (Springer-Verlag, 2013)</w:t>
              </w:r>
            </w:p>
            <w:p w:rsidR="0037020C" w:rsidRPr="00012FA9" w:rsidRDefault="0037020C">
              <w:pPr>
                <w:rPr>
                  <w:rFonts w:asciiTheme="minorHAnsi" w:hAnsiTheme="minorHAnsi" w:cstheme="minorHAnsi"/>
                  <w:sz w:val="20"/>
                  <w:szCs w:val="20"/>
                </w:rPr>
              </w:pPr>
              <w:r w:rsidRPr="00012FA9">
                <w:rPr>
                  <w:rFonts w:asciiTheme="minorHAnsi" w:hAnsiTheme="minorHAnsi" w:cstheme="minorHAnsi"/>
                  <w:sz w:val="20"/>
                  <w:szCs w:val="20"/>
                </w:rPr>
                <w:t>Kotlowski</w:t>
              </w:r>
              <w:r w:rsidR="00444880" w:rsidRPr="00012FA9">
                <w:rPr>
                  <w:rFonts w:asciiTheme="minorHAnsi" w:hAnsiTheme="minorHAnsi" w:cstheme="minorHAnsi"/>
                  <w:sz w:val="20"/>
                  <w:szCs w:val="20"/>
                </w:rPr>
                <w:t xml:space="preserve"> T.</w:t>
              </w:r>
              <w:r w:rsidRPr="00012FA9">
                <w:rPr>
                  <w:rFonts w:asciiTheme="minorHAnsi" w:hAnsiTheme="minorHAnsi" w:cstheme="minorHAnsi"/>
                  <w:sz w:val="20"/>
                  <w:szCs w:val="20"/>
                </w:rPr>
                <w:t>, "</w:t>
              </w:r>
              <w:r w:rsidRPr="00012FA9">
                <w:rPr>
                  <w:rFonts w:asciiTheme="minorHAnsi" w:hAnsiTheme="minorHAnsi" w:cstheme="minorHAnsi"/>
                  <w:i/>
                  <w:sz w:val="20"/>
                  <w:szCs w:val="20"/>
                </w:rPr>
                <w:t>The History of Weimar Republic 1919-1939"</w:t>
              </w:r>
              <w:r w:rsidRPr="00012FA9">
                <w:rPr>
                  <w:rFonts w:asciiTheme="minorHAnsi" w:hAnsiTheme="minorHAnsi" w:cstheme="minorHAnsi"/>
                  <w:sz w:val="20"/>
                  <w:szCs w:val="20"/>
                </w:rPr>
                <w:t>, (Warsaw: Poznanskie, 2004)</w:t>
              </w:r>
            </w:p>
            <w:p w:rsidR="0037020C" w:rsidRPr="00012FA9" w:rsidRDefault="00444880">
              <w:pPr>
                <w:rPr>
                  <w:rFonts w:asciiTheme="minorHAnsi" w:hAnsiTheme="minorHAnsi" w:cstheme="minorHAnsi"/>
                  <w:sz w:val="20"/>
                  <w:szCs w:val="20"/>
                </w:rPr>
              </w:pPr>
              <w:r w:rsidRPr="00012FA9">
                <w:rPr>
                  <w:rFonts w:asciiTheme="minorHAnsi" w:hAnsiTheme="minorHAnsi" w:cstheme="minorHAnsi"/>
                  <w:sz w:val="20"/>
                  <w:szCs w:val="20"/>
                </w:rPr>
                <w:t>Power T. J.</w:t>
              </w:r>
              <w:r w:rsidR="0037020C" w:rsidRPr="00012FA9">
                <w:rPr>
                  <w:rFonts w:asciiTheme="minorHAnsi" w:hAnsiTheme="minorHAnsi" w:cstheme="minorHAnsi"/>
                  <w:sz w:val="20"/>
                  <w:szCs w:val="20"/>
                </w:rPr>
                <w:t>,</w:t>
              </w:r>
              <w:r w:rsidRPr="00012FA9">
                <w:rPr>
                  <w:rFonts w:asciiTheme="minorHAnsi" w:hAnsiTheme="minorHAnsi" w:cstheme="minorHAnsi"/>
                  <w:sz w:val="20"/>
                  <w:szCs w:val="20"/>
                </w:rPr>
                <w:t xml:space="preserve"> </w:t>
              </w:r>
              <w:r w:rsidR="0037020C" w:rsidRPr="00012FA9">
                <w:rPr>
                  <w:rFonts w:asciiTheme="minorHAnsi" w:hAnsiTheme="minorHAnsi" w:cstheme="minorHAnsi"/>
                  <w:sz w:val="20"/>
                  <w:szCs w:val="20"/>
                </w:rPr>
                <w:t>Powers</w:t>
              </w:r>
              <w:r w:rsidRPr="00012FA9">
                <w:rPr>
                  <w:rFonts w:asciiTheme="minorHAnsi" w:hAnsiTheme="minorHAnsi" w:cstheme="minorHAnsi"/>
                  <w:sz w:val="20"/>
                  <w:szCs w:val="20"/>
                </w:rPr>
                <w:t xml:space="preserve"> N.R.</w:t>
              </w:r>
              <w:r w:rsidR="0037020C" w:rsidRPr="00012FA9">
                <w:rPr>
                  <w:rFonts w:asciiTheme="minorHAnsi" w:hAnsiTheme="minorHAnsi" w:cstheme="minorHAnsi"/>
                  <w:sz w:val="20"/>
                  <w:szCs w:val="20"/>
                </w:rPr>
                <w:t>, "</w:t>
              </w:r>
              <w:r w:rsidR="0037020C" w:rsidRPr="00012FA9">
                <w:rPr>
                  <w:rFonts w:asciiTheme="minorHAnsi" w:hAnsiTheme="minorHAnsi" w:cstheme="minorHAnsi"/>
                  <w:i/>
                  <w:sz w:val="20"/>
                  <w:szCs w:val="20"/>
                </w:rPr>
                <w:t>Issues in the Consolidation of Democracy in Latin America and Southern Europe in Comparative Perspective: A Rapporteurs" Report</w:t>
              </w:r>
              <w:r w:rsidR="0037020C" w:rsidRPr="00012FA9">
                <w:rPr>
                  <w:rFonts w:asciiTheme="minorHAnsi" w:hAnsiTheme="minorHAnsi" w:cstheme="minorHAnsi"/>
                  <w:sz w:val="20"/>
                  <w:szCs w:val="20"/>
                </w:rPr>
                <w:t>. No. 113. (Helen Kellogg Institute for International Studies, 1988)</w:t>
              </w:r>
            </w:p>
            <w:p w:rsidR="005A5EA8" w:rsidRPr="00012FA9" w:rsidRDefault="005A5EA8">
              <w:pPr>
                <w:rPr>
                  <w:rFonts w:asciiTheme="minorHAnsi" w:hAnsiTheme="minorHAnsi" w:cstheme="minorHAnsi"/>
                  <w:sz w:val="20"/>
                  <w:szCs w:val="20"/>
                </w:rPr>
              </w:pPr>
              <w:r w:rsidRPr="00012FA9">
                <w:rPr>
                  <w:rFonts w:asciiTheme="minorHAnsi" w:hAnsiTheme="minorHAnsi" w:cstheme="minorHAnsi"/>
                  <w:sz w:val="20"/>
                  <w:szCs w:val="20"/>
                </w:rPr>
                <w:t xml:space="preserve">Sprigade, </w:t>
              </w:r>
              <w:r w:rsidR="00444880" w:rsidRPr="00012FA9">
                <w:rPr>
                  <w:rFonts w:asciiTheme="minorHAnsi" w:hAnsiTheme="minorHAnsi" w:cstheme="minorHAnsi"/>
                  <w:sz w:val="20"/>
                  <w:szCs w:val="20"/>
                </w:rPr>
                <w:t>A.</w:t>
              </w:r>
              <w:r w:rsidRPr="00012FA9">
                <w:rPr>
                  <w:rFonts w:asciiTheme="minorHAnsi" w:hAnsiTheme="minorHAnsi" w:cstheme="minorHAnsi"/>
                  <w:sz w:val="20"/>
                  <w:szCs w:val="20"/>
                </w:rPr>
                <w:t xml:space="preserve">, </w:t>
              </w:r>
              <w:r w:rsidRPr="00012FA9">
                <w:rPr>
                  <w:rFonts w:asciiTheme="minorHAnsi" w:hAnsiTheme="minorHAnsi" w:cstheme="minorHAnsi"/>
                  <w:i/>
                  <w:sz w:val="20"/>
                  <w:szCs w:val="20"/>
                </w:rPr>
                <w:t>"Educational comparison in England during the first half of the nineteenth century. Educational policy borrowing: Historical perspectives"</w:t>
              </w:r>
              <w:r w:rsidRPr="00012FA9">
                <w:rPr>
                  <w:rFonts w:asciiTheme="minorHAnsi" w:hAnsiTheme="minorHAnsi" w:cstheme="minorHAnsi"/>
                  <w:sz w:val="20"/>
                  <w:szCs w:val="20"/>
                </w:rPr>
                <w:t xml:space="preserve"> (2004)</w:t>
              </w:r>
            </w:p>
            <w:p w:rsidR="005A5EA8" w:rsidRPr="00012FA9" w:rsidRDefault="00444880">
              <w:pPr>
                <w:rPr>
                  <w:rFonts w:asciiTheme="minorHAnsi" w:hAnsiTheme="minorHAnsi" w:cstheme="minorHAnsi"/>
                  <w:sz w:val="20"/>
                  <w:szCs w:val="20"/>
                </w:rPr>
              </w:pPr>
              <w:r w:rsidRPr="00012FA9">
                <w:rPr>
                  <w:rFonts w:asciiTheme="minorHAnsi" w:hAnsiTheme="minorHAnsi" w:cstheme="minorHAnsi"/>
                  <w:sz w:val="20"/>
                  <w:szCs w:val="20"/>
                </w:rPr>
                <w:t>Stern-Rubarth, E.</w:t>
              </w:r>
              <w:r w:rsidR="005A5EA8" w:rsidRPr="00012FA9">
                <w:rPr>
                  <w:rFonts w:asciiTheme="minorHAnsi" w:hAnsiTheme="minorHAnsi" w:cstheme="minorHAnsi"/>
                  <w:sz w:val="20"/>
                  <w:szCs w:val="20"/>
                </w:rPr>
                <w:t>, "</w:t>
              </w:r>
              <w:r w:rsidR="005A5EA8" w:rsidRPr="00012FA9">
                <w:rPr>
                  <w:rFonts w:asciiTheme="minorHAnsi" w:hAnsiTheme="minorHAnsi" w:cstheme="minorHAnsi"/>
                  <w:i/>
                  <w:sz w:val="20"/>
                  <w:szCs w:val="20"/>
                </w:rPr>
                <w:t>Exit Prussia: a plan for Europe</w:t>
              </w:r>
              <w:r w:rsidR="005A5EA8" w:rsidRPr="00012FA9">
                <w:rPr>
                  <w:rFonts w:asciiTheme="minorHAnsi" w:hAnsiTheme="minorHAnsi" w:cstheme="minorHAnsi"/>
                  <w:sz w:val="20"/>
                  <w:szCs w:val="20"/>
                </w:rPr>
                <w:t>", (Duckworth, 1940)</w:t>
              </w:r>
            </w:p>
            <w:p w:rsidR="005A5EA8" w:rsidRPr="00012FA9" w:rsidRDefault="00444880">
              <w:pPr>
                <w:rPr>
                  <w:rFonts w:asciiTheme="minorHAnsi" w:hAnsiTheme="minorHAnsi" w:cstheme="minorHAnsi"/>
                  <w:sz w:val="20"/>
                  <w:szCs w:val="20"/>
                </w:rPr>
              </w:pPr>
              <w:r w:rsidRPr="00012FA9">
                <w:rPr>
                  <w:rFonts w:asciiTheme="minorHAnsi" w:hAnsiTheme="minorHAnsi" w:cstheme="minorHAnsi"/>
                  <w:sz w:val="20"/>
                  <w:szCs w:val="20"/>
                </w:rPr>
                <w:t>Watson, A.</w:t>
              </w:r>
              <w:r w:rsidR="005A5EA8" w:rsidRPr="00012FA9">
                <w:rPr>
                  <w:rFonts w:asciiTheme="minorHAnsi" w:hAnsiTheme="minorHAnsi" w:cstheme="minorHAnsi"/>
                  <w:sz w:val="20"/>
                  <w:szCs w:val="20"/>
                </w:rPr>
                <w:t xml:space="preserve">, </w:t>
              </w:r>
              <w:r w:rsidR="005A5EA8" w:rsidRPr="00012FA9">
                <w:rPr>
                  <w:rFonts w:asciiTheme="minorHAnsi" w:hAnsiTheme="minorHAnsi" w:cstheme="minorHAnsi"/>
                  <w:i/>
                  <w:sz w:val="20"/>
                  <w:szCs w:val="20"/>
                </w:rPr>
                <w:t xml:space="preserve">"Stabbed at the Front", History Today, </w:t>
              </w:r>
              <w:r w:rsidR="005A5EA8" w:rsidRPr="00012FA9">
                <w:rPr>
                  <w:rFonts w:asciiTheme="minorHAnsi" w:hAnsiTheme="minorHAnsi" w:cstheme="minorHAnsi"/>
                  <w:sz w:val="20"/>
                  <w:szCs w:val="20"/>
                </w:rPr>
                <w:t>58.11 (2008): 21</w:t>
              </w:r>
            </w:p>
            <w:p w:rsidR="005A5EA8" w:rsidRPr="00012FA9" w:rsidRDefault="00444880" w:rsidP="0037020C">
              <w:pPr>
                <w:rPr>
                  <w:rFonts w:asciiTheme="minorHAnsi" w:hAnsiTheme="minorHAnsi" w:cstheme="minorHAnsi"/>
                  <w:sz w:val="20"/>
                  <w:szCs w:val="20"/>
                </w:rPr>
              </w:pPr>
              <w:r w:rsidRPr="00012FA9">
                <w:rPr>
                  <w:rFonts w:asciiTheme="minorHAnsi" w:hAnsiTheme="minorHAnsi" w:cstheme="minorHAnsi"/>
                  <w:sz w:val="20"/>
                  <w:szCs w:val="20"/>
                </w:rPr>
                <w:t>Wheaton, E. B.</w:t>
              </w:r>
              <w:r w:rsidR="0037020C" w:rsidRPr="00012FA9">
                <w:rPr>
                  <w:rFonts w:asciiTheme="minorHAnsi" w:hAnsiTheme="minorHAnsi" w:cstheme="minorHAnsi"/>
                  <w:sz w:val="20"/>
                  <w:szCs w:val="20"/>
                </w:rPr>
                <w:t>, "</w:t>
              </w:r>
              <w:r w:rsidR="0037020C" w:rsidRPr="00012FA9">
                <w:rPr>
                  <w:rFonts w:asciiTheme="minorHAnsi" w:hAnsiTheme="minorHAnsi" w:cstheme="minorHAnsi"/>
                  <w:i/>
                  <w:sz w:val="20"/>
                  <w:szCs w:val="20"/>
                </w:rPr>
                <w:t>The Nazi Revolution 1933-35</w:t>
              </w:r>
              <w:r w:rsidR="0037020C" w:rsidRPr="00012FA9">
                <w:rPr>
                  <w:rFonts w:asciiTheme="minorHAnsi" w:hAnsiTheme="minorHAnsi" w:cstheme="minorHAnsi"/>
                  <w:sz w:val="20"/>
                  <w:szCs w:val="20"/>
                </w:rPr>
                <w:t>", 1968.</w:t>
              </w:r>
            </w:p>
            <w:p w:rsidR="0037020C" w:rsidRPr="00012FA9" w:rsidRDefault="00444880" w:rsidP="0037020C">
              <w:pPr>
                <w:rPr>
                  <w:rFonts w:asciiTheme="minorHAnsi" w:hAnsiTheme="minorHAnsi" w:cstheme="minorHAnsi"/>
                  <w:sz w:val="20"/>
                  <w:szCs w:val="20"/>
                </w:rPr>
              </w:pPr>
              <w:r w:rsidRPr="00012FA9">
                <w:rPr>
                  <w:rFonts w:asciiTheme="minorHAnsi" w:hAnsiTheme="minorHAnsi" w:cstheme="minorHAnsi"/>
                  <w:sz w:val="20"/>
                  <w:szCs w:val="20"/>
                </w:rPr>
                <w:t>Von der Goltz, A.</w:t>
              </w:r>
              <w:r w:rsidR="0037020C" w:rsidRPr="00012FA9">
                <w:rPr>
                  <w:rFonts w:asciiTheme="minorHAnsi" w:hAnsiTheme="minorHAnsi" w:cstheme="minorHAnsi"/>
                  <w:sz w:val="20"/>
                  <w:szCs w:val="20"/>
                </w:rPr>
                <w:t>, "</w:t>
              </w:r>
              <w:r w:rsidR="0037020C" w:rsidRPr="00012FA9">
                <w:rPr>
                  <w:rFonts w:asciiTheme="minorHAnsi" w:hAnsiTheme="minorHAnsi" w:cstheme="minorHAnsi"/>
                  <w:i/>
                  <w:sz w:val="20"/>
                  <w:szCs w:val="20"/>
                </w:rPr>
                <w:t>Hindenburg: power, myth, and the rise of the Nazis</w:t>
              </w:r>
              <w:r w:rsidR="0037020C" w:rsidRPr="00012FA9">
                <w:rPr>
                  <w:rFonts w:asciiTheme="minorHAnsi" w:hAnsiTheme="minorHAnsi" w:cstheme="minorHAnsi"/>
                  <w:sz w:val="20"/>
                  <w:szCs w:val="20"/>
                </w:rPr>
                <w:t>", (Oxford University Press, 2009)</w:t>
              </w:r>
            </w:p>
            <w:p w:rsidR="0037020C" w:rsidRPr="00012FA9" w:rsidRDefault="00E36BDE">
              <w:pPr>
                <w:rPr>
                  <w:rFonts w:asciiTheme="minorHAnsi" w:hAnsiTheme="minorHAnsi" w:cstheme="minorHAnsi"/>
                  <w:sz w:val="20"/>
                  <w:szCs w:val="20"/>
                </w:rPr>
              </w:pPr>
            </w:p>
          </w:sdtContent>
        </w:sdt>
      </w:sdtContent>
    </w:sdt>
    <w:p w:rsidR="0037020C" w:rsidRPr="00012FA9" w:rsidRDefault="0037020C" w:rsidP="005206F0">
      <w:pPr>
        <w:rPr>
          <w:rFonts w:asciiTheme="minorHAnsi" w:eastAsia="Calibri" w:hAnsiTheme="minorHAnsi" w:cstheme="minorHAnsi"/>
          <w:sz w:val="20"/>
          <w:szCs w:val="20"/>
        </w:rPr>
      </w:pPr>
    </w:p>
    <w:p w:rsidR="008B019E" w:rsidRPr="00012FA9" w:rsidRDefault="003857CB" w:rsidP="005206F0">
      <w:pPr>
        <w:rPr>
          <w:rFonts w:asciiTheme="minorHAnsi" w:eastAsia="Calibri" w:hAnsiTheme="minorHAnsi" w:cstheme="minorHAnsi"/>
          <w:sz w:val="20"/>
          <w:szCs w:val="20"/>
        </w:rPr>
      </w:pPr>
    </w:p>
    <w:p w:rsidR="00524C5C" w:rsidRPr="00012FA9" w:rsidRDefault="003857CB" w:rsidP="005206F0">
      <w:pPr>
        <w:rPr>
          <w:rFonts w:asciiTheme="minorHAnsi" w:eastAsia="Calibri" w:hAnsiTheme="minorHAnsi" w:cstheme="minorHAnsi"/>
          <w:sz w:val="20"/>
          <w:szCs w:val="20"/>
        </w:rPr>
      </w:pPr>
    </w:p>
    <w:p w:rsidR="00434C7B" w:rsidRPr="00012FA9" w:rsidRDefault="003857CB" w:rsidP="005206F0">
      <w:pPr>
        <w:rPr>
          <w:rFonts w:asciiTheme="minorHAnsi" w:eastAsia="Calibri" w:hAnsiTheme="minorHAnsi" w:cstheme="minorHAnsi"/>
          <w:sz w:val="20"/>
          <w:szCs w:val="20"/>
        </w:rPr>
      </w:pPr>
    </w:p>
    <w:p w:rsidR="005206F0" w:rsidRPr="00012FA9" w:rsidRDefault="003857CB" w:rsidP="005206F0">
      <w:pPr>
        <w:jc w:val="center"/>
        <w:rPr>
          <w:rFonts w:asciiTheme="minorHAnsi" w:hAnsiTheme="minorHAnsi" w:cstheme="minorHAnsi"/>
          <w:sz w:val="20"/>
          <w:szCs w:val="20"/>
        </w:rPr>
      </w:pPr>
    </w:p>
    <w:sectPr w:rsidR="005206F0" w:rsidRPr="00012FA9" w:rsidSect="00F63F7B">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857CB" w:rsidRDefault="003857CB" w:rsidP="00E840C7">
      <w:pPr>
        <w:spacing w:line="240" w:lineRule="auto"/>
      </w:pPr>
      <w:r>
        <w:separator/>
      </w:r>
    </w:p>
  </w:endnote>
  <w:endnote w:type="continuationSeparator" w:id="1">
    <w:p w:rsidR="003857CB" w:rsidRDefault="003857CB" w:rsidP="00E840C7">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857CB" w:rsidRDefault="003857CB" w:rsidP="00E840C7">
      <w:pPr>
        <w:spacing w:line="240" w:lineRule="auto"/>
      </w:pPr>
      <w:r>
        <w:separator/>
      </w:r>
    </w:p>
  </w:footnote>
  <w:footnote w:type="continuationSeparator" w:id="1">
    <w:p w:rsidR="003857CB" w:rsidRDefault="003857CB" w:rsidP="00E840C7">
      <w:pPr>
        <w:spacing w:line="240" w:lineRule="auto"/>
      </w:pPr>
      <w:r>
        <w:continuationSeparator/>
      </w:r>
    </w:p>
  </w:footnote>
  <w:footnote w:id="2">
    <w:p w:rsidR="00E840C7" w:rsidRPr="000F27B7" w:rsidRDefault="00CC67D7">
      <w:pPr>
        <w:pStyle w:val="FootnoteText"/>
        <w:rPr>
          <w:rFonts w:asciiTheme="minorHAnsi" w:hAnsiTheme="minorHAnsi" w:cstheme="minorHAnsi"/>
        </w:rPr>
      </w:pPr>
      <w:r w:rsidRPr="000F27B7">
        <w:rPr>
          <w:rStyle w:val="FootnoteReference"/>
          <w:rFonts w:asciiTheme="minorHAnsi" w:hAnsiTheme="minorHAnsi" w:cstheme="minorHAnsi"/>
        </w:rPr>
        <w:footnoteRef/>
      </w:r>
      <w:r w:rsidRPr="000F27B7">
        <w:rPr>
          <w:rFonts w:asciiTheme="minorHAnsi" w:hAnsiTheme="minorHAnsi" w:cstheme="minorHAnsi"/>
        </w:rPr>
        <w:t xml:space="preserve"> </w:t>
      </w:r>
      <w:r w:rsidR="000352AC" w:rsidRPr="000F27B7">
        <w:rPr>
          <w:rFonts w:asciiTheme="minorHAnsi" w:hAnsiTheme="minorHAnsi" w:cstheme="minorHAnsi"/>
        </w:rPr>
        <w:t>Fergusson</w:t>
      </w:r>
      <w:r w:rsidR="00DF2D89" w:rsidRPr="000F27B7">
        <w:rPr>
          <w:rFonts w:asciiTheme="minorHAnsi" w:hAnsiTheme="minorHAnsi" w:cstheme="minorHAnsi"/>
        </w:rPr>
        <w:t xml:space="preserve"> Adam</w:t>
      </w:r>
      <w:r w:rsidR="000352AC" w:rsidRPr="000F27B7">
        <w:rPr>
          <w:rFonts w:asciiTheme="minorHAnsi" w:hAnsiTheme="minorHAnsi" w:cstheme="minorHAnsi"/>
        </w:rPr>
        <w:t xml:space="preserve">, </w:t>
      </w:r>
      <w:r w:rsidR="000352AC" w:rsidRPr="000F27B7">
        <w:rPr>
          <w:rFonts w:asciiTheme="minorHAnsi" w:hAnsiTheme="minorHAnsi" w:cstheme="minorHAnsi"/>
          <w:i/>
        </w:rPr>
        <w:t>"When the money dies"</w:t>
      </w:r>
      <w:r w:rsidR="000352AC" w:rsidRPr="000F27B7">
        <w:rPr>
          <w:rFonts w:asciiTheme="minorHAnsi" w:hAnsiTheme="minorHAnsi" w:cstheme="minorHAnsi"/>
        </w:rPr>
        <w:t>, (Warsaw: Studioemka, 2012)</w:t>
      </w:r>
    </w:p>
  </w:footnote>
  <w:footnote w:id="3">
    <w:p w:rsidR="00E71BAA" w:rsidRPr="000F27B7" w:rsidRDefault="00E71BAA">
      <w:pPr>
        <w:pStyle w:val="FootnoteText"/>
        <w:rPr>
          <w:rFonts w:asciiTheme="minorHAnsi" w:hAnsiTheme="minorHAnsi" w:cstheme="minorHAnsi"/>
        </w:rPr>
      </w:pPr>
      <w:r w:rsidRPr="000F27B7">
        <w:rPr>
          <w:rStyle w:val="FootnoteReference"/>
          <w:rFonts w:asciiTheme="minorHAnsi" w:hAnsiTheme="minorHAnsi" w:cstheme="minorHAnsi"/>
        </w:rPr>
        <w:footnoteRef/>
      </w:r>
      <w:r w:rsidRPr="000F27B7">
        <w:rPr>
          <w:rFonts w:asciiTheme="minorHAnsi" w:hAnsiTheme="minorHAnsi" w:cstheme="minorHAnsi"/>
        </w:rPr>
        <w:t xml:space="preserve"> </w:t>
      </w:r>
      <w:r w:rsidR="00DF2D89" w:rsidRPr="000F27B7">
        <w:rPr>
          <w:rFonts w:asciiTheme="minorHAnsi" w:hAnsiTheme="minorHAnsi" w:cstheme="minorHAnsi"/>
        </w:rPr>
        <w:t>Kotlowski Tadeusz, "</w:t>
      </w:r>
      <w:r w:rsidR="00DF2D89" w:rsidRPr="000F27B7">
        <w:rPr>
          <w:rFonts w:asciiTheme="minorHAnsi" w:hAnsiTheme="minorHAnsi" w:cstheme="minorHAnsi"/>
          <w:i/>
        </w:rPr>
        <w:t>The History of Weimar Republic 1919-1939"</w:t>
      </w:r>
      <w:r w:rsidR="00DF2D89" w:rsidRPr="000F27B7">
        <w:rPr>
          <w:rFonts w:asciiTheme="minorHAnsi" w:hAnsiTheme="minorHAnsi" w:cstheme="minorHAnsi"/>
        </w:rPr>
        <w:t>, (Warsaw: Poznanskie, 2004) p.12, pp. 18-19</w:t>
      </w:r>
    </w:p>
  </w:footnote>
  <w:footnote w:id="4">
    <w:p w:rsidR="00E522A4" w:rsidRPr="000F27B7" w:rsidRDefault="00E522A4">
      <w:pPr>
        <w:pStyle w:val="FootnoteText"/>
        <w:rPr>
          <w:rFonts w:asciiTheme="minorHAnsi" w:hAnsiTheme="minorHAnsi" w:cstheme="minorHAnsi"/>
        </w:rPr>
      </w:pPr>
      <w:r w:rsidRPr="000F27B7">
        <w:rPr>
          <w:rStyle w:val="FootnoteReference"/>
          <w:rFonts w:asciiTheme="minorHAnsi" w:hAnsiTheme="minorHAnsi" w:cstheme="minorHAnsi"/>
        </w:rPr>
        <w:footnoteRef/>
      </w:r>
      <w:r w:rsidRPr="000F27B7">
        <w:rPr>
          <w:rFonts w:asciiTheme="minorHAnsi" w:hAnsiTheme="minorHAnsi" w:cstheme="minorHAnsi"/>
        </w:rPr>
        <w:t xml:space="preserve"> Fergusson Adam, </w:t>
      </w:r>
      <w:r w:rsidRPr="000F27B7">
        <w:rPr>
          <w:rFonts w:asciiTheme="minorHAnsi" w:hAnsiTheme="minorHAnsi" w:cstheme="minorHAnsi"/>
          <w:i/>
        </w:rPr>
        <w:t>"When the money dies"</w:t>
      </w:r>
      <w:r w:rsidRPr="000F27B7">
        <w:rPr>
          <w:rFonts w:asciiTheme="minorHAnsi" w:hAnsiTheme="minorHAnsi" w:cstheme="minorHAnsi"/>
        </w:rPr>
        <w:t>, (Warsaw: Studioemka, 2012) pp.8-45</w:t>
      </w:r>
    </w:p>
  </w:footnote>
  <w:footnote w:id="5">
    <w:p w:rsidR="00E522A4" w:rsidRPr="000F27B7" w:rsidRDefault="00E522A4">
      <w:pPr>
        <w:pStyle w:val="FootnoteText"/>
        <w:rPr>
          <w:rFonts w:asciiTheme="minorHAnsi" w:hAnsiTheme="minorHAnsi" w:cstheme="minorHAnsi"/>
        </w:rPr>
      </w:pPr>
      <w:r w:rsidRPr="000F27B7">
        <w:rPr>
          <w:rStyle w:val="FootnoteReference"/>
          <w:rFonts w:asciiTheme="minorHAnsi" w:hAnsiTheme="minorHAnsi" w:cstheme="minorHAnsi"/>
        </w:rPr>
        <w:footnoteRef/>
      </w:r>
      <w:r w:rsidRPr="000F27B7">
        <w:rPr>
          <w:rFonts w:asciiTheme="minorHAnsi" w:hAnsiTheme="minorHAnsi" w:cstheme="minorHAnsi"/>
        </w:rPr>
        <w:t xml:space="preserve"> Kotlowski Tadeusz, "</w:t>
      </w:r>
      <w:r w:rsidRPr="000F27B7">
        <w:rPr>
          <w:rFonts w:asciiTheme="minorHAnsi" w:hAnsiTheme="minorHAnsi" w:cstheme="minorHAnsi"/>
          <w:i/>
        </w:rPr>
        <w:t>The History of Weimar Republic 1919-1939"</w:t>
      </w:r>
      <w:r w:rsidRPr="000F27B7">
        <w:rPr>
          <w:rFonts w:asciiTheme="minorHAnsi" w:hAnsiTheme="minorHAnsi" w:cstheme="minorHAnsi"/>
        </w:rPr>
        <w:t xml:space="preserve">, (Warsaw: Poznanskie, 2004) pp. </w:t>
      </w:r>
      <w:r w:rsidR="005129A5" w:rsidRPr="000F27B7">
        <w:rPr>
          <w:rFonts w:asciiTheme="minorHAnsi" w:hAnsiTheme="minorHAnsi" w:cstheme="minorHAnsi"/>
        </w:rPr>
        <w:t>21-22</w:t>
      </w:r>
    </w:p>
  </w:footnote>
  <w:footnote w:id="6">
    <w:p w:rsidR="005129A5" w:rsidRPr="000F27B7" w:rsidRDefault="005129A5">
      <w:pPr>
        <w:pStyle w:val="FootnoteText"/>
        <w:rPr>
          <w:rFonts w:asciiTheme="minorHAnsi" w:hAnsiTheme="minorHAnsi" w:cstheme="minorHAnsi"/>
        </w:rPr>
      </w:pPr>
      <w:r w:rsidRPr="000F27B7">
        <w:rPr>
          <w:rStyle w:val="FootnoteReference"/>
          <w:rFonts w:asciiTheme="minorHAnsi" w:hAnsiTheme="minorHAnsi" w:cstheme="minorHAnsi"/>
        </w:rPr>
        <w:footnoteRef/>
      </w:r>
      <w:r w:rsidRPr="000F27B7">
        <w:rPr>
          <w:rFonts w:asciiTheme="minorHAnsi" w:hAnsiTheme="minorHAnsi" w:cstheme="minorHAnsi"/>
        </w:rPr>
        <w:t xml:space="preserve"> Power Timothy Joseph, Nancy Regina Powers, "</w:t>
      </w:r>
      <w:r w:rsidRPr="000F27B7">
        <w:rPr>
          <w:rFonts w:asciiTheme="minorHAnsi" w:hAnsiTheme="minorHAnsi" w:cstheme="minorHAnsi"/>
          <w:i/>
        </w:rPr>
        <w:t>Issues in the Consolidation of Democracy in Latin America and Southern Europe in Comparative Perspective: A Rapporteurs" Report</w:t>
      </w:r>
      <w:r w:rsidRPr="000F27B7">
        <w:rPr>
          <w:rFonts w:asciiTheme="minorHAnsi" w:hAnsiTheme="minorHAnsi" w:cstheme="minorHAnsi"/>
        </w:rPr>
        <w:t>. No. 113. (Helen Kellogg Institute for International Studies, 1988) pp. 15-16</w:t>
      </w:r>
    </w:p>
  </w:footnote>
  <w:footnote w:id="7">
    <w:p w:rsidR="002566CD" w:rsidRPr="000F27B7" w:rsidRDefault="002566CD" w:rsidP="002566CD">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Clark, Christopher, "</w:t>
      </w:r>
      <w:r w:rsidRPr="000F27B7">
        <w:rPr>
          <w:rFonts w:asciiTheme="minorHAnsi" w:hAnsiTheme="minorHAnsi" w:cstheme="minorHAnsi"/>
          <w:i/>
          <w:sz w:val="20"/>
          <w:szCs w:val="20"/>
        </w:rPr>
        <w:t>Iron kingdom: the rise and downfall of Prussia, 1600-1947"</w:t>
      </w:r>
      <w:r w:rsidRPr="000F27B7">
        <w:rPr>
          <w:rFonts w:asciiTheme="minorHAnsi" w:hAnsiTheme="minorHAnsi" w:cstheme="minorHAnsi"/>
          <w:sz w:val="20"/>
          <w:szCs w:val="20"/>
        </w:rPr>
        <w:t>. (Harvard University Press, 2006).</w:t>
      </w:r>
    </w:p>
    <w:p w:rsidR="002566CD" w:rsidRPr="000F27B7" w:rsidRDefault="002566CD">
      <w:pPr>
        <w:pStyle w:val="FootnoteText"/>
        <w:rPr>
          <w:rFonts w:asciiTheme="minorHAnsi" w:hAnsiTheme="minorHAnsi" w:cstheme="minorHAnsi"/>
        </w:rPr>
      </w:pPr>
    </w:p>
  </w:footnote>
  <w:footnote w:id="8">
    <w:p w:rsidR="002566CD" w:rsidRPr="000F27B7" w:rsidRDefault="002566CD" w:rsidP="002566CD">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Stern-Rubarth, Edgar, "</w:t>
      </w:r>
      <w:r w:rsidRPr="000F27B7">
        <w:rPr>
          <w:rFonts w:asciiTheme="minorHAnsi" w:hAnsiTheme="minorHAnsi" w:cstheme="minorHAnsi"/>
          <w:i/>
          <w:sz w:val="20"/>
          <w:szCs w:val="20"/>
        </w:rPr>
        <w:t>Exit Prussia: a plan for Europe</w:t>
      </w:r>
      <w:r w:rsidRPr="000F27B7">
        <w:rPr>
          <w:rFonts w:asciiTheme="minorHAnsi" w:hAnsiTheme="minorHAnsi" w:cstheme="minorHAnsi"/>
          <w:sz w:val="20"/>
          <w:szCs w:val="20"/>
        </w:rPr>
        <w:t>", (Duckworth, 1940) p.47</w:t>
      </w:r>
    </w:p>
    <w:p w:rsidR="002566CD" w:rsidRPr="000F27B7" w:rsidRDefault="002566CD">
      <w:pPr>
        <w:pStyle w:val="FootnoteText"/>
        <w:rPr>
          <w:rFonts w:asciiTheme="minorHAnsi" w:hAnsiTheme="minorHAnsi" w:cstheme="minorHAnsi"/>
        </w:rPr>
      </w:pPr>
    </w:p>
  </w:footnote>
  <w:footnote w:id="9">
    <w:p w:rsidR="00212E7F" w:rsidRPr="000F27B7" w:rsidRDefault="00212E7F">
      <w:pPr>
        <w:pStyle w:val="FootnoteText"/>
        <w:rPr>
          <w:rFonts w:asciiTheme="minorHAnsi" w:hAnsiTheme="minorHAnsi" w:cstheme="minorHAnsi"/>
        </w:rPr>
      </w:pPr>
      <w:r w:rsidRPr="000F27B7">
        <w:rPr>
          <w:rStyle w:val="FootnoteReference"/>
          <w:rFonts w:asciiTheme="minorHAnsi" w:hAnsiTheme="minorHAnsi" w:cstheme="minorHAnsi"/>
        </w:rPr>
        <w:footnoteRef/>
      </w:r>
      <w:r w:rsidRPr="000F27B7">
        <w:rPr>
          <w:rFonts w:asciiTheme="minorHAnsi" w:hAnsiTheme="minorHAnsi" w:cstheme="minorHAnsi"/>
        </w:rPr>
        <w:t xml:space="preserve"> Watson, Alexander, </w:t>
      </w:r>
      <w:r w:rsidRPr="000F27B7">
        <w:rPr>
          <w:rFonts w:asciiTheme="minorHAnsi" w:hAnsiTheme="minorHAnsi" w:cstheme="minorHAnsi"/>
          <w:i/>
        </w:rPr>
        <w:t xml:space="preserve">"Stabbed at the Front", History Today, </w:t>
      </w:r>
      <w:r w:rsidRPr="000F27B7">
        <w:rPr>
          <w:rFonts w:asciiTheme="minorHAnsi" w:hAnsiTheme="minorHAnsi" w:cstheme="minorHAnsi"/>
        </w:rPr>
        <w:t>58.11 (2008): 21</w:t>
      </w:r>
    </w:p>
  </w:footnote>
  <w:footnote w:id="10">
    <w:p w:rsidR="00212E7F" w:rsidRPr="000F27B7" w:rsidRDefault="00212E7F" w:rsidP="00212E7F">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Shirer, William, "</w:t>
      </w:r>
      <w:r w:rsidRPr="000F27B7">
        <w:rPr>
          <w:rFonts w:asciiTheme="minorHAnsi" w:hAnsiTheme="minorHAnsi" w:cstheme="minorHAnsi"/>
          <w:i/>
          <w:sz w:val="20"/>
          <w:szCs w:val="20"/>
        </w:rPr>
        <w:t>The rise and fall of the Third Reich: A history of Nazi Germany</w:t>
      </w:r>
      <w:r w:rsidRPr="000F27B7">
        <w:rPr>
          <w:rFonts w:asciiTheme="minorHAnsi" w:hAnsiTheme="minorHAnsi" w:cstheme="minorHAnsi"/>
          <w:sz w:val="20"/>
          <w:szCs w:val="20"/>
        </w:rPr>
        <w:t>", (Random House, 1991)</w:t>
      </w:r>
      <w:r w:rsidR="00694E52" w:rsidRPr="000F27B7">
        <w:rPr>
          <w:rFonts w:asciiTheme="minorHAnsi" w:hAnsiTheme="minorHAnsi" w:cstheme="minorHAnsi"/>
          <w:sz w:val="20"/>
          <w:szCs w:val="20"/>
        </w:rPr>
        <w:t xml:space="preserve"> p.52</w:t>
      </w:r>
    </w:p>
    <w:p w:rsidR="00212E7F" w:rsidRPr="000F27B7" w:rsidRDefault="00212E7F">
      <w:pPr>
        <w:pStyle w:val="FootnoteText"/>
        <w:rPr>
          <w:rFonts w:asciiTheme="minorHAnsi" w:hAnsiTheme="minorHAnsi" w:cstheme="minorHAnsi"/>
        </w:rPr>
      </w:pPr>
    </w:p>
  </w:footnote>
  <w:footnote w:id="11">
    <w:p w:rsidR="00277C22" w:rsidRPr="000F27B7" w:rsidRDefault="00212E7F" w:rsidP="00277C22">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w:t>
      </w:r>
      <w:r w:rsidR="00277C22" w:rsidRPr="000F27B7">
        <w:rPr>
          <w:rFonts w:asciiTheme="minorHAnsi" w:hAnsiTheme="minorHAnsi" w:cstheme="minorHAnsi"/>
          <w:sz w:val="20"/>
          <w:szCs w:val="20"/>
        </w:rPr>
        <w:t>Von der Goltz, Anna, "</w:t>
      </w:r>
      <w:r w:rsidR="00277C22" w:rsidRPr="000F27B7">
        <w:rPr>
          <w:rFonts w:asciiTheme="minorHAnsi" w:hAnsiTheme="minorHAnsi" w:cstheme="minorHAnsi"/>
          <w:i/>
          <w:sz w:val="20"/>
          <w:szCs w:val="20"/>
        </w:rPr>
        <w:t>Hindenburg: power, myth, and the rise of the Nazis</w:t>
      </w:r>
      <w:r w:rsidR="00277C22" w:rsidRPr="000F27B7">
        <w:rPr>
          <w:rFonts w:asciiTheme="minorHAnsi" w:hAnsiTheme="minorHAnsi" w:cstheme="minorHAnsi"/>
          <w:sz w:val="20"/>
          <w:szCs w:val="20"/>
        </w:rPr>
        <w:t>", (Oxford University Press, 2009)</w:t>
      </w:r>
      <w:r w:rsidR="00A20917" w:rsidRPr="000F27B7">
        <w:rPr>
          <w:rFonts w:asciiTheme="minorHAnsi" w:hAnsiTheme="minorHAnsi" w:cstheme="minorHAnsi"/>
          <w:sz w:val="20"/>
          <w:szCs w:val="20"/>
        </w:rPr>
        <w:t xml:space="preserve"> p. 61</w:t>
      </w:r>
    </w:p>
    <w:p w:rsidR="00212E7F" w:rsidRPr="000F27B7" w:rsidRDefault="00212E7F">
      <w:pPr>
        <w:pStyle w:val="FootnoteText"/>
        <w:rPr>
          <w:rFonts w:asciiTheme="minorHAnsi" w:hAnsiTheme="minorHAnsi" w:cstheme="minorHAnsi"/>
        </w:rPr>
      </w:pPr>
    </w:p>
  </w:footnote>
  <w:footnote w:id="12">
    <w:p w:rsidR="00FA3018" w:rsidRPr="000F27B7" w:rsidRDefault="00FA3018" w:rsidP="00FA3018">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Burckhardt, Jacob, </w:t>
      </w:r>
      <w:r w:rsidRPr="000F27B7">
        <w:rPr>
          <w:rFonts w:asciiTheme="minorHAnsi" w:hAnsiTheme="minorHAnsi" w:cstheme="minorHAnsi"/>
          <w:i/>
          <w:sz w:val="20"/>
          <w:szCs w:val="20"/>
        </w:rPr>
        <w:t>"The culture in renessaince Italy",</w:t>
      </w:r>
      <w:r w:rsidRPr="000F27B7">
        <w:rPr>
          <w:rFonts w:asciiTheme="minorHAnsi" w:hAnsiTheme="minorHAnsi" w:cstheme="minorHAnsi"/>
          <w:sz w:val="20"/>
          <w:szCs w:val="20"/>
        </w:rPr>
        <w:t xml:space="preserve"> (Ein Versuch ,1860) pp. 121-157.</w:t>
      </w:r>
    </w:p>
    <w:p w:rsidR="00FA3018" w:rsidRPr="000F27B7" w:rsidRDefault="00FA3018">
      <w:pPr>
        <w:pStyle w:val="FootnoteText"/>
        <w:rPr>
          <w:rFonts w:asciiTheme="minorHAnsi" w:hAnsiTheme="minorHAnsi" w:cstheme="minorHAnsi"/>
        </w:rPr>
      </w:pPr>
    </w:p>
  </w:footnote>
  <w:footnote w:id="13">
    <w:p w:rsidR="00F72970" w:rsidRPr="000F27B7" w:rsidRDefault="00F72970" w:rsidP="00F72970">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Von der Goltz, Anna, "</w:t>
      </w:r>
      <w:r w:rsidRPr="000F27B7">
        <w:rPr>
          <w:rFonts w:asciiTheme="minorHAnsi" w:hAnsiTheme="minorHAnsi" w:cstheme="minorHAnsi"/>
          <w:i/>
          <w:sz w:val="20"/>
          <w:szCs w:val="20"/>
        </w:rPr>
        <w:t>Hindenburg: power, myth, and the rise of the Nazis</w:t>
      </w:r>
      <w:r w:rsidRPr="000F27B7">
        <w:rPr>
          <w:rFonts w:asciiTheme="minorHAnsi" w:hAnsiTheme="minorHAnsi" w:cstheme="minorHAnsi"/>
          <w:sz w:val="20"/>
          <w:szCs w:val="20"/>
        </w:rPr>
        <w:t>", (Oxford University Press, 2009)</w:t>
      </w:r>
      <w:r w:rsidR="00A20917" w:rsidRPr="000F27B7">
        <w:rPr>
          <w:rFonts w:asciiTheme="minorHAnsi" w:hAnsiTheme="minorHAnsi" w:cstheme="minorHAnsi"/>
          <w:sz w:val="20"/>
          <w:szCs w:val="20"/>
        </w:rPr>
        <w:t xml:space="preserve"> p. 40, pp. 88-89</w:t>
      </w:r>
    </w:p>
    <w:p w:rsidR="00F72970" w:rsidRPr="000F27B7" w:rsidRDefault="00F72970">
      <w:pPr>
        <w:pStyle w:val="FootnoteText"/>
        <w:rPr>
          <w:rFonts w:asciiTheme="minorHAnsi" w:hAnsiTheme="minorHAnsi" w:cstheme="minorHAnsi"/>
        </w:rPr>
      </w:pPr>
    </w:p>
  </w:footnote>
  <w:footnote w:id="14">
    <w:p w:rsidR="003F7D1B" w:rsidRPr="000F27B7" w:rsidRDefault="003F7D1B" w:rsidP="003F7D1B">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Carlyle, Thomas, </w:t>
      </w:r>
      <w:r w:rsidRPr="000F27B7">
        <w:rPr>
          <w:rFonts w:asciiTheme="minorHAnsi" w:hAnsiTheme="minorHAnsi" w:cstheme="minorHAnsi"/>
          <w:i/>
          <w:sz w:val="20"/>
          <w:szCs w:val="20"/>
        </w:rPr>
        <w:t>"On heroes, hero-worship, and the heroic in history. vol. 1."</w:t>
      </w:r>
      <w:r w:rsidRPr="000F27B7">
        <w:rPr>
          <w:rFonts w:asciiTheme="minorHAnsi" w:hAnsiTheme="minorHAnsi" w:cstheme="minorHAnsi"/>
          <w:sz w:val="20"/>
          <w:szCs w:val="20"/>
        </w:rPr>
        <w:t xml:space="preserve"> (University of California Press, 1993) p. 18 </w:t>
      </w:r>
    </w:p>
    <w:p w:rsidR="003F7D1B" w:rsidRPr="000F27B7" w:rsidRDefault="003F7D1B">
      <w:pPr>
        <w:pStyle w:val="FootnoteText"/>
        <w:rPr>
          <w:rFonts w:asciiTheme="minorHAnsi" w:hAnsiTheme="minorHAnsi" w:cstheme="minorHAnsi"/>
        </w:rPr>
      </w:pPr>
    </w:p>
  </w:footnote>
  <w:footnote w:id="15">
    <w:p w:rsidR="00D96133" w:rsidRPr="000F27B7" w:rsidRDefault="00D96133" w:rsidP="00D96133">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Boli, John, Francisco O. Ramirez, John W. Meyer</w:t>
      </w:r>
      <w:r w:rsidRPr="000F27B7">
        <w:rPr>
          <w:rFonts w:asciiTheme="minorHAnsi" w:hAnsiTheme="minorHAnsi" w:cstheme="minorHAnsi"/>
          <w:i/>
          <w:sz w:val="20"/>
          <w:szCs w:val="20"/>
        </w:rPr>
        <w:t xml:space="preserve">, "Explaining the origins and expansion of mass education", </w:t>
      </w:r>
      <w:r w:rsidRPr="000F27B7">
        <w:rPr>
          <w:rFonts w:asciiTheme="minorHAnsi" w:hAnsiTheme="minorHAnsi" w:cstheme="minorHAnsi"/>
          <w:sz w:val="20"/>
          <w:szCs w:val="20"/>
        </w:rPr>
        <w:t>Comparative education review, 29.2 (1985) pp. 145-170.</w:t>
      </w:r>
    </w:p>
    <w:p w:rsidR="00D96133" w:rsidRPr="000F27B7" w:rsidRDefault="00D96133">
      <w:pPr>
        <w:pStyle w:val="FootnoteText"/>
        <w:rPr>
          <w:rFonts w:asciiTheme="minorHAnsi" w:hAnsiTheme="minorHAnsi" w:cstheme="minorHAnsi"/>
        </w:rPr>
      </w:pPr>
    </w:p>
  </w:footnote>
  <w:footnote w:id="16">
    <w:p w:rsidR="00D96133" w:rsidRPr="000F27B7" w:rsidRDefault="00D96133">
      <w:pPr>
        <w:pStyle w:val="FootnoteText"/>
        <w:rPr>
          <w:rFonts w:asciiTheme="minorHAnsi" w:hAnsiTheme="minorHAnsi" w:cstheme="minorHAnsi"/>
        </w:rPr>
      </w:pPr>
      <w:r w:rsidRPr="000F27B7">
        <w:rPr>
          <w:rStyle w:val="FootnoteReference"/>
          <w:rFonts w:asciiTheme="minorHAnsi" w:hAnsiTheme="minorHAnsi" w:cstheme="minorHAnsi"/>
        </w:rPr>
        <w:footnoteRef/>
      </w:r>
      <w:r w:rsidRPr="000F27B7">
        <w:rPr>
          <w:rFonts w:asciiTheme="minorHAnsi" w:hAnsiTheme="minorHAnsi" w:cstheme="minorHAnsi"/>
        </w:rPr>
        <w:t xml:space="preserve"> Sprigade, </w:t>
      </w:r>
      <w:r w:rsidR="00682F53" w:rsidRPr="000F27B7">
        <w:rPr>
          <w:rFonts w:asciiTheme="minorHAnsi" w:hAnsiTheme="minorHAnsi" w:cstheme="minorHAnsi"/>
        </w:rPr>
        <w:t>Almut,</w:t>
      </w:r>
      <w:r w:rsidRPr="000F27B7">
        <w:rPr>
          <w:rFonts w:asciiTheme="minorHAnsi" w:hAnsiTheme="minorHAnsi" w:cstheme="minorHAnsi"/>
        </w:rPr>
        <w:t xml:space="preserve"> </w:t>
      </w:r>
      <w:r w:rsidRPr="000F27B7">
        <w:rPr>
          <w:rFonts w:asciiTheme="minorHAnsi" w:hAnsiTheme="minorHAnsi" w:cstheme="minorHAnsi"/>
          <w:i/>
        </w:rPr>
        <w:t xml:space="preserve">"Educational comparison in England during the first </w:t>
      </w:r>
      <w:r w:rsidR="00682F53" w:rsidRPr="000F27B7">
        <w:rPr>
          <w:rFonts w:asciiTheme="minorHAnsi" w:hAnsiTheme="minorHAnsi" w:cstheme="minorHAnsi"/>
          <w:i/>
        </w:rPr>
        <w:t xml:space="preserve">half of the nineteenth century. </w:t>
      </w:r>
      <w:r w:rsidRPr="000F27B7">
        <w:rPr>
          <w:rFonts w:asciiTheme="minorHAnsi" w:hAnsiTheme="minorHAnsi" w:cstheme="minorHAnsi"/>
          <w:i/>
        </w:rPr>
        <w:t>Educational policy borrowing: Historical perspectives</w:t>
      </w:r>
      <w:r w:rsidR="00682F53" w:rsidRPr="000F27B7">
        <w:rPr>
          <w:rFonts w:asciiTheme="minorHAnsi" w:hAnsiTheme="minorHAnsi" w:cstheme="minorHAnsi"/>
          <w:i/>
        </w:rPr>
        <w:t>"</w:t>
      </w:r>
      <w:r w:rsidR="00682F53" w:rsidRPr="000F27B7">
        <w:rPr>
          <w:rFonts w:asciiTheme="minorHAnsi" w:hAnsiTheme="minorHAnsi" w:cstheme="minorHAnsi"/>
        </w:rPr>
        <w:t xml:space="preserve"> (2004) pp.</w:t>
      </w:r>
      <w:r w:rsidRPr="000F27B7">
        <w:rPr>
          <w:rFonts w:asciiTheme="minorHAnsi" w:hAnsiTheme="minorHAnsi" w:cstheme="minorHAnsi"/>
        </w:rPr>
        <w:t xml:space="preserve"> 37-56.</w:t>
      </w:r>
    </w:p>
  </w:footnote>
  <w:footnote w:id="17">
    <w:p w:rsidR="00682F53" w:rsidRPr="000F27B7" w:rsidRDefault="00682F53" w:rsidP="00682F53">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Anderson, Robert David, "</w:t>
      </w:r>
      <w:r w:rsidRPr="000F27B7">
        <w:rPr>
          <w:rFonts w:asciiTheme="minorHAnsi" w:hAnsiTheme="minorHAnsi" w:cstheme="minorHAnsi"/>
          <w:i/>
          <w:sz w:val="20"/>
          <w:szCs w:val="20"/>
        </w:rPr>
        <w:t>European Universities from the Enlightenment to 1914</w:t>
      </w:r>
      <w:r w:rsidRPr="000F27B7">
        <w:rPr>
          <w:rFonts w:asciiTheme="minorHAnsi" w:hAnsiTheme="minorHAnsi" w:cstheme="minorHAnsi"/>
          <w:sz w:val="20"/>
          <w:szCs w:val="20"/>
        </w:rPr>
        <w:t>", (Oxford: Oxford University Press, 2004), p.204</w:t>
      </w:r>
    </w:p>
    <w:p w:rsidR="00682F53" w:rsidRDefault="00682F53">
      <w:pPr>
        <w:pStyle w:val="FootnoteText"/>
      </w:pPr>
    </w:p>
  </w:footnote>
  <w:footnote w:id="18">
    <w:p w:rsidR="00682F53" w:rsidRPr="000F27B7" w:rsidRDefault="00682F53" w:rsidP="00682F53">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Switzer, Ellen, "</w:t>
      </w:r>
      <w:r w:rsidRPr="000F27B7">
        <w:rPr>
          <w:rFonts w:asciiTheme="minorHAnsi" w:hAnsiTheme="minorHAnsi" w:cstheme="minorHAnsi"/>
          <w:i/>
          <w:sz w:val="20"/>
          <w:szCs w:val="20"/>
        </w:rPr>
        <w:t>How Democracy Faile</w:t>
      </w:r>
      <w:r w:rsidR="00365EEC" w:rsidRPr="000F27B7">
        <w:rPr>
          <w:rFonts w:asciiTheme="minorHAnsi" w:hAnsiTheme="minorHAnsi" w:cstheme="minorHAnsi"/>
          <w:i/>
          <w:sz w:val="20"/>
          <w:szCs w:val="20"/>
        </w:rPr>
        <w:t xml:space="preserve">d", </w:t>
      </w:r>
      <w:r w:rsidR="00365EEC" w:rsidRPr="000F27B7">
        <w:rPr>
          <w:rFonts w:asciiTheme="minorHAnsi" w:hAnsiTheme="minorHAnsi" w:cstheme="minorHAnsi"/>
          <w:sz w:val="20"/>
          <w:szCs w:val="20"/>
        </w:rPr>
        <w:t>(New York: Atheneum, 1975) p. 122</w:t>
      </w:r>
    </w:p>
    <w:p w:rsidR="00682F53" w:rsidRPr="000F27B7" w:rsidRDefault="00682F53">
      <w:pPr>
        <w:pStyle w:val="FootnoteText"/>
        <w:rPr>
          <w:rFonts w:asciiTheme="minorHAnsi" w:hAnsiTheme="minorHAnsi" w:cstheme="minorHAnsi"/>
        </w:rPr>
      </w:pPr>
    </w:p>
  </w:footnote>
  <w:footnote w:id="19">
    <w:p w:rsidR="00365EEC" w:rsidRPr="000F27B7" w:rsidRDefault="00365EEC">
      <w:pPr>
        <w:pStyle w:val="FootnoteText"/>
        <w:rPr>
          <w:rFonts w:asciiTheme="minorHAnsi" w:hAnsiTheme="minorHAnsi" w:cstheme="minorHAnsi"/>
        </w:rPr>
      </w:pPr>
      <w:r w:rsidRPr="000F27B7">
        <w:rPr>
          <w:rStyle w:val="FootnoteReference"/>
          <w:rFonts w:asciiTheme="minorHAnsi" w:hAnsiTheme="minorHAnsi" w:cstheme="minorHAnsi"/>
        </w:rPr>
        <w:footnoteRef/>
      </w:r>
      <w:r w:rsidRPr="000F27B7">
        <w:rPr>
          <w:rFonts w:asciiTheme="minorHAnsi" w:hAnsiTheme="minorHAnsi" w:cstheme="minorHAnsi"/>
        </w:rPr>
        <w:t xml:space="preserve"> Kaack, Heino, "</w:t>
      </w:r>
      <w:r w:rsidR="00C04932" w:rsidRPr="000F27B7">
        <w:rPr>
          <w:rFonts w:asciiTheme="minorHAnsi" w:hAnsiTheme="minorHAnsi" w:cstheme="minorHAnsi"/>
          <w:i/>
        </w:rPr>
        <w:t>The story and structure of German Party system</w:t>
      </w:r>
      <w:r w:rsidRPr="000F27B7">
        <w:rPr>
          <w:rFonts w:asciiTheme="minorHAnsi" w:hAnsiTheme="minorHAnsi" w:cstheme="minorHAnsi"/>
          <w:i/>
        </w:rPr>
        <w:t>"</w:t>
      </w:r>
      <w:r w:rsidRPr="000F27B7">
        <w:rPr>
          <w:rFonts w:asciiTheme="minorHAnsi" w:hAnsiTheme="minorHAnsi" w:cstheme="minorHAnsi"/>
        </w:rPr>
        <w:t xml:space="preserve">, </w:t>
      </w:r>
      <w:r w:rsidR="00C04932" w:rsidRPr="000F27B7">
        <w:rPr>
          <w:rFonts w:asciiTheme="minorHAnsi" w:hAnsiTheme="minorHAnsi" w:cstheme="minorHAnsi"/>
        </w:rPr>
        <w:t>(</w:t>
      </w:r>
      <w:r w:rsidRPr="000F27B7">
        <w:rPr>
          <w:rFonts w:asciiTheme="minorHAnsi" w:hAnsiTheme="minorHAnsi" w:cstheme="minorHAnsi"/>
        </w:rPr>
        <w:t>Springer-Verlag, 2013</w:t>
      </w:r>
      <w:r w:rsidR="00C04932" w:rsidRPr="000F27B7">
        <w:rPr>
          <w:rFonts w:asciiTheme="minorHAnsi" w:hAnsiTheme="minorHAnsi" w:cstheme="minorHAnsi"/>
        </w:rPr>
        <w:t>)</w:t>
      </w:r>
      <w:r w:rsidRPr="000F27B7">
        <w:rPr>
          <w:rFonts w:asciiTheme="minorHAnsi" w:hAnsiTheme="minorHAnsi" w:cstheme="minorHAnsi"/>
        </w:rPr>
        <w:t>.</w:t>
      </w:r>
      <w:r w:rsidR="00C04932" w:rsidRPr="000F27B7">
        <w:rPr>
          <w:rFonts w:asciiTheme="minorHAnsi" w:hAnsiTheme="minorHAnsi" w:cstheme="minorHAnsi"/>
        </w:rPr>
        <w:t xml:space="preserve"> pp.44-45</w:t>
      </w:r>
    </w:p>
  </w:footnote>
  <w:footnote w:id="20">
    <w:p w:rsidR="00C04932" w:rsidRPr="000F27B7" w:rsidRDefault="00C04932" w:rsidP="00C04932">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Gellately, Robert, "</w:t>
      </w:r>
      <w:r w:rsidRPr="000F27B7">
        <w:rPr>
          <w:rFonts w:asciiTheme="minorHAnsi" w:hAnsiTheme="minorHAnsi" w:cstheme="minorHAnsi"/>
          <w:i/>
          <w:sz w:val="20"/>
          <w:szCs w:val="20"/>
        </w:rPr>
        <w:t>Backing Hitler: consent and coercion in Nazi Germany</w:t>
      </w:r>
      <w:r w:rsidRPr="000F27B7">
        <w:rPr>
          <w:rFonts w:asciiTheme="minorHAnsi" w:hAnsiTheme="minorHAnsi" w:cstheme="minorHAnsi"/>
          <w:sz w:val="20"/>
          <w:szCs w:val="20"/>
        </w:rPr>
        <w:t>", (Oxford: Oxford University Press, 2002) p.18</w:t>
      </w:r>
    </w:p>
    <w:p w:rsidR="00C04932" w:rsidRPr="000F27B7" w:rsidRDefault="00C04932">
      <w:pPr>
        <w:pStyle w:val="FootnoteText"/>
        <w:rPr>
          <w:rFonts w:asciiTheme="minorHAnsi" w:hAnsiTheme="minorHAnsi" w:cstheme="minorHAnsi"/>
        </w:rPr>
      </w:pPr>
    </w:p>
  </w:footnote>
  <w:footnote w:id="21">
    <w:p w:rsidR="00C04932" w:rsidRPr="000F27B7" w:rsidRDefault="00C04932" w:rsidP="00C04932">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w:t>
      </w:r>
      <w:r w:rsidR="003C0589" w:rsidRPr="000F27B7">
        <w:rPr>
          <w:rFonts w:asciiTheme="minorHAnsi" w:hAnsiTheme="minorHAnsi" w:cstheme="minorHAnsi"/>
          <w:sz w:val="20"/>
          <w:szCs w:val="20"/>
        </w:rPr>
        <w:t>Fest, Joachim,</w:t>
      </w:r>
      <w:r w:rsidRPr="000F27B7">
        <w:rPr>
          <w:rFonts w:asciiTheme="minorHAnsi" w:hAnsiTheme="minorHAnsi" w:cstheme="minorHAnsi"/>
          <w:sz w:val="20"/>
          <w:szCs w:val="20"/>
        </w:rPr>
        <w:t xml:space="preserve"> </w:t>
      </w:r>
      <w:r w:rsidR="003C0589" w:rsidRPr="000F27B7">
        <w:rPr>
          <w:rFonts w:asciiTheme="minorHAnsi" w:hAnsiTheme="minorHAnsi" w:cstheme="minorHAnsi"/>
          <w:sz w:val="20"/>
          <w:szCs w:val="20"/>
        </w:rPr>
        <w:t>"</w:t>
      </w:r>
      <w:r w:rsidRPr="000F27B7">
        <w:rPr>
          <w:rFonts w:asciiTheme="minorHAnsi" w:hAnsiTheme="minorHAnsi" w:cstheme="minorHAnsi"/>
          <w:i/>
          <w:sz w:val="20"/>
          <w:szCs w:val="20"/>
        </w:rPr>
        <w:t>Hitler</w:t>
      </w:r>
      <w:r w:rsidR="003C0589" w:rsidRPr="000F27B7">
        <w:rPr>
          <w:rFonts w:asciiTheme="minorHAnsi" w:hAnsiTheme="minorHAnsi" w:cstheme="minorHAnsi"/>
          <w:i/>
          <w:sz w:val="20"/>
          <w:szCs w:val="20"/>
        </w:rPr>
        <w:t>",</w:t>
      </w:r>
      <w:r w:rsidR="003C0589" w:rsidRPr="000F27B7">
        <w:rPr>
          <w:rFonts w:asciiTheme="minorHAnsi" w:hAnsiTheme="minorHAnsi" w:cstheme="minorHAnsi"/>
          <w:sz w:val="20"/>
          <w:szCs w:val="20"/>
        </w:rPr>
        <w:t>(Harcourt Brace Jovanovich, 1974) p.397</w:t>
      </w:r>
    </w:p>
    <w:p w:rsidR="00C04932" w:rsidRPr="000F27B7" w:rsidRDefault="00C04932">
      <w:pPr>
        <w:pStyle w:val="FootnoteText"/>
        <w:rPr>
          <w:rFonts w:asciiTheme="minorHAnsi" w:hAnsiTheme="minorHAnsi" w:cstheme="minorHAnsi"/>
        </w:rPr>
      </w:pPr>
    </w:p>
  </w:footnote>
  <w:footnote w:id="22">
    <w:p w:rsidR="003C0589" w:rsidRPr="000F27B7" w:rsidRDefault="003C0589">
      <w:pPr>
        <w:pStyle w:val="FootnoteText"/>
        <w:rPr>
          <w:rFonts w:asciiTheme="minorHAnsi" w:hAnsiTheme="minorHAnsi" w:cstheme="minorHAnsi"/>
        </w:rPr>
      </w:pPr>
      <w:r w:rsidRPr="000F27B7">
        <w:rPr>
          <w:rStyle w:val="FootnoteReference"/>
          <w:rFonts w:asciiTheme="minorHAnsi" w:hAnsiTheme="minorHAnsi" w:cstheme="minorHAnsi"/>
        </w:rPr>
        <w:footnoteRef/>
      </w:r>
      <w:r w:rsidRPr="000F27B7">
        <w:rPr>
          <w:rFonts w:asciiTheme="minorHAnsi" w:hAnsiTheme="minorHAnsi" w:cstheme="minorHAnsi"/>
        </w:rPr>
        <w:t xml:space="preserve"> </w:t>
      </w:r>
      <w:r w:rsidR="00A35A25" w:rsidRPr="000F27B7">
        <w:rPr>
          <w:rFonts w:asciiTheme="minorHAnsi" w:hAnsiTheme="minorHAnsi" w:cstheme="minorHAnsi"/>
        </w:rPr>
        <w:t xml:space="preserve">Holborn, Hajo, </w:t>
      </w:r>
      <w:r w:rsidR="00A35A25" w:rsidRPr="000F27B7">
        <w:rPr>
          <w:rFonts w:asciiTheme="minorHAnsi" w:hAnsiTheme="minorHAnsi" w:cstheme="minorHAnsi"/>
          <w:i/>
        </w:rPr>
        <w:t xml:space="preserve">"A history of </w:t>
      </w:r>
      <w:r w:rsidR="00A35A25" w:rsidRPr="000F27B7">
        <w:rPr>
          <w:rFonts w:asciiTheme="minorHAnsi" w:hAnsiTheme="minorHAnsi" w:cstheme="minorHAnsi"/>
        </w:rPr>
        <w:t>modern Germany", (Knopf, 1973) pp.19-30</w:t>
      </w:r>
    </w:p>
  </w:footnote>
  <w:footnote w:id="23">
    <w:p w:rsidR="00CC2C45" w:rsidRPr="000F27B7" w:rsidRDefault="00CC2C45" w:rsidP="00CC2C45">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Evans, Richard J., </w:t>
      </w:r>
      <w:r w:rsidRPr="000F27B7">
        <w:rPr>
          <w:rFonts w:asciiTheme="minorHAnsi" w:hAnsiTheme="minorHAnsi" w:cstheme="minorHAnsi"/>
          <w:i/>
          <w:sz w:val="20"/>
          <w:szCs w:val="20"/>
        </w:rPr>
        <w:t>"The Coming of the Third Reich"</w:t>
      </w:r>
      <w:r w:rsidRPr="000F27B7">
        <w:rPr>
          <w:rFonts w:asciiTheme="minorHAnsi" w:hAnsiTheme="minorHAnsi" w:cstheme="minorHAnsi"/>
          <w:sz w:val="20"/>
          <w:szCs w:val="20"/>
        </w:rPr>
        <w:t>, (Penguin Books, New York: Penguin Books, 2004) p. 197</w:t>
      </w:r>
    </w:p>
    <w:p w:rsidR="00CC2C45" w:rsidRPr="000F27B7" w:rsidRDefault="00CC2C45">
      <w:pPr>
        <w:pStyle w:val="FootnoteText"/>
        <w:rPr>
          <w:rFonts w:asciiTheme="minorHAnsi" w:hAnsiTheme="minorHAnsi" w:cstheme="minorHAnsi"/>
        </w:rPr>
      </w:pPr>
    </w:p>
  </w:footnote>
  <w:footnote w:id="24">
    <w:p w:rsidR="00CC2C45" w:rsidRPr="000F27B7" w:rsidRDefault="00CC2C45" w:rsidP="00CC2C45">
      <w:pPr>
        <w:rPr>
          <w:rFonts w:asciiTheme="minorHAnsi" w:hAnsiTheme="minorHAnsi" w:cstheme="minorHAnsi"/>
          <w:sz w:val="20"/>
          <w:szCs w:val="20"/>
        </w:rPr>
      </w:pPr>
      <w:r w:rsidRPr="000F27B7">
        <w:rPr>
          <w:rStyle w:val="FootnoteReference"/>
          <w:rFonts w:asciiTheme="minorHAnsi" w:hAnsiTheme="minorHAnsi" w:cstheme="minorHAnsi"/>
          <w:sz w:val="20"/>
          <w:szCs w:val="20"/>
        </w:rPr>
        <w:footnoteRef/>
      </w:r>
      <w:r w:rsidRPr="000F27B7">
        <w:rPr>
          <w:rFonts w:asciiTheme="minorHAnsi" w:hAnsiTheme="minorHAnsi" w:cstheme="minorHAnsi"/>
          <w:sz w:val="20"/>
          <w:szCs w:val="20"/>
        </w:rPr>
        <w:t xml:space="preserve"> Wheaton, Eliot Barculo, "</w:t>
      </w:r>
      <w:r w:rsidRPr="000F27B7">
        <w:rPr>
          <w:rFonts w:asciiTheme="minorHAnsi" w:hAnsiTheme="minorHAnsi" w:cstheme="minorHAnsi"/>
          <w:i/>
          <w:sz w:val="20"/>
          <w:szCs w:val="20"/>
        </w:rPr>
        <w:t>The Nazi Revolution 1933-35</w:t>
      </w:r>
      <w:r w:rsidRPr="000F27B7">
        <w:rPr>
          <w:rFonts w:asciiTheme="minorHAnsi" w:hAnsiTheme="minorHAnsi" w:cstheme="minorHAnsi"/>
          <w:sz w:val="20"/>
          <w:szCs w:val="20"/>
        </w:rPr>
        <w:t xml:space="preserve">", </w:t>
      </w:r>
      <w:r w:rsidR="00012FA9" w:rsidRPr="000F27B7">
        <w:rPr>
          <w:rFonts w:asciiTheme="minorHAnsi" w:hAnsiTheme="minorHAnsi" w:cstheme="minorHAnsi"/>
          <w:sz w:val="20"/>
          <w:szCs w:val="20"/>
        </w:rPr>
        <w:t>(</w:t>
      </w:r>
      <w:r w:rsidRPr="000F27B7">
        <w:rPr>
          <w:rFonts w:asciiTheme="minorHAnsi" w:hAnsiTheme="minorHAnsi" w:cstheme="minorHAnsi"/>
          <w:sz w:val="20"/>
          <w:szCs w:val="20"/>
        </w:rPr>
        <w:t>1968</w:t>
      </w:r>
      <w:r w:rsidR="00012FA9" w:rsidRPr="000F27B7">
        <w:rPr>
          <w:rFonts w:asciiTheme="minorHAnsi" w:hAnsiTheme="minorHAnsi" w:cstheme="minorHAnsi"/>
          <w:sz w:val="20"/>
          <w:szCs w:val="20"/>
        </w:rPr>
        <w:t>), pp. 15-67</w:t>
      </w:r>
    </w:p>
    <w:p w:rsidR="00CC2C45" w:rsidRPr="000F27B7" w:rsidRDefault="00CC2C45">
      <w:pPr>
        <w:pStyle w:val="FootnoteText"/>
        <w:rPr>
          <w:rFonts w:asciiTheme="minorHAnsi" w:hAnsiTheme="minorHAnsi" w:cstheme="minorHAnsi"/>
        </w:rPr>
      </w:pPr>
    </w:p>
  </w:footnote>
  <w:footnote w:id="25">
    <w:p w:rsidR="00CC25AB" w:rsidRPr="000F27B7" w:rsidRDefault="00CC25AB">
      <w:pPr>
        <w:pStyle w:val="FootnoteText"/>
        <w:rPr>
          <w:rFonts w:asciiTheme="minorHAnsi" w:hAnsiTheme="minorHAnsi" w:cstheme="minorHAnsi"/>
        </w:rPr>
      </w:pPr>
      <w:r w:rsidRPr="000F27B7">
        <w:rPr>
          <w:rStyle w:val="FootnoteReference"/>
          <w:rFonts w:asciiTheme="minorHAnsi" w:hAnsiTheme="minorHAnsi" w:cstheme="minorHAnsi"/>
        </w:rPr>
        <w:footnoteRef/>
      </w:r>
      <w:r w:rsidRPr="000F27B7">
        <w:rPr>
          <w:rFonts w:asciiTheme="minorHAnsi" w:hAnsiTheme="minorHAnsi" w:cstheme="minorHAnsi"/>
        </w:rPr>
        <w:t xml:space="preserve"> Holzer, Jerzy, </w:t>
      </w:r>
      <w:r w:rsidRPr="000F27B7">
        <w:rPr>
          <w:rFonts w:asciiTheme="minorHAnsi" w:hAnsiTheme="minorHAnsi" w:cstheme="minorHAnsi"/>
          <w:i/>
        </w:rPr>
        <w:t>"From Wilhelm to Hitler",</w:t>
      </w:r>
      <w:r w:rsidRPr="000F27B7">
        <w:rPr>
          <w:rFonts w:asciiTheme="minorHAnsi" w:hAnsiTheme="minorHAnsi" w:cstheme="minorHAnsi"/>
        </w:rPr>
        <w:t xml:space="preserve"> (Warsaw:Ksiazka i Wiedza, 1963) p.31-33</w:t>
      </w:r>
    </w:p>
  </w:footnote>
  <w:footnote w:id="26">
    <w:p w:rsidR="00CC25AB" w:rsidRPr="000F27B7" w:rsidRDefault="00CC25AB">
      <w:pPr>
        <w:pStyle w:val="FootnoteText"/>
        <w:rPr>
          <w:rFonts w:asciiTheme="minorHAnsi" w:hAnsiTheme="minorHAnsi" w:cstheme="minorHAnsi"/>
        </w:rPr>
      </w:pPr>
      <w:r w:rsidRPr="000F27B7">
        <w:rPr>
          <w:rStyle w:val="FootnoteReference"/>
          <w:rFonts w:asciiTheme="minorHAnsi" w:hAnsiTheme="minorHAnsi" w:cstheme="minorHAnsi"/>
        </w:rPr>
        <w:footnoteRef/>
      </w:r>
      <w:r w:rsidRPr="000F27B7">
        <w:rPr>
          <w:rFonts w:asciiTheme="minorHAnsi" w:hAnsiTheme="minorHAnsi" w:cstheme="minorHAnsi"/>
        </w:rPr>
        <w:t xml:space="preserve"> Holzer, Jerzy, </w:t>
      </w:r>
      <w:r w:rsidRPr="000F27B7">
        <w:rPr>
          <w:rFonts w:asciiTheme="minorHAnsi" w:hAnsiTheme="minorHAnsi" w:cstheme="minorHAnsi"/>
          <w:i/>
        </w:rPr>
        <w:t>"From Wilhelm to Hitler",</w:t>
      </w:r>
      <w:r w:rsidRPr="000F27B7">
        <w:rPr>
          <w:rFonts w:asciiTheme="minorHAnsi" w:hAnsiTheme="minorHAnsi" w:cstheme="minorHAnsi"/>
        </w:rPr>
        <w:t xml:space="preserve"> (Warsaw:Ksiazka i Wiedza, 1963) p</w:t>
      </w:r>
      <w:r w:rsidR="006E55C5" w:rsidRPr="000F27B7">
        <w:rPr>
          <w:rFonts w:asciiTheme="minorHAnsi" w:hAnsiTheme="minorHAnsi" w:cstheme="minorHAnsi"/>
        </w:rPr>
        <w:t>p</w:t>
      </w:r>
      <w:r w:rsidRPr="000F27B7">
        <w:rPr>
          <w:rFonts w:asciiTheme="minorHAnsi" w:hAnsiTheme="minorHAnsi" w:cstheme="minorHAnsi"/>
        </w:rPr>
        <w:t>.36-45</w:t>
      </w:r>
    </w:p>
  </w:footnote>
  <w:footnote w:id="27">
    <w:p w:rsidR="006E55C5" w:rsidRPr="00E24A17" w:rsidRDefault="006E55C5">
      <w:pPr>
        <w:pStyle w:val="FootnoteText"/>
        <w:rPr>
          <w:rFonts w:asciiTheme="minorHAnsi" w:hAnsiTheme="minorHAnsi" w:cstheme="minorHAnsi"/>
        </w:rPr>
      </w:pPr>
      <w:r w:rsidRPr="00E24A17">
        <w:rPr>
          <w:rStyle w:val="FootnoteReference"/>
          <w:rFonts w:asciiTheme="minorHAnsi" w:hAnsiTheme="minorHAnsi" w:cstheme="minorHAnsi"/>
        </w:rPr>
        <w:footnoteRef/>
      </w:r>
      <w:r w:rsidRPr="00E24A17">
        <w:rPr>
          <w:rFonts w:asciiTheme="minorHAnsi" w:hAnsiTheme="minorHAnsi" w:cstheme="minorHAnsi"/>
        </w:rPr>
        <w:t xml:space="preserve"> Ibid. pp. 50-52</w:t>
      </w:r>
    </w:p>
  </w:footnote>
  <w:footnote w:id="28">
    <w:p w:rsidR="006E55C5" w:rsidRPr="00E24A17" w:rsidRDefault="006E55C5">
      <w:pPr>
        <w:pStyle w:val="FootnoteText"/>
        <w:rPr>
          <w:rFonts w:asciiTheme="minorHAnsi" w:hAnsiTheme="minorHAnsi" w:cstheme="minorHAnsi"/>
        </w:rPr>
      </w:pPr>
      <w:r w:rsidRPr="00E24A17">
        <w:rPr>
          <w:rStyle w:val="FootnoteReference"/>
          <w:rFonts w:asciiTheme="minorHAnsi" w:hAnsiTheme="minorHAnsi" w:cstheme="minorHAnsi"/>
        </w:rPr>
        <w:footnoteRef/>
      </w:r>
      <w:r w:rsidRPr="00E24A17">
        <w:rPr>
          <w:rFonts w:asciiTheme="minorHAnsi" w:hAnsiTheme="minorHAnsi" w:cstheme="minorHAnsi"/>
        </w:rPr>
        <w:t xml:space="preserve"> Ibid. pp. 55-59</w:t>
      </w:r>
    </w:p>
  </w:footnote>
  <w:footnote w:id="29">
    <w:p w:rsidR="006E55C5" w:rsidRPr="00E24A17" w:rsidRDefault="006E55C5">
      <w:pPr>
        <w:pStyle w:val="FootnoteText"/>
        <w:rPr>
          <w:rFonts w:asciiTheme="minorHAnsi" w:hAnsiTheme="minorHAnsi" w:cstheme="minorHAnsi"/>
        </w:rPr>
      </w:pPr>
      <w:r w:rsidRPr="00E24A17">
        <w:rPr>
          <w:rStyle w:val="FootnoteReference"/>
          <w:rFonts w:asciiTheme="minorHAnsi" w:hAnsiTheme="minorHAnsi" w:cstheme="minorHAnsi"/>
        </w:rPr>
        <w:footnoteRef/>
      </w:r>
      <w:r w:rsidRPr="00E24A17">
        <w:rPr>
          <w:rFonts w:asciiTheme="minorHAnsi" w:hAnsiTheme="minorHAnsi" w:cstheme="minorHAnsi"/>
        </w:rPr>
        <w:t xml:space="preserve"> Ibid. pp. 62-68</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7BB696A"/>
    <w:multiLevelType w:val="hybridMultilevel"/>
    <w:tmpl w:val="A79EF7D8"/>
    <w:lvl w:ilvl="0" w:tplc="CDB29B6A">
      <w:numFmt w:val="bullet"/>
      <w:lvlText w:val=""/>
      <w:lvlJc w:val="left"/>
      <w:pPr>
        <w:ind w:left="720" w:hanging="360"/>
      </w:pPr>
      <w:rPr>
        <w:rFonts w:ascii="Symbol" w:hAnsi="Symbol"/>
      </w:rPr>
    </w:lvl>
    <w:lvl w:ilvl="1" w:tplc="C4A8D740">
      <w:numFmt w:val="bullet"/>
      <w:lvlText w:val="o"/>
      <w:lvlJc w:val="left"/>
      <w:pPr>
        <w:ind w:left="1440" w:hanging="1080"/>
      </w:pPr>
      <w:rPr>
        <w:rFonts w:ascii="Courier New" w:hAnsi="Courier New"/>
      </w:rPr>
    </w:lvl>
    <w:lvl w:ilvl="2" w:tplc="43BC0AFE">
      <w:numFmt w:val="bullet"/>
      <w:lvlText w:val=""/>
      <w:lvlJc w:val="left"/>
      <w:pPr>
        <w:ind w:left="2160" w:hanging="1800"/>
      </w:pPr>
    </w:lvl>
    <w:lvl w:ilvl="3" w:tplc="F692E816">
      <w:numFmt w:val="bullet"/>
      <w:lvlText w:val=""/>
      <w:lvlJc w:val="left"/>
      <w:pPr>
        <w:ind w:left="2880" w:hanging="2520"/>
      </w:pPr>
      <w:rPr>
        <w:rFonts w:ascii="Symbol" w:hAnsi="Symbol"/>
      </w:rPr>
    </w:lvl>
    <w:lvl w:ilvl="4" w:tplc="183C1508">
      <w:numFmt w:val="bullet"/>
      <w:lvlText w:val="o"/>
      <w:lvlJc w:val="left"/>
      <w:pPr>
        <w:ind w:left="3600" w:hanging="3240"/>
      </w:pPr>
      <w:rPr>
        <w:rFonts w:ascii="Courier New" w:hAnsi="Courier New"/>
      </w:rPr>
    </w:lvl>
    <w:lvl w:ilvl="5" w:tplc="593A730E">
      <w:numFmt w:val="bullet"/>
      <w:lvlText w:val=""/>
      <w:lvlJc w:val="left"/>
      <w:pPr>
        <w:ind w:left="4320" w:hanging="3960"/>
      </w:pPr>
    </w:lvl>
    <w:lvl w:ilvl="6" w:tplc="48E00AC0">
      <w:numFmt w:val="bullet"/>
      <w:lvlText w:val=""/>
      <w:lvlJc w:val="left"/>
      <w:pPr>
        <w:ind w:left="5040" w:hanging="4680"/>
      </w:pPr>
      <w:rPr>
        <w:rFonts w:ascii="Symbol" w:hAnsi="Symbol"/>
      </w:rPr>
    </w:lvl>
    <w:lvl w:ilvl="7" w:tplc="B9FA4426">
      <w:numFmt w:val="bullet"/>
      <w:lvlText w:val="o"/>
      <w:lvlJc w:val="left"/>
      <w:pPr>
        <w:ind w:left="5760" w:hanging="5400"/>
      </w:pPr>
      <w:rPr>
        <w:rFonts w:ascii="Courier New" w:hAnsi="Courier New"/>
      </w:rPr>
    </w:lvl>
    <w:lvl w:ilvl="8" w:tplc="F7947422">
      <w:numFmt w:val="bullet"/>
      <w:lvlText w:val=""/>
      <w:lvlJc w:val="left"/>
      <w:pPr>
        <w:ind w:left="6480" w:hanging="6120"/>
      </w:pPr>
    </w:lvl>
  </w:abstractNum>
  <w:abstractNum w:abstractNumId="1">
    <w:nsid w:val="5F3967B0"/>
    <w:multiLevelType w:val="hybridMultilevel"/>
    <w:tmpl w:val="5426C35C"/>
    <w:lvl w:ilvl="0" w:tplc="26DA06B2">
      <w:start w:val="1"/>
      <w:numFmt w:val="decimal"/>
      <w:lvlText w:val="%1."/>
      <w:lvlJc w:val="left"/>
      <w:pPr>
        <w:ind w:left="720" w:hanging="360"/>
      </w:pPr>
    </w:lvl>
    <w:lvl w:ilvl="1" w:tplc="211A380E">
      <w:start w:val="1"/>
      <w:numFmt w:val="decimal"/>
      <w:lvlText w:val="%2."/>
      <w:lvlJc w:val="left"/>
      <w:pPr>
        <w:ind w:left="1440" w:hanging="1080"/>
      </w:pPr>
    </w:lvl>
    <w:lvl w:ilvl="2" w:tplc="E8386F46">
      <w:start w:val="1"/>
      <w:numFmt w:val="decimal"/>
      <w:lvlText w:val="%3."/>
      <w:lvlJc w:val="left"/>
      <w:pPr>
        <w:ind w:left="2160" w:hanging="1980"/>
      </w:pPr>
    </w:lvl>
    <w:lvl w:ilvl="3" w:tplc="5400DCE4">
      <w:start w:val="1"/>
      <w:numFmt w:val="decimal"/>
      <w:lvlText w:val="%4."/>
      <w:lvlJc w:val="left"/>
      <w:pPr>
        <w:ind w:left="2880" w:hanging="2520"/>
      </w:pPr>
    </w:lvl>
    <w:lvl w:ilvl="4" w:tplc="B54E1D04">
      <w:start w:val="1"/>
      <w:numFmt w:val="decimal"/>
      <w:lvlText w:val="%5."/>
      <w:lvlJc w:val="left"/>
      <w:pPr>
        <w:ind w:left="3600" w:hanging="3240"/>
      </w:pPr>
    </w:lvl>
    <w:lvl w:ilvl="5" w:tplc="9F2E544C">
      <w:start w:val="1"/>
      <w:numFmt w:val="decimal"/>
      <w:lvlText w:val="%6."/>
      <w:lvlJc w:val="left"/>
      <w:pPr>
        <w:ind w:left="4320" w:hanging="4140"/>
      </w:pPr>
    </w:lvl>
    <w:lvl w:ilvl="6" w:tplc="83561A58">
      <w:start w:val="1"/>
      <w:numFmt w:val="decimal"/>
      <w:lvlText w:val="%7."/>
      <w:lvlJc w:val="left"/>
      <w:pPr>
        <w:ind w:left="5040" w:hanging="4680"/>
      </w:pPr>
    </w:lvl>
    <w:lvl w:ilvl="7" w:tplc="0694B928">
      <w:start w:val="1"/>
      <w:numFmt w:val="decimal"/>
      <w:lvlText w:val="%8."/>
      <w:lvlJc w:val="left"/>
      <w:pPr>
        <w:ind w:left="5760" w:hanging="5400"/>
      </w:pPr>
    </w:lvl>
    <w:lvl w:ilvl="8" w:tplc="A3767E46">
      <w:start w:val="1"/>
      <w:numFmt w:val="decimal"/>
      <w:lvlText w:val="%9."/>
      <w:lvlJc w:val="left"/>
      <w:pPr>
        <w:ind w:left="6480" w:hanging="6300"/>
      </w:p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9646E4"/>
    <w:rsid w:val="00012FA9"/>
    <w:rsid w:val="000352AC"/>
    <w:rsid w:val="000F27B7"/>
    <w:rsid w:val="00212E7F"/>
    <w:rsid w:val="002566CD"/>
    <w:rsid w:val="00277C22"/>
    <w:rsid w:val="00365EEC"/>
    <w:rsid w:val="0037020C"/>
    <w:rsid w:val="003857CB"/>
    <w:rsid w:val="003C0589"/>
    <w:rsid w:val="003F7D1B"/>
    <w:rsid w:val="004104D6"/>
    <w:rsid w:val="00444880"/>
    <w:rsid w:val="005129A5"/>
    <w:rsid w:val="005A5EA8"/>
    <w:rsid w:val="00682F53"/>
    <w:rsid w:val="00694E52"/>
    <w:rsid w:val="006E55C5"/>
    <w:rsid w:val="00915EB4"/>
    <w:rsid w:val="009646E4"/>
    <w:rsid w:val="00A20917"/>
    <w:rsid w:val="00A35A25"/>
    <w:rsid w:val="00C04932"/>
    <w:rsid w:val="00CC25AB"/>
    <w:rsid w:val="00CC2C45"/>
    <w:rsid w:val="00CC67D7"/>
    <w:rsid w:val="00D96133"/>
    <w:rsid w:val="00DF2D89"/>
    <w:rsid w:val="00E24A17"/>
    <w:rsid w:val="00E36BDE"/>
    <w:rsid w:val="00E522A4"/>
    <w:rsid w:val="00E71BAA"/>
    <w:rsid w:val="00F72970"/>
    <w:rsid w:val="00FA301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D26AE7"/>
    <w:pPr>
      <w:pBdr>
        <w:top w:val="nil"/>
        <w:left w:val="nil"/>
        <w:bottom w:val="nil"/>
        <w:right w:val="nil"/>
        <w:between w:val="nil"/>
      </w:pBdr>
      <w:spacing w:after="0"/>
    </w:pPr>
    <w:rPr>
      <w:rFonts w:ascii="Arial" w:eastAsia="Arial" w:hAnsi="Arial" w:cs="Arial"/>
      <w:color w:val="000000"/>
      <w:lang w:eastAsia="en-GB"/>
    </w:rPr>
  </w:style>
  <w:style w:type="paragraph" w:styleId="Heading1">
    <w:name w:val="heading 1"/>
    <w:basedOn w:val="Normal"/>
    <w:link w:val="Heading1Char"/>
    <w:uiPriority w:val="9"/>
    <w:qFormat/>
    <w:rsid w:val="009646E4"/>
    <w:pPr>
      <w:spacing w:before="480"/>
      <w:outlineLvl w:val="0"/>
    </w:pPr>
    <w:rPr>
      <w:b/>
      <w:color w:val="345A8A"/>
      <w:sz w:val="32"/>
    </w:rPr>
  </w:style>
  <w:style w:type="paragraph" w:styleId="Heading2">
    <w:name w:val="heading 2"/>
    <w:basedOn w:val="Normal"/>
    <w:rsid w:val="009646E4"/>
    <w:pPr>
      <w:spacing w:before="200"/>
      <w:outlineLvl w:val="1"/>
    </w:pPr>
    <w:rPr>
      <w:b/>
      <w:color w:val="4F81BD"/>
      <w:sz w:val="26"/>
    </w:rPr>
  </w:style>
  <w:style w:type="paragraph" w:styleId="Heading3">
    <w:name w:val="heading 3"/>
    <w:basedOn w:val="Normal"/>
    <w:rsid w:val="009646E4"/>
    <w:pPr>
      <w:spacing w:before="200"/>
      <w:outlineLvl w:val="2"/>
    </w:pPr>
    <w:rPr>
      <w:b/>
      <w:color w:val="4F81BD"/>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06F0"/>
    <w:pPr>
      <w:ind w:left="720"/>
      <w:contextualSpacing/>
    </w:pPr>
  </w:style>
  <w:style w:type="paragraph" w:styleId="FootnoteText">
    <w:name w:val="footnote text"/>
    <w:basedOn w:val="Normal"/>
    <w:link w:val="FootnoteTextChar"/>
    <w:uiPriority w:val="99"/>
    <w:semiHidden/>
    <w:unhideWhenUsed/>
    <w:rsid w:val="00E840C7"/>
    <w:pPr>
      <w:spacing w:line="240" w:lineRule="auto"/>
    </w:pPr>
    <w:rPr>
      <w:sz w:val="20"/>
      <w:szCs w:val="20"/>
    </w:rPr>
  </w:style>
  <w:style w:type="character" w:customStyle="1" w:styleId="FootnoteTextChar">
    <w:name w:val="Footnote Text Char"/>
    <w:basedOn w:val="DefaultParagraphFont"/>
    <w:link w:val="FootnoteText"/>
    <w:uiPriority w:val="99"/>
    <w:semiHidden/>
    <w:rsid w:val="00E840C7"/>
    <w:rPr>
      <w:sz w:val="20"/>
      <w:szCs w:val="20"/>
    </w:rPr>
  </w:style>
  <w:style w:type="character" w:styleId="FootnoteReference">
    <w:name w:val="footnote reference"/>
    <w:basedOn w:val="DefaultParagraphFont"/>
    <w:uiPriority w:val="99"/>
    <w:semiHidden/>
    <w:unhideWhenUsed/>
    <w:rsid w:val="00E840C7"/>
    <w:rPr>
      <w:vertAlign w:val="superscript"/>
    </w:rPr>
  </w:style>
  <w:style w:type="paragraph" w:styleId="Title">
    <w:name w:val="Title"/>
    <w:basedOn w:val="Normal"/>
    <w:rsid w:val="009646E4"/>
    <w:pPr>
      <w:spacing w:after="300"/>
    </w:pPr>
    <w:rPr>
      <w:color w:val="17365D"/>
      <w:sz w:val="52"/>
    </w:rPr>
  </w:style>
  <w:style w:type="paragraph" w:styleId="Subtitle">
    <w:name w:val="Subtitle"/>
    <w:basedOn w:val="Normal"/>
    <w:rsid w:val="009646E4"/>
    <w:rPr>
      <w:i/>
      <w:color w:val="4F81BD"/>
      <w:sz w:val="24"/>
    </w:rPr>
  </w:style>
  <w:style w:type="character" w:customStyle="1" w:styleId="Heading1Char">
    <w:name w:val="Heading 1 Char"/>
    <w:basedOn w:val="DefaultParagraphFont"/>
    <w:link w:val="Heading1"/>
    <w:uiPriority w:val="9"/>
    <w:rsid w:val="0037020C"/>
    <w:rPr>
      <w:rFonts w:ascii="Arial" w:eastAsia="Arial" w:hAnsi="Arial" w:cs="Arial"/>
      <w:b/>
      <w:color w:val="345A8A"/>
      <w:sz w:val="32"/>
      <w:lang w:eastAsia="en-GB"/>
    </w:rPr>
  </w:style>
  <w:style w:type="paragraph" w:styleId="BalloonText">
    <w:name w:val="Balloon Text"/>
    <w:basedOn w:val="Normal"/>
    <w:link w:val="BalloonTextChar"/>
    <w:uiPriority w:val="99"/>
    <w:semiHidden/>
    <w:unhideWhenUsed/>
    <w:rsid w:val="0037020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7020C"/>
    <w:rPr>
      <w:rFonts w:ascii="Tahoma" w:eastAsia="Arial" w:hAnsi="Tahoma" w:cs="Tahoma"/>
      <w:color w:val="000000"/>
      <w:sz w:val="16"/>
      <w:szCs w:val="16"/>
      <w:lang w:eastAsia="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E882843-507A-428C-BDBF-06230AEA5E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3013</Words>
  <Characters>17179</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marcin</dc:creator>
  <cp:lastModifiedBy>marcin</cp:lastModifiedBy>
  <cp:revision>3</cp:revision>
  <dcterms:created xsi:type="dcterms:W3CDTF">2017-12-22T17:14:00Z</dcterms:created>
  <dcterms:modified xsi:type="dcterms:W3CDTF">2017-12-22T17:15:00Z</dcterms:modified>
</cp:coreProperties>
</file>