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A3B50" w14:textId="1BB266C3" w:rsidR="007626C8" w:rsidRPr="00EB5D24" w:rsidRDefault="00A53B8A" w:rsidP="00FA1034">
      <w:pPr>
        <w:jc w:val="center"/>
        <w:rPr>
          <w:rFonts w:ascii="Arial" w:hAnsi="Arial" w:cs="Arial"/>
          <w:b/>
          <w:bCs/>
          <w:sz w:val="52"/>
          <w:szCs w:val="52"/>
          <w:lang w:val="nl-NL"/>
        </w:rPr>
      </w:pPr>
      <w:r w:rsidRPr="00EB5D24">
        <w:rPr>
          <w:rFonts w:ascii="Arial" w:hAnsi="Arial" w:cs="Arial"/>
          <w:b/>
          <w:bCs/>
          <w:sz w:val="52"/>
          <w:szCs w:val="52"/>
          <w:lang w:val="nl-NL"/>
        </w:rPr>
        <w:t xml:space="preserve">Student name :Nadia </w:t>
      </w:r>
      <w:r w:rsidR="00364447" w:rsidRPr="00EB5D24">
        <w:rPr>
          <w:rFonts w:ascii="Arial" w:hAnsi="Arial" w:cs="Arial"/>
          <w:b/>
          <w:bCs/>
          <w:sz w:val="52"/>
          <w:szCs w:val="52"/>
          <w:lang w:val="nl-NL"/>
        </w:rPr>
        <w:t>B</w:t>
      </w:r>
      <w:r w:rsidRPr="00EB5D24">
        <w:rPr>
          <w:rFonts w:ascii="Arial" w:hAnsi="Arial" w:cs="Arial"/>
          <w:b/>
          <w:bCs/>
          <w:sz w:val="52"/>
          <w:szCs w:val="52"/>
          <w:lang w:val="nl-NL"/>
        </w:rPr>
        <w:t>i</w:t>
      </w:r>
    </w:p>
    <w:p w14:paraId="73C3442E" w14:textId="77777777" w:rsidR="00D56943" w:rsidRPr="00EB5D24" w:rsidRDefault="00D56943" w:rsidP="00FA1034">
      <w:pPr>
        <w:jc w:val="center"/>
        <w:rPr>
          <w:rFonts w:ascii="Arial" w:hAnsi="Arial" w:cs="Arial"/>
          <w:b/>
          <w:bCs/>
          <w:sz w:val="52"/>
          <w:szCs w:val="52"/>
          <w:lang w:val="nl-NL"/>
        </w:rPr>
      </w:pPr>
    </w:p>
    <w:p w14:paraId="187AB988" w14:textId="7089DBD4" w:rsidR="00A53B8A" w:rsidRPr="00EB5D24" w:rsidRDefault="00A53B8A" w:rsidP="00FA1034">
      <w:pPr>
        <w:jc w:val="center"/>
        <w:rPr>
          <w:rFonts w:ascii="Arial" w:hAnsi="Arial" w:cs="Arial"/>
          <w:b/>
          <w:bCs/>
          <w:sz w:val="52"/>
          <w:szCs w:val="52"/>
          <w:lang w:val="nl-NL"/>
        </w:rPr>
      </w:pPr>
      <w:r w:rsidRPr="00EB5D24">
        <w:rPr>
          <w:rFonts w:ascii="Arial" w:hAnsi="Arial" w:cs="Arial"/>
          <w:b/>
          <w:bCs/>
          <w:sz w:val="52"/>
          <w:szCs w:val="52"/>
          <w:lang w:val="nl-NL"/>
        </w:rPr>
        <w:t>Student num</w:t>
      </w:r>
      <w:r w:rsidR="00497635" w:rsidRPr="00EB5D24">
        <w:rPr>
          <w:rFonts w:ascii="Arial" w:hAnsi="Arial" w:cs="Arial"/>
          <w:b/>
          <w:bCs/>
          <w:sz w:val="52"/>
          <w:szCs w:val="52"/>
          <w:lang w:val="nl-NL"/>
        </w:rPr>
        <w:t>ber :2434187</w:t>
      </w:r>
    </w:p>
    <w:p w14:paraId="2E4D6030" w14:textId="77777777" w:rsidR="00D56943" w:rsidRPr="00EB5D24" w:rsidRDefault="00D56943" w:rsidP="00FA1034">
      <w:pPr>
        <w:jc w:val="center"/>
        <w:rPr>
          <w:rFonts w:ascii="Arial" w:hAnsi="Arial" w:cs="Arial"/>
          <w:b/>
          <w:bCs/>
          <w:sz w:val="52"/>
          <w:szCs w:val="52"/>
          <w:lang w:val="nl-NL"/>
        </w:rPr>
      </w:pPr>
    </w:p>
    <w:p w14:paraId="3F7276E1" w14:textId="016ADD67" w:rsidR="00C762A7" w:rsidRPr="00D56943" w:rsidRDefault="00D54D38" w:rsidP="00FA1034">
      <w:pPr>
        <w:jc w:val="center"/>
        <w:rPr>
          <w:rFonts w:ascii="Segoe UI" w:hAnsi="Segoe UI" w:cs="Segoe UI"/>
          <w:color w:val="1D2125"/>
          <w:sz w:val="52"/>
          <w:szCs w:val="52"/>
          <w:shd w:val="clear" w:color="auto" w:fill="FFFFFF"/>
        </w:rPr>
      </w:pPr>
      <w:r w:rsidRPr="00D56943">
        <w:rPr>
          <w:rFonts w:ascii="Arial" w:hAnsi="Arial" w:cs="Arial"/>
          <w:b/>
          <w:bCs/>
          <w:sz w:val="52"/>
          <w:szCs w:val="52"/>
        </w:rPr>
        <w:t xml:space="preserve">Tutor </w:t>
      </w:r>
      <w:r w:rsidR="00FC4AE2">
        <w:rPr>
          <w:rFonts w:ascii="Arial" w:hAnsi="Arial" w:cs="Arial"/>
          <w:b/>
          <w:bCs/>
          <w:sz w:val="52"/>
          <w:szCs w:val="52"/>
        </w:rPr>
        <w:t>N</w:t>
      </w:r>
      <w:r w:rsidRPr="00D56943">
        <w:rPr>
          <w:rFonts w:ascii="Arial" w:hAnsi="Arial" w:cs="Arial"/>
          <w:b/>
          <w:bCs/>
          <w:sz w:val="52"/>
          <w:szCs w:val="52"/>
        </w:rPr>
        <w:t xml:space="preserve">ame: </w:t>
      </w:r>
      <w:r w:rsidR="0011758B" w:rsidRPr="00D56943">
        <w:rPr>
          <w:rFonts w:ascii="Arial" w:hAnsi="Arial" w:cs="Arial"/>
          <w:b/>
          <w:bCs/>
          <w:color w:val="1D2125"/>
          <w:sz w:val="52"/>
          <w:szCs w:val="52"/>
          <w:shd w:val="clear" w:color="auto" w:fill="FFFFFF"/>
        </w:rPr>
        <w:t>Rizwan Nadim</w:t>
      </w:r>
    </w:p>
    <w:p w14:paraId="03CD498D" w14:textId="77777777" w:rsidR="00D56943" w:rsidRPr="00D56943" w:rsidRDefault="00D56943" w:rsidP="00FA1034">
      <w:pPr>
        <w:jc w:val="center"/>
        <w:rPr>
          <w:rFonts w:ascii="Segoe UI" w:hAnsi="Segoe UI" w:cs="Segoe UI"/>
          <w:color w:val="1D2125"/>
          <w:sz w:val="52"/>
          <w:szCs w:val="52"/>
          <w:shd w:val="clear" w:color="auto" w:fill="FFFFFF"/>
        </w:rPr>
      </w:pPr>
    </w:p>
    <w:p w14:paraId="4DC5C276" w14:textId="474461CF" w:rsidR="00CF1C7C" w:rsidRPr="00D56943" w:rsidRDefault="00136CCF" w:rsidP="00FA1034">
      <w:pPr>
        <w:jc w:val="center"/>
        <w:rPr>
          <w:rFonts w:ascii="Segoe UI" w:hAnsi="Segoe UI" w:cs="Segoe UI"/>
          <w:b/>
          <w:bCs/>
          <w:color w:val="1D2125"/>
          <w:sz w:val="52"/>
          <w:szCs w:val="52"/>
          <w:shd w:val="clear" w:color="auto" w:fill="FFFFFF"/>
        </w:rPr>
      </w:pPr>
      <w:r w:rsidRPr="00D56943">
        <w:rPr>
          <w:rFonts w:ascii="Arial" w:hAnsi="Arial" w:cs="Arial"/>
          <w:b/>
          <w:bCs/>
          <w:color w:val="1D2125"/>
          <w:sz w:val="52"/>
          <w:szCs w:val="52"/>
          <w:shd w:val="clear" w:color="auto" w:fill="FFFFFF"/>
        </w:rPr>
        <w:t xml:space="preserve">Title </w:t>
      </w:r>
      <w:r w:rsidR="00FC4AE2">
        <w:rPr>
          <w:rFonts w:ascii="Arial" w:hAnsi="Arial" w:cs="Arial"/>
          <w:b/>
          <w:bCs/>
          <w:color w:val="1D2125"/>
          <w:sz w:val="52"/>
          <w:szCs w:val="52"/>
          <w:shd w:val="clear" w:color="auto" w:fill="FFFFFF"/>
        </w:rPr>
        <w:t>N</w:t>
      </w:r>
      <w:r w:rsidRPr="00D56943">
        <w:rPr>
          <w:rFonts w:ascii="Arial" w:hAnsi="Arial" w:cs="Arial"/>
          <w:b/>
          <w:bCs/>
          <w:color w:val="1D2125"/>
          <w:sz w:val="52"/>
          <w:szCs w:val="52"/>
          <w:shd w:val="clear" w:color="auto" w:fill="FFFFFF"/>
        </w:rPr>
        <w:t>ame</w:t>
      </w:r>
      <w:r w:rsidRPr="00D56943">
        <w:rPr>
          <w:rFonts w:ascii="Segoe UI" w:hAnsi="Segoe UI" w:cs="Segoe UI"/>
          <w:color w:val="1D2125"/>
          <w:sz w:val="52"/>
          <w:szCs w:val="52"/>
          <w:shd w:val="clear" w:color="auto" w:fill="FFFFFF"/>
        </w:rPr>
        <w:t xml:space="preserve"> :</w:t>
      </w:r>
      <w:r w:rsidR="00CF1C7C" w:rsidRPr="00D56943">
        <w:rPr>
          <w:rFonts w:ascii="Segoe UI" w:eastAsia="Times New Roman" w:hAnsi="Segoe UI" w:cs="Segoe UI"/>
          <w:b/>
          <w:bCs/>
          <w:color w:val="1D2125"/>
          <w:kern w:val="36"/>
          <w:sz w:val="52"/>
          <w:szCs w:val="52"/>
          <w:lang w:eastAsia="en-GB"/>
          <w14:ligatures w14:val="none"/>
        </w:rPr>
        <w:t xml:space="preserve"> </w:t>
      </w:r>
      <w:r w:rsidR="00CF1C7C" w:rsidRPr="00D56943">
        <w:rPr>
          <w:rFonts w:ascii="Segoe UI" w:hAnsi="Segoe UI" w:cs="Segoe UI"/>
          <w:b/>
          <w:bCs/>
          <w:color w:val="1D2125"/>
          <w:sz w:val="52"/>
          <w:szCs w:val="52"/>
          <w:shd w:val="clear" w:color="auto" w:fill="FFFFFF"/>
        </w:rPr>
        <w:t xml:space="preserve">Principles of Health and Social Care Practice </w:t>
      </w:r>
      <w:r w:rsidR="005551AD">
        <w:rPr>
          <w:rFonts w:ascii="Segoe UI" w:hAnsi="Segoe UI" w:cs="Segoe UI"/>
          <w:b/>
          <w:bCs/>
          <w:color w:val="1D2125"/>
          <w:sz w:val="52"/>
          <w:szCs w:val="52"/>
          <w:shd w:val="clear" w:color="auto" w:fill="FFFFFF"/>
        </w:rPr>
        <w:t>BMHP</w:t>
      </w:r>
      <w:r w:rsidR="00CF1C7C" w:rsidRPr="00D56943">
        <w:rPr>
          <w:rFonts w:ascii="Segoe UI" w:hAnsi="Segoe UI" w:cs="Segoe UI"/>
          <w:b/>
          <w:bCs/>
          <w:color w:val="1D2125"/>
          <w:sz w:val="52"/>
          <w:szCs w:val="52"/>
          <w:shd w:val="clear" w:color="auto" w:fill="FFFFFF"/>
        </w:rPr>
        <w:t xml:space="preserve"> 5016</w:t>
      </w:r>
    </w:p>
    <w:p w14:paraId="6FF26F4A" w14:textId="77777777" w:rsidR="00D56943" w:rsidRDefault="00D56943" w:rsidP="00FA1034">
      <w:pPr>
        <w:jc w:val="center"/>
        <w:rPr>
          <w:rFonts w:ascii="Arial" w:hAnsi="Arial" w:cs="Arial"/>
          <w:b/>
          <w:bCs/>
          <w:sz w:val="52"/>
          <w:szCs w:val="52"/>
        </w:rPr>
      </w:pPr>
    </w:p>
    <w:p w14:paraId="139172CF" w14:textId="182CD3E3" w:rsidR="00D54D38" w:rsidRPr="00D56943" w:rsidRDefault="00016DC1" w:rsidP="00FA1034">
      <w:pPr>
        <w:jc w:val="center"/>
        <w:rPr>
          <w:rFonts w:ascii="Arial" w:hAnsi="Arial" w:cs="Arial"/>
          <w:b/>
          <w:bCs/>
          <w:sz w:val="52"/>
          <w:szCs w:val="52"/>
        </w:rPr>
      </w:pPr>
      <w:r w:rsidRPr="00D56943">
        <w:rPr>
          <w:rFonts w:ascii="Arial" w:hAnsi="Arial" w:cs="Arial"/>
          <w:b/>
          <w:bCs/>
          <w:sz w:val="52"/>
          <w:szCs w:val="52"/>
        </w:rPr>
        <w:t>Date :</w:t>
      </w:r>
      <w:r w:rsidR="00CF6CF1" w:rsidRPr="00D56943">
        <w:rPr>
          <w:rFonts w:ascii="Arial" w:hAnsi="Arial" w:cs="Arial"/>
          <w:b/>
          <w:bCs/>
          <w:sz w:val="52"/>
          <w:szCs w:val="52"/>
        </w:rPr>
        <w:t xml:space="preserve"> </w:t>
      </w:r>
      <w:r w:rsidR="005A4151">
        <w:rPr>
          <w:rFonts w:ascii="Arial" w:hAnsi="Arial" w:cs="Arial"/>
          <w:b/>
          <w:bCs/>
          <w:sz w:val="52"/>
          <w:szCs w:val="52"/>
        </w:rPr>
        <w:t>5</w:t>
      </w:r>
      <w:r w:rsidR="00AC1989">
        <w:rPr>
          <w:rFonts w:ascii="Arial" w:hAnsi="Arial" w:cs="Arial"/>
          <w:b/>
          <w:bCs/>
          <w:sz w:val="52"/>
          <w:szCs w:val="52"/>
        </w:rPr>
        <w:t xml:space="preserve"> July </w:t>
      </w:r>
      <w:r w:rsidR="0049111F" w:rsidRPr="00D56943">
        <w:rPr>
          <w:rFonts w:ascii="Arial" w:hAnsi="Arial" w:cs="Arial"/>
          <w:b/>
          <w:bCs/>
          <w:sz w:val="52"/>
          <w:szCs w:val="52"/>
        </w:rPr>
        <w:t>2026</w:t>
      </w:r>
    </w:p>
    <w:p w14:paraId="300FA330" w14:textId="77777777" w:rsidR="00497635" w:rsidRPr="00CF1C7C" w:rsidRDefault="00497635" w:rsidP="00396A0B">
      <w:pPr>
        <w:rPr>
          <w:rFonts w:ascii="Arial" w:hAnsi="Arial" w:cs="Arial"/>
          <w:b/>
          <w:bCs/>
          <w:sz w:val="28"/>
          <w:szCs w:val="28"/>
        </w:rPr>
      </w:pPr>
    </w:p>
    <w:p w14:paraId="16691A0E" w14:textId="77777777" w:rsidR="007626C8" w:rsidRPr="00CF1C7C" w:rsidRDefault="007626C8" w:rsidP="00396A0B">
      <w:pPr>
        <w:rPr>
          <w:rFonts w:ascii="Arial" w:hAnsi="Arial" w:cs="Arial"/>
          <w:b/>
          <w:bCs/>
          <w:sz w:val="28"/>
          <w:szCs w:val="28"/>
        </w:rPr>
      </w:pPr>
    </w:p>
    <w:p w14:paraId="385F6D89" w14:textId="77777777" w:rsidR="007626C8" w:rsidRPr="00CF1C7C" w:rsidRDefault="007626C8" w:rsidP="00396A0B">
      <w:pPr>
        <w:rPr>
          <w:rFonts w:ascii="Arial" w:hAnsi="Arial" w:cs="Arial"/>
          <w:b/>
          <w:bCs/>
          <w:sz w:val="28"/>
          <w:szCs w:val="28"/>
        </w:rPr>
      </w:pPr>
    </w:p>
    <w:p w14:paraId="75A831FA" w14:textId="77777777" w:rsidR="007626C8" w:rsidRPr="00CF1C7C" w:rsidRDefault="007626C8" w:rsidP="00396A0B">
      <w:pPr>
        <w:rPr>
          <w:rFonts w:ascii="Arial" w:hAnsi="Arial" w:cs="Arial"/>
          <w:b/>
          <w:bCs/>
          <w:sz w:val="28"/>
          <w:szCs w:val="28"/>
        </w:rPr>
      </w:pPr>
    </w:p>
    <w:p w14:paraId="14C17D85" w14:textId="77777777" w:rsidR="007626C8" w:rsidRPr="00CF1C7C" w:rsidRDefault="007626C8" w:rsidP="00396A0B">
      <w:pPr>
        <w:rPr>
          <w:rFonts w:ascii="Arial" w:hAnsi="Arial" w:cs="Arial"/>
          <w:b/>
          <w:bCs/>
          <w:sz w:val="28"/>
          <w:szCs w:val="28"/>
        </w:rPr>
      </w:pPr>
    </w:p>
    <w:p w14:paraId="34DB0E08" w14:textId="77777777" w:rsidR="007626C8" w:rsidRPr="00CF1C7C" w:rsidRDefault="007626C8" w:rsidP="00396A0B">
      <w:pPr>
        <w:rPr>
          <w:rFonts w:ascii="Arial" w:hAnsi="Arial" w:cs="Arial"/>
          <w:b/>
          <w:bCs/>
          <w:sz w:val="28"/>
          <w:szCs w:val="28"/>
        </w:rPr>
      </w:pPr>
    </w:p>
    <w:p w14:paraId="311AA2A7" w14:textId="77777777" w:rsidR="007626C8" w:rsidRPr="00CF1C7C" w:rsidRDefault="007626C8" w:rsidP="00396A0B">
      <w:pPr>
        <w:rPr>
          <w:rFonts w:ascii="Arial" w:hAnsi="Arial" w:cs="Arial"/>
          <w:b/>
          <w:bCs/>
          <w:sz w:val="28"/>
          <w:szCs w:val="28"/>
        </w:rPr>
      </w:pPr>
    </w:p>
    <w:p w14:paraId="2CAE7E83" w14:textId="77777777" w:rsidR="007626C8" w:rsidRPr="00CF1C7C" w:rsidRDefault="007626C8" w:rsidP="00396A0B">
      <w:pPr>
        <w:rPr>
          <w:rFonts w:ascii="Arial" w:hAnsi="Arial" w:cs="Arial"/>
          <w:b/>
          <w:bCs/>
          <w:sz w:val="28"/>
          <w:szCs w:val="28"/>
        </w:rPr>
      </w:pPr>
    </w:p>
    <w:p w14:paraId="304760C0" w14:textId="77777777" w:rsidR="007626C8" w:rsidRPr="00CF1C7C" w:rsidRDefault="007626C8" w:rsidP="00DB4EB7">
      <w:pPr>
        <w:spacing w:line="360" w:lineRule="auto"/>
        <w:jc w:val="both"/>
        <w:rPr>
          <w:rFonts w:ascii="Arial" w:hAnsi="Arial" w:cs="Arial"/>
          <w:b/>
          <w:bCs/>
          <w:sz w:val="28"/>
          <w:szCs w:val="28"/>
        </w:rPr>
      </w:pPr>
    </w:p>
    <w:sdt>
      <w:sdtPr>
        <w:rPr>
          <w:rFonts w:ascii="Arial" w:eastAsiaTheme="minorHAnsi" w:hAnsi="Arial" w:cs="Arial"/>
          <w:color w:val="auto"/>
          <w:kern w:val="2"/>
          <w:sz w:val="22"/>
          <w:szCs w:val="22"/>
          <w:lang w:eastAsia="en-US"/>
          <w14:ligatures w14:val="standardContextual"/>
        </w:rPr>
        <w:id w:val="1184322582"/>
        <w:docPartObj>
          <w:docPartGallery w:val="Table of Contents"/>
          <w:docPartUnique/>
        </w:docPartObj>
      </w:sdtPr>
      <w:sdtEndPr>
        <w:rPr>
          <w:b/>
          <w:bCs/>
        </w:rPr>
      </w:sdtEndPr>
      <w:sdtContent>
        <w:p w14:paraId="7E10BA23" w14:textId="40E4C44E" w:rsidR="0035339B" w:rsidRPr="002C23FB" w:rsidRDefault="0035339B" w:rsidP="002C23FB">
          <w:pPr>
            <w:pStyle w:val="TOCHeading"/>
            <w:spacing w:line="360" w:lineRule="auto"/>
            <w:jc w:val="both"/>
            <w:rPr>
              <w:rFonts w:ascii="Arial" w:hAnsi="Arial" w:cs="Arial"/>
              <w:sz w:val="22"/>
              <w:szCs w:val="22"/>
            </w:rPr>
          </w:pPr>
          <w:r w:rsidRPr="002C23FB">
            <w:rPr>
              <w:rFonts w:ascii="Arial" w:hAnsi="Arial" w:cs="Arial"/>
              <w:sz w:val="22"/>
              <w:szCs w:val="22"/>
            </w:rPr>
            <w:t>Contents</w:t>
          </w:r>
        </w:p>
        <w:p w14:paraId="6B04EE70" w14:textId="6BE2F218" w:rsidR="0035339B" w:rsidRPr="002C23FB" w:rsidRDefault="0035339B" w:rsidP="002C23FB">
          <w:pPr>
            <w:pStyle w:val="TOC3"/>
            <w:tabs>
              <w:tab w:val="right" w:leader="dot" w:pos="9016"/>
            </w:tabs>
            <w:spacing w:line="360" w:lineRule="auto"/>
            <w:jc w:val="both"/>
            <w:rPr>
              <w:rStyle w:val="Hyperlink"/>
              <w:rFonts w:ascii="Arial" w:hAnsi="Arial" w:cs="Arial"/>
              <w:noProof/>
              <w:sz w:val="22"/>
              <w:szCs w:val="22"/>
            </w:rPr>
          </w:pPr>
          <w:r w:rsidRPr="002C23FB">
            <w:rPr>
              <w:rFonts w:ascii="Arial" w:hAnsi="Arial" w:cs="Arial"/>
              <w:sz w:val="22"/>
              <w:szCs w:val="22"/>
            </w:rPr>
            <w:fldChar w:fldCharType="begin"/>
          </w:r>
          <w:r w:rsidRPr="002C23FB">
            <w:rPr>
              <w:rFonts w:ascii="Arial" w:hAnsi="Arial" w:cs="Arial"/>
              <w:sz w:val="22"/>
              <w:szCs w:val="22"/>
            </w:rPr>
            <w:instrText xml:space="preserve"> TOC \o "1-3" \h \z \u </w:instrText>
          </w:r>
          <w:r w:rsidRPr="002C23FB">
            <w:rPr>
              <w:rFonts w:ascii="Arial" w:hAnsi="Arial" w:cs="Arial"/>
              <w:sz w:val="22"/>
              <w:szCs w:val="22"/>
            </w:rPr>
            <w:fldChar w:fldCharType="separate"/>
          </w:r>
          <w:r w:rsidRPr="002C23FB">
            <w:rPr>
              <w:rStyle w:val="Hyperlink"/>
              <w:rFonts w:ascii="Arial" w:eastAsia="Times New Roman" w:hAnsi="Arial" w:cs="Arial"/>
              <w:b/>
              <w:bCs/>
              <w:noProof/>
              <w:kern w:val="0"/>
              <w:sz w:val="22"/>
              <w:szCs w:val="22"/>
              <w:lang w:eastAsia="en-GB"/>
              <w14:ligatures w14:val="none"/>
            </w:rPr>
            <w:t>Person-Centred Care</w:t>
          </w:r>
          <w:r w:rsidRPr="002C23FB">
            <w:rPr>
              <w:rFonts w:ascii="Arial" w:hAnsi="Arial" w:cs="Arial"/>
              <w:noProof/>
              <w:webHidden/>
              <w:sz w:val="22"/>
              <w:szCs w:val="22"/>
            </w:rPr>
            <w:tab/>
          </w:r>
          <w:r w:rsidRPr="002C23FB">
            <w:rPr>
              <w:rFonts w:ascii="Arial" w:hAnsi="Arial" w:cs="Arial"/>
              <w:noProof/>
              <w:webHidden/>
              <w:sz w:val="22"/>
              <w:szCs w:val="22"/>
            </w:rPr>
            <w:fldChar w:fldCharType="begin"/>
          </w:r>
          <w:r w:rsidRPr="002C23FB">
            <w:rPr>
              <w:rFonts w:ascii="Arial" w:hAnsi="Arial" w:cs="Arial"/>
              <w:noProof/>
              <w:webHidden/>
              <w:sz w:val="22"/>
              <w:szCs w:val="22"/>
            </w:rPr>
            <w:instrText xml:space="preserve"> PAGEREF _Toc233275496 \h </w:instrText>
          </w:r>
          <w:r w:rsidRPr="002C23FB">
            <w:rPr>
              <w:rFonts w:ascii="Arial" w:hAnsi="Arial" w:cs="Arial"/>
              <w:noProof/>
              <w:webHidden/>
              <w:sz w:val="22"/>
              <w:szCs w:val="22"/>
            </w:rPr>
          </w:r>
          <w:r w:rsidRPr="002C23FB">
            <w:rPr>
              <w:rFonts w:ascii="Arial" w:hAnsi="Arial" w:cs="Arial"/>
              <w:noProof/>
              <w:webHidden/>
              <w:sz w:val="22"/>
              <w:szCs w:val="22"/>
            </w:rPr>
            <w:fldChar w:fldCharType="separate"/>
          </w:r>
          <w:r w:rsidR="00DB4EB7" w:rsidRPr="002C23FB">
            <w:rPr>
              <w:rFonts w:ascii="Arial" w:hAnsi="Arial" w:cs="Arial"/>
              <w:b/>
              <w:bCs/>
              <w:noProof/>
              <w:webHidden/>
              <w:sz w:val="22"/>
              <w:szCs w:val="22"/>
            </w:rPr>
            <w:t>Error! Bookmark not defined.</w:t>
          </w:r>
          <w:r w:rsidRPr="002C23FB">
            <w:rPr>
              <w:rFonts w:ascii="Arial" w:hAnsi="Arial" w:cs="Arial"/>
              <w:noProof/>
              <w:webHidden/>
              <w:sz w:val="22"/>
              <w:szCs w:val="22"/>
            </w:rPr>
            <w:fldChar w:fldCharType="end"/>
          </w:r>
        </w:p>
        <w:p w14:paraId="4BF31E1B" w14:textId="2D85F8E9" w:rsidR="005C1036" w:rsidRPr="002C23FB" w:rsidRDefault="005C1036" w:rsidP="002C23FB">
          <w:pPr>
            <w:spacing w:line="360" w:lineRule="auto"/>
            <w:jc w:val="both"/>
            <w:rPr>
              <w:rFonts w:ascii="Arial" w:hAnsi="Arial" w:cs="Arial"/>
              <w:noProof/>
              <w:sz w:val="22"/>
              <w:szCs w:val="22"/>
            </w:rPr>
          </w:pPr>
          <w:r w:rsidRPr="002C23FB">
            <w:rPr>
              <w:rFonts w:ascii="Arial" w:hAnsi="Arial" w:cs="Arial"/>
              <w:noProof/>
              <w:sz w:val="22"/>
              <w:szCs w:val="22"/>
            </w:rPr>
            <w:t>Introduction</w:t>
          </w:r>
        </w:p>
        <w:p w14:paraId="73852980" w14:textId="7CA844AB" w:rsidR="005C1036" w:rsidRPr="002C23FB" w:rsidRDefault="005C1036"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Task 1: Reflection on the Importance of Principles</w:t>
          </w:r>
          <w:r w:rsidR="00A05FA0" w:rsidRPr="002C23FB">
            <w:rPr>
              <w:rFonts w:ascii="Arial" w:hAnsi="Arial" w:cs="Arial"/>
              <w:b/>
              <w:bCs/>
              <w:noProof/>
              <w:sz w:val="22"/>
              <w:szCs w:val="22"/>
              <w:u w:val="single"/>
            </w:rPr>
            <w:t xml:space="preserve">  </w:t>
          </w:r>
          <w:r w:rsidR="000D4F39" w:rsidRPr="002C23FB">
            <w:rPr>
              <w:rFonts w:ascii="Arial" w:hAnsi="Arial" w:cs="Arial"/>
              <w:b/>
              <w:bCs/>
              <w:noProof/>
              <w:sz w:val="22"/>
              <w:szCs w:val="22"/>
              <w:u w:val="single"/>
            </w:rPr>
            <w:t>3</w:t>
          </w:r>
        </w:p>
        <w:p w14:paraId="569618B9" w14:textId="5A8792C3" w:rsidR="005C1036" w:rsidRPr="002C23FB" w:rsidRDefault="005C1036"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Person-Centred Care</w:t>
          </w:r>
          <w:r w:rsidR="000D4F39" w:rsidRPr="002C23FB">
            <w:rPr>
              <w:rFonts w:ascii="Arial" w:hAnsi="Arial" w:cs="Arial"/>
              <w:b/>
              <w:bCs/>
              <w:noProof/>
              <w:sz w:val="22"/>
              <w:szCs w:val="22"/>
              <w:u w:val="single"/>
            </w:rPr>
            <w:t xml:space="preserve">  3</w:t>
          </w:r>
        </w:p>
        <w:p w14:paraId="70D3BB49" w14:textId="6A9BE38C" w:rsidR="005C1036" w:rsidRPr="002C23FB" w:rsidRDefault="005C1036"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Partnership Working</w:t>
          </w:r>
          <w:r w:rsidR="00B9610D">
            <w:rPr>
              <w:rFonts w:ascii="Arial" w:hAnsi="Arial" w:cs="Arial"/>
              <w:b/>
              <w:bCs/>
              <w:noProof/>
              <w:sz w:val="22"/>
              <w:szCs w:val="22"/>
              <w:u w:val="single"/>
            </w:rPr>
            <w:t xml:space="preserve">  4</w:t>
          </w:r>
        </w:p>
        <w:p w14:paraId="5911F3CF" w14:textId="73F9448F" w:rsidR="00E40568" w:rsidRPr="002C23FB" w:rsidRDefault="005C1036"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Ethical Practice</w:t>
          </w:r>
          <w:r w:rsidR="00B9610D">
            <w:rPr>
              <w:rFonts w:ascii="Arial" w:hAnsi="Arial" w:cs="Arial"/>
              <w:b/>
              <w:bCs/>
              <w:noProof/>
              <w:sz w:val="22"/>
              <w:szCs w:val="22"/>
              <w:u w:val="single"/>
            </w:rPr>
            <w:t xml:space="preserve">  4  5</w:t>
          </w:r>
        </w:p>
        <w:p w14:paraId="20C33507" w14:textId="7FAF2D1C" w:rsidR="00E40568" w:rsidRPr="002C23FB" w:rsidRDefault="00FA1034"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t</w:t>
          </w:r>
          <w:r w:rsidR="00E40568" w:rsidRPr="002C23FB">
            <w:rPr>
              <w:rFonts w:ascii="Arial" w:hAnsi="Arial" w:cs="Arial"/>
              <w:b/>
              <w:bCs/>
              <w:noProof/>
              <w:sz w:val="22"/>
              <w:szCs w:val="22"/>
              <w:u w:val="single"/>
            </w:rPr>
            <w:t>ask 2: Practical Example in Practice</w:t>
          </w:r>
          <w:r w:rsidR="005A0C72" w:rsidRPr="002C23FB">
            <w:rPr>
              <w:rFonts w:ascii="Arial" w:hAnsi="Arial" w:cs="Arial"/>
              <w:b/>
              <w:bCs/>
              <w:noProof/>
              <w:sz w:val="22"/>
              <w:szCs w:val="22"/>
              <w:u w:val="single"/>
            </w:rPr>
            <w:t xml:space="preserve">  5</w:t>
          </w:r>
        </w:p>
        <w:p w14:paraId="64EC3370" w14:textId="24610ACC" w:rsidR="00E40568" w:rsidRPr="002C23FB" w:rsidRDefault="00E40568" w:rsidP="002C23FB">
          <w:pPr>
            <w:spacing w:before="100" w:beforeAutospacing="1" w:after="100" w:afterAutospacing="1" w:line="360" w:lineRule="auto"/>
            <w:jc w:val="both"/>
            <w:rPr>
              <w:rFonts w:ascii="Arial" w:eastAsia="Times New Roman" w:hAnsi="Arial" w:cs="Arial"/>
              <w:b/>
              <w:bCs/>
              <w:noProof/>
              <w:kern w:val="0"/>
              <w:sz w:val="22"/>
              <w:szCs w:val="22"/>
              <w:u w:val="single"/>
              <w:lang w:eastAsia="en-GB"/>
              <w14:ligatures w14:val="none"/>
            </w:rPr>
          </w:pPr>
          <w:r w:rsidRPr="002C23FB">
            <w:rPr>
              <w:rFonts w:ascii="Arial" w:eastAsia="Times New Roman" w:hAnsi="Arial" w:cs="Arial"/>
              <w:b/>
              <w:bCs/>
              <w:noProof/>
              <w:kern w:val="0"/>
              <w:sz w:val="22"/>
              <w:szCs w:val="22"/>
              <w:u w:val="single"/>
              <w:lang w:eastAsia="en-GB"/>
              <w14:ligatures w14:val="none"/>
            </w:rPr>
            <w:t>Person-Centred</w:t>
          </w:r>
          <w:r w:rsidR="009758DF">
            <w:rPr>
              <w:rFonts w:ascii="Arial" w:eastAsia="Times New Roman" w:hAnsi="Arial" w:cs="Arial"/>
              <w:b/>
              <w:bCs/>
              <w:noProof/>
              <w:kern w:val="0"/>
              <w:sz w:val="22"/>
              <w:szCs w:val="22"/>
              <w:u w:val="single"/>
              <w:lang w:eastAsia="en-GB"/>
              <w14:ligatures w14:val="none"/>
            </w:rPr>
            <w:t xml:space="preserve"> </w:t>
          </w:r>
          <w:r w:rsidRPr="002C23FB">
            <w:rPr>
              <w:rFonts w:ascii="Arial" w:eastAsia="Times New Roman" w:hAnsi="Arial" w:cs="Arial"/>
              <w:b/>
              <w:bCs/>
              <w:noProof/>
              <w:kern w:val="0"/>
              <w:sz w:val="22"/>
              <w:szCs w:val="22"/>
              <w:u w:val="single"/>
              <w:lang w:eastAsia="en-GB"/>
              <w14:ligatures w14:val="none"/>
            </w:rPr>
            <w:t xml:space="preserve"> Care</w:t>
          </w:r>
          <w:r w:rsidR="00B9610D">
            <w:rPr>
              <w:rFonts w:ascii="Arial" w:eastAsia="Times New Roman" w:hAnsi="Arial" w:cs="Arial"/>
              <w:b/>
              <w:bCs/>
              <w:noProof/>
              <w:kern w:val="0"/>
              <w:sz w:val="22"/>
              <w:szCs w:val="22"/>
              <w:u w:val="single"/>
              <w:lang w:eastAsia="en-GB"/>
              <w14:ligatures w14:val="none"/>
            </w:rPr>
            <w:t xml:space="preserve"> 5</w:t>
          </w:r>
        </w:p>
        <w:p w14:paraId="66A05529" w14:textId="110B12E6" w:rsidR="00E40568" w:rsidRPr="002C23FB" w:rsidRDefault="00E40568" w:rsidP="002C23FB">
          <w:pPr>
            <w:spacing w:before="100" w:beforeAutospacing="1" w:after="100" w:afterAutospacing="1" w:line="360" w:lineRule="auto"/>
            <w:jc w:val="both"/>
            <w:rPr>
              <w:rFonts w:ascii="Arial" w:eastAsia="Times New Roman" w:hAnsi="Arial" w:cs="Arial"/>
              <w:b/>
              <w:bCs/>
              <w:noProof/>
              <w:kern w:val="0"/>
              <w:sz w:val="22"/>
              <w:szCs w:val="22"/>
              <w:u w:val="single"/>
              <w:lang w:eastAsia="en-GB"/>
              <w14:ligatures w14:val="none"/>
            </w:rPr>
          </w:pPr>
          <w:r w:rsidRPr="002C23FB">
            <w:rPr>
              <w:rFonts w:ascii="Arial" w:eastAsia="Times New Roman" w:hAnsi="Arial" w:cs="Arial"/>
              <w:b/>
              <w:bCs/>
              <w:noProof/>
              <w:kern w:val="0"/>
              <w:sz w:val="22"/>
              <w:szCs w:val="22"/>
              <w:u w:val="single"/>
              <w:lang w:eastAsia="en-GB"/>
              <w14:ligatures w14:val="none"/>
            </w:rPr>
            <w:t>Par Outcomes</w:t>
          </w:r>
          <w:r w:rsidR="009758DF">
            <w:rPr>
              <w:rFonts w:ascii="Arial" w:eastAsia="Times New Roman" w:hAnsi="Arial" w:cs="Arial"/>
              <w:b/>
              <w:bCs/>
              <w:noProof/>
              <w:kern w:val="0"/>
              <w:sz w:val="22"/>
              <w:szCs w:val="22"/>
              <w:u w:val="single"/>
              <w:lang w:eastAsia="en-GB"/>
              <w14:ligatures w14:val="none"/>
            </w:rPr>
            <w:t xml:space="preserve"> 5</w:t>
          </w:r>
        </w:p>
        <w:p w14:paraId="0622E954" w14:textId="3F8D2213" w:rsidR="00E40568" w:rsidRPr="002C23FB" w:rsidRDefault="00E40568" w:rsidP="002C23FB">
          <w:pPr>
            <w:spacing w:before="100" w:beforeAutospacing="1" w:after="100" w:afterAutospacing="1" w:line="360" w:lineRule="auto"/>
            <w:jc w:val="both"/>
            <w:rPr>
              <w:rFonts w:ascii="Arial" w:eastAsia="Times New Roman" w:hAnsi="Arial" w:cs="Arial"/>
              <w:b/>
              <w:bCs/>
              <w:noProof/>
              <w:kern w:val="0"/>
              <w:sz w:val="22"/>
              <w:szCs w:val="22"/>
              <w:u w:val="single"/>
              <w:lang w:eastAsia="en-GB"/>
              <w14:ligatures w14:val="none"/>
            </w:rPr>
          </w:pPr>
          <w:r w:rsidRPr="002C23FB">
            <w:rPr>
              <w:rFonts w:ascii="Arial" w:eastAsia="Times New Roman" w:hAnsi="Arial" w:cs="Arial"/>
              <w:b/>
              <w:bCs/>
              <w:noProof/>
              <w:kern w:val="0"/>
              <w:sz w:val="22"/>
              <w:szCs w:val="22"/>
              <w:u w:val="single"/>
              <w:lang w:eastAsia="en-GB"/>
              <w14:ligatures w14:val="none"/>
            </w:rPr>
            <w:t>Ethical Practice</w:t>
          </w:r>
          <w:r w:rsidR="009758DF">
            <w:rPr>
              <w:rFonts w:ascii="Arial" w:eastAsia="Times New Roman" w:hAnsi="Arial" w:cs="Arial"/>
              <w:b/>
              <w:bCs/>
              <w:noProof/>
              <w:kern w:val="0"/>
              <w:sz w:val="22"/>
              <w:szCs w:val="22"/>
              <w:u w:val="single"/>
              <w:lang w:eastAsia="en-GB"/>
              <w14:ligatures w14:val="none"/>
            </w:rPr>
            <w:t xml:space="preserve"> 5 6</w:t>
          </w:r>
        </w:p>
        <w:p w14:paraId="266AC067" w14:textId="3F1F375C" w:rsidR="00E40568" w:rsidRPr="002C23FB" w:rsidRDefault="00E40568" w:rsidP="002C23FB">
          <w:pPr>
            <w:spacing w:before="100" w:beforeAutospacing="1" w:after="100" w:afterAutospacing="1" w:line="360" w:lineRule="auto"/>
            <w:jc w:val="both"/>
            <w:rPr>
              <w:rFonts w:ascii="Arial" w:eastAsia="Times New Roman" w:hAnsi="Arial" w:cs="Arial"/>
              <w:b/>
              <w:bCs/>
              <w:noProof/>
              <w:kern w:val="0"/>
              <w:sz w:val="22"/>
              <w:szCs w:val="22"/>
              <w:u w:val="single"/>
              <w:lang w:eastAsia="en-GB"/>
              <w14:ligatures w14:val="none"/>
            </w:rPr>
          </w:pPr>
          <w:r w:rsidRPr="002C23FB">
            <w:rPr>
              <w:rFonts w:ascii="Arial" w:eastAsia="Times New Roman" w:hAnsi="Arial" w:cs="Arial"/>
              <w:b/>
              <w:bCs/>
              <w:noProof/>
              <w:kern w:val="0"/>
              <w:sz w:val="22"/>
              <w:szCs w:val="22"/>
              <w:u w:val="single"/>
              <w:lang w:eastAsia="en-GB"/>
              <w14:ligatures w14:val="none"/>
            </w:rPr>
            <w:t>outcome</w:t>
          </w:r>
          <w:r w:rsidR="00CC565B" w:rsidRPr="002C23FB">
            <w:rPr>
              <w:rFonts w:ascii="Arial" w:eastAsia="Times New Roman" w:hAnsi="Arial" w:cs="Arial"/>
              <w:b/>
              <w:bCs/>
              <w:noProof/>
              <w:kern w:val="0"/>
              <w:sz w:val="22"/>
              <w:szCs w:val="22"/>
              <w:u w:val="single"/>
              <w:lang w:eastAsia="en-GB"/>
              <w14:ligatures w14:val="none"/>
            </w:rPr>
            <w:t>s</w:t>
          </w:r>
          <w:r w:rsidR="00B9610D">
            <w:rPr>
              <w:rFonts w:ascii="Arial" w:eastAsia="Times New Roman" w:hAnsi="Arial" w:cs="Arial"/>
              <w:b/>
              <w:bCs/>
              <w:noProof/>
              <w:kern w:val="0"/>
              <w:sz w:val="22"/>
              <w:szCs w:val="22"/>
              <w:u w:val="single"/>
              <w:lang w:eastAsia="en-GB"/>
              <w14:ligatures w14:val="none"/>
            </w:rPr>
            <w:t xml:space="preserve"> 6</w:t>
          </w:r>
        </w:p>
        <w:p w14:paraId="745CBCC4" w14:textId="36D18F84" w:rsidR="00CC565B" w:rsidRPr="002C23FB" w:rsidRDefault="00CC565B" w:rsidP="002C23FB">
          <w:pPr>
            <w:spacing w:before="100" w:beforeAutospacing="1" w:after="100" w:afterAutospacing="1" w:line="360" w:lineRule="auto"/>
            <w:jc w:val="both"/>
            <w:rPr>
              <w:rFonts w:ascii="Arial" w:eastAsia="Times New Roman" w:hAnsi="Arial" w:cs="Arial"/>
              <w:b/>
              <w:bCs/>
              <w:noProof/>
              <w:kern w:val="0"/>
              <w:sz w:val="22"/>
              <w:szCs w:val="22"/>
              <w:u w:val="single"/>
              <w:lang w:eastAsia="en-GB"/>
              <w14:ligatures w14:val="none"/>
            </w:rPr>
          </w:pPr>
          <w:r w:rsidRPr="002C23FB">
            <w:rPr>
              <w:rFonts w:ascii="Arial" w:eastAsia="Times New Roman" w:hAnsi="Arial" w:cs="Arial"/>
              <w:b/>
              <w:bCs/>
              <w:noProof/>
              <w:kern w:val="0"/>
              <w:sz w:val="22"/>
              <w:szCs w:val="22"/>
              <w:u w:val="single"/>
              <w:lang w:eastAsia="en-GB"/>
              <w14:ligatures w14:val="none"/>
            </w:rPr>
            <w:t>Conclusion</w:t>
          </w:r>
          <w:r w:rsidR="00B9610D">
            <w:rPr>
              <w:rFonts w:ascii="Arial" w:eastAsia="Times New Roman" w:hAnsi="Arial" w:cs="Arial"/>
              <w:b/>
              <w:bCs/>
              <w:noProof/>
              <w:kern w:val="0"/>
              <w:sz w:val="22"/>
              <w:szCs w:val="22"/>
              <w:u w:val="single"/>
              <w:lang w:eastAsia="en-GB"/>
              <w14:ligatures w14:val="none"/>
            </w:rPr>
            <w:t xml:space="preserve"> 6</w:t>
          </w:r>
        </w:p>
        <w:p w14:paraId="1BE15DC0" w14:textId="7A1A4838"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Task 3</w:t>
          </w:r>
          <w:r w:rsidR="00FA1034" w:rsidRPr="002C23FB">
            <w:rPr>
              <w:rFonts w:ascii="Arial" w:hAnsi="Arial" w:cs="Arial"/>
              <w:b/>
              <w:bCs/>
              <w:noProof/>
              <w:sz w:val="22"/>
              <w:szCs w:val="22"/>
              <w:u w:val="single"/>
            </w:rPr>
            <w:t xml:space="preserve"> </w:t>
          </w:r>
          <w:r w:rsidRPr="002C23FB">
            <w:rPr>
              <w:rFonts w:ascii="Arial" w:hAnsi="Arial" w:cs="Arial"/>
              <w:noProof/>
              <w:sz w:val="22"/>
              <w:szCs w:val="22"/>
              <w:u w:val="single"/>
            </w:rPr>
            <w:t>Margaret's Story</w:t>
          </w:r>
          <w:r w:rsidR="005A0C72" w:rsidRPr="002C23FB">
            <w:rPr>
              <w:rFonts w:ascii="Arial" w:hAnsi="Arial" w:cs="Arial"/>
              <w:b/>
              <w:bCs/>
              <w:noProof/>
              <w:sz w:val="22"/>
              <w:szCs w:val="22"/>
              <w:u w:val="single"/>
            </w:rPr>
            <w:t xml:space="preserve"> </w:t>
          </w:r>
          <w:r w:rsidRPr="002C23FB">
            <w:rPr>
              <w:rFonts w:ascii="Arial" w:hAnsi="Arial" w:cs="Arial"/>
              <w:b/>
              <w:bCs/>
              <w:noProof/>
              <w:sz w:val="22"/>
              <w:szCs w:val="22"/>
              <w:u w:val="single"/>
            </w:rPr>
            <w:t>: Self-ReflectionGibbs' Reflective Cycle</w:t>
          </w:r>
          <w:r w:rsidR="009758DF">
            <w:rPr>
              <w:rFonts w:ascii="Arial" w:hAnsi="Arial" w:cs="Arial"/>
              <w:b/>
              <w:bCs/>
              <w:noProof/>
              <w:sz w:val="22"/>
              <w:szCs w:val="22"/>
              <w:u w:val="single"/>
            </w:rPr>
            <w:t xml:space="preserve"> 6</w:t>
          </w:r>
        </w:p>
        <w:p w14:paraId="2FD6625F" w14:textId="6B77E273"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Description</w:t>
          </w:r>
          <w:r w:rsidR="00D25E74">
            <w:rPr>
              <w:rFonts w:ascii="Arial" w:hAnsi="Arial" w:cs="Arial"/>
              <w:b/>
              <w:bCs/>
              <w:noProof/>
              <w:sz w:val="22"/>
              <w:szCs w:val="22"/>
              <w:u w:val="single"/>
            </w:rPr>
            <w:t xml:space="preserve"> 7</w:t>
          </w:r>
        </w:p>
        <w:p w14:paraId="1569DD3A" w14:textId="719CDEEE"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Feelings</w:t>
          </w:r>
          <w:r w:rsidR="00A05FA0" w:rsidRPr="002C23FB">
            <w:rPr>
              <w:rFonts w:ascii="Arial" w:hAnsi="Arial" w:cs="Arial"/>
              <w:b/>
              <w:bCs/>
              <w:noProof/>
              <w:sz w:val="22"/>
              <w:szCs w:val="22"/>
              <w:u w:val="single"/>
            </w:rPr>
            <w:t xml:space="preserve"> </w:t>
          </w:r>
          <w:r w:rsidR="00D25E74">
            <w:rPr>
              <w:rFonts w:ascii="Arial" w:hAnsi="Arial" w:cs="Arial"/>
              <w:b/>
              <w:bCs/>
              <w:noProof/>
              <w:sz w:val="22"/>
              <w:szCs w:val="22"/>
              <w:u w:val="single"/>
            </w:rPr>
            <w:t xml:space="preserve"> 7</w:t>
          </w:r>
          <w:r w:rsidR="00A05FA0" w:rsidRPr="002C23FB">
            <w:rPr>
              <w:rFonts w:ascii="Arial" w:hAnsi="Arial" w:cs="Arial"/>
              <w:b/>
              <w:bCs/>
              <w:noProof/>
              <w:sz w:val="22"/>
              <w:szCs w:val="22"/>
              <w:u w:val="single"/>
            </w:rPr>
            <w:t xml:space="preserve"> </w:t>
          </w:r>
        </w:p>
        <w:p w14:paraId="03308BA2" w14:textId="3D1DD759"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Evaluation</w:t>
          </w:r>
          <w:r w:rsidR="00A05FA0" w:rsidRPr="002C23FB">
            <w:rPr>
              <w:rFonts w:ascii="Arial" w:hAnsi="Arial" w:cs="Arial"/>
              <w:b/>
              <w:bCs/>
              <w:noProof/>
              <w:sz w:val="22"/>
              <w:szCs w:val="22"/>
              <w:u w:val="single"/>
            </w:rPr>
            <w:t xml:space="preserve">   7</w:t>
          </w:r>
        </w:p>
        <w:p w14:paraId="4615360F" w14:textId="016EF5DD"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Analysis</w:t>
          </w:r>
          <w:r w:rsidR="00A05FA0" w:rsidRPr="002C23FB">
            <w:rPr>
              <w:rFonts w:ascii="Arial" w:hAnsi="Arial" w:cs="Arial"/>
              <w:b/>
              <w:bCs/>
              <w:noProof/>
              <w:sz w:val="22"/>
              <w:szCs w:val="22"/>
              <w:u w:val="single"/>
            </w:rPr>
            <w:t xml:space="preserve">  7  8</w:t>
          </w:r>
        </w:p>
        <w:p w14:paraId="0C688879" w14:textId="4449A902"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Conclusion</w:t>
          </w:r>
          <w:r w:rsidR="006F5EA1" w:rsidRPr="002C23FB">
            <w:rPr>
              <w:rFonts w:ascii="Arial" w:hAnsi="Arial" w:cs="Arial"/>
              <w:b/>
              <w:bCs/>
              <w:noProof/>
              <w:sz w:val="22"/>
              <w:szCs w:val="22"/>
              <w:u w:val="single"/>
            </w:rPr>
            <w:t xml:space="preserve">  </w:t>
          </w:r>
          <w:r w:rsidR="00A05FA0" w:rsidRPr="002C23FB">
            <w:rPr>
              <w:rFonts w:ascii="Arial" w:hAnsi="Arial" w:cs="Arial"/>
              <w:b/>
              <w:bCs/>
              <w:noProof/>
              <w:sz w:val="22"/>
              <w:szCs w:val="22"/>
              <w:u w:val="single"/>
            </w:rPr>
            <w:t>8</w:t>
          </w:r>
        </w:p>
        <w:p w14:paraId="7F41F5F6" w14:textId="5834274F"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Action Plan</w:t>
          </w:r>
          <w:r w:rsidR="009013E2" w:rsidRPr="002C23FB">
            <w:rPr>
              <w:rFonts w:ascii="Arial" w:hAnsi="Arial" w:cs="Arial"/>
              <w:b/>
              <w:bCs/>
              <w:noProof/>
              <w:sz w:val="22"/>
              <w:szCs w:val="22"/>
              <w:u w:val="single"/>
            </w:rPr>
            <w:t xml:space="preserve">  </w:t>
          </w:r>
          <w:r w:rsidR="006F5EA1" w:rsidRPr="002C23FB">
            <w:rPr>
              <w:rFonts w:ascii="Arial" w:hAnsi="Arial" w:cs="Arial"/>
              <w:b/>
              <w:bCs/>
              <w:noProof/>
              <w:sz w:val="22"/>
              <w:szCs w:val="22"/>
              <w:u w:val="single"/>
            </w:rPr>
            <w:t xml:space="preserve"> 9</w:t>
          </w:r>
        </w:p>
        <w:p w14:paraId="4E2B8C88" w14:textId="1DFA5564" w:rsidR="00E771EB" w:rsidRPr="002C23FB" w:rsidRDefault="00E771EB" w:rsidP="002C23FB">
          <w:pPr>
            <w:spacing w:line="360" w:lineRule="auto"/>
            <w:jc w:val="both"/>
            <w:rPr>
              <w:rFonts w:ascii="Arial" w:hAnsi="Arial" w:cs="Arial"/>
              <w:b/>
              <w:bCs/>
              <w:noProof/>
              <w:sz w:val="22"/>
              <w:szCs w:val="22"/>
              <w:u w:val="single"/>
            </w:rPr>
          </w:pPr>
          <w:r w:rsidRPr="002C23FB">
            <w:rPr>
              <w:rFonts w:ascii="Arial" w:hAnsi="Arial" w:cs="Arial"/>
              <w:b/>
              <w:bCs/>
              <w:noProof/>
              <w:sz w:val="22"/>
              <w:szCs w:val="22"/>
              <w:u w:val="single"/>
            </w:rPr>
            <w:t xml:space="preserve">Reference List </w:t>
          </w:r>
          <w:r w:rsidR="009013E2" w:rsidRPr="002C23FB">
            <w:rPr>
              <w:rFonts w:ascii="Arial" w:hAnsi="Arial" w:cs="Arial"/>
              <w:b/>
              <w:bCs/>
              <w:noProof/>
              <w:sz w:val="22"/>
              <w:szCs w:val="22"/>
              <w:u w:val="single"/>
            </w:rPr>
            <w:t xml:space="preserve"> </w:t>
          </w:r>
          <w:r w:rsidR="006F5EA1" w:rsidRPr="002C23FB">
            <w:rPr>
              <w:rFonts w:ascii="Arial" w:hAnsi="Arial" w:cs="Arial"/>
              <w:b/>
              <w:bCs/>
              <w:noProof/>
              <w:sz w:val="22"/>
              <w:szCs w:val="22"/>
              <w:u w:val="single"/>
            </w:rPr>
            <w:t xml:space="preserve">10  </w:t>
          </w:r>
          <w:r w:rsidR="009013E2" w:rsidRPr="002C23FB">
            <w:rPr>
              <w:rFonts w:ascii="Arial" w:hAnsi="Arial" w:cs="Arial"/>
              <w:b/>
              <w:bCs/>
              <w:noProof/>
              <w:sz w:val="22"/>
              <w:szCs w:val="22"/>
              <w:u w:val="single"/>
            </w:rPr>
            <w:t>11</w:t>
          </w:r>
        </w:p>
        <w:p w14:paraId="42942613" w14:textId="77777777" w:rsidR="00E771EB" w:rsidRPr="002C23FB" w:rsidRDefault="00E771EB" w:rsidP="002C23FB">
          <w:pPr>
            <w:spacing w:line="360" w:lineRule="auto"/>
            <w:jc w:val="both"/>
            <w:rPr>
              <w:rFonts w:ascii="Arial" w:hAnsi="Arial" w:cs="Arial"/>
              <w:b/>
              <w:bCs/>
              <w:noProof/>
              <w:sz w:val="22"/>
              <w:szCs w:val="22"/>
              <w:u w:val="single"/>
            </w:rPr>
          </w:pPr>
        </w:p>
        <w:p w14:paraId="2B3DE278" w14:textId="77777777" w:rsidR="00E771EB" w:rsidRPr="002C23FB" w:rsidRDefault="00E771EB" w:rsidP="002C23FB">
          <w:pPr>
            <w:spacing w:line="360" w:lineRule="auto"/>
            <w:jc w:val="both"/>
            <w:rPr>
              <w:rFonts w:ascii="Arial" w:hAnsi="Arial" w:cs="Arial"/>
              <w:b/>
              <w:bCs/>
              <w:noProof/>
              <w:sz w:val="22"/>
              <w:szCs w:val="22"/>
              <w:u w:val="single"/>
            </w:rPr>
          </w:pPr>
        </w:p>
        <w:p w14:paraId="5C7B3F8D" w14:textId="77777777" w:rsidR="00E771EB" w:rsidRPr="002C23FB" w:rsidRDefault="00E771EB" w:rsidP="002C23FB">
          <w:pPr>
            <w:spacing w:line="360" w:lineRule="auto"/>
            <w:jc w:val="both"/>
            <w:rPr>
              <w:rFonts w:ascii="Arial" w:hAnsi="Arial" w:cs="Arial"/>
              <w:b/>
              <w:bCs/>
              <w:noProof/>
              <w:sz w:val="22"/>
              <w:szCs w:val="22"/>
              <w:u w:val="single"/>
            </w:rPr>
          </w:pPr>
        </w:p>
        <w:p w14:paraId="2CFD0EE1" w14:textId="77777777" w:rsidR="00E771EB" w:rsidRPr="002C23FB" w:rsidRDefault="00E771EB" w:rsidP="002C23FB">
          <w:pPr>
            <w:spacing w:line="360" w:lineRule="auto"/>
            <w:jc w:val="both"/>
            <w:rPr>
              <w:rFonts w:ascii="Arial" w:hAnsi="Arial" w:cs="Arial"/>
              <w:b/>
              <w:bCs/>
              <w:noProof/>
              <w:sz w:val="22"/>
              <w:szCs w:val="22"/>
              <w:u w:val="single"/>
            </w:rPr>
          </w:pPr>
        </w:p>
        <w:p w14:paraId="356F99BE" w14:textId="77777777" w:rsidR="00E771EB" w:rsidRPr="002C23FB" w:rsidRDefault="00E771EB" w:rsidP="002C23FB">
          <w:pPr>
            <w:spacing w:line="360" w:lineRule="auto"/>
            <w:jc w:val="both"/>
            <w:rPr>
              <w:rFonts w:ascii="Arial" w:hAnsi="Arial" w:cs="Arial"/>
              <w:b/>
              <w:bCs/>
              <w:noProof/>
              <w:sz w:val="22"/>
              <w:szCs w:val="22"/>
              <w:u w:val="single"/>
            </w:rPr>
          </w:pPr>
        </w:p>
        <w:p w14:paraId="6EFE5BBD" w14:textId="77777777" w:rsidR="00E771EB" w:rsidRPr="002C23FB" w:rsidRDefault="00E771EB" w:rsidP="002C23FB">
          <w:pPr>
            <w:spacing w:line="360" w:lineRule="auto"/>
            <w:jc w:val="both"/>
            <w:rPr>
              <w:rFonts w:ascii="Arial" w:hAnsi="Arial" w:cs="Arial"/>
              <w:noProof/>
              <w:sz w:val="22"/>
              <w:szCs w:val="22"/>
              <w:u w:val="single"/>
            </w:rPr>
          </w:pPr>
        </w:p>
        <w:p w14:paraId="405AD869" w14:textId="77777777" w:rsidR="005C1036" w:rsidRPr="002C23FB" w:rsidRDefault="005C1036" w:rsidP="002C23FB">
          <w:pPr>
            <w:spacing w:line="360" w:lineRule="auto"/>
            <w:jc w:val="both"/>
            <w:rPr>
              <w:rFonts w:ascii="Arial" w:hAnsi="Arial" w:cs="Arial"/>
              <w:noProof/>
              <w:sz w:val="22"/>
              <w:szCs w:val="22"/>
            </w:rPr>
          </w:pPr>
        </w:p>
        <w:p w14:paraId="23FAA3A1" w14:textId="55B6C6AB" w:rsidR="00FA1034" w:rsidRPr="002C23FB" w:rsidRDefault="0035339B" w:rsidP="002C23FB">
          <w:pPr>
            <w:spacing w:line="360" w:lineRule="auto"/>
            <w:jc w:val="both"/>
            <w:rPr>
              <w:rFonts w:ascii="Arial" w:hAnsi="Arial" w:cs="Arial"/>
              <w:b/>
              <w:bCs/>
              <w:sz w:val="22"/>
              <w:szCs w:val="22"/>
            </w:rPr>
          </w:pPr>
          <w:r w:rsidRPr="002C23FB">
            <w:rPr>
              <w:rFonts w:ascii="Arial" w:hAnsi="Arial" w:cs="Arial"/>
              <w:b/>
              <w:bCs/>
              <w:sz w:val="22"/>
              <w:szCs w:val="22"/>
            </w:rPr>
            <w:fldChar w:fldCharType="end"/>
          </w:r>
        </w:p>
      </w:sdtContent>
    </w:sdt>
    <w:p w14:paraId="24AF3D74" w14:textId="77777777" w:rsidR="005A0C72" w:rsidRPr="002C23FB" w:rsidRDefault="005A0C72" w:rsidP="002C23FB">
      <w:pPr>
        <w:spacing w:line="360" w:lineRule="auto"/>
        <w:jc w:val="both"/>
        <w:rPr>
          <w:rFonts w:ascii="Arial" w:hAnsi="Arial" w:cs="Arial"/>
          <w:b/>
          <w:bCs/>
          <w:sz w:val="22"/>
          <w:szCs w:val="22"/>
          <w:u w:val="single"/>
        </w:rPr>
      </w:pPr>
    </w:p>
    <w:p w14:paraId="5F534FEF" w14:textId="7E6285AD" w:rsidR="00396A0B" w:rsidRPr="002C23FB" w:rsidRDefault="00396A0B" w:rsidP="002C23FB">
      <w:pPr>
        <w:spacing w:line="360" w:lineRule="auto"/>
        <w:jc w:val="both"/>
        <w:rPr>
          <w:rFonts w:ascii="Arial" w:hAnsi="Arial" w:cs="Arial"/>
          <w:b/>
          <w:bCs/>
          <w:sz w:val="22"/>
          <w:szCs w:val="22"/>
        </w:rPr>
      </w:pPr>
      <w:r w:rsidRPr="002C23FB">
        <w:rPr>
          <w:rFonts w:ascii="Arial" w:hAnsi="Arial" w:cs="Arial"/>
          <w:b/>
          <w:bCs/>
          <w:sz w:val="22"/>
          <w:szCs w:val="22"/>
          <w:u w:val="single"/>
        </w:rPr>
        <w:t>Principles of Health and Social Care Practice</w:t>
      </w:r>
    </w:p>
    <w:p w14:paraId="1A2E721F" w14:textId="77777777" w:rsidR="00396A0B" w:rsidRPr="002C23FB" w:rsidRDefault="00396A0B" w:rsidP="002C23FB">
      <w:pPr>
        <w:spacing w:line="360" w:lineRule="auto"/>
        <w:jc w:val="both"/>
        <w:rPr>
          <w:rFonts w:ascii="Arial" w:hAnsi="Arial" w:cs="Arial"/>
          <w:b/>
          <w:bCs/>
          <w:sz w:val="22"/>
          <w:szCs w:val="22"/>
          <w:u w:val="single"/>
        </w:rPr>
      </w:pPr>
      <w:r w:rsidRPr="002C23FB">
        <w:rPr>
          <w:rFonts w:ascii="Arial" w:hAnsi="Arial" w:cs="Arial"/>
          <w:b/>
          <w:bCs/>
          <w:sz w:val="22"/>
          <w:szCs w:val="22"/>
          <w:u w:val="single"/>
        </w:rPr>
        <w:t>Introduction</w:t>
      </w:r>
    </w:p>
    <w:p w14:paraId="6011D14B" w14:textId="511C67E0" w:rsidR="004C1769" w:rsidRPr="002C23FB" w:rsidRDefault="004C1769" w:rsidP="002C23FB">
      <w:pPr>
        <w:pStyle w:val="isselectedend"/>
        <w:spacing w:line="360" w:lineRule="auto"/>
        <w:jc w:val="both"/>
        <w:rPr>
          <w:rFonts w:ascii="Arial" w:hAnsi="Arial" w:cs="Arial"/>
          <w:sz w:val="22"/>
          <w:szCs w:val="22"/>
        </w:rPr>
      </w:pPr>
      <w:r w:rsidRPr="002C23FB">
        <w:rPr>
          <w:rFonts w:ascii="Arial" w:hAnsi="Arial" w:cs="Arial"/>
          <w:sz w:val="22"/>
          <w:szCs w:val="22"/>
        </w:rPr>
        <w:t xml:space="preserve">Health and social care services in the UK are guided by key principles that ensure individuals receive safe, effective and high-quality care. These principles are essential for promoting dignity, wellbeing and positive outcomes for service users. </w:t>
      </w:r>
      <w:r w:rsidR="00EB5D24" w:rsidRPr="002C23FB">
        <w:rPr>
          <w:rFonts w:ascii="Arial" w:hAnsi="Arial" w:cs="Arial"/>
          <w:sz w:val="22"/>
          <w:szCs w:val="22"/>
        </w:rPr>
        <w:t xml:space="preserve"> </w:t>
      </w:r>
      <w:r w:rsidRPr="002C23FB">
        <w:rPr>
          <w:rFonts w:ascii="Arial" w:hAnsi="Arial" w:cs="Arial"/>
          <w:sz w:val="22"/>
          <w:szCs w:val="22"/>
        </w:rPr>
        <w:t>The three main principles explored in this report are person-centred care, partnership working and ethical practice.</w:t>
      </w:r>
    </w:p>
    <w:p w14:paraId="26970D14" w14:textId="77777777" w:rsidR="004C1769" w:rsidRPr="002C23FB" w:rsidRDefault="004C1769" w:rsidP="002C23FB">
      <w:pPr>
        <w:pStyle w:val="isselectedend"/>
        <w:spacing w:line="360" w:lineRule="auto"/>
        <w:jc w:val="both"/>
        <w:rPr>
          <w:rFonts w:ascii="Arial" w:hAnsi="Arial" w:cs="Arial"/>
          <w:sz w:val="22"/>
          <w:szCs w:val="22"/>
        </w:rPr>
      </w:pPr>
      <w:r w:rsidRPr="002C23FB">
        <w:rPr>
          <w:rFonts w:ascii="Arial" w:hAnsi="Arial" w:cs="Arial"/>
          <w:sz w:val="22"/>
          <w:szCs w:val="22"/>
        </w:rPr>
        <w:t>Person-centred care ensures that individuals are actively involved in decisions about their care and their preferences are respected (NICE, 2021). Partnership working involves collaboration between service users, families and multidisciplinary professionals to deliver coordinated care (Glasby and Dickinson, 2020). Ethical practice ensures that care is delivered with fairness, respect, confidentiality and accountability in line with professional codes such as the HCPC Standards (HCPC, 2023).</w:t>
      </w:r>
    </w:p>
    <w:p w14:paraId="0BDD8226" w14:textId="77777777" w:rsidR="004C1769" w:rsidRPr="002C23FB" w:rsidRDefault="004C1769" w:rsidP="002C23FB">
      <w:pPr>
        <w:pStyle w:val="NormalWeb"/>
        <w:spacing w:line="360" w:lineRule="auto"/>
        <w:jc w:val="both"/>
        <w:rPr>
          <w:rFonts w:ascii="Arial" w:hAnsi="Arial" w:cs="Arial"/>
          <w:sz w:val="22"/>
          <w:szCs w:val="22"/>
        </w:rPr>
      </w:pPr>
      <w:r w:rsidRPr="002C23FB">
        <w:rPr>
          <w:rFonts w:ascii="Arial" w:hAnsi="Arial" w:cs="Arial"/>
          <w:sz w:val="22"/>
          <w:szCs w:val="22"/>
        </w:rPr>
        <w:t>The purpose of this report is to explore the importance of these principles in health and social care practice. It will examine their benefits, challenges and links to theory and legislation such as the Care Act 2014 and Health and Care Act 2022. In addition, Joan’s case study will be analysed to demonstrate how these principles operate in real practice.</w:t>
      </w:r>
    </w:p>
    <w:p w14:paraId="554E5E44" w14:textId="5D55129D" w:rsidR="00C22893" w:rsidRPr="002C23FB" w:rsidRDefault="00C22893" w:rsidP="002C23FB">
      <w:pPr>
        <w:spacing w:line="360" w:lineRule="auto"/>
        <w:jc w:val="both"/>
        <w:rPr>
          <w:rFonts w:ascii="Arial" w:hAnsi="Arial" w:cs="Arial"/>
          <w:b/>
          <w:bCs/>
          <w:sz w:val="22"/>
          <w:szCs w:val="22"/>
          <w:u w:val="single"/>
        </w:rPr>
      </w:pPr>
      <w:r w:rsidRPr="002C23FB">
        <w:rPr>
          <w:rFonts w:ascii="Arial" w:hAnsi="Arial" w:cs="Arial"/>
          <w:b/>
          <w:bCs/>
          <w:sz w:val="22"/>
          <w:szCs w:val="22"/>
        </w:rPr>
        <w:t xml:space="preserve"> </w:t>
      </w:r>
      <w:r w:rsidRPr="002C23FB">
        <w:rPr>
          <w:rFonts w:ascii="Arial" w:hAnsi="Arial" w:cs="Arial"/>
          <w:b/>
          <w:bCs/>
          <w:sz w:val="22"/>
          <w:szCs w:val="22"/>
          <w:u w:val="single"/>
        </w:rPr>
        <w:t>Reflection on the Importance of Principles</w:t>
      </w:r>
    </w:p>
    <w:p w14:paraId="3A834599" w14:textId="77777777" w:rsidR="00C22893" w:rsidRPr="002C23FB" w:rsidRDefault="00C22893" w:rsidP="002C23FB">
      <w:pPr>
        <w:spacing w:line="360" w:lineRule="auto"/>
        <w:jc w:val="both"/>
        <w:rPr>
          <w:rFonts w:ascii="Arial" w:hAnsi="Arial" w:cs="Arial"/>
          <w:b/>
          <w:bCs/>
          <w:sz w:val="22"/>
          <w:szCs w:val="22"/>
        </w:rPr>
      </w:pPr>
      <w:r w:rsidRPr="002C23FB">
        <w:rPr>
          <w:rFonts w:ascii="Arial" w:hAnsi="Arial" w:cs="Arial"/>
          <w:b/>
          <w:bCs/>
          <w:sz w:val="22"/>
          <w:szCs w:val="22"/>
        </w:rPr>
        <w:t>Person-Centred Care</w:t>
      </w:r>
    </w:p>
    <w:p w14:paraId="5911D1D3"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Person-centred care is an approach that places the individual at the centre of their care planning and delivery. It focuses on respecting personal values, needs and preferences (NICE, 2021). SCIE (2024) states that this approach empowers individuals by involving them in decision-making and promoting independence.</w:t>
      </w:r>
    </w:p>
    <w:p w14:paraId="1BAB844A"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 xml:space="preserve">The importance of person-centred care lies in its ability to improve patient outcomes, enhance satisfaction and ensure that care is tailored to the individual rather than the condition alone. It helps individuals feel valued, respected and listened to, which can improve trust between </w:t>
      </w:r>
      <w:r w:rsidRPr="002C23FB">
        <w:rPr>
          <w:rFonts w:ascii="Arial" w:hAnsi="Arial" w:cs="Arial"/>
          <w:sz w:val="22"/>
          <w:szCs w:val="22"/>
        </w:rPr>
        <w:lastRenderedPageBreak/>
        <w:t>service users and healthcare professionals. It also supports better engagement with treatment plans, as individuals are more likely to follow advice when they are actively involved in decisions about their care.</w:t>
      </w:r>
    </w:p>
    <w:p w14:paraId="1DFECF4B"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Person-centred care is important because it promotes dignity and independence, especially for individuals with long-term conditions such as COPD. It ensures that care is flexible and adapted to the person’s lifestyle, rather than using a “one size fits all” approach. This can lead to fewer hospital admissions and improved self-management of conditions.</w:t>
      </w:r>
    </w:p>
    <w:p w14:paraId="536343DD" w14:textId="77777777" w:rsidR="00C22893" w:rsidRPr="002C23FB" w:rsidRDefault="00C22893" w:rsidP="002C23FB">
      <w:pPr>
        <w:spacing w:line="360" w:lineRule="auto"/>
        <w:jc w:val="both"/>
        <w:rPr>
          <w:rFonts w:ascii="Arial" w:hAnsi="Arial" w:cs="Arial"/>
          <w:b/>
          <w:bCs/>
          <w:sz w:val="22"/>
          <w:szCs w:val="22"/>
        </w:rPr>
      </w:pPr>
      <w:r w:rsidRPr="002C23FB">
        <w:rPr>
          <w:rFonts w:ascii="Arial" w:hAnsi="Arial" w:cs="Arial"/>
          <w:b/>
          <w:bCs/>
          <w:sz w:val="22"/>
          <w:szCs w:val="22"/>
        </w:rPr>
        <w:t>Partnership Working</w:t>
      </w:r>
    </w:p>
    <w:p w14:paraId="222F6A66"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Partnership working refers to collaboration between professionals, service users and organisations to deliver coordinated care (Glasby and Dickinson, 2020). It ensures that care is holistic and addresses all aspects of an individual’s needs.</w:t>
      </w:r>
    </w:p>
    <w:p w14:paraId="1011A13A"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Its importance lies in improving communication, reducing duplication of services and ensuring continuity of care. However, challenges can arise due to poor communication between agencies, differences in professional opinions and information-sharing barriers. If partnership working is effective, it allows professionals to share expertise and provide more comprehensive support for individuals with complex needs.</w:t>
      </w:r>
    </w:p>
    <w:p w14:paraId="0F62DD34"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Bronfenbrenner’s Ecological Systems Theory supports partnership working by showing that individuals are influenced by multiple systems including family, community and healthcare services (Bronfenbrenner, 1979). This highlights the need for cooperation between all levels of care provision, as no single service can meet all of a person’s needs alone.</w:t>
      </w:r>
    </w:p>
    <w:p w14:paraId="5ECCD108"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Legislation such as the Care Act 2014 and Health and Care Act 2022 supports partnership working by encouraging integrated care and collaboration between services (Department of Health and Social Care, 2022).</w:t>
      </w:r>
    </w:p>
    <w:p w14:paraId="727C0222" w14:textId="77777777" w:rsidR="00C22893" w:rsidRPr="002C23FB" w:rsidRDefault="00C22893" w:rsidP="002C23FB">
      <w:pPr>
        <w:spacing w:line="360" w:lineRule="auto"/>
        <w:jc w:val="both"/>
        <w:rPr>
          <w:rFonts w:ascii="Arial" w:hAnsi="Arial" w:cs="Arial"/>
          <w:b/>
          <w:bCs/>
          <w:sz w:val="22"/>
          <w:szCs w:val="22"/>
        </w:rPr>
      </w:pPr>
      <w:r w:rsidRPr="002C23FB">
        <w:rPr>
          <w:rFonts w:ascii="Arial" w:hAnsi="Arial" w:cs="Arial"/>
          <w:b/>
          <w:bCs/>
          <w:sz w:val="22"/>
          <w:szCs w:val="22"/>
        </w:rPr>
        <w:t>Ethical Practice</w:t>
      </w:r>
    </w:p>
    <w:p w14:paraId="1A6AD794"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Ethical practice refers to the moral principles that guide behaviour in health and social care. These include autonomy, beneficence, non-maleficence, justice and confidentiality (HCPC, 2023).</w:t>
      </w:r>
    </w:p>
    <w:p w14:paraId="0FDCFABF"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Ethical practice is essential for maintaining trust, dignity and respect between professionals and service users. It ensures that individuals are treated fairly and protected from harm. However, ethical dilemmas can arise, such as balancing an individual’s independence with their safety.</w:t>
      </w:r>
    </w:p>
    <w:p w14:paraId="2B8C2AC9"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lastRenderedPageBreak/>
        <w:t>For example, if a person like Margaret wants to remain active at home despite health risks, professionals should not simply restrict her choices. Instead, they should use a risk-enablement approach by discussing risks openly and putting support in place, such as grab rails or care visits, to reduce danger while still respecting her independence.</w:t>
      </w:r>
    </w:p>
    <w:p w14:paraId="3B5219BE" w14:textId="77777777" w:rsidR="00C22893" w:rsidRPr="002C23FB" w:rsidRDefault="00C22893" w:rsidP="002C23FB">
      <w:pPr>
        <w:spacing w:line="360" w:lineRule="auto"/>
        <w:jc w:val="both"/>
        <w:rPr>
          <w:rFonts w:ascii="Arial" w:hAnsi="Arial" w:cs="Arial"/>
          <w:sz w:val="22"/>
          <w:szCs w:val="22"/>
        </w:rPr>
      </w:pPr>
      <w:r w:rsidRPr="002C23FB">
        <w:rPr>
          <w:rFonts w:ascii="Arial" w:hAnsi="Arial" w:cs="Arial"/>
          <w:sz w:val="22"/>
          <w:szCs w:val="22"/>
        </w:rPr>
        <w:t>Ethical practice is supported by legislation such as the Care Act 2014, which focuses on wellbeing, safeguarding and individual choice, helping ensure care is both safe and person-centred.</w:t>
      </w:r>
    </w:p>
    <w:p w14:paraId="037020D5" w14:textId="77777777" w:rsidR="00BF5DFC" w:rsidRPr="002C23FB" w:rsidRDefault="00BF5DFC" w:rsidP="002C23FB">
      <w:pPr>
        <w:spacing w:line="360" w:lineRule="auto"/>
        <w:jc w:val="both"/>
        <w:rPr>
          <w:rFonts w:ascii="Arial" w:hAnsi="Arial" w:cs="Arial"/>
          <w:b/>
          <w:bCs/>
          <w:sz w:val="22"/>
          <w:szCs w:val="22"/>
        </w:rPr>
      </w:pPr>
    </w:p>
    <w:p w14:paraId="6C0C9423" w14:textId="68513D96" w:rsidR="0016250B" w:rsidRPr="002C23FB" w:rsidRDefault="0016250B" w:rsidP="002C23FB">
      <w:pPr>
        <w:spacing w:line="360" w:lineRule="auto"/>
        <w:jc w:val="both"/>
        <w:rPr>
          <w:rFonts w:ascii="Arial" w:hAnsi="Arial" w:cs="Arial"/>
          <w:b/>
          <w:bCs/>
          <w:sz w:val="22"/>
          <w:szCs w:val="22"/>
          <w:u w:val="single"/>
        </w:rPr>
      </w:pPr>
      <w:r w:rsidRPr="002C23FB">
        <w:rPr>
          <w:rFonts w:ascii="Arial" w:hAnsi="Arial" w:cs="Arial"/>
          <w:b/>
          <w:bCs/>
          <w:sz w:val="22"/>
          <w:szCs w:val="22"/>
          <w:u w:val="single"/>
        </w:rPr>
        <w:t xml:space="preserve">Joan Case Study </w:t>
      </w:r>
    </w:p>
    <w:p w14:paraId="399BFE59"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Joan is a patient living with Chronic Obstructive Pulmonary Disease (COPD) who experiences difficulties managing her condition, leading to missed appointments and emergency hospital admissions. A Patient Activation Measure (PAM) assessment identified that Joan had low confidence and limited knowledge of self-management (The King’s Fund, 2014). This meant Joan struggled to manage her symptoms effectively and recognise when to seek medical advice. As a result, healthcare professionals identified that she required additional support to improve her confidence and ability to manage her long-term condition.</w:t>
      </w:r>
    </w:p>
    <w:p w14:paraId="30796B15" w14:textId="77777777" w:rsidR="0016250B" w:rsidRPr="002C23FB" w:rsidRDefault="0016250B" w:rsidP="002C23FB">
      <w:pPr>
        <w:spacing w:line="360" w:lineRule="auto"/>
        <w:jc w:val="both"/>
        <w:rPr>
          <w:rFonts w:ascii="Arial" w:hAnsi="Arial" w:cs="Arial"/>
          <w:b/>
          <w:bCs/>
          <w:sz w:val="22"/>
          <w:szCs w:val="22"/>
        </w:rPr>
      </w:pPr>
      <w:r w:rsidRPr="002C23FB">
        <w:rPr>
          <w:rFonts w:ascii="Arial" w:hAnsi="Arial" w:cs="Arial"/>
          <w:b/>
          <w:bCs/>
          <w:sz w:val="22"/>
          <w:szCs w:val="22"/>
        </w:rPr>
        <w:t>Person-Centred Care</w:t>
      </w:r>
    </w:p>
    <w:p w14:paraId="3D0DDACC"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Person-centred care was central to Joan’s support. Healthcare professionals focused on her individual needs rather than only her condition. Regular meetings allowed Joan to express concerns and identify barriers affecting her engagement with care. This aligns with NICE (2021), which emphasises shared decision-making and patient involvement.</w:t>
      </w:r>
    </w:p>
    <w:p w14:paraId="578F999A"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Professionals listened to Joan and ensured her views, wishes, and preferences were included in care planning. This built trust and encouraged her to take a more active role in managing her health. By recognising her as an individual, the care team provided tailored support that promoted dignity, respect, choice, and independence (SCIE, 2024).</w:t>
      </w:r>
    </w:p>
    <w:p w14:paraId="3B048C73" w14:textId="77777777" w:rsidR="0016250B" w:rsidRPr="002C23FB" w:rsidRDefault="0016250B" w:rsidP="002C23FB">
      <w:pPr>
        <w:spacing w:line="360" w:lineRule="auto"/>
        <w:jc w:val="both"/>
        <w:rPr>
          <w:rFonts w:ascii="Arial" w:hAnsi="Arial" w:cs="Arial"/>
          <w:b/>
          <w:bCs/>
          <w:sz w:val="22"/>
          <w:szCs w:val="22"/>
        </w:rPr>
      </w:pPr>
      <w:r w:rsidRPr="002C23FB">
        <w:rPr>
          <w:rFonts w:ascii="Arial" w:hAnsi="Arial" w:cs="Arial"/>
          <w:b/>
          <w:bCs/>
          <w:sz w:val="22"/>
          <w:szCs w:val="22"/>
        </w:rPr>
        <w:t>Partnership Working</w:t>
      </w:r>
    </w:p>
    <w:p w14:paraId="388CFA02"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Partnership working was demonstrated through collaboration between Joan, her physiotherapist, GP, and therapy team. It was identified that Joan’s Crohn’s disease was affecting her ability to leave the house. Joint planning allowed professionals to address both conditions and develop a more effective care plan (Glasby and Dickinson, 2020). Joan’s daughter also provided informal support, improving her confidence and independence.</w:t>
      </w:r>
    </w:p>
    <w:p w14:paraId="135FFD97"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lastRenderedPageBreak/>
        <w:t>Effective communication ensured Joan received coordinated care rather than separate treatment. Sharing information helped identify causes of missed appointments and implement solutions. Involving her daughter strengthened support at home and improved attendance at appointments. Partnership working is essential for continuity of care and better outcomes (NHS England, 2022).</w:t>
      </w:r>
    </w:p>
    <w:p w14:paraId="64903BAE" w14:textId="77777777" w:rsidR="0016250B" w:rsidRPr="002C23FB" w:rsidRDefault="0016250B" w:rsidP="002C23FB">
      <w:pPr>
        <w:spacing w:line="360" w:lineRule="auto"/>
        <w:jc w:val="both"/>
        <w:rPr>
          <w:rFonts w:ascii="Arial" w:hAnsi="Arial" w:cs="Arial"/>
          <w:b/>
          <w:bCs/>
          <w:sz w:val="22"/>
          <w:szCs w:val="22"/>
        </w:rPr>
      </w:pPr>
      <w:r w:rsidRPr="002C23FB">
        <w:rPr>
          <w:rFonts w:ascii="Arial" w:hAnsi="Arial" w:cs="Arial"/>
          <w:b/>
          <w:bCs/>
          <w:sz w:val="22"/>
          <w:szCs w:val="22"/>
        </w:rPr>
        <w:t>Ethical Practice</w:t>
      </w:r>
    </w:p>
    <w:p w14:paraId="0C4E7A66"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Ethical practice was evident as professionals respected Joan’s autonomy and involved her in decisions. The HCPC (2023) highlights the importance of consent, dignity, and respect. Joan was supported rather than pressured, ensuring her rights were maintained.</w:t>
      </w:r>
    </w:p>
    <w:p w14:paraId="39BA5C05"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Confidentiality was also upheld, with information shared only appropriately and with consent. Professionals demonstrated compassion and respect while ensuring Joan remained central to care decisions. This strengthened trust and reflects HCPC standards (HCPC, 2023).</w:t>
      </w:r>
    </w:p>
    <w:p w14:paraId="3D68F1CD" w14:textId="77777777" w:rsidR="0016250B" w:rsidRPr="002C23FB" w:rsidRDefault="0016250B" w:rsidP="002C23FB">
      <w:pPr>
        <w:spacing w:line="360" w:lineRule="auto"/>
        <w:jc w:val="both"/>
        <w:rPr>
          <w:rFonts w:ascii="Arial" w:hAnsi="Arial" w:cs="Arial"/>
          <w:b/>
          <w:bCs/>
          <w:sz w:val="22"/>
          <w:szCs w:val="22"/>
        </w:rPr>
      </w:pPr>
      <w:r w:rsidRPr="002C23FB">
        <w:rPr>
          <w:rFonts w:ascii="Arial" w:hAnsi="Arial" w:cs="Arial"/>
          <w:b/>
          <w:bCs/>
          <w:sz w:val="22"/>
          <w:szCs w:val="22"/>
        </w:rPr>
        <w:t>Outcomes</w:t>
      </w:r>
    </w:p>
    <w:p w14:paraId="7E1111F9"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The outcomes were positive. After seven months, Joan’s PAM score increased by over 40%, showing improved self-management (The King’s Fund, 2014). Her attendance at appointments improved, and emergency admissions reduced from two to one per year.</w:t>
      </w:r>
    </w:p>
    <w:p w14:paraId="6FEB68C0" w14:textId="77777777" w:rsidR="0016250B" w:rsidRPr="002C23FB" w:rsidRDefault="0016250B" w:rsidP="002C23FB">
      <w:pPr>
        <w:spacing w:line="360" w:lineRule="auto"/>
        <w:jc w:val="both"/>
        <w:rPr>
          <w:rFonts w:ascii="Arial" w:hAnsi="Arial" w:cs="Arial"/>
          <w:sz w:val="22"/>
          <w:szCs w:val="22"/>
        </w:rPr>
      </w:pPr>
      <w:r w:rsidRPr="002C23FB">
        <w:rPr>
          <w:rFonts w:ascii="Arial" w:hAnsi="Arial" w:cs="Arial"/>
          <w:sz w:val="22"/>
          <w:szCs w:val="22"/>
        </w:rPr>
        <w:t>Joan became more confident in managing COPD and Crohn’s disease. She engaged better with professionals, attended appointments consistently, and recognised when to seek help. These improvements enhanced her quality of life and reduced pressure on services, reflecting CQC standards (CQC, 2024).</w:t>
      </w:r>
    </w:p>
    <w:p w14:paraId="351E9226" w14:textId="77777777" w:rsidR="0016250B" w:rsidRPr="002C23FB" w:rsidRDefault="0016250B" w:rsidP="002C23FB">
      <w:pPr>
        <w:spacing w:line="360" w:lineRule="auto"/>
        <w:jc w:val="both"/>
        <w:rPr>
          <w:rFonts w:ascii="Arial" w:hAnsi="Arial" w:cs="Arial"/>
          <w:b/>
          <w:bCs/>
          <w:sz w:val="22"/>
          <w:szCs w:val="22"/>
        </w:rPr>
      </w:pPr>
      <w:r w:rsidRPr="002C23FB">
        <w:rPr>
          <w:rFonts w:ascii="Arial" w:hAnsi="Arial" w:cs="Arial"/>
          <w:b/>
          <w:bCs/>
          <w:sz w:val="22"/>
          <w:szCs w:val="22"/>
        </w:rPr>
        <w:t>Conclusion</w:t>
      </w:r>
    </w:p>
    <w:p w14:paraId="7CEEA3B4" w14:textId="189F0DA4" w:rsidR="003946EC" w:rsidRPr="002C23FB" w:rsidRDefault="003946EC" w:rsidP="002C23FB">
      <w:pPr>
        <w:spacing w:line="360" w:lineRule="auto"/>
        <w:jc w:val="both"/>
        <w:rPr>
          <w:rFonts w:ascii="Arial" w:hAnsi="Arial" w:cs="Arial"/>
          <w:sz w:val="22"/>
          <w:szCs w:val="22"/>
        </w:rPr>
      </w:pPr>
      <w:r w:rsidRPr="002C23FB">
        <w:rPr>
          <w:rFonts w:ascii="Arial" w:hAnsi="Arial" w:cs="Arial"/>
          <w:sz w:val="22"/>
          <w:szCs w:val="22"/>
        </w:rPr>
        <w:t>Person-centred care, partnership working, and ethical practice are essential in health and social care. They ensure individuals receive respectful and effective care. Joan’s case shows how these principles improve outcomes, increase independence, and reduce hospital admissions, while also strengthening communication between professionals and service users and supporting long-term condition management effectively and consistently.</w:t>
      </w:r>
    </w:p>
    <w:p w14:paraId="1BE6375F" w14:textId="77777777" w:rsidR="00650292" w:rsidRPr="002C23FB" w:rsidRDefault="00650292" w:rsidP="002C23FB">
      <w:pPr>
        <w:spacing w:line="360" w:lineRule="auto"/>
        <w:jc w:val="both"/>
        <w:rPr>
          <w:rFonts w:ascii="Arial" w:hAnsi="Arial" w:cs="Arial"/>
          <w:sz w:val="22"/>
          <w:szCs w:val="22"/>
        </w:rPr>
      </w:pPr>
    </w:p>
    <w:p w14:paraId="230BEF20" w14:textId="235C39EB" w:rsidR="00BF5DFC" w:rsidRPr="002C23FB" w:rsidRDefault="00BF5DFC" w:rsidP="002C23FB">
      <w:pPr>
        <w:spacing w:line="360" w:lineRule="auto"/>
        <w:jc w:val="both"/>
        <w:rPr>
          <w:rFonts w:ascii="Arial" w:hAnsi="Arial" w:cs="Arial"/>
          <w:b/>
          <w:bCs/>
          <w:sz w:val="22"/>
          <w:szCs w:val="22"/>
        </w:rPr>
      </w:pPr>
      <w:r w:rsidRPr="002C23FB">
        <w:rPr>
          <w:rFonts w:ascii="Arial" w:hAnsi="Arial" w:cs="Arial"/>
          <w:b/>
          <w:bCs/>
          <w:sz w:val="22"/>
          <w:szCs w:val="22"/>
        </w:rPr>
        <w:t xml:space="preserve"> </w:t>
      </w:r>
      <w:r w:rsidRPr="002C23FB">
        <w:rPr>
          <w:rFonts w:ascii="Arial" w:hAnsi="Arial" w:cs="Arial"/>
          <w:b/>
          <w:bCs/>
          <w:sz w:val="22"/>
          <w:szCs w:val="22"/>
          <w:u w:val="single"/>
        </w:rPr>
        <w:t>Self-Reflection (Gibbs’ Reflective Cycle</w:t>
      </w:r>
      <w:r w:rsidRPr="002C23FB">
        <w:rPr>
          <w:rFonts w:ascii="Arial" w:hAnsi="Arial" w:cs="Arial"/>
          <w:b/>
          <w:bCs/>
          <w:sz w:val="22"/>
          <w:szCs w:val="22"/>
        </w:rPr>
        <w:t>)</w:t>
      </w:r>
    </w:p>
    <w:p w14:paraId="1B4FCE3F" w14:textId="77777777" w:rsidR="0009786A" w:rsidRPr="002C23FB" w:rsidRDefault="0009786A" w:rsidP="002C23FB">
      <w:pPr>
        <w:spacing w:line="360" w:lineRule="auto"/>
        <w:jc w:val="both"/>
        <w:rPr>
          <w:rFonts w:ascii="Arial" w:eastAsia="Times New Roman" w:hAnsi="Arial" w:cs="Arial"/>
          <w:kern w:val="0"/>
          <w:sz w:val="22"/>
          <w:szCs w:val="22"/>
          <w:lang w:eastAsia="en-GB"/>
          <w14:ligatures w14:val="none"/>
        </w:rPr>
      </w:pPr>
    </w:p>
    <w:p w14:paraId="550F22AA" w14:textId="77777777" w:rsidR="00192B96" w:rsidRPr="002C23FB" w:rsidRDefault="00192B96" w:rsidP="002C23FB">
      <w:pPr>
        <w:spacing w:line="360" w:lineRule="auto"/>
        <w:jc w:val="both"/>
        <w:rPr>
          <w:rFonts w:ascii="Arial" w:hAnsi="Arial" w:cs="Arial"/>
          <w:sz w:val="22"/>
          <w:szCs w:val="22"/>
        </w:rPr>
      </w:pPr>
      <w:r w:rsidRPr="002C23FB">
        <w:rPr>
          <w:rFonts w:ascii="Arial" w:hAnsi="Arial" w:cs="Arial"/>
          <w:sz w:val="22"/>
          <w:szCs w:val="22"/>
        </w:rPr>
        <w:t xml:space="preserve">Margaret, my 72-year-old mother-in-law, lives with Type 2 diabetes and hypertension. She was recently hospitalised with a deep vein thrombosis (DVT). Her care, supported by the </w:t>
      </w:r>
      <w:r w:rsidRPr="002C23FB">
        <w:rPr>
          <w:rFonts w:ascii="Arial" w:hAnsi="Arial" w:cs="Arial"/>
          <w:sz w:val="22"/>
          <w:szCs w:val="22"/>
        </w:rPr>
        <w:lastRenderedPageBreak/>
        <w:t>Health and Care Act 2022 and the NHS Long Term Plan, followed a person-centred and integrated approach to managing her complex needs.</w:t>
      </w:r>
    </w:p>
    <w:p w14:paraId="40B1B8E9" w14:textId="77777777" w:rsidR="00192B96" w:rsidRPr="002C23FB" w:rsidRDefault="00192B96" w:rsidP="002C23FB">
      <w:pPr>
        <w:spacing w:line="360" w:lineRule="auto"/>
        <w:jc w:val="both"/>
        <w:rPr>
          <w:rFonts w:ascii="Arial" w:hAnsi="Arial" w:cs="Arial"/>
          <w:sz w:val="22"/>
          <w:szCs w:val="22"/>
        </w:rPr>
      </w:pPr>
      <w:r w:rsidRPr="002C23FB">
        <w:rPr>
          <w:rFonts w:ascii="Arial" w:hAnsi="Arial" w:cs="Arial"/>
          <w:sz w:val="22"/>
          <w:szCs w:val="22"/>
        </w:rPr>
        <w:t>A multidisciplinary team, including nurses, doctors, physiotherapists, and dietitians, worked together to provide coordinated care tailored to her condition. Co-production was an important part of her treatment, with healthcare professionals involving our family in discharge planning. This included discussions around medication management, diet, mobility, and how we could safely support her at home.</w:t>
      </w:r>
    </w:p>
    <w:p w14:paraId="7D0FA4B9" w14:textId="77777777" w:rsidR="00192B96" w:rsidRPr="002C23FB" w:rsidRDefault="00192B96" w:rsidP="002C23FB">
      <w:pPr>
        <w:spacing w:line="360" w:lineRule="auto"/>
        <w:jc w:val="both"/>
        <w:rPr>
          <w:rFonts w:ascii="Arial" w:hAnsi="Arial" w:cs="Arial"/>
          <w:sz w:val="22"/>
          <w:szCs w:val="22"/>
        </w:rPr>
      </w:pPr>
      <w:r w:rsidRPr="002C23FB">
        <w:rPr>
          <w:rFonts w:ascii="Arial" w:hAnsi="Arial" w:cs="Arial"/>
          <w:sz w:val="22"/>
          <w:szCs w:val="22"/>
        </w:rPr>
        <w:t>Through education and support, Margaret became more confident in monitoring her blood glucose and blood pressure and recognising warning signs of complications. Although she initially felt anxious about losing her independence, consistent reassurance and clear communication from staff helped reduce her concerns.</w:t>
      </w:r>
    </w:p>
    <w:p w14:paraId="6061CEBD" w14:textId="230B8FE7" w:rsidR="00464BCF" w:rsidRPr="002C23FB" w:rsidRDefault="00192B96" w:rsidP="002C23FB">
      <w:pPr>
        <w:spacing w:line="360" w:lineRule="auto"/>
        <w:jc w:val="both"/>
        <w:rPr>
          <w:rFonts w:ascii="Arial" w:hAnsi="Arial" w:cs="Arial"/>
          <w:sz w:val="22"/>
          <w:szCs w:val="22"/>
        </w:rPr>
      </w:pPr>
      <w:r w:rsidRPr="002C23FB">
        <w:rPr>
          <w:rFonts w:ascii="Arial" w:hAnsi="Arial" w:cs="Arial"/>
          <w:sz w:val="22"/>
          <w:szCs w:val="22"/>
        </w:rPr>
        <w:t>Overall, this approach improved her confidence, supported her recovery, and ensured a safe, well-planned discharge home.</w:t>
      </w:r>
    </w:p>
    <w:p w14:paraId="671264E0" w14:textId="77777777" w:rsidR="007C24D1" w:rsidRPr="002C23FB" w:rsidRDefault="007C24D1" w:rsidP="002C23FB">
      <w:pPr>
        <w:spacing w:line="360" w:lineRule="auto"/>
        <w:jc w:val="both"/>
        <w:rPr>
          <w:rFonts w:ascii="Arial" w:hAnsi="Arial" w:cs="Arial"/>
          <w:b/>
          <w:bCs/>
          <w:sz w:val="22"/>
          <w:szCs w:val="22"/>
        </w:rPr>
      </w:pPr>
    </w:p>
    <w:p w14:paraId="09357FDE"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Description</w:t>
      </w:r>
    </w:p>
    <w:p w14:paraId="64772649"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Throughout this module, I have developed a greater understanding of person-centred care, partnership working, and ethical practice. A personal experience that helped me understand these principles involved supporting my mother-in-law during her illness. She has Type 2 diabetes and high blood pressure and was recently admitted to hospital after developing a blood clot in her leg. At the time of writing, she has been in hospital for three weeks. Before her admission, she lived with my partner and me, and I supported her with daily activities, medication reminders, appointments, and emotional support.</w:t>
      </w:r>
    </w:p>
    <w:p w14:paraId="4A04B907"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During this period, I worked closely with healthcare professionals and family members to ensure she received the best possible care. This experience allowed me to observe how coordinated teamwork can improve patient wellbeing and recovery outcomes (CQC, 2022).</w:t>
      </w:r>
    </w:p>
    <w:p w14:paraId="323B1AB5"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Feelings</w:t>
      </w:r>
    </w:p>
    <w:p w14:paraId="207C7171"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Initially, I felt worried, anxious, and emotionally overwhelmed when she was admitted due to the seriousness of a blood clot and the risks involved. I also felt a strong sense of responsibility because I had been closely involved in her care at home.</w:t>
      </w:r>
    </w:p>
    <w:p w14:paraId="6118ADCD"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lastRenderedPageBreak/>
        <w:t>However, as I communicated more with healthcare professionals, I began to feel more reassured and confident. I realised the importance of listening carefully, asking questions, and ensuring her voice was included in decisions. This helped me understand the value of person-centred care and respecting individual choice (SCIE, 2024).</w:t>
      </w:r>
    </w:p>
    <w:p w14:paraId="0AD082B1"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Evaluation</w:t>
      </w:r>
    </w:p>
    <w:p w14:paraId="7C328562"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One positive aspect was how healthcare professionals involved my mother-in-law in her care decisions. Doctors and nurses explained her treatment clearly and encouraged her to ask questions, which made her feel respected and supported, reflecting shared decision-making (NICE, 2021).</w:t>
      </w:r>
    </w:p>
    <w:p w14:paraId="3933EC93"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Partnership working was also evident, as professionals collaborated with the family to review progress and plan for discharge. This ensured consistency in her care and helped us understand the support she would need at home.</w:t>
      </w:r>
    </w:p>
    <w:p w14:paraId="18079381"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However, there were challenges. Communication between departments was sometimes inconsistent, and updates were not always shared promptly with family members. This created uncertainty and increased stress. It highlighted the importance of clear communication and coordinated care (Skills for Care, 2023).</w:t>
      </w:r>
    </w:p>
    <w:p w14:paraId="75B27601"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Analysis</w:t>
      </w:r>
    </w:p>
    <w:p w14:paraId="5A6602C4"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Reflecting on this experience helped me understand how person-centred care improves outcomes by respecting dignity, autonomy, and individual needs. The Care Quality Commission states that care should be tailored to each person’s preferences, which I observed throughout her treatment.</w:t>
      </w:r>
    </w:p>
    <w:p w14:paraId="16850387"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Partnership working was essential. The Health and Care Act 2022 promotes integrated care systems, ensuring health and social care services work together effectively. In my mother-in-law’s case, doctors, nurses, specialists, and family members all contributed to her recovery, showing the importance of collaboration in both physical and emotional care.</w:t>
      </w:r>
    </w:p>
    <w:p w14:paraId="07E52238"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Ethical practice was demonstrated through respect for dignity, privacy, and confidentiality. The 6Cs of care—care, compassion, competence, communication, courage, and commitment—were clearly visible in the actions of healthcare professionals involved in her treatment (Department of Health, 2012).</w:t>
      </w:r>
    </w:p>
    <w:p w14:paraId="7C5E7F74"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 xml:space="preserve">From this experience, I identified strengths in myself, including empathy, patience, and active listening. I was able to support my mother-in-law emotionally and advocate for </w:t>
      </w:r>
      <w:r w:rsidRPr="002C23FB">
        <w:rPr>
          <w:rFonts w:ascii="Arial" w:hAnsi="Arial" w:cs="Arial"/>
          <w:b/>
          <w:bCs/>
          <w:sz w:val="22"/>
          <w:szCs w:val="22"/>
        </w:rPr>
        <w:lastRenderedPageBreak/>
        <w:t>her when she felt overwhelmed. However, I also recognised areas for improvement, particularly in gaining confidence when speaking to healthcare professionals and increasing my knowledge of long-term conditions such as diabetes and cardiovascular disease.</w:t>
      </w:r>
    </w:p>
    <w:p w14:paraId="504C7F6C"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Conclusion</w:t>
      </w:r>
    </w:p>
    <w:p w14:paraId="564F710C" w14:textId="77777777" w:rsidR="003E23D2" w:rsidRPr="002C23FB" w:rsidRDefault="003E23D2" w:rsidP="002C23FB">
      <w:pPr>
        <w:spacing w:line="360" w:lineRule="auto"/>
        <w:jc w:val="both"/>
        <w:rPr>
          <w:rFonts w:ascii="Arial" w:hAnsi="Arial" w:cs="Arial"/>
          <w:b/>
          <w:bCs/>
          <w:sz w:val="22"/>
          <w:szCs w:val="22"/>
        </w:rPr>
      </w:pPr>
      <w:r w:rsidRPr="002C23FB">
        <w:rPr>
          <w:rFonts w:ascii="Arial" w:hAnsi="Arial" w:cs="Arial"/>
          <w:b/>
          <w:bCs/>
          <w:sz w:val="22"/>
          <w:szCs w:val="22"/>
        </w:rPr>
        <w:t>This experience reinforced the importance of person-centred care, partnership working, and ethical practice. I learned that involving individuals in decisions improves confidence, independence, and recovery outcomes. It also highlighted the value of collaboration between healthcare professionals, patients, families and wider multidisciplinary teams in delivering safe and effective care, improving communication, and ensuring continuity of support throughout the care pathway.</w:t>
      </w:r>
    </w:p>
    <w:p w14:paraId="7930D445" w14:textId="77777777" w:rsidR="003E23D2" w:rsidRPr="002C23FB" w:rsidRDefault="003E23D2" w:rsidP="002C23FB">
      <w:pPr>
        <w:spacing w:line="360" w:lineRule="auto"/>
        <w:jc w:val="both"/>
        <w:rPr>
          <w:rFonts w:ascii="Arial" w:hAnsi="Arial" w:cs="Arial"/>
          <w:b/>
          <w:bCs/>
          <w:sz w:val="22"/>
          <w:szCs w:val="22"/>
        </w:rPr>
      </w:pPr>
    </w:p>
    <w:p w14:paraId="3F7C6800" w14:textId="77777777" w:rsidR="00195E2F" w:rsidRPr="002C23FB" w:rsidRDefault="00195E2F" w:rsidP="002C23FB">
      <w:pPr>
        <w:spacing w:line="360" w:lineRule="auto"/>
        <w:jc w:val="both"/>
        <w:rPr>
          <w:rFonts w:ascii="Arial" w:hAnsi="Arial" w:cs="Arial"/>
          <w:b/>
          <w:bCs/>
          <w:sz w:val="22"/>
          <w:szCs w:val="22"/>
        </w:rPr>
      </w:pPr>
    </w:p>
    <w:p w14:paraId="0D48899C"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Action Plan</w:t>
      </w:r>
    </w:p>
    <w:p w14:paraId="32D3D64D"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To improve my future practice, I will continue developing my knowledge through training, research, and Continuing Professional Development (CPD). I aim to improve my understanding of diabetes management and cardiovascular health.</w:t>
      </w:r>
    </w:p>
    <w:p w14:paraId="03D11D65" w14:textId="77777777" w:rsidR="008D5775" w:rsidRPr="002C23FB" w:rsidRDefault="008D5775" w:rsidP="002C23FB">
      <w:pPr>
        <w:spacing w:line="360" w:lineRule="auto"/>
        <w:jc w:val="both"/>
        <w:rPr>
          <w:rFonts w:ascii="Arial" w:hAnsi="Arial" w:cs="Arial"/>
          <w:b/>
          <w:bCs/>
          <w:sz w:val="22"/>
          <w:szCs w:val="22"/>
        </w:rPr>
      </w:pPr>
      <w:r w:rsidRPr="002C23FB">
        <w:rPr>
          <w:rFonts w:ascii="Arial" w:hAnsi="Arial" w:cs="Arial"/>
          <w:b/>
          <w:bCs/>
          <w:sz w:val="22"/>
          <w:szCs w:val="22"/>
        </w:rPr>
        <w:t>I will also work on improving my communication skills by observing experienced professionals and engaging more confidently in healthcare discussions. Finally, I will continue using Gibbs’ Reflective Cycle (Gibbs, 1988) to reflect on my experiences and identify areas for improvement.</w:t>
      </w:r>
    </w:p>
    <w:p w14:paraId="7C6BCEE6" w14:textId="77777777" w:rsidR="007C24D1" w:rsidRPr="002C23FB" w:rsidRDefault="007C24D1" w:rsidP="002C23FB">
      <w:pPr>
        <w:spacing w:line="360" w:lineRule="auto"/>
        <w:jc w:val="both"/>
        <w:rPr>
          <w:rFonts w:ascii="Arial" w:hAnsi="Arial" w:cs="Arial"/>
          <w:b/>
          <w:bCs/>
          <w:sz w:val="22"/>
          <w:szCs w:val="22"/>
        </w:rPr>
      </w:pPr>
    </w:p>
    <w:p w14:paraId="001205B5" w14:textId="77777777" w:rsidR="007C24D1" w:rsidRPr="002C23FB" w:rsidRDefault="007C24D1" w:rsidP="002C23FB">
      <w:pPr>
        <w:spacing w:line="360" w:lineRule="auto"/>
        <w:jc w:val="both"/>
        <w:rPr>
          <w:rFonts w:ascii="Arial" w:hAnsi="Arial" w:cs="Arial"/>
          <w:b/>
          <w:bCs/>
          <w:sz w:val="22"/>
          <w:szCs w:val="22"/>
        </w:rPr>
      </w:pPr>
    </w:p>
    <w:p w14:paraId="06CD207C" w14:textId="77777777" w:rsidR="00E771EB" w:rsidRPr="002C23FB" w:rsidRDefault="00E771EB" w:rsidP="002C23FB">
      <w:pPr>
        <w:spacing w:line="360" w:lineRule="auto"/>
        <w:jc w:val="both"/>
        <w:rPr>
          <w:rFonts w:ascii="Arial" w:hAnsi="Arial" w:cs="Arial"/>
          <w:b/>
          <w:bCs/>
          <w:sz w:val="22"/>
          <w:szCs w:val="22"/>
          <w:u w:val="single"/>
        </w:rPr>
      </w:pPr>
    </w:p>
    <w:p w14:paraId="5FA878A3" w14:textId="77777777" w:rsidR="0091485D" w:rsidRPr="002C23FB" w:rsidRDefault="0091485D" w:rsidP="002C23FB">
      <w:pPr>
        <w:spacing w:line="360" w:lineRule="auto"/>
        <w:jc w:val="both"/>
        <w:rPr>
          <w:rFonts w:ascii="Arial" w:hAnsi="Arial" w:cs="Arial"/>
          <w:b/>
          <w:bCs/>
          <w:sz w:val="22"/>
          <w:szCs w:val="22"/>
          <w:u w:val="single"/>
        </w:rPr>
      </w:pPr>
    </w:p>
    <w:p w14:paraId="053E1F89" w14:textId="77777777" w:rsidR="0091485D" w:rsidRPr="002C23FB" w:rsidRDefault="0091485D" w:rsidP="002C23FB">
      <w:pPr>
        <w:spacing w:line="360" w:lineRule="auto"/>
        <w:jc w:val="both"/>
        <w:rPr>
          <w:rFonts w:ascii="Arial" w:hAnsi="Arial" w:cs="Arial"/>
          <w:b/>
          <w:bCs/>
          <w:sz w:val="22"/>
          <w:szCs w:val="22"/>
          <w:u w:val="single"/>
        </w:rPr>
      </w:pPr>
    </w:p>
    <w:p w14:paraId="0190FD2F" w14:textId="77777777" w:rsidR="0091485D" w:rsidRPr="002C23FB" w:rsidRDefault="0091485D" w:rsidP="002C23FB">
      <w:pPr>
        <w:spacing w:line="360" w:lineRule="auto"/>
        <w:jc w:val="both"/>
        <w:rPr>
          <w:rFonts w:ascii="Arial" w:hAnsi="Arial" w:cs="Arial"/>
          <w:b/>
          <w:bCs/>
          <w:sz w:val="22"/>
          <w:szCs w:val="22"/>
          <w:u w:val="single"/>
        </w:rPr>
      </w:pPr>
    </w:p>
    <w:p w14:paraId="65757CAC" w14:textId="77777777" w:rsidR="0091485D" w:rsidRPr="002C23FB" w:rsidRDefault="0091485D" w:rsidP="002C23FB">
      <w:pPr>
        <w:spacing w:line="360" w:lineRule="auto"/>
        <w:jc w:val="both"/>
        <w:rPr>
          <w:rFonts w:ascii="Arial" w:hAnsi="Arial" w:cs="Arial"/>
          <w:b/>
          <w:bCs/>
          <w:i/>
          <w:iCs/>
          <w:sz w:val="22"/>
          <w:szCs w:val="22"/>
          <w:u w:val="single"/>
        </w:rPr>
      </w:pPr>
    </w:p>
    <w:p w14:paraId="22955549" w14:textId="77777777" w:rsidR="0091485D" w:rsidRPr="002C23FB" w:rsidRDefault="0091485D" w:rsidP="002C23FB">
      <w:pPr>
        <w:spacing w:line="360" w:lineRule="auto"/>
        <w:jc w:val="both"/>
        <w:rPr>
          <w:rFonts w:ascii="Arial" w:hAnsi="Arial" w:cs="Arial"/>
          <w:b/>
          <w:bCs/>
          <w:i/>
          <w:iCs/>
          <w:sz w:val="22"/>
          <w:szCs w:val="22"/>
          <w:u w:val="single"/>
        </w:rPr>
      </w:pPr>
    </w:p>
    <w:p w14:paraId="5EE8EB90" w14:textId="77777777" w:rsidR="009013E2" w:rsidRDefault="009013E2" w:rsidP="00CE5A3D">
      <w:pPr>
        <w:jc w:val="both"/>
        <w:rPr>
          <w:rFonts w:ascii="Arial" w:hAnsi="Arial" w:cs="Arial"/>
          <w:b/>
          <w:bCs/>
          <w:i/>
          <w:iCs/>
          <w:sz w:val="32"/>
          <w:szCs w:val="32"/>
          <w:u w:val="single"/>
        </w:rPr>
      </w:pPr>
    </w:p>
    <w:p w14:paraId="668F5191" w14:textId="77777777" w:rsidR="009013E2" w:rsidRDefault="009013E2" w:rsidP="00CE5A3D">
      <w:pPr>
        <w:jc w:val="both"/>
        <w:rPr>
          <w:rFonts w:ascii="Arial" w:hAnsi="Arial" w:cs="Arial"/>
          <w:b/>
          <w:bCs/>
          <w:i/>
          <w:iCs/>
          <w:sz w:val="32"/>
          <w:szCs w:val="32"/>
          <w:u w:val="single"/>
        </w:rPr>
      </w:pPr>
    </w:p>
    <w:p w14:paraId="1B75A71B" w14:textId="28A1E9B3" w:rsidR="008B6E1F" w:rsidRPr="00AC4DE6" w:rsidRDefault="008B6E1F" w:rsidP="00CE5A3D">
      <w:pPr>
        <w:jc w:val="both"/>
        <w:rPr>
          <w:rFonts w:ascii="Arial" w:hAnsi="Arial" w:cs="Arial"/>
          <w:b/>
          <w:bCs/>
          <w:i/>
          <w:iCs/>
          <w:sz w:val="32"/>
          <w:szCs w:val="32"/>
          <w:u w:val="single"/>
        </w:rPr>
      </w:pPr>
      <w:r w:rsidRPr="00AC4DE6">
        <w:rPr>
          <w:rFonts w:ascii="Arial" w:hAnsi="Arial" w:cs="Arial"/>
          <w:b/>
          <w:bCs/>
          <w:i/>
          <w:iCs/>
          <w:sz w:val="32"/>
          <w:szCs w:val="32"/>
          <w:u w:val="single"/>
        </w:rPr>
        <w:t xml:space="preserve">Reference List </w:t>
      </w:r>
    </w:p>
    <w:p w14:paraId="0B987215" w14:textId="04E57050" w:rsidR="008B6E1F" w:rsidRPr="00AC4DE6" w:rsidRDefault="008B6E1F" w:rsidP="00CE5A3D">
      <w:pPr>
        <w:jc w:val="both"/>
        <w:rPr>
          <w:i/>
          <w:iCs/>
          <w:sz w:val="32"/>
          <w:szCs w:val="32"/>
        </w:rPr>
      </w:pPr>
      <w:r w:rsidRPr="00AC4DE6">
        <w:rPr>
          <w:i/>
          <w:iCs/>
          <w:sz w:val="32"/>
          <w:szCs w:val="32"/>
        </w:rPr>
        <w:t>Bronfenbrenner, U. (1979) The Ecology of Human Development: Experiments by Nature and Design. Cambridge, MA: Harvard University Press.</w:t>
      </w:r>
      <w:r w:rsidR="00F11866" w:rsidRPr="00AC4DE6">
        <w:rPr>
          <w:i/>
          <w:iCs/>
          <w:sz w:val="32"/>
          <w:szCs w:val="32"/>
        </w:rPr>
        <w:t xml:space="preserve">(Accessed 12 June </w:t>
      </w:r>
      <w:r w:rsidR="006A13CC" w:rsidRPr="00AC4DE6">
        <w:rPr>
          <w:i/>
          <w:iCs/>
          <w:sz w:val="32"/>
          <w:szCs w:val="32"/>
        </w:rPr>
        <w:t>2026)</w:t>
      </w:r>
    </w:p>
    <w:p w14:paraId="725D36BD" w14:textId="77777777" w:rsidR="008B6E1F" w:rsidRPr="00AC4DE6" w:rsidRDefault="008B6E1F" w:rsidP="00CE5A3D">
      <w:pPr>
        <w:jc w:val="both"/>
        <w:rPr>
          <w:i/>
          <w:iCs/>
          <w:sz w:val="32"/>
          <w:szCs w:val="32"/>
        </w:rPr>
      </w:pPr>
      <w:r w:rsidRPr="00AC4DE6">
        <w:rPr>
          <w:i/>
          <w:iCs/>
          <w:sz w:val="32"/>
          <w:szCs w:val="32"/>
        </w:rPr>
        <w:t xml:space="preserve">Care Quality Commission (CQC) (2022) Person-centred care. Available at: </w:t>
      </w:r>
      <w:hyperlink r:id="rId7" w:tgtFrame="_new" w:history="1">
        <w:r w:rsidRPr="00AC4DE6">
          <w:rPr>
            <w:rStyle w:val="Hyperlink"/>
            <w:i/>
            <w:iCs/>
            <w:sz w:val="32"/>
            <w:szCs w:val="32"/>
          </w:rPr>
          <w:t>https://www.cqc.org.uk/guidance-providers/adult-social-care/person-centred-care</w:t>
        </w:r>
      </w:hyperlink>
      <w:r w:rsidRPr="00AC4DE6">
        <w:rPr>
          <w:i/>
          <w:iCs/>
          <w:sz w:val="32"/>
          <w:szCs w:val="32"/>
        </w:rPr>
        <w:t xml:space="preserve"> (Accessed: 18 June 2026).</w:t>
      </w:r>
    </w:p>
    <w:p w14:paraId="7D09E9D1" w14:textId="3C806EE8" w:rsidR="008B6E1F" w:rsidRPr="00AC4DE6" w:rsidRDefault="008B6E1F" w:rsidP="00CE5A3D">
      <w:pPr>
        <w:jc w:val="both"/>
        <w:rPr>
          <w:i/>
          <w:iCs/>
          <w:sz w:val="32"/>
          <w:szCs w:val="32"/>
        </w:rPr>
      </w:pPr>
      <w:r w:rsidRPr="00AC4DE6">
        <w:rPr>
          <w:i/>
          <w:iCs/>
          <w:sz w:val="32"/>
          <w:szCs w:val="32"/>
        </w:rPr>
        <w:t>Care Quality Commission (CQC) (2024) Fundamental standards. Newcastle upon Tyne: CQC.</w:t>
      </w:r>
      <w:r w:rsidR="006A13CC" w:rsidRPr="00AC4DE6">
        <w:rPr>
          <w:i/>
          <w:iCs/>
          <w:sz w:val="32"/>
          <w:szCs w:val="32"/>
        </w:rPr>
        <w:t>(Accessed 3</w:t>
      </w:r>
      <w:r w:rsidR="00F856C1" w:rsidRPr="00AC4DE6">
        <w:rPr>
          <w:i/>
          <w:iCs/>
          <w:sz w:val="32"/>
          <w:szCs w:val="32"/>
        </w:rPr>
        <w:t xml:space="preserve"> June 2026)</w:t>
      </w:r>
    </w:p>
    <w:p w14:paraId="005BEC31" w14:textId="46D25EAD" w:rsidR="008B6E1F" w:rsidRPr="00AC4DE6" w:rsidRDefault="008B6E1F" w:rsidP="00CE5A3D">
      <w:pPr>
        <w:jc w:val="both"/>
        <w:rPr>
          <w:i/>
          <w:iCs/>
          <w:sz w:val="32"/>
          <w:szCs w:val="32"/>
        </w:rPr>
      </w:pPr>
      <w:r w:rsidRPr="00AC4DE6">
        <w:rPr>
          <w:i/>
          <w:iCs/>
          <w:sz w:val="32"/>
          <w:szCs w:val="32"/>
        </w:rPr>
        <w:t>Department of Health (2012) Compassion in Practice. London: Department of Health.</w:t>
      </w:r>
      <w:r w:rsidR="00F856C1" w:rsidRPr="00AC4DE6">
        <w:rPr>
          <w:i/>
          <w:iCs/>
          <w:sz w:val="32"/>
          <w:szCs w:val="32"/>
        </w:rPr>
        <w:t xml:space="preserve">(Accessed </w:t>
      </w:r>
      <w:r w:rsidR="00813495" w:rsidRPr="00AC4DE6">
        <w:rPr>
          <w:i/>
          <w:iCs/>
          <w:sz w:val="32"/>
          <w:szCs w:val="32"/>
        </w:rPr>
        <w:t>14 June 2026)</w:t>
      </w:r>
    </w:p>
    <w:p w14:paraId="6180D19D" w14:textId="46D1067F" w:rsidR="008B6E1F" w:rsidRPr="00AC4DE6" w:rsidRDefault="008B6E1F" w:rsidP="00CE5A3D">
      <w:pPr>
        <w:jc w:val="both"/>
        <w:rPr>
          <w:i/>
          <w:iCs/>
          <w:sz w:val="32"/>
          <w:szCs w:val="32"/>
        </w:rPr>
      </w:pPr>
      <w:r w:rsidRPr="00AC4DE6">
        <w:rPr>
          <w:i/>
          <w:iCs/>
          <w:sz w:val="32"/>
          <w:szCs w:val="32"/>
        </w:rPr>
        <w:t xml:space="preserve">Department of Health and Social Care (2022) Health and Care Act 2022. London: HMSO. Available at: </w:t>
      </w:r>
      <w:hyperlink r:id="rId8" w:tgtFrame="_new" w:history="1">
        <w:r w:rsidRPr="00AC4DE6">
          <w:rPr>
            <w:rStyle w:val="Hyperlink"/>
            <w:i/>
            <w:iCs/>
            <w:sz w:val="32"/>
            <w:szCs w:val="32"/>
          </w:rPr>
          <w:t>https://www.legislation.gov.uk/ukpga/2022/31/contents</w:t>
        </w:r>
      </w:hyperlink>
      <w:r w:rsidRPr="00AC4DE6">
        <w:rPr>
          <w:i/>
          <w:iCs/>
          <w:sz w:val="32"/>
          <w:szCs w:val="32"/>
        </w:rPr>
        <w:t xml:space="preserve"> (Accessed: 1</w:t>
      </w:r>
      <w:r w:rsidR="00813495" w:rsidRPr="00AC4DE6">
        <w:rPr>
          <w:i/>
          <w:iCs/>
          <w:sz w:val="32"/>
          <w:szCs w:val="32"/>
        </w:rPr>
        <w:t>6</w:t>
      </w:r>
      <w:r w:rsidRPr="00AC4DE6">
        <w:rPr>
          <w:i/>
          <w:iCs/>
          <w:sz w:val="32"/>
          <w:szCs w:val="32"/>
        </w:rPr>
        <w:t xml:space="preserve"> June 2026).</w:t>
      </w:r>
    </w:p>
    <w:p w14:paraId="25F66E9F" w14:textId="1F430162" w:rsidR="008B6E1F" w:rsidRPr="00AC4DE6" w:rsidRDefault="008B6E1F" w:rsidP="00CE5A3D">
      <w:pPr>
        <w:jc w:val="both"/>
        <w:rPr>
          <w:i/>
          <w:iCs/>
          <w:sz w:val="32"/>
          <w:szCs w:val="32"/>
        </w:rPr>
      </w:pPr>
      <w:r w:rsidRPr="00AC4DE6">
        <w:rPr>
          <w:i/>
          <w:iCs/>
          <w:sz w:val="32"/>
          <w:szCs w:val="32"/>
        </w:rPr>
        <w:t>Gibbs, G. (1988) Learning by Doing: A Guide to Teaching and Learning Methods. Oxford: Oxford Polytechnic.</w:t>
      </w:r>
      <w:r w:rsidR="00813495" w:rsidRPr="00AC4DE6">
        <w:rPr>
          <w:i/>
          <w:iCs/>
          <w:sz w:val="32"/>
          <w:szCs w:val="32"/>
        </w:rPr>
        <w:t>(A</w:t>
      </w:r>
      <w:r w:rsidR="0007566B" w:rsidRPr="00AC4DE6">
        <w:rPr>
          <w:i/>
          <w:iCs/>
          <w:sz w:val="32"/>
          <w:szCs w:val="32"/>
        </w:rPr>
        <w:t>ccessed 17</w:t>
      </w:r>
      <w:r w:rsidR="00186237" w:rsidRPr="00AC4DE6">
        <w:rPr>
          <w:i/>
          <w:iCs/>
          <w:sz w:val="32"/>
          <w:szCs w:val="32"/>
        </w:rPr>
        <w:t xml:space="preserve"> June 2026)</w:t>
      </w:r>
    </w:p>
    <w:p w14:paraId="79FE91EA" w14:textId="2C711827" w:rsidR="008B6E1F" w:rsidRPr="00AC4DE6" w:rsidRDefault="008B6E1F" w:rsidP="00CE5A3D">
      <w:pPr>
        <w:jc w:val="both"/>
        <w:rPr>
          <w:i/>
          <w:iCs/>
          <w:sz w:val="32"/>
          <w:szCs w:val="32"/>
        </w:rPr>
      </w:pPr>
      <w:r w:rsidRPr="00AC4DE6">
        <w:rPr>
          <w:i/>
          <w:iCs/>
          <w:sz w:val="32"/>
          <w:szCs w:val="32"/>
        </w:rPr>
        <w:t>Glasby, J. and Dickinson, H. (2020) Partnership Working in Health and Social Care. Bristol: Policy Press.</w:t>
      </w:r>
      <w:r w:rsidR="00186237" w:rsidRPr="00AC4DE6">
        <w:rPr>
          <w:i/>
          <w:iCs/>
          <w:sz w:val="32"/>
          <w:szCs w:val="32"/>
        </w:rPr>
        <w:t>(Accessed 11</w:t>
      </w:r>
      <w:r w:rsidR="005B4946" w:rsidRPr="00AC4DE6">
        <w:rPr>
          <w:i/>
          <w:iCs/>
          <w:sz w:val="32"/>
          <w:szCs w:val="32"/>
        </w:rPr>
        <w:t xml:space="preserve"> June 2026)</w:t>
      </w:r>
    </w:p>
    <w:p w14:paraId="2EE6B666" w14:textId="7275034D" w:rsidR="005B4946" w:rsidRPr="00AC4DE6" w:rsidRDefault="008B6E1F" w:rsidP="00CE5A3D">
      <w:pPr>
        <w:jc w:val="both"/>
        <w:rPr>
          <w:i/>
          <w:iCs/>
          <w:sz w:val="32"/>
          <w:szCs w:val="32"/>
        </w:rPr>
      </w:pPr>
      <w:r w:rsidRPr="00AC4DE6">
        <w:rPr>
          <w:i/>
          <w:iCs/>
          <w:sz w:val="32"/>
          <w:szCs w:val="32"/>
        </w:rPr>
        <w:t>Health and Care Professions Council (HCPC) (2023) Standards of conduct, performance and ethics. London: HCPC.</w:t>
      </w:r>
      <w:r w:rsidR="005B4946" w:rsidRPr="00AC4DE6">
        <w:rPr>
          <w:i/>
          <w:iCs/>
          <w:sz w:val="32"/>
          <w:szCs w:val="32"/>
        </w:rPr>
        <w:t>(Accessed 11 June</w:t>
      </w:r>
      <w:r w:rsidR="00064F07" w:rsidRPr="00AC4DE6">
        <w:rPr>
          <w:i/>
          <w:iCs/>
          <w:sz w:val="32"/>
          <w:szCs w:val="32"/>
        </w:rPr>
        <w:t xml:space="preserve"> 2026)</w:t>
      </w:r>
    </w:p>
    <w:p w14:paraId="068814BF" w14:textId="0487E025" w:rsidR="008B6E1F" w:rsidRPr="00AC4DE6" w:rsidRDefault="008B6E1F" w:rsidP="00CE5A3D">
      <w:pPr>
        <w:jc w:val="both"/>
        <w:rPr>
          <w:i/>
          <w:iCs/>
          <w:sz w:val="32"/>
          <w:szCs w:val="32"/>
        </w:rPr>
      </w:pPr>
      <w:r w:rsidRPr="00AC4DE6">
        <w:rPr>
          <w:i/>
          <w:iCs/>
          <w:sz w:val="32"/>
          <w:szCs w:val="32"/>
        </w:rPr>
        <w:t>Maslow, A.H. (1943) ‘A Theory of Human Motivation’, Psychological Review, 50(4), pp. 370–396.</w:t>
      </w:r>
      <w:r w:rsidR="00064F07" w:rsidRPr="00AC4DE6">
        <w:rPr>
          <w:i/>
          <w:iCs/>
          <w:sz w:val="32"/>
          <w:szCs w:val="32"/>
        </w:rPr>
        <w:t>(Acc</w:t>
      </w:r>
      <w:r w:rsidR="00385FAB" w:rsidRPr="00AC4DE6">
        <w:rPr>
          <w:i/>
          <w:iCs/>
          <w:sz w:val="32"/>
          <w:szCs w:val="32"/>
        </w:rPr>
        <w:t>essed 29 May 2026</w:t>
      </w:r>
      <w:r w:rsidR="002505F4" w:rsidRPr="00AC4DE6">
        <w:rPr>
          <w:i/>
          <w:iCs/>
          <w:sz w:val="32"/>
          <w:szCs w:val="32"/>
        </w:rPr>
        <w:t>)</w:t>
      </w:r>
    </w:p>
    <w:p w14:paraId="2D908D7F" w14:textId="77777777" w:rsidR="008B6E1F" w:rsidRPr="00AC4DE6" w:rsidRDefault="008B6E1F" w:rsidP="00CE5A3D">
      <w:pPr>
        <w:jc w:val="both"/>
        <w:rPr>
          <w:i/>
          <w:iCs/>
          <w:sz w:val="32"/>
          <w:szCs w:val="32"/>
        </w:rPr>
      </w:pPr>
      <w:r w:rsidRPr="00AC4DE6">
        <w:rPr>
          <w:i/>
          <w:iCs/>
          <w:sz w:val="32"/>
          <w:szCs w:val="32"/>
        </w:rPr>
        <w:lastRenderedPageBreak/>
        <w:t xml:space="preserve">NHS England (2019) The NHS Long Term Plan. Available at: </w:t>
      </w:r>
      <w:hyperlink r:id="rId9" w:tgtFrame="_new" w:history="1">
        <w:r w:rsidRPr="00AC4DE6">
          <w:rPr>
            <w:rStyle w:val="Hyperlink"/>
            <w:i/>
            <w:iCs/>
            <w:sz w:val="32"/>
            <w:szCs w:val="32"/>
          </w:rPr>
          <w:t>https://www.longtermplan.nhs.uk</w:t>
        </w:r>
      </w:hyperlink>
      <w:r w:rsidRPr="00AC4DE6">
        <w:rPr>
          <w:i/>
          <w:iCs/>
          <w:sz w:val="32"/>
          <w:szCs w:val="32"/>
        </w:rPr>
        <w:t xml:space="preserve"> (Accessed: 18 June 2026).</w:t>
      </w:r>
    </w:p>
    <w:p w14:paraId="1D911E20" w14:textId="77777777" w:rsidR="008B6E1F" w:rsidRPr="00AC4DE6" w:rsidRDefault="008B6E1F" w:rsidP="00CE5A3D">
      <w:pPr>
        <w:jc w:val="both"/>
        <w:rPr>
          <w:i/>
          <w:iCs/>
          <w:sz w:val="32"/>
          <w:szCs w:val="32"/>
        </w:rPr>
      </w:pPr>
      <w:r w:rsidRPr="00AC4DE6">
        <w:rPr>
          <w:i/>
          <w:iCs/>
          <w:sz w:val="32"/>
          <w:szCs w:val="32"/>
        </w:rPr>
        <w:t xml:space="preserve">NICE (2021) Shared decision making (NG197). Available at: </w:t>
      </w:r>
      <w:hyperlink r:id="rId10" w:tgtFrame="_new" w:history="1">
        <w:r w:rsidRPr="00AC4DE6">
          <w:rPr>
            <w:rStyle w:val="Hyperlink"/>
            <w:i/>
            <w:iCs/>
            <w:sz w:val="32"/>
            <w:szCs w:val="32"/>
          </w:rPr>
          <w:t>https://www.nice.org.uk/guidance/ng197</w:t>
        </w:r>
      </w:hyperlink>
      <w:r w:rsidRPr="00AC4DE6">
        <w:rPr>
          <w:i/>
          <w:iCs/>
          <w:sz w:val="32"/>
          <w:szCs w:val="32"/>
        </w:rPr>
        <w:t xml:space="preserve"> (Accessed: 18 June 2026).</w:t>
      </w:r>
    </w:p>
    <w:p w14:paraId="633D750F" w14:textId="77777777" w:rsidR="008B6E1F" w:rsidRPr="00AC4DE6" w:rsidRDefault="008B6E1F" w:rsidP="00CE5A3D">
      <w:pPr>
        <w:jc w:val="both"/>
        <w:rPr>
          <w:i/>
          <w:iCs/>
          <w:sz w:val="32"/>
          <w:szCs w:val="32"/>
        </w:rPr>
      </w:pPr>
      <w:r w:rsidRPr="00AC4DE6">
        <w:rPr>
          <w:i/>
          <w:iCs/>
          <w:sz w:val="32"/>
          <w:szCs w:val="32"/>
        </w:rPr>
        <w:t xml:space="preserve">Nursing and Midwifery Council (NMC) (2018) The Code: Professional standards of practice and behaviour for nurses, midwives and nursing associates. Available at: </w:t>
      </w:r>
      <w:hyperlink r:id="rId11" w:tgtFrame="_new" w:history="1">
        <w:r w:rsidRPr="00AC4DE6">
          <w:rPr>
            <w:rStyle w:val="Hyperlink"/>
            <w:i/>
            <w:iCs/>
            <w:sz w:val="32"/>
            <w:szCs w:val="32"/>
          </w:rPr>
          <w:t>https://www.nmc.org.uk</w:t>
        </w:r>
      </w:hyperlink>
      <w:r w:rsidRPr="00AC4DE6">
        <w:rPr>
          <w:i/>
          <w:iCs/>
          <w:sz w:val="32"/>
          <w:szCs w:val="32"/>
        </w:rPr>
        <w:t xml:space="preserve"> (Accessed: 18 June 2026).</w:t>
      </w:r>
    </w:p>
    <w:p w14:paraId="47C0AC92" w14:textId="77777777" w:rsidR="008B6E1F" w:rsidRPr="00AC4DE6" w:rsidRDefault="008B6E1F" w:rsidP="00CE5A3D">
      <w:pPr>
        <w:jc w:val="both"/>
        <w:rPr>
          <w:i/>
          <w:iCs/>
          <w:sz w:val="32"/>
          <w:szCs w:val="32"/>
        </w:rPr>
      </w:pPr>
      <w:r w:rsidRPr="00AC4DE6">
        <w:rPr>
          <w:i/>
          <w:iCs/>
          <w:sz w:val="32"/>
          <w:szCs w:val="32"/>
        </w:rPr>
        <w:t xml:space="preserve">Social Care Institute for Excellence (SCIE) (2024) Person-centred care guidance. London: SCIE. Available at: </w:t>
      </w:r>
      <w:hyperlink r:id="rId12" w:tgtFrame="_new" w:history="1">
        <w:r w:rsidRPr="00AC4DE6">
          <w:rPr>
            <w:rStyle w:val="Hyperlink"/>
            <w:i/>
            <w:iCs/>
            <w:sz w:val="32"/>
            <w:szCs w:val="32"/>
          </w:rPr>
          <w:t>https://www.scie.org.uk/person-centred-care</w:t>
        </w:r>
      </w:hyperlink>
      <w:r w:rsidRPr="00AC4DE6">
        <w:rPr>
          <w:i/>
          <w:iCs/>
          <w:sz w:val="32"/>
          <w:szCs w:val="32"/>
        </w:rPr>
        <w:t xml:space="preserve"> (Accessed: 18 June 2026).</w:t>
      </w:r>
    </w:p>
    <w:p w14:paraId="45A93B00" w14:textId="77777777" w:rsidR="008B6E1F" w:rsidRPr="00AC4DE6" w:rsidRDefault="008B6E1F" w:rsidP="00CE5A3D">
      <w:pPr>
        <w:jc w:val="both"/>
        <w:rPr>
          <w:i/>
          <w:iCs/>
          <w:sz w:val="32"/>
          <w:szCs w:val="32"/>
        </w:rPr>
      </w:pPr>
      <w:r w:rsidRPr="00AC4DE6">
        <w:rPr>
          <w:i/>
          <w:iCs/>
          <w:sz w:val="32"/>
          <w:szCs w:val="32"/>
        </w:rPr>
        <w:t xml:space="preserve">Skills for Care (2023) Working in partnership. Available at: </w:t>
      </w:r>
      <w:hyperlink r:id="rId13" w:tgtFrame="_new" w:history="1">
        <w:r w:rsidRPr="00AC4DE6">
          <w:rPr>
            <w:rStyle w:val="Hyperlink"/>
            <w:i/>
            <w:iCs/>
            <w:sz w:val="32"/>
            <w:szCs w:val="32"/>
          </w:rPr>
          <w:t>https://www.skillsforcare.org.uk</w:t>
        </w:r>
      </w:hyperlink>
      <w:r w:rsidRPr="00AC4DE6">
        <w:rPr>
          <w:i/>
          <w:iCs/>
          <w:sz w:val="32"/>
          <w:szCs w:val="32"/>
        </w:rPr>
        <w:t xml:space="preserve"> (Accessed: 18 June 2026).</w:t>
      </w:r>
    </w:p>
    <w:p w14:paraId="0849404D" w14:textId="1B474D5E" w:rsidR="008B6E1F" w:rsidRPr="00AC4DE6" w:rsidRDefault="008B6E1F" w:rsidP="00CE5A3D">
      <w:pPr>
        <w:jc w:val="both"/>
        <w:rPr>
          <w:i/>
          <w:iCs/>
          <w:sz w:val="32"/>
          <w:szCs w:val="32"/>
        </w:rPr>
      </w:pPr>
      <w:r w:rsidRPr="00AC4DE6">
        <w:rPr>
          <w:i/>
          <w:iCs/>
          <w:sz w:val="32"/>
          <w:szCs w:val="32"/>
        </w:rPr>
        <w:t>The Care Act 2014. London: HMSO.</w:t>
      </w:r>
      <w:r w:rsidR="00446D63" w:rsidRPr="00AC4DE6">
        <w:rPr>
          <w:i/>
          <w:iCs/>
          <w:sz w:val="32"/>
          <w:szCs w:val="32"/>
        </w:rPr>
        <w:t xml:space="preserve"> .(Accessed 29 May 2026)</w:t>
      </w:r>
    </w:p>
    <w:p w14:paraId="7D348084" w14:textId="54280AE7" w:rsidR="008B6E1F" w:rsidRPr="00AC4DE6" w:rsidRDefault="008B6E1F" w:rsidP="00CE5A3D">
      <w:pPr>
        <w:jc w:val="both"/>
        <w:rPr>
          <w:i/>
          <w:iCs/>
          <w:sz w:val="32"/>
          <w:szCs w:val="32"/>
        </w:rPr>
      </w:pPr>
      <w:r w:rsidRPr="00AC4DE6">
        <w:rPr>
          <w:i/>
          <w:iCs/>
          <w:sz w:val="32"/>
          <w:szCs w:val="32"/>
        </w:rPr>
        <w:t>Thompson, N. (2023) Understanding Person-centred Practice. London: Palgrave Macmillan.</w:t>
      </w:r>
      <w:r w:rsidR="003868B8" w:rsidRPr="00AC4DE6">
        <w:rPr>
          <w:i/>
          <w:iCs/>
          <w:sz w:val="32"/>
          <w:szCs w:val="32"/>
        </w:rPr>
        <w:t>(Accessed 29 May 2026)</w:t>
      </w:r>
    </w:p>
    <w:p w14:paraId="62335125" w14:textId="77777777" w:rsidR="008B6E1F" w:rsidRPr="00AC4DE6" w:rsidRDefault="008B6E1F" w:rsidP="00CE5A3D">
      <w:pPr>
        <w:jc w:val="both"/>
        <w:rPr>
          <w:i/>
          <w:iCs/>
          <w:sz w:val="32"/>
          <w:szCs w:val="32"/>
        </w:rPr>
      </w:pPr>
      <w:r w:rsidRPr="00AC4DE6">
        <w:rPr>
          <w:i/>
          <w:iCs/>
          <w:sz w:val="32"/>
          <w:szCs w:val="32"/>
        </w:rPr>
        <w:t xml:space="preserve">World Health Organization (WHO) (2021) Integrated people-centred health services. Available at: </w:t>
      </w:r>
      <w:hyperlink r:id="rId14" w:tgtFrame="_new" w:history="1">
        <w:r w:rsidRPr="00AC4DE6">
          <w:rPr>
            <w:rStyle w:val="Hyperlink"/>
            <w:i/>
            <w:iCs/>
            <w:sz w:val="32"/>
            <w:szCs w:val="32"/>
          </w:rPr>
          <w:t>https://www.who.int</w:t>
        </w:r>
      </w:hyperlink>
      <w:r w:rsidRPr="00AC4DE6">
        <w:rPr>
          <w:i/>
          <w:iCs/>
          <w:sz w:val="32"/>
          <w:szCs w:val="32"/>
        </w:rPr>
        <w:t xml:space="preserve"> (Accessed: 18 June 2026).</w:t>
      </w:r>
    </w:p>
    <w:p w14:paraId="4A0EA1EE" w14:textId="77777777" w:rsidR="008B6E1F" w:rsidRDefault="008B6E1F" w:rsidP="00CE5A3D">
      <w:pPr>
        <w:jc w:val="both"/>
        <w:rPr>
          <w:b/>
          <w:bCs/>
        </w:rPr>
      </w:pPr>
    </w:p>
    <w:p w14:paraId="16D9CC55" w14:textId="77777777" w:rsidR="00914083" w:rsidRPr="008D09E3" w:rsidRDefault="00914083" w:rsidP="00CE5A3D">
      <w:pPr>
        <w:jc w:val="both"/>
        <w:rPr>
          <w:b/>
          <w:bCs/>
        </w:rPr>
      </w:pPr>
    </w:p>
    <w:p w14:paraId="49944631" w14:textId="77777777" w:rsidR="00914083" w:rsidRPr="0070329E" w:rsidRDefault="00914083" w:rsidP="00CE5A3D">
      <w:pPr>
        <w:jc w:val="both"/>
      </w:pPr>
    </w:p>
    <w:p w14:paraId="15109C98" w14:textId="5F116586" w:rsidR="0070329E" w:rsidRPr="0070329E" w:rsidRDefault="0070329E" w:rsidP="00CE5A3D">
      <w:pPr>
        <w:jc w:val="both"/>
      </w:pPr>
    </w:p>
    <w:p w14:paraId="38E6784A" w14:textId="79040FDD" w:rsidR="0070329E" w:rsidRPr="0070329E" w:rsidRDefault="0070329E" w:rsidP="00CE5A3D">
      <w:pPr>
        <w:jc w:val="both"/>
      </w:pPr>
    </w:p>
    <w:p w14:paraId="533DE1BF" w14:textId="77777777" w:rsidR="00CB3A65" w:rsidRDefault="00CB3A65" w:rsidP="00CE5A3D">
      <w:pPr>
        <w:jc w:val="both"/>
      </w:pPr>
    </w:p>
    <w:sectPr w:rsidR="00CB3A65" w:rsidSect="00CE5A3D">
      <w:headerReference w:type="default" r:id="rId15"/>
      <w:footerReference w:type="default" r:id="rId16"/>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488EA" w14:textId="77777777" w:rsidR="00441F54" w:rsidRDefault="00441F54" w:rsidP="00FC4E10">
      <w:pPr>
        <w:spacing w:after="0" w:line="240" w:lineRule="auto"/>
      </w:pPr>
      <w:r>
        <w:separator/>
      </w:r>
    </w:p>
  </w:endnote>
  <w:endnote w:type="continuationSeparator" w:id="0">
    <w:p w14:paraId="3BCFA200" w14:textId="77777777" w:rsidR="00441F54" w:rsidRDefault="00441F54" w:rsidP="00FC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720614"/>
      <w:docPartObj>
        <w:docPartGallery w:val="Page Numbers (Bottom of Page)"/>
        <w:docPartUnique/>
      </w:docPartObj>
    </w:sdtPr>
    <w:sdtContent>
      <w:p w14:paraId="04331054" w14:textId="2476078F" w:rsidR="00F8081D" w:rsidRDefault="00F8081D">
        <w:pPr>
          <w:pStyle w:val="Footer"/>
          <w:jc w:val="right"/>
        </w:pPr>
        <w:r>
          <w:fldChar w:fldCharType="begin"/>
        </w:r>
        <w:r>
          <w:instrText>PAGE   \* MERGEFORMAT</w:instrText>
        </w:r>
        <w:r>
          <w:fldChar w:fldCharType="separate"/>
        </w:r>
        <w:r>
          <w:t>2</w:t>
        </w:r>
        <w:r>
          <w:fldChar w:fldCharType="end"/>
        </w:r>
      </w:p>
    </w:sdtContent>
  </w:sdt>
  <w:p w14:paraId="1E2396E6" w14:textId="77777777" w:rsidR="00F8081D" w:rsidRDefault="00F80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610CC" w14:textId="77777777" w:rsidR="00441F54" w:rsidRDefault="00441F54" w:rsidP="00FC4E10">
      <w:pPr>
        <w:spacing w:after="0" w:line="240" w:lineRule="auto"/>
      </w:pPr>
      <w:r>
        <w:separator/>
      </w:r>
    </w:p>
  </w:footnote>
  <w:footnote w:type="continuationSeparator" w:id="0">
    <w:p w14:paraId="5B09E0B1" w14:textId="77777777" w:rsidR="00441F54" w:rsidRDefault="00441F54" w:rsidP="00FC4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CB297" w14:textId="77777777" w:rsidR="00FC4E10" w:rsidRDefault="00FC4E10">
    <w:pPr>
      <w:pStyle w:val="Header"/>
    </w:pPr>
  </w:p>
  <w:p w14:paraId="64B79633" w14:textId="5ACAEA30" w:rsidR="00FC4E10" w:rsidRDefault="00FC4E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A0B"/>
    <w:rsid w:val="00016DC1"/>
    <w:rsid w:val="00031885"/>
    <w:rsid w:val="0005059A"/>
    <w:rsid w:val="00055D7A"/>
    <w:rsid w:val="000604D4"/>
    <w:rsid w:val="00064F07"/>
    <w:rsid w:val="0007566B"/>
    <w:rsid w:val="000773E9"/>
    <w:rsid w:val="000869F7"/>
    <w:rsid w:val="0009786A"/>
    <w:rsid w:val="000D115E"/>
    <w:rsid w:val="000D1332"/>
    <w:rsid w:val="000D4F39"/>
    <w:rsid w:val="000D60A8"/>
    <w:rsid w:val="000E54E2"/>
    <w:rsid w:val="001053C9"/>
    <w:rsid w:val="0011758B"/>
    <w:rsid w:val="00136CCF"/>
    <w:rsid w:val="001447CD"/>
    <w:rsid w:val="0016250B"/>
    <w:rsid w:val="00186237"/>
    <w:rsid w:val="00192B96"/>
    <w:rsid w:val="00195E2F"/>
    <w:rsid w:val="001B41A9"/>
    <w:rsid w:val="001F6006"/>
    <w:rsid w:val="00215C6D"/>
    <w:rsid w:val="00221629"/>
    <w:rsid w:val="002505F4"/>
    <w:rsid w:val="002C23FB"/>
    <w:rsid w:val="002E31AE"/>
    <w:rsid w:val="002E7FFB"/>
    <w:rsid w:val="00307E98"/>
    <w:rsid w:val="00320ADC"/>
    <w:rsid w:val="00330701"/>
    <w:rsid w:val="00331EBD"/>
    <w:rsid w:val="003337B2"/>
    <w:rsid w:val="00345FEC"/>
    <w:rsid w:val="0035339B"/>
    <w:rsid w:val="003568CC"/>
    <w:rsid w:val="00364447"/>
    <w:rsid w:val="00385FAB"/>
    <w:rsid w:val="0038627A"/>
    <w:rsid w:val="003868B8"/>
    <w:rsid w:val="0039336C"/>
    <w:rsid w:val="003946EC"/>
    <w:rsid w:val="003949AF"/>
    <w:rsid w:val="00396A0B"/>
    <w:rsid w:val="003A481F"/>
    <w:rsid w:val="003E008C"/>
    <w:rsid w:val="003E23D2"/>
    <w:rsid w:val="0040102B"/>
    <w:rsid w:val="00415810"/>
    <w:rsid w:val="00441F54"/>
    <w:rsid w:val="00446D63"/>
    <w:rsid w:val="00464BCF"/>
    <w:rsid w:val="004659B2"/>
    <w:rsid w:val="00486B75"/>
    <w:rsid w:val="0049111F"/>
    <w:rsid w:val="00494F24"/>
    <w:rsid w:val="00497635"/>
    <w:rsid w:val="004B0CB4"/>
    <w:rsid w:val="004C1769"/>
    <w:rsid w:val="004C5AB9"/>
    <w:rsid w:val="00513646"/>
    <w:rsid w:val="0054325E"/>
    <w:rsid w:val="005551AD"/>
    <w:rsid w:val="005A0C72"/>
    <w:rsid w:val="005A4151"/>
    <w:rsid w:val="005B4946"/>
    <w:rsid w:val="005C1036"/>
    <w:rsid w:val="005D3ECF"/>
    <w:rsid w:val="005E26C8"/>
    <w:rsid w:val="005E31B1"/>
    <w:rsid w:val="00605DAE"/>
    <w:rsid w:val="00650292"/>
    <w:rsid w:val="006A13CC"/>
    <w:rsid w:val="006F5EA1"/>
    <w:rsid w:val="0070329E"/>
    <w:rsid w:val="00707EA4"/>
    <w:rsid w:val="00740BFF"/>
    <w:rsid w:val="007626C8"/>
    <w:rsid w:val="00770958"/>
    <w:rsid w:val="00770A6F"/>
    <w:rsid w:val="007842AA"/>
    <w:rsid w:val="007B311B"/>
    <w:rsid w:val="007B5CA8"/>
    <w:rsid w:val="007C24D1"/>
    <w:rsid w:val="0080020F"/>
    <w:rsid w:val="008015A9"/>
    <w:rsid w:val="00813495"/>
    <w:rsid w:val="00814CD4"/>
    <w:rsid w:val="0085191A"/>
    <w:rsid w:val="008A09DF"/>
    <w:rsid w:val="008B6E1F"/>
    <w:rsid w:val="008C7359"/>
    <w:rsid w:val="008D09E3"/>
    <w:rsid w:val="008D5775"/>
    <w:rsid w:val="008F0A7D"/>
    <w:rsid w:val="00900A7E"/>
    <w:rsid w:val="009013E2"/>
    <w:rsid w:val="00914083"/>
    <w:rsid w:val="0091485D"/>
    <w:rsid w:val="00951049"/>
    <w:rsid w:val="00961E60"/>
    <w:rsid w:val="009758DF"/>
    <w:rsid w:val="00A04EE3"/>
    <w:rsid w:val="00A05FA0"/>
    <w:rsid w:val="00A53B8A"/>
    <w:rsid w:val="00A97B46"/>
    <w:rsid w:val="00AB06C5"/>
    <w:rsid w:val="00AB23ED"/>
    <w:rsid w:val="00AC17A2"/>
    <w:rsid w:val="00AC1989"/>
    <w:rsid w:val="00AC4DE6"/>
    <w:rsid w:val="00AF0099"/>
    <w:rsid w:val="00B03140"/>
    <w:rsid w:val="00B177F0"/>
    <w:rsid w:val="00B7179E"/>
    <w:rsid w:val="00B71A03"/>
    <w:rsid w:val="00B9610D"/>
    <w:rsid w:val="00BA4B2D"/>
    <w:rsid w:val="00BD5FB5"/>
    <w:rsid w:val="00BF5DFC"/>
    <w:rsid w:val="00C20B61"/>
    <w:rsid w:val="00C22893"/>
    <w:rsid w:val="00C62A6E"/>
    <w:rsid w:val="00C762A7"/>
    <w:rsid w:val="00C955E0"/>
    <w:rsid w:val="00CB0E1B"/>
    <w:rsid w:val="00CB3A65"/>
    <w:rsid w:val="00CC565B"/>
    <w:rsid w:val="00CE5A3D"/>
    <w:rsid w:val="00CF1C7C"/>
    <w:rsid w:val="00CF4E6A"/>
    <w:rsid w:val="00CF6CF1"/>
    <w:rsid w:val="00D0001F"/>
    <w:rsid w:val="00D04B9E"/>
    <w:rsid w:val="00D13710"/>
    <w:rsid w:val="00D25E74"/>
    <w:rsid w:val="00D54D38"/>
    <w:rsid w:val="00D56943"/>
    <w:rsid w:val="00DB4EB7"/>
    <w:rsid w:val="00DC48E5"/>
    <w:rsid w:val="00DF0418"/>
    <w:rsid w:val="00E171A2"/>
    <w:rsid w:val="00E40568"/>
    <w:rsid w:val="00E40FB9"/>
    <w:rsid w:val="00E5482A"/>
    <w:rsid w:val="00E6748B"/>
    <w:rsid w:val="00E75CF2"/>
    <w:rsid w:val="00E771EB"/>
    <w:rsid w:val="00E855F0"/>
    <w:rsid w:val="00EA7910"/>
    <w:rsid w:val="00EB1364"/>
    <w:rsid w:val="00EB5D24"/>
    <w:rsid w:val="00EC6ECD"/>
    <w:rsid w:val="00F11866"/>
    <w:rsid w:val="00F3088E"/>
    <w:rsid w:val="00F71968"/>
    <w:rsid w:val="00F8081D"/>
    <w:rsid w:val="00F856C1"/>
    <w:rsid w:val="00FA1034"/>
    <w:rsid w:val="00FB0DE5"/>
    <w:rsid w:val="00FB2407"/>
    <w:rsid w:val="00FC4AE2"/>
    <w:rsid w:val="00FC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8B7EF"/>
  <w15:chartTrackingRefBased/>
  <w15:docId w15:val="{9A921E1F-F9BB-4F13-8E2F-427F44699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6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6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6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6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A0B"/>
    <w:rPr>
      <w:rFonts w:eastAsiaTheme="majorEastAsia" w:cstheme="majorBidi"/>
      <w:color w:val="272727" w:themeColor="text1" w:themeTint="D8"/>
    </w:rPr>
  </w:style>
  <w:style w:type="paragraph" w:styleId="Title">
    <w:name w:val="Title"/>
    <w:basedOn w:val="Normal"/>
    <w:next w:val="Normal"/>
    <w:link w:val="TitleChar"/>
    <w:uiPriority w:val="10"/>
    <w:qFormat/>
    <w:rsid w:val="00396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A0B"/>
    <w:pPr>
      <w:spacing w:before="160"/>
      <w:jc w:val="center"/>
    </w:pPr>
    <w:rPr>
      <w:i/>
      <w:iCs/>
      <w:color w:val="404040" w:themeColor="text1" w:themeTint="BF"/>
    </w:rPr>
  </w:style>
  <w:style w:type="character" w:customStyle="1" w:styleId="QuoteChar">
    <w:name w:val="Quote Char"/>
    <w:basedOn w:val="DefaultParagraphFont"/>
    <w:link w:val="Quote"/>
    <w:uiPriority w:val="29"/>
    <w:rsid w:val="00396A0B"/>
    <w:rPr>
      <w:i/>
      <w:iCs/>
      <w:color w:val="404040" w:themeColor="text1" w:themeTint="BF"/>
    </w:rPr>
  </w:style>
  <w:style w:type="paragraph" w:styleId="ListParagraph">
    <w:name w:val="List Paragraph"/>
    <w:basedOn w:val="Normal"/>
    <w:uiPriority w:val="34"/>
    <w:qFormat/>
    <w:rsid w:val="00396A0B"/>
    <w:pPr>
      <w:ind w:left="720"/>
      <w:contextualSpacing/>
    </w:pPr>
  </w:style>
  <w:style w:type="character" w:styleId="IntenseEmphasis">
    <w:name w:val="Intense Emphasis"/>
    <w:basedOn w:val="DefaultParagraphFont"/>
    <w:uiPriority w:val="21"/>
    <w:qFormat/>
    <w:rsid w:val="00396A0B"/>
    <w:rPr>
      <w:i/>
      <w:iCs/>
      <w:color w:val="0F4761" w:themeColor="accent1" w:themeShade="BF"/>
    </w:rPr>
  </w:style>
  <w:style w:type="paragraph" w:styleId="IntenseQuote">
    <w:name w:val="Intense Quote"/>
    <w:basedOn w:val="Normal"/>
    <w:next w:val="Normal"/>
    <w:link w:val="IntenseQuoteChar"/>
    <w:uiPriority w:val="30"/>
    <w:qFormat/>
    <w:rsid w:val="00396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A0B"/>
    <w:rPr>
      <w:i/>
      <w:iCs/>
      <w:color w:val="0F4761" w:themeColor="accent1" w:themeShade="BF"/>
    </w:rPr>
  </w:style>
  <w:style w:type="character" w:styleId="IntenseReference">
    <w:name w:val="Intense Reference"/>
    <w:basedOn w:val="DefaultParagraphFont"/>
    <w:uiPriority w:val="32"/>
    <w:qFormat/>
    <w:rsid w:val="00396A0B"/>
    <w:rPr>
      <w:b/>
      <w:bCs/>
      <w:smallCaps/>
      <w:color w:val="0F4761" w:themeColor="accent1" w:themeShade="BF"/>
      <w:spacing w:val="5"/>
    </w:rPr>
  </w:style>
  <w:style w:type="paragraph" w:customStyle="1" w:styleId="isselectedend">
    <w:name w:val="isselectedend"/>
    <w:basedOn w:val="Normal"/>
    <w:rsid w:val="004C17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C17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C4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E10"/>
  </w:style>
  <w:style w:type="paragraph" w:styleId="Footer">
    <w:name w:val="footer"/>
    <w:basedOn w:val="Normal"/>
    <w:link w:val="FooterChar"/>
    <w:uiPriority w:val="99"/>
    <w:unhideWhenUsed/>
    <w:rsid w:val="00FC4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E10"/>
  </w:style>
  <w:style w:type="character" w:styleId="Hyperlink">
    <w:name w:val="Hyperlink"/>
    <w:basedOn w:val="DefaultParagraphFont"/>
    <w:uiPriority w:val="99"/>
    <w:unhideWhenUsed/>
    <w:rsid w:val="00770958"/>
    <w:rPr>
      <w:color w:val="467886" w:themeColor="hyperlink"/>
      <w:u w:val="single"/>
    </w:rPr>
  </w:style>
  <w:style w:type="character" w:styleId="UnresolvedMention">
    <w:name w:val="Unresolved Mention"/>
    <w:basedOn w:val="DefaultParagraphFont"/>
    <w:uiPriority w:val="99"/>
    <w:semiHidden/>
    <w:unhideWhenUsed/>
    <w:rsid w:val="00770958"/>
    <w:rPr>
      <w:color w:val="605E5C"/>
      <w:shd w:val="clear" w:color="auto" w:fill="E1DFDD"/>
    </w:rPr>
  </w:style>
  <w:style w:type="paragraph" w:styleId="TOCHeading">
    <w:name w:val="TOC Heading"/>
    <w:basedOn w:val="Heading1"/>
    <w:next w:val="Normal"/>
    <w:uiPriority w:val="39"/>
    <w:unhideWhenUsed/>
    <w:qFormat/>
    <w:rsid w:val="0035339B"/>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35339B"/>
    <w:pPr>
      <w:spacing w:after="100"/>
      <w:ind w:left="480"/>
    </w:pPr>
  </w:style>
  <w:style w:type="paragraph" w:customStyle="1" w:styleId="pdq2pgselectionanchorcontainer">
    <w:name w:val="pdq2pg_selectionanchorcontainer"/>
    <w:basedOn w:val="Normal"/>
    <w:rsid w:val="003933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2">
    <w:name w:val="toc 2"/>
    <w:basedOn w:val="Normal"/>
    <w:next w:val="Normal"/>
    <w:autoRedefine/>
    <w:uiPriority w:val="39"/>
    <w:unhideWhenUsed/>
    <w:rsid w:val="001447CD"/>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1447CD"/>
    <w:pPr>
      <w:spacing w:after="100" w:line="259" w:lineRule="auto"/>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qc.org.uk/guidance-providers/adult-social-care/person-centred-care" TargetMode="External"/><Relationship Id="rId12" Type="http://schemas.openxmlformats.org/officeDocument/2006/relationships/hyperlink" Target="https://www.scie.org.uk/person-centred-c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mc.org.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ice.org.uk/guidance/ng197"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A7BBE-62BD-4E88-8B34-0E834804F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2677</Words>
  <Characters>15264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17906</CharactersWithSpaces>
  <SharedDoc>false</SharedDoc>
  <HLinks>
    <vt:vector size="48" baseType="variant">
      <vt:variant>
        <vt:i4>5177413</vt:i4>
      </vt:variant>
      <vt:variant>
        <vt:i4>27</vt:i4>
      </vt:variant>
      <vt:variant>
        <vt:i4>0</vt:i4>
      </vt:variant>
      <vt:variant>
        <vt:i4>5</vt:i4>
      </vt:variant>
      <vt:variant>
        <vt:lpwstr>https://www.who.int/</vt:lpwstr>
      </vt:variant>
      <vt:variant>
        <vt:lpwstr/>
      </vt:variant>
      <vt:variant>
        <vt:i4>5963867</vt:i4>
      </vt:variant>
      <vt:variant>
        <vt:i4>24</vt:i4>
      </vt:variant>
      <vt:variant>
        <vt:i4>0</vt:i4>
      </vt:variant>
      <vt:variant>
        <vt:i4>5</vt:i4>
      </vt:variant>
      <vt:variant>
        <vt:lpwstr>https://www.skillsforcare.org.uk/</vt:lpwstr>
      </vt:variant>
      <vt:variant>
        <vt:lpwstr/>
      </vt:variant>
      <vt:variant>
        <vt:i4>7209019</vt:i4>
      </vt:variant>
      <vt:variant>
        <vt:i4>21</vt:i4>
      </vt:variant>
      <vt:variant>
        <vt:i4>0</vt:i4>
      </vt:variant>
      <vt:variant>
        <vt:i4>5</vt:i4>
      </vt:variant>
      <vt:variant>
        <vt:lpwstr>https://www.scie.org.uk/person-centred-care</vt:lpwstr>
      </vt:variant>
      <vt:variant>
        <vt:lpwstr/>
      </vt:variant>
      <vt:variant>
        <vt:i4>3932208</vt:i4>
      </vt:variant>
      <vt:variant>
        <vt:i4>18</vt:i4>
      </vt:variant>
      <vt:variant>
        <vt:i4>0</vt:i4>
      </vt:variant>
      <vt:variant>
        <vt:i4>5</vt:i4>
      </vt:variant>
      <vt:variant>
        <vt:lpwstr>https://www.nmc.org.uk/</vt:lpwstr>
      </vt:variant>
      <vt:variant>
        <vt:lpwstr/>
      </vt:variant>
      <vt:variant>
        <vt:i4>6553641</vt:i4>
      </vt:variant>
      <vt:variant>
        <vt:i4>15</vt:i4>
      </vt:variant>
      <vt:variant>
        <vt:i4>0</vt:i4>
      </vt:variant>
      <vt:variant>
        <vt:i4>5</vt:i4>
      </vt:variant>
      <vt:variant>
        <vt:lpwstr>https://www.nice.org.uk/guidance/ng197</vt:lpwstr>
      </vt:variant>
      <vt:variant>
        <vt:lpwstr/>
      </vt:variant>
      <vt:variant>
        <vt:i4>852054</vt:i4>
      </vt:variant>
      <vt:variant>
        <vt:i4>12</vt:i4>
      </vt:variant>
      <vt:variant>
        <vt:i4>0</vt:i4>
      </vt:variant>
      <vt:variant>
        <vt:i4>5</vt:i4>
      </vt:variant>
      <vt:variant>
        <vt:lpwstr>https://www.longtermplan.nhs.uk/</vt:lpwstr>
      </vt:variant>
      <vt:variant>
        <vt:lpwstr/>
      </vt:variant>
      <vt:variant>
        <vt:i4>5308509</vt:i4>
      </vt:variant>
      <vt:variant>
        <vt:i4>9</vt:i4>
      </vt:variant>
      <vt:variant>
        <vt:i4>0</vt:i4>
      </vt:variant>
      <vt:variant>
        <vt:i4>5</vt:i4>
      </vt:variant>
      <vt:variant>
        <vt:lpwstr>https://www.legislation.gov.uk/ukpga/2022/31/contents</vt:lpwstr>
      </vt:variant>
      <vt:variant>
        <vt:lpwstr/>
      </vt:variant>
      <vt:variant>
        <vt:i4>4128808</vt:i4>
      </vt:variant>
      <vt:variant>
        <vt:i4>6</vt:i4>
      </vt:variant>
      <vt:variant>
        <vt:i4>0</vt:i4>
      </vt:variant>
      <vt:variant>
        <vt:i4>5</vt:i4>
      </vt:variant>
      <vt:variant>
        <vt:lpwstr>https://www.cqc.org.uk/guidance-providers/adult-social-care/person-centred-care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43</cp:revision>
  <dcterms:created xsi:type="dcterms:W3CDTF">2026-06-25T15:54:00Z</dcterms:created>
  <dcterms:modified xsi:type="dcterms:W3CDTF">2026-07-02T11:46:00Z</dcterms:modified>
</cp:coreProperties>
</file>