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BF0945"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0DE10D7D"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CC692E">
        <w:rPr>
          <w:rFonts w:ascii="Arial" w:hAnsi="Arial" w:cs="Arial"/>
          <w:sz w:val="28"/>
          <w:szCs w:val="28"/>
          <w:lang w:val="nl-NL"/>
        </w:rPr>
        <w:t xml:space="preserve">INTRODUCTION TO INDEPENDENT RESEARCH </w:t>
      </w:r>
      <w:r w:rsidR="00E81E66">
        <w:rPr>
          <w:rFonts w:ascii="Arial" w:hAnsi="Arial" w:cs="Arial"/>
          <w:sz w:val="28"/>
          <w:szCs w:val="28"/>
          <w:lang w:val="nl-NL"/>
        </w:rPr>
        <w:t xml:space="preserve">SKILLS </w:t>
      </w:r>
    </w:p>
    <w:p w14:paraId="537571AF" w14:textId="57FF96C6"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E81E66">
        <w:rPr>
          <w:rFonts w:ascii="Arial" w:hAnsi="Arial" w:cs="Arial"/>
          <w:sz w:val="28"/>
          <w:szCs w:val="28"/>
        </w:rPr>
        <w:t xml:space="preserve"> BMHP5019</w:t>
      </w:r>
      <w:r w:rsidR="00730855">
        <w:rPr>
          <w:rFonts w:ascii="Arial" w:hAnsi="Arial" w:cs="Arial"/>
          <w:sz w:val="28"/>
          <w:szCs w:val="28"/>
        </w:rPr>
        <w:t xml:space="preserve">_LON </w:t>
      </w:r>
    </w:p>
    <w:p w14:paraId="0A48766D" w14:textId="3028023A"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817206">
        <w:rPr>
          <w:rFonts w:ascii="Arial" w:hAnsi="Arial" w:cs="Arial"/>
          <w:sz w:val="28"/>
          <w:szCs w:val="28"/>
          <w:lang w:val="nl-NL"/>
        </w:rPr>
        <w:t xml:space="preserve"> ORTENZIA ALEXANDRA BARCEA </w:t>
      </w:r>
    </w:p>
    <w:p w14:paraId="39AA4413" w14:textId="7618DFBE"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E10332">
        <w:rPr>
          <w:rFonts w:ascii="Arial" w:hAnsi="Arial" w:cs="Arial"/>
          <w:sz w:val="28"/>
          <w:szCs w:val="28"/>
          <w:lang w:val="nl-NL"/>
        </w:rPr>
        <w:t>2412822@STUDENT.UWTSD.AC.UK</w:t>
      </w:r>
    </w:p>
    <w:p w14:paraId="1A0B2D2B" w14:textId="1ED35EE0" w:rsidR="00074402" w:rsidRDefault="00B8304B"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CC692E">
        <w:rPr>
          <w:rFonts w:ascii="Arial" w:hAnsi="Arial" w:cs="Arial"/>
          <w:sz w:val="28"/>
          <w:szCs w:val="28"/>
        </w:rPr>
        <w:t xml:space="preserve"> MUHAMED KHAN </w:t>
      </w:r>
      <w:r w:rsidR="00E06EFB">
        <w:rPr>
          <w:rFonts w:ascii="Arial" w:hAnsi="Arial" w:cs="Arial"/>
          <w:sz w:val="28"/>
          <w:szCs w:val="28"/>
        </w:rPr>
        <w:t xml:space="preserve">  </w:t>
      </w:r>
    </w:p>
    <w:p w14:paraId="3DB6849D" w14:textId="77777777" w:rsidR="00E06EFB" w:rsidRDefault="00E06EFB" w:rsidP="00CD33A8">
      <w:pPr>
        <w:tabs>
          <w:tab w:val="left" w:pos="6540"/>
        </w:tabs>
        <w:spacing w:line="360" w:lineRule="auto"/>
        <w:rPr>
          <w:rFonts w:ascii="Arial" w:hAnsi="Arial" w:cs="Arial"/>
          <w:sz w:val="28"/>
          <w:szCs w:val="28"/>
        </w:rPr>
      </w:pPr>
    </w:p>
    <w:p w14:paraId="67C2F31C" w14:textId="77777777" w:rsidR="00053D77" w:rsidRDefault="00053D77" w:rsidP="00CD33A8">
      <w:pPr>
        <w:tabs>
          <w:tab w:val="left" w:pos="6540"/>
        </w:tabs>
        <w:spacing w:line="360" w:lineRule="auto"/>
        <w:rPr>
          <w:rFonts w:ascii="Arial" w:hAnsi="Arial" w:cs="Arial"/>
          <w:sz w:val="28"/>
          <w:szCs w:val="28"/>
        </w:rPr>
      </w:pPr>
      <w:r>
        <w:rPr>
          <w:rFonts w:ascii="Arial" w:hAnsi="Arial" w:cs="Arial"/>
          <w:sz w:val="28"/>
          <w:szCs w:val="28"/>
        </w:rPr>
        <w:t xml:space="preserve">                                                                    </w:t>
      </w:r>
    </w:p>
    <w:p w14:paraId="2DC011B9" w14:textId="77777777" w:rsidR="00053D77" w:rsidRDefault="00053D77" w:rsidP="00CD33A8">
      <w:pPr>
        <w:tabs>
          <w:tab w:val="left" w:pos="6540"/>
        </w:tabs>
        <w:spacing w:line="360" w:lineRule="auto"/>
        <w:rPr>
          <w:rFonts w:ascii="Arial" w:hAnsi="Arial" w:cs="Arial"/>
          <w:sz w:val="28"/>
          <w:szCs w:val="28"/>
        </w:rPr>
      </w:pPr>
    </w:p>
    <w:p w14:paraId="63D356BB" w14:textId="77777777" w:rsidR="00053D77" w:rsidRDefault="00053D77" w:rsidP="00CD33A8">
      <w:pPr>
        <w:tabs>
          <w:tab w:val="left" w:pos="6540"/>
        </w:tabs>
        <w:spacing w:line="360" w:lineRule="auto"/>
        <w:rPr>
          <w:rFonts w:ascii="Arial" w:hAnsi="Arial" w:cs="Arial"/>
          <w:sz w:val="28"/>
          <w:szCs w:val="28"/>
        </w:rPr>
      </w:pPr>
    </w:p>
    <w:p w14:paraId="304188D1" w14:textId="3C74B1BC" w:rsidR="00053D77" w:rsidRDefault="00053D77" w:rsidP="00CD33A8">
      <w:pPr>
        <w:tabs>
          <w:tab w:val="left" w:pos="6540"/>
        </w:tabs>
        <w:spacing w:line="360" w:lineRule="auto"/>
        <w:rPr>
          <w:rFonts w:ascii="Arial" w:hAnsi="Arial" w:cs="Arial"/>
          <w:sz w:val="28"/>
          <w:szCs w:val="28"/>
        </w:rPr>
      </w:pPr>
      <w:r>
        <w:rPr>
          <w:rFonts w:ascii="Arial" w:hAnsi="Arial" w:cs="Arial"/>
          <w:sz w:val="28"/>
          <w:szCs w:val="28"/>
        </w:rPr>
        <w:t xml:space="preserve"> </w:t>
      </w:r>
    </w:p>
    <w:p w14:paraId="0E723B06" w14:textId="2B1288E3" w:rsidR="00E06EFB" w:rsidRPr="00CD33A8" w:rsidRDefault="00053D77" w:rsidP="00CD33A8">
      <w:pPr>
        <w:tabs>
          <w:tab w:val="left" w:pos="6540"/>
        </w:tabs>
        <w:spacing w:line="360" w:lineRule="auto"/>
        <w:rPr>
          <w:rFonts w:ascii="Arial" w:hAnsi="Arial" w:cs="Arial"/>
          <w:sz w:val="28"/>
          <w:szCs w:val="28"/>
        </w:rPr>
      </w:pPr>
      <w:r>
        <w:rPr>
          <w:rFonts w:ascii="Arial" w:hAnsi="Arial" w:cs="Arial"/>
          <w:sz w:val="28"/>
          <w:szCs w:val="28"/>
        </w:rPr>
        <w:t xml:space="preserve">                                                                 </w:t>
      </w:r>
      <w:r w:rsidR="00E06EFB" w:rsidRPr="00053D77">
        <w:rPr>
          <w:rFonts w:ascii="Arial" w:hAnsi="Arial" w:cs="Arial"/>
          <w:b/>
          <w:bCs/>
          <w:sz w:val="28"/>
          <w:szCs w:val="28"/>
        </w:rPr>
        <w:t xml:space="preserve">SUBMITED: </w:t>
      </w:r>
      <w:r w:rsidR="00E06EFB">
        <w:rPr>
          <w:rFonts w:ascii="Arial" w:hAnsi="Arial" w:cs="Arial"/>
          <w:sz w:val="28"/>
          <w:szCs w:val="28"/>
        </w:rPr>
        <w:t xml:space="preserve">14 </w:t>
      </w:r>
      <w:r>
        <w:rPr>
          <w:rFonts w:ascii="Arial" w:hAnsi="Arial" w:cs="Arial"/>
          <w:sz w:val="28"/>
          <w:szCs w:val="28"/>
        </w:rPr>
        <w:t xml:space="preserve">AUGUST </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05AB2C84" w14:textId="25201E07" w:rsidR="00B87E75" w:rsidRPr="006A37F8" w:rsidRDefault="00B87E75" w:rsidP="006A37F8">
      <w:pPr>
        <w:spacing w:line="360" w:lineRule="auto"/>
        <w:rPr>
          <w:rFonts w:asciiTheme="minorBidi" w:hAnsiTheme="minorBidi"/>
          <w:sz w:val="22"/>
        </w:rPr>
      </w:pPr>
    </w:p>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35D67A83" w14:textId="77777777" w:rsidR="00593E15" w:rsidRDefault="00593E15" w:rsidP="00593E15">
      <w:pPr>
        <w:spacing w:line="360" w:lineRule="auto"/>
        <w:rPr>
          <w:rFonts w:asciiTheme="minorBidi" w:hAnsiTheme="minorBidi"/>
          <w:sz w:val="22"/>
        </w:rPr>
      </w:pPr>
    </w:p>
    <w:p w14:paraId="6AF46E85" w14:textId="77777777" w:rsidR="00593E15" w:rsidRDefault="00593E15" w:rsidP="00593E15">
      <w:pPr>
        <w:spacing w:line="360" w:lineRule="auto"/>
        <w:rPr>
          <w:rFonts w:asciiTheme="minorBidi" w:hAnsiTheme="minorBidi"/>
          <w:sz w:val="22"/>
        </w:rPr>
      </w:pPr>
    </w:p>
    <w:p w14:paraId="57E820C4" w14:textId="77777777" w:rsidR="00593E15" w:rsidRDefault="00593E15" w:rsidP="00593E15">
      <w:pPr>
        <w:spacing w:line="360" w:lineRule="auto"/>
        <w:rPr>
          <w:rFonts w:asciiTheme="minorBidi" w:hAnsiTheme="minorBidi"/>
          <w:sz w:val="22"/>
        </w:rPr>
      </w:pPr>
    </w:p>
    <w:p w14:paraId="035A658F" w14:textId="77777777" w:rsidR="00593E15" w:rsidRDefault="00593E15" w:rsidP="00593E15">
      <w:pPr>
        <w:spacing w:line="360" w:lineRule="auto"/>
        <w:rPr>
          <w:rFonts w:asciiTheme="minorBidi" w:hAnsiTheme="minorBidi"/>
          <w:sz w:val="22"/>
        </w:rPr>
      </w:pPr>
    </w:p>
    <w:p w14:paraId="416C2BD7" w14:textId="77777777" w:rsidR="00593E15" w:rsidRDefault="00593E15" w:rsidP="00593E15">
      <w:pPr>
        <w:spacing w:line="360" w:lineRule="auto"/>
        <w:rPr>
          <w:rFonts w:asciiTheme="minorBidi" w:hAnsiTheme="minorBidi"/>
          <w:sz w:val="22"/>
        </w:rPr>
      </w:pPr>
    </w:p>
    <w:p w14:paraId="114789CE" w14:textId="77777777" w:rsidR="00593E15" w:rsidRDefault="00593E15" w:rsidP="00593E15">
      <w:pPr>
        <w:spacing w:line="360" w:lineRule="auto"/>
        <w:rPr>
          <w:rFonts w:asciiTheme="minorBidi" w:hAnsiTheme="minorBidi"/>
          <w:sz w:val="22"/>
        </w:rPr>
      </w:pPr>
    </w:p>
    <w:p w14:paraId="0B107C6B" w14:textId="77777777" w:rsidR="00593E15" w:rsidRDefault="00593E15" w:rsidP="00593E15">
      <w:pPr>
        <w:spacing w:line="360" w:lineRule="auto"/>
        <w:rPr>
          <w:rFonts w:asciiTheme="minorBidi" w:hAnsiTheme="minorBidi"/>
          <w:sz w:val="22"/>
        </w:rPr>
      </w:pPr>
    </w:p>
    <w:p w14:paraId="177FC08D" w14:textId="77777777" w:rsidR="00593E15" w:rsidRDefault="00593E15" w:rsidP="00593E15">
      <w:pPr>
        <w:spacing w:line="360" w:lineRule="auto"/>
        <w:rPr>
          <w:rFonts w:asciiTheme="minorBidi" w:hAnsiTheme="minorBidi"/>
          <w:sz w:val="22"/>
        </w:rPr>
      </w:pPr>
    </w:p>
    <w:p w14:paraId="032EF3A7" w14:textId="77777777" w:rsidR="00593E15" w:rsidRDefault="00593E15" w:rsidP="00593E15">
      <w:pPr>
        <w:spacing w:line="360" w:lineRule="auto"/>
        <w:rPr>
          <w:rFonts w:asciiTheme="minorBidi" w:hAnsiTheme="minorBidi"/>
          <w:sz w:val="22"/>
        </w:rPr>
      </w:pPr>
    </w:p>
    <w:p w14:paraId="05FEBD32" w14:textId="77777777" w:rsidR="00593E15" w:rsidRDefault="00593E15" w:rsidP="00593E15">
      <w:pPr>
        <w:spacing w:line="360" w:lineRule="auto"/>
        <w:rPr>
          <w:rFonts w:asciiTheme="minorBidi" w:hAnsiTheme="minorBidi"/>
          <w:sz w:val="22"/>
        </w:rPr>
      </w:pPr>
    </w:p>
    <w:p w14:paraId="39E7FBC7" w14:textId="77777777" w:rsidR="00593E15" w:rsidRDefault="00593E15" w:rsidP="00593E15">
      <w:pPr>
        <w:spacing w:line="360" w:lineRule="auto"/>
        <w:rPr>
          <w:rFonts w:asciiTheme="minorBidi" w:hAnsiTheme="minorBidi"/>
          <w:sz w:val="22"/>
        </w:rPr>
      </w:pPr>
    </w:p>
    <w:p w14:paraId="7F6FA91B" w14:textId="77777777" w:rsidR="00593E15" w:rsidRDefault="00593E15" w:rsidP="00593E15">
      <w:pPr>
        <w:spacing w:line="360" w:lineRule="auto"/>
        <w:rPr>
          <w:rFonts w:asciiTheme="minorBidi" w:hAnsiTheme="minorBidi"/>
          <w:sz w:val="22"/>
        </w:rPr>
      </w:pPr>
    </w:p>
    <w:p w14:paraId="0C9B73A6" w14:textId="77777777" w:rsidR="00901493" w:rsidRPr="00901493" w:rsidRDefault="00901493" w:rsidP="00593E15">
      <w:pPr>
        <w:spacing w:line="360" w:lineRule="auto"/>
        <w:rPr>
          <w:rFonts w:ascii="Arial" w:hAnsi="Arial" w:cs="Arial"/>
          <w:sz w:val="22"/>
        </w:rPr>
      </w:pPr>
    </w:p>
    <w:p w14:paraId="0A74F480" w14:textId="77777777" w:rsidR="00593E15" w:rsidRDefault="00593E15" w:rsidP="00593E15">
      <w:pPr>
        <w:spacing w:line="360" w:lineRule="auto"/>
        <w:rPr>
          <w:rFonts w:asciiTheme="minorBidi" w:hAnsiTheme="minorBidi"/>
          <w:sz w:val="22"/>
        </w:rPr>
      </w:pPr>
    </w:p>
    <w:p w14:paraId="4AEB1C14" w14:textId="77777777" w:rsidR="00593E15" w:rsidRDefault="00593E15" w:rsidP="00593E15">
      <w:pPr>
        <w:spacing w:line="360" w:lineRule="auto"/>
        <w:rPr>
          <w:rFonts w:asciiTheme="minorBidi" w:hAnsiTheme="minorBidi"/>
          <w:sz w:val="22"/>
        </w:rPr>
      </w:pPr>
    </w:p>
    <w:p w14:paraId="1516E56E" w14:textId="77777777" w:rsidR="00593E15" w:rsidRDefault="00593E15" w:rsidP="00593E15">
      <w:pPr>
        <w:spacing w:line="360" w:lineRule="auto"/>
        <w:rPr>
          <w:rFonts w:asciiTheme="minorBidi" w:hAnsiTheme="minorBidi"/>
          <w:sz w:val="22"/>
        </w:rPr>
      </w:pPr>
    </w:p>
    <w:p w14:paraId="1D6E5B53" w14:textId="77777777" w:rsidR="00593E15" w:rsidRDefault="00593E15" w:rsidP="00593E15">
      <w:pPr>
        <w:spacing w:line="360" w:lineRule="auto"/>
        <w:rPr>
          <w:rFonts w:asciiTheme="minorBidi" w:hAnsiTheme="minorBidi"/>
          <w:sz w:val="22"/>
        </w:rPr>
      </w:pPr>
    </w:p>
    <w:p w14:paraId="297DCE74" w14:textId="77777777" w:rsidR="00593E15" w:rsidRDefault="00593E15" w:rsidP="00593E15">
      <w:pPr>
        <w:spacing w:line="360" w:lineRule="auto"/>
        <w:rPr>
          <w:rFonts w:asciiTheme="minorBidi" w:hAnsiTheme="minorBidi"/>
          <w:sz w:val="22"/>
        </w:rPr>
      </w:pPr>
    </w:p>
    <w:p w14:paraId="1682363E" w14:textId="77777777" w:rsidR="00593E15" w:rsidRDefault="00593E15" w:rsidP="00593E15">
      <w:pPr>
        <w:spacing w:line="360" w:lineRule="auto"/>
        <w:rPr>
          <w:rFonts w:asciiTheme="minorBidi" w:hAnsiTheme="minorBidi"/>
          <w:sz w:val="22"/>
        </w:rPr>
      </w:pPr>
    </w:p>
    <w:p w14:paraId="4D48C423" w14:textId="77777777" w:rsidR="00593E15" w:rsidRDefault="00593E15" w:rsidP="00593E15">
      <w:pPr>
        <w:spacing w:line="360" w:lineRule="auto"/>
        <w:rPr>
          <w:rFonts w:asciiTheme="minorBidi" w:hAnsiTheme="minorBidi"/>
          <w:sz w:val="22"/>
        </w:rPr>
      </w:pPr>
    </w:p>
    <w:p w14:paraId="452B9D76" w14:textId="77777777" w:rsidR="00593E15" w:rsidRDefault="00593E15" w:rsidP="00593E15">
      <w:pPr>
        <w:spacing w:line="360" w:lineRule="auto"/>
        <w:rPr>
          <w:b/>
          <w:bCs/>
          <w:sz w:val="32"/>
          <w:szCs w:val="32"/>
        </w:rPr>
      </w:pPr>
    </w:p>
    <w:p w14:paraId="3B36F978" w14:textId="77777777" w:rsidR="006A37F8" w:rsidRDefault="006A37F8" w:rsidP="00593E15">
      <w:pPr>
        <w:spacing w:line="360" w:lineRule="auto"/>
        <w:rPr>
          <w:b/>
          <w:bCs/>
          <w:sz w:val="32"/>
          <w:szCs w:val="32"/>
        </w:rPr>
      </w:pPr>
    </w:p>
    <w:p w14:paraId="51092837" w14:textId="77777777" w:rsidR="004B03A3" w:rsidRDefault="004B03A3" w:rsidP="00593E15">
      <w:pPr>
        <w:spacing w:line="360" w:lineRule="auto"/>
        <w:rPr>
          <w:b/>
          <w:bCs/>
          <w:sz w:val="32"/>
          <w:szCs w:val="32"/>
        </w:rPr>
      </w:pPr>
    </w:p>
    <w:p w14:paraId="6A16E3EA" w14:textId="77777777" w:rsidR="00D2301A" w:rsidRPr="00FF3274" w:rsidRDefault="00B8304B" w:rsidP="006646A5">
      <w:pPr>
        <w:pStyle w:val="NormalWeb"/>
        <w:spacing w:line="360" w:lineRule="auto"/>
        <w:jc w:val="both"/>
        <w:rPr>
          <w:rFonts w:ascii="AriEL" w:hAnsi="AriEL"/>
          <w:b/>
          <w:bCs/>
          <w:sz w:val="28"/>
          <w:szCs w:val="28"/>
        </w:rPr>
      </w:pPr>
      <w:r w:rsidRPr="00593E15">
        <w:rPr>
          <w:b/>
          <w:bCs/>
          <w:sz w:val="32"/>
          <w:szCs w:val="32"/>
        </w:rPr>
        <w:lastRenderedPageBreak/>
        <w:t xml:space="preserve">Topic: </w:t>
      </w:r>
      <w:r w:rsidR="00D2301A" w:rsidRPr="00FF3274">
        <w:rPr>
          <w:rStyle w:val="Strong"/>
          <w:rFonts w:ascii="AriEL" w:hAnsi="AriEL"/>
          <w:b w:val="0"/>
          <w:bCs w:val="0"/>
          <w:sz w:val="28"/>
          <w:szCs w:val="28"/>
        </w:rPr>
        <w:t>The Implementation and Impact of Trauma</w:t>
      </w:r>
      <w:r w:rsidR="00D2301A" w:rsidRPr="00FF3274">
        <w:rPr>
          <w:rStyle w:val="Strong"/>
          <w:rFonts w:ascii="AriEL" w:hAnsi="AriEL"/>
          <w:b w:val="0"/>
          <w:bCs w:val="0"/>
          <w:sz w:val="28"/>
          <w:szCs w:val="28"/>
        </w:rPr>
        <w:noBreakHyphen/>
        <w:t>Informed Care in UK Health and Social Care Settings</w:t>
      </w:r>
    </w:p>
    <w:p w14:paraId="12D76753" w14:textId="5785821F" w:rsidR="00B87E75" w:rsidRPr="00CD33A8" w:rsidRDefault="00B87E75" w:rsidP="002B2E1B">
      <w:pPr>
        <w:pStyle w:val="Heading1"/>
        <w:rPr>
          <w:rFonts w:hint="eastAsia"/>
        </w:rPr>
      </w:pPr>
      <w:r w:rsidRPr="00CD33A8">
        <w:t>Introduction</w:t>
      </w:r>
    </w:p>
    <w:p w14:paraId="0A326F86" w14:textId="77777777" w:rsidR="00A95A57" w:rsidRDefault="004F22D3" w:rsidP="006646A5">
      <w:pPr>
        <w:pStyle w:val="isselectedend"/>
        <w:spacing w:line="360" w:lineRule="auto"/>
        <w:jc w:val="both"/>
        <w:rPr>
          <w:rFonts w:ascii="Arial" w:hAnsi="Arial" w:cs="Arial"/>
          <w:sz w:val="22"/>
          <w:szCs w:val="22"/>
        </w:rPr>
      </w:pPr>
      <w:r w:rsidRPr="00892DC8">
        <w:rPr>
          <w:rFonts w:ascii="Arial" w:hAnsi="Arial" w:cs="Arial"/>
          <w:sz w:val="22"/>
          <w:szCs w:val="22"/>
        </w:rPr>
        <w:t xml:space="preserve">Trauma is </w:t>
      </w:r>
      <w:r w:rsidR="002B3091" w:rsidRPr="00892DC8">
        <w:rPr>
          <w:rFonts w:ascii="Arial" w:hAnsi="Arial" w:cs="Arial"/>
          <w:sz w:val="22"/>
          <w:szCs w:val="22"/>
        </w:rPr>
        <w:t xml:space="preserve">increasingly </w:t>
      </w:r>
      <w:r w:rsidR="00923ACB" w:rsidRPr="00892DC8">
        <w:rPr>
          <w:rFonts w:ascii="Arial" w:hAnsi="Arial" w:cs="Arial"/>
          <w:sz w:val="22"/>
          <w:szCs w:val="22"/>
        </w:rPr>
        <w:t>recognised as</w:t>
      </w:r>
      <w:r w:rsidRPr="00892DC8">
        <w:rPr>
          <w:rFonts w:ascii="Arial" w:hAnsi="Arial" w:cs="Arial"/>
          <w:sz w:val="22"/>
          <w:szCs w:val="22"/>
        </w:rPr>
        <w:t xml:space="preserve"> a significant public health issue that affects individuals throughout their lives and has substantial implications for health and social care services. Exposure to traumatic events, including physical or sexual abuse, domestic violence, neglect, adverse childhood experiences (ACEs), bereavement, and other forms of violence or discrimination, can have long-lasting effects on physical health, mental wellbeing, and social functioning (Substance Abuse and Mental Health Services Administration (SAMHSA), 2014). </w:t>
      </w:r>
    </w:p>
    <w:p w14:paraId="6F3B1859" w14:textId="77777777" w:rsidR="00143199" w:rsidRDefault="004F22D3" w:rsidP="006646A5">
      <w:pPr>
        <w:pStyle w:val="isselectedend"/>
        <w:spacing w:line="360" w:lineRule="auto"/>
        <w:jc w:val="both"/>
        <w:rPr>
          <w:rFonts w:ascii="Arial" w:hAnsi="Arial" w:cs="Arial"/>
          <w:sz w:val="22"/>
          <w:szCs w:val="22"/>
        </w:rPr>
      </w:pPr>
      <w:r w:rsidRPr="00892DC8">
        <w:rPr>
          <w:rFonts w:ascii="Arial" w:hAnsi="Arial" w:cs="Arial"/>
          <w:sz w:val="22"/>
          <w:szCs w:val="22"/>
        </w:rPr>
        <w:t>Research has demonstrated that individuals who experience trauma are at increased risk of developing anxiety disorders, depression, post-traumatic stress disorder (PTSD), substance misuse, self-harm, and chronic physical illnesses, leading to greater demand for health and social care services (</w:t>
      </w:r>
      <w:r w:rsidR="00A15AD7" w:rsidRPr="00892DC8">
        <w:rPr>
          <w:rFonts w:ascii="Arial" w:hAnsi="Arial" w:cs="Arial"/>
          <w:sz w:val="22"/>
          <w:szCs w:val="22"/>
        </w:rPr>
        <w:t>Felita</w:t>
      </w:r>
      <w:r w:rsidRPr="00892DC8">
        <w:rPr>
          <w:rFonts w:ascii="Arial" w:hAnsi="Arial" w:cs="Arial"/>
          <w:sz w:val="22"/>
          <w:szCs w:val="22"/>
        </w:rPr>
        <w:t xml:space="preserve"> et al., 1998; NHS England, 2022).</w:t>
      </w:r>
      <w:r w:rsidR="008E6B6B" w:rsidRPr="00892DC8">
        <w:rPr>
          <w:rFonts w:ascii="Arial" w:hAnsi="Arial" w:cs="Arial"/>
          <w:sz w:val="22"/>
          <w:szCs w:val="22"/>
        </w:rPr>
        <w:t xml:space="preserve"> Trauma can </w:t>
      </w:r>
      <w:r w:rsidR="002B3091" w:rsidRPr="00892DC8">
        <w:rPr>
          <w:rFonts w:ascii="Arial" w:hAnsi="Arial" w:cs="Arial"/>
          <w:sz w:val="22"/>
          <w:szCs w:val="22"/>
        </w:rPr>
        <w:t>be defined</w:t>
      </w:r>
      <w:r w:rsidR="008E6B6B" w:rsidRPr="00892DC8">
        <w:rPr>
          <w:rFonts w:ascii="Arial" w:hAnsi="Arial" w:cs="Arial"/>
          <w:sz w:val="22"/>
          <w:szCs w:val="22"/>
        </w:rPr>
        <w:t xml:space="preserve"> as an emotional and psychological response to an event or series of events that overwhelms an individual's ability to cope. </w:t>
      </w:r>
    </w:p>
    <w:p w14:paraId="3A9D0F34" w14:textId="77777777" w:rsidR="00143199" w:rsidRDefault="008E6B6B" w:rsidP="006646A5">
      <w:pPr>
        <w:pStyle w:val="isselectedend"/>
        <w:spacing w:line="360" w:lineRule="auto"/>
        <w:jc w:val="both"/>
        <w:rPr>
          <w:rFonts w:ascii="Arial" w:hAnsi="Arial" w:cs="Arial"/>
          <w:sz w:val="22"/>
          <w:szCs w:val="22"/>
        </w:rPr>
      </w:pPr>
      <w:r w:rsidRPr="00892DC8">
        <w:rPr>
          <w:rFonts w:ascii="Arial" w:hAnsi="Arial" w:cs="Arial"/>
          <w:sz w:val="22"/>
          <w:szCs w:val="22"/>
        </w:rPr>
        <w:t xml:space="preserve">Trauma may result from a single incident (acute trauma), repeated exposure to stressful events (chronic trauma), or prolonged interpersonal experiences such as childhood abuse or neglect (complex trauma). Importantly, individuals respond differently to traumatic experiences depending on factors such as resilience, previous experiences, available support networks, and social circumstances (SAMHSA, 2014). Consequently, health and social care professionals increasingly recognise that trauma should </w:t>
      </w:r>
      <w:r w:rsidR="002B3091" w:rsidRPr="00892DC8">
        <w:rPr>
          <w:rFonts w:ascii="Arial" w:hAnsi="Arial" w:cs="Arial"/>
          <w:sz w:val="22"/>
          <w:szCs w:val="22"/>
        </w:rPr>
        <w:t xml:space="preserve">be </w:t>
      </w:r>
      <w:r w:rsidR="00FF3274" w:rsidRPr="00892DC8">
        <w:rPr>
          <w:rFonts w:ascii="Arial" w:hAnsi="Arial" w:cs="Arial"/>
          <w:sz w:val="22"/>
          <w:szCs w:val="22"/>
        </w:rPr>
        <w:t xml:space="preserve">understood </w:t>
      </w:r>
      <w:r w:rsidR="00A95A57" w:rsidRPr="00892DC8">
        <w:rPr>
          <w:rFonts w:ascii="Arial" w:hAnsi="Arial" w:cs="Arial"/>
          <w:sz w:val="22"/>
          <w:szCs w:val="22"/>
        </w:rPr>
        <w:t>within the</w:t>
      </w:r>
      <w:r w:rsidRPr="00892DC8">
        <w:rPr>
          <w:rFonts w:ascii="Arial" w:hAnsi="Arial" w:cs="Arial"/>
          <w:sz w:val="22"/>
          <w:szCs w:val="22"/>
        </w:rPr>
        <w:t xml:space="preserve"> broader context of a person's life experiences rather than focusing solely on presenting </w:t>
      </w:r>
      <w:r w:rsidR="00FF3274" w:rsidRPr="00892DC8">
        <w:rPr>
          <w:rFonts w:ascii="Arial" w:hAnsi="Arial" w:cs="Arial"/>
          <w:sz w:val="22"/>
          <w:szCs w:val="22"/>
        </w:rPr>
        <w:t xml:space="preserve">symptoms. </w:t>
      </w:r>
    </w:p>
    <w:p w14:paraId="4E98FDC9" w14:textId="49220EC2" w:rsidR="00143199" w:rsidRDefault="00FF3274" w:rsidP="006646A5">
      <w:pPr>
        <w:pStyle w:val="isselectedend"/>
        <w:spacing w:line="360" w:lineRule="auto"/>
        <w:jc w:val="both"/>
        <w:rPr>
          <w:rFonts w:ascii="Arial" w:hAnsi="Arial" w:cs="Arial"/>
          <w:sz w:val="22"/>
          <w:szCs w:val="22"/>
        </w:rPr>
      </w:pPr>
      <w:r w:rsidRPr="00892DC8">
        <w:rPr>
          <w:rFonts w:ascii="Arial" w:hAnsi="Arial" w:cs="Arial"/>
          <w:sz w:val="22"/>
          <w:szCs w:val="22"/>
        </w:rPr>
        <w:t>Trauma</w:t>
      </w:r>
      <w:r w:rsidR="008E6B6B" w:rsidRPr="00892DC8">
        <w:rPr>
          <w:rFonts w:ascii="Arial" w:hAnsi="Arial" w:cs="Arial"/>
          <w:sz w:val="22"/>
          <w:szCs w:val="22"/>
        </w:rPr>
        <w:t xml:space="preserve">-Informed Care (TIC) is an organisational approach that acknowledges the widespread impact of trauma and seeks to create services that promote safety, trust, collaboration, empowerment, and cultural sensitivity. Rather than asking, "What is wrong with you?", trauma-informed care encourages practitioners to ask, "What has happened to you?", thereby recognising the influence of trauma on health behaviours and service engagement (Sweeney et al., 2018). </w:t>
      </w:r>
    </w:p>
    <w:p w14:paraId="74BC0A8B" w14:textId="0DD210D7" w:rsidR="00143199" w:rsidRDefault="008A2F24" w:rsidP="00143199">
      <w:pPr>
        <w:pStyle w:val="isselectedend"/>
        <w:spacing w:line="360" w:lineRule="auto"/>
        <w:jc w:val="both"/>
        <w:rPr>
          <w:rFonts w:ascii="Arial" w:hAnsi="Arial" w:cs="Arial"/>
          <w:sz w:val="22"/>
          <w:szCs w:val="22"/>
        </w:rPr>
      </w:pPr>
      <w:r w:rsidRPr="00A15AD7">
        <w:rPr>
          <w:rFonts w:ascii="Arial" w:hAnsi="Arial" w:cs="Arial"/>
        </w:rPr>
        <w:t xml:space="preserve"> NHS England </w:t>
      </w:r>
      <w:r w:rsidRPr="00143199">
        <w:rPr>
          <w:rFonts w:ascii="Arial" w:hAnsi="Arial" w:cs="Arial"/>
          <w:sz w:val="22"/>
          <w:szCs w:val="22"/>
        </w:rPr>
        <w:t xml:space="preserve">(2022) has identified trauma-informed approaches as essential for improving patient experiences, particularly within mental health, community services, and integrated care systems. Similarly, the Care Quality Commission (2021) emphasises the importance of </w:t>
      </w:r>
      <w:r w:rsidRPr="00143199">
        <w:rPr>
          <w:rFonts w:ascii="Arial" w:hAnsi="Arial" w:cs="Arial"/>
          <w:sz w:val="22"/>
          <w:szCs w:val="22"/>
        </w:rPr>
        <w:lastRenderedPageBreak/>
        <w:t xml:space="preserve">providing compassionate, person-centred care that recognises the impact of trauma on individuals accessing services. </w:t>
      </w:r>
    </w:p>
    <w:p w14:paraId="68C232E2" w14:textId="77777777" w:rsidR="00143199" w:rsidRDefault="008A2F24" w:rsidP="00143199">
      <w:pPr>
        <w:pStyle w:val="isselectedend"/>
        <w:spacing w:line="360" w:lineRule="auto"/>
        <w:jc w:val="both"/>
        <w:rPr>
          <w:rFonts w:ascii="Arial" w:hAnsi="Arial" w:cs="Arial"/>
          <w:sz w:val="22"/>
          <w:szCs w:val="22"/>
        </w:rPr>
      </w:pPr>
      <w:r w:rsidRPr="00143199">
        <w:rPr>
          <w:rFonts w:ascii="Arial" w:hAnsi="Arial" w:cs="Arial"/>
          <w:sz w:val="22"/>
          <w:szCs w:val="22"/>
        </w:rPr>
        <w:t xml:space="preserve">The increasing recognition of trauma-informed practice reflects a broader commitment to reducing health inequalities, improving patient safety, and delivering more holistic models of care across the NHS and wider social care </w:t>
      </w:r>
      <w:r w:rsidR="00143199" w:rsidRPr="00143199">
        <w:rPr>
          <w:rFonts w:ascii="Arial" w:hAnsi="Arial" w:cs="Arial"/>
          <w:sz w:val="22"/>
          <w:szCs w:val="22"/>
        </w:rPr>
        <w:t>sector. Despite</w:t>
      </w:r>
      <w:r w:rsidRPr="00143199">
        <w:rPr>
          <w:rFonts w:ascii="Arial" w:hAnsi="Arial" w:cs="Arial"/>
          <w:sz w:val="22"/>
          <w:szCs w:val="22"/>
        </w:rPr>
        <w:t xml:space="preserve"> growing support for trauma-informed care, evidence regarding its implementation across UK health and social care settings remains varied. While </w:t>
      </w:r>
      <w:r w:rsidR="00B00DEE" w:rsidRPr="00143199">
        <w:rPr>
          <w:rFonts w:ascii="Arial" w:hAnsi="Arial" w:cs="Arial"/>
          <w:sz w:val="22"/>
          <w:szCs w:val="22"/>
        </w:rPr>
        <w:t>several l</w:t>
      </w:r>
      <w:r w:rsidRPr="00143199">
        <w:rPr>
          <w:rFonts w:ascii="Arial" w:hAnsi="Arial" w:cs="Arial"/>
          <w:sz w:val="22"/>
          <w:szCs w:val="22"/>
        </w:rPr>
        <w:t xml:space="preserve"> studies report improvements in service-user engagement, staff understanding, and organisational culture, barriers such as limited workforce training, resource constraints, and inconsistent implementation continue to affect the adoption of trauma-informed approaches.</w:t>
      </w:r>
    </w:p>
    <w:p w14:paraId="0F7D7609" w14:textId="43B44D47" w:rsidR="0026393A" w:rsidRPr="00CD33A8" w:rsidRDefault="0026393A" w:rsidP="002B2E1B">
      <w:pPr>
        <w:pStyle w:val="Heading1"/>
        <w:rPr>
          <w:rFonts w:hint="eastAsia"/>
        </w:rPr>
      </w:pPr>
      <w:r w:rsidRPr="00CD33A8">
        <w:t>Background</w:t>
      </w:r>
    </w:p>
    <w:p w14:paraId="19437857" w14:textId="77777777" w:rsidR="00BC71F4" w:rsidRDefault="002565E3" w:rsidP="00A360B3">
      <w:pPr>
        <w:pStyle w:val="isselectedend"/>
        <w:spacing w:line="360" w:lineRule="auto"/>
        <w:jc w:val="both"/>
        <w:rPr>
          <w:rFonts w:ascii="AriEL" w:hAnsi="AriEL"/>
        </w:rPr>
      </w:pPr>
      <w:r w:rsidRPr="00A360B3">
        <w:rPr>
          <w:rFonts w:ascii="AriEL" w:hAnsi="AriEL" w:cs="Arial"/>
          <w:sz w:val="22"/>
          <w:szCs w:val="22"/>
        </w:rPr>
        <w:t>Trauma is recognised as a significant public health issue that affects people of all ages and backgrounds. Traumatic experiences may occur during childhood or adulthood and include physical, emotional</w:t>
      </w:r>
      <w:r w:rsidR="00DF14B1" w:rsidRPr="00A360B3">
        <w:rPr>
          <w:rFonts w:ascii="AriEL" w:hAnsi="AriEL" w:cs="Arial"/>
          <w:sz w:val="22"/>
          <w:szCs w:val="22"/>
        </w:rPr>
        <w:t>,</w:t>
      </w:r>
      <w:r w:rsidRPr="00A360B3">
        <w:rPr>
          <w:rFonts w:ascii="AriEL" w:hAnsi="AriEL" w:cs="Arial"/>
          <w:sz w:val="22"/>
          <w:szCs w:val="22"/>
        </w:rPr>
        <w:t xml:space="preserve"> or sexual abuse, domestic violence, neglect, exploitation, serious accidents, discrimination, homelessness, bereavement, or exposure to conflict and </w:t>
      </w:r>
      <w:r w:rsidR="00A360B3" w:rsidRPr="00A360B3">
        <w:rPr>
          <w:rFonts w:ascii="AriEL" w:hAnsi="AriEL" w:cs="Arial"/>
          <w:sz w:val="22"/>
          <w:szCs w:val="22"/>
        </w:rPr>
        <w:t>violence. Such</w:t>
      </w:r>
      <w:r w:rsidRPr="00A360B3">
        <w:rPr>
          <w:rFonts w:ascii="AriEL" w:hAnsi="AriEL" w:cs="Arial"/>
          <w:sz w:val="22"/>
          <w:szCs w:val="22"/>
        </w:rPr>
        <w:t xml:space="preserve"> experiences can have long-term consequences for an individual's physical health, mental wellbeing, relationships, education, employment, and overall quality of life (</w:t>
      </w:r>
      <w:r w:rsidR="005224A0" w:rsidRPr="00A360B3">
        <w:rPr>
          <w:rFonts w:ascii="AriEL" w:hAnsi="AriEL" w:cs="Arial"/>
          <w:sz w:val="22"/>
          <w:szCs w:val="22"/>
        </w:rPr>
        <w:t>Faletti</w:t>
      </w:r>
      <w:r w:rsidRPr="00A360B3">
        <w:rPr>
          <w:rFonts w:ascii="AriEL" w:hAnsi="AriEL" w:cs="Arial"/>
          <w:sz w:val="22"/>
          <w:szCs w:val="22"/>
        </w:rPr>
        <w:t xml:space="preserve"> et</w:t>
      </w:r>
      <w:r w:rsidRPr="00A360B3">
        <w:rPr>
          <w:rFonts w:ascii="AriEL" w:hAnsi="AriEL"/>
          <w:sz w:val="22"/>
          <w:szCs w:val="22"/>
        </w:rPr>
        <w:t xml:space="preserve"> al., 1998). The impact of trauma often extends beyond the individual, affecting families, communities, and the health and social care systems that provide ongoing </w:t>
      </w:r>
      <w:r w:rsidR="00A360B3" w:rsidRPr="00A360B3">
        <w:rPr>
          <w:rFonts w:ascii="AriEL" w:hAnsi="AriEL"/>
          <w:sz w:val="22"/>
          <w:szCs w:val="22"/>
        </w:rPr>
        <w:t>support.</w:t>
      </w:r>
      <w:r w:rsidR="00A360B3" w:rsidRPr="00014384">
        <w:rPr>
          <w:rFonts w:ascii="AriEL" w:hAnsi="AriEL"/>
        </w:rPr>
        <w:t xml:space="preserve"> </w:t>
      </w:r>
    </w:p>
    <w:p w14:paraId="75AF39C7" w14:textId="77777777" w:rsidR="00BC71F4" w:rsidRDefault="00BC71F4" w:rsidP="00A360B3">
      <w:pPr>
        <w:pStyle w:val="isselectedend"/>
        <w:spacing w:line="360" w:lineRule="auto"/>
        <w:jc w:val="both"/>
        <w:rPr>
          <w:rFonts w:ascii="AriEL" w:hAnsi="AriEL"/>
        </w:rPr>
      </w:pPr>
    </w:p>
    <w:p w14:paraId="3EDA0F04" w14:textId="4C6C66C4" w:rsidR="00FC6502" w:rsidRPr="00BC71F4" w:rsidRDefault="00A360B3" w:rsidP="00A360B3">
      <w:pPr>
        <w:pStyle w:val="isselectedend"/>
        <w:spacing w:line="360" w:lineRule="auto"/>
        <w:jc w:val="both"/>
        <w:rPr>
          <w:rFonts w:ascii="AriEL" w:hAnsi="AriEL"/>
          <w:sz w:val="22"/>
          <w:szCs w:val="22"/>
        </w:rPr>
      </w:pPr>
      <w:r w:rsidRPr="00014384">
        <w:rPr>
          <w:rFonts w:ascii="AriEL" w:hAnsi="AriEL"/>
        </w:rPr>
        <w:t>The</w:t>
      </w:r>
      <w:r w:rsidR="002565E3" w:rsidRPr="00014384">
        <w:rPr>
          <w:rFonts w:ascii="AriEL" w:hAnsi="AriEL"/>
        </w:rPr>
        <w:t xml:space="preserve"> relationship between trauma and health has become increasingly recognised through research on Adverse Childhood Experiences (ACEs). The landmark ACE study by </w:t>
      </w:r>
      <w:r w:rsidR="005224A0" w:rsidRPr="00014384">
        <w:rPr>
          <w:rFonts w:ascii="AriEL" w:hAnsi="AriEL"/>
        </w:rPr>
        <w:t>Faletti</w:t>
      </w:r>
      <w:r w:rsidR="002565E3" w:rsidRPr="00014384">
        <w:rPr>
          <w:rFonts w:ascii="AriEL" w:hAnsi="AriEL"/>
        </w:rPr>
        <w:t xml:space="preserve"> et al. (1998) demonstrated that childhood exposure to abuse, neglect, and household dysfunction is associated with an increased risk of developing mental illness, substance misuse, cardiovascular disease, diabetes, and other chronic health conditions later in life.</w:t>
      </w:r>
    </w:p>
    <w:p w14:paraId="07E7ADAF" w14:textId="65E34922" w:rsidR="002565E3" w:rsidRPr="00014384" w:rsidRDefault="002565E3" w:rsidP="006646A5">
      <w:pPr>
        <w:pStyle w:val="NormalWeb"/>
        <w:spacing w:line="360" w:lineRule="auto"/>
        <w:jc w:val="both"/>
        <w:rPr>
          <w:rFonts w:ascii="AriEL" w:hAnsi="AriEL"/>
        </w:rPr>
      </w:pPr>
      <w:r w:rsidRPr="00014384">
        <w:rPr>
          <w:rFonts w:ascii="AriEL" w:hAnsi="AriEL"/>
        </w:rPr>
        <w:t xml:space="preserve"> </w:t>
      </w:r>
    </w:p>
    <w:p w14:paraId="54F6A6C3" w14:textId="52FD49E8" w:rsidR="0098320D" w:rsidRPr="00014384" w:rsidRDefault="0098320D" w:rsidP="006646A5">
      <w:pPr>
        <w:pStyle w:val="isselectedend"/>
        <w:spacing w:line="360" w:lineRule="auto"/>
        <w:jc w:val="both"/>
        <w:rPr>
          <w:rFonts w:ascii="AriEL" w:hAnsi="AriEL"/>
        </w:rPr>
      </w:pPr>
      <w:r w:rsidRPr="00014384">
        <w:rPr>
          <w:rFonts w:ascii="AriEL" w:hAnsi="AriEL"/>
        </w:rPr>
        <w:t xml:space="preserve">Within the United Kingdom, awareness of trauma has increased </w:t>
      </w:r>
      <w:r w:rsidR="00991A83" w:rsidRPr="00014384">
        <w:rPr>
          <w:rFonts w:ascii="AriEL" w:hAnsi="AriEL"/>
        </w:rPr>
        <w:t>over</w:t>
      </w:r>
      <w:r w:rsidRPr="00014384">
        <w:rPr>
          <w:rFonts w:ascii="AriEL" w:hAnsi="AriEL"/>
        </w:rPr>
        <w:t xml:space="preserve"> the past decade. Health and social care organisations increasingly recognise that behaviours often viewed as challenging or non-compliant may instead represent coping strategies developed in </w:t>
      </w:r>
      <w:r w:rsidRPr="00014384">
        <w:rPr>
          <w:rFonts w:ascii="AriEL" w:hAnsi="AriEL"/>
        </w:rPr>
        <w:lastRenderedPageBreak/>
        <w:t>response to traumatic experiences (Sweeney et al., 2018). This shift has encouraged professionals to adopt more compassionate, person-centred approaches that acknowledge the underlying causes of distress rather than focusing solely on symptoms or behaviour.</w:t>
      </w:r>
    </w:p>
    <w:p w14:paraId="15687284" w14:textId="69914980" w:rsidR="0098320D" w:rsidRPr="00014384" w:rsidRDefault="0098320D" w:rsidP="006646A5">
      <w:pPr>
        <w:pStyle w:val="NormalWeb"/>
        <w:spacing w:line="360" w:lineRule="auto"/>
        <w:jc w:val="both"/>
        <w:rPr>
          <w:rFonts w:ascii="AriEL" w:hAnsi="AriEL"/>
        </w:rPr>
      </w:pPr>
      <w:r w:rsidRPr="00014384">
        <w:rPr>
          <w:rFonts w:ascii="AriEL" w:hAnsi="AriEL"/>
        </w:rPr>
        <w:t>The framework i</w:t>
      </w:r>
      <w:r w:rsidR="00DF14B1">
        <w:rPr>
          <w:rFonts w:ascii="AriEL" w:hAnsi="AriEL"/>
        </w:rPr>
        <w:t>s</w:t>
      </w:r>
      <w:r w:rsidRPr="00014384">
        <w:rPr>
          <w:rFonts w:ascii="AriEL" w:hAnsi="AriEL"/>
        </w:rPr>
        <w:t xml:space="preserve"> commonly underpinned by principles including safety, trustworthiness, collaboration, peer support, empowerment, and cultural awareness. Although SAMHSA is a United States framework, these principles have been</w:t>
      </w:r>
      <w:r w:rsidR="00DF14B1">
        <w:rPr>
          <w:rFonts w:ascii="AriEL" w:hAnsi="AriEL"/>
        </w:rPr>
        <w:t xml:space="preserve"> </w:t>
      </w:r>
      <w:r w:rsidRPr="00014384">
        <w:rPr>
          <w:rFonts w:ascii="AriEL" w:hAnsi="AriEL"/>
        </w:rPr>
        <w:t>widely adopted and adapted within UK health and social care services (Sweeney et al., 2018).</w:t>
      </w:r>
    </w:p>
    <w:p w14:paraId="1D6C3CF1" w14:textId="77777777" w:rsidR="00BC71F4" w:rsidRDefault="00BC71F4" w:rsidP="006646A5">
      <w:pPr>
        <w:pStyle w:val="isselectedend"/>
        <w:spacing w:line="360" w:lineRule="auto"/>
        <w:jc w:val="both"/>
        <w:rPr>
          <w:rFonts w:ascii="AriEL" w:hAnsi="AriEL"/>
        </w:rPr>
      </w:pPr>
    </w:p>
    <w:p w14:paraId="2269C08B" w14:textId="5E48798F" w:rsidR="00FC6502" w:rsidRDefault="00CA523A" w:rsidP="006646A5">
      <w:pPr>
        <w:pStyle w:val="isselectedend"/>
        <w:spacing w:line="360" w:lineRule="auto"/>
        <w:jc w:val="both"/>
        <w:rPr>
          <w:rFonts w:ascii="AriEL" w:hAnsi="AriEL"/>
        </w:rPr>
      </w:pPr>
      <w:r w:rsidRPr="00014384">
        <w:rPr>
          <w:rFonts w:ascii="AriEL" w:hAnsi="AriEL"/>
        </w:rPr>
        <w:t>The increasing emphasis on trauma-informed practice is reflected within UK policy and professional guidance. NHS England has promoted trauma-informed approaches across mental health, primary care, emergency care, and integrated care systems to improve patient experiences and support personalised care (NHS England, 2022).</w:t>
      </w:r>
    </w:p>
    <w:p w14:paraId="19036913" w14:textId="47690175" w:rsidR="00CA523A" w:rsidRPr="00014384" w:rsidRDefault="00CA523A" w:rsidP="006646A5">
      <w:pPr>
        <w:pStyle w:val="isselectedend"/>
        <w:spacing w:line="360" w:lineRule="auto"/>
        <w:jc w:val="both"/>
        <w:rPr>
          <w:rFonts w:ascii="AriEL" w:hAnsi="AriEL"/>
        </w:rPr>
      </w:pPr>
      <w:r w:rsidRPr="00014384">
        <w:rPr>
          <w:rFonts w:ascii="AriEL" w:hAnsi="AriEL"/>
        </w:rPr>
        <w:t xml:space="preserve"> Similarly, the Care Quality Commission (CQC) encourages providers to create caring, safe, and responsive services that recognise people's individual experiences and promote dignity, respect, and emotional safety (Care Quality Commission, 2021). Although trauma-informed care is not currently required by a single piece of legislation, its principles align closely with the person-centred values underpinning the Health and Social Care Act 2012, the Care Act 2014, and the Mental Health Act 1983 (as amended).</w:t>
      </w:r>
    </w:p>
    <w:p w14:paraId="31B57168" w14:textId="15AD4BEA" w:rsidR="00964148" w:rsidRDefault="00CA523A" w:rsidP="006646A5">
      <w:pPr>
        <w:pStyle w:val="isselectedend"/>
        <w:spacing w:line="360" w:lineRule="auto"/>
        <w:jc w:val="both"/>
        <w:rPr>
          <w:rFonts w:ascii="AriEL" w:hAnsi="AriEL"/>
        </w:rPr>
      </w:pPr>
      <w:r w:rsidRPr="00014384">
        <w:rPr>
          <w:rFonts w:ascii="AriEL" w:hAnsi="AriEL"/>
        </w:rPr>
        <w:t xml:space="preserve">The common aim across these settings is to create environments where individuals feel physically and psychologically safe while reducing the likelihood of re-traumatisation during interactions with professionals (NHS </w:t>
      </w:r>
      <w:r w:rsidR="00FE1C58" w:rsidRPr="00014384">
        <w:rPr>
          <w:rFonts w:ascii="AriEL" w:hAnsi="AriEL"/>
        </w:rPr>
        <w:t>Evidence</w:t>
      </w:r>
      <w:r w:rsidR="00EF12A9" w:rsidRPr="00014384">
        <w:rPr>
          <w:rFonts w:ascii="AriEL" w:hAnsi="AriEL"/>
        </w:rPr>
        <w:t xml:space="preserve"> suggests that implementing trauma-informed care can produce benefits for both service users and organisations. For service users, reported outcomes include improved trust in professionals, increased engagement with services, greater satisfaction with care, and better mental health outcomes (Sweeney et al., 2018).</w:t>
      </w:r>
    </w:p>
    <w:p w14:paraId="3964ADDD" w14:textId="2629EEA8" w:rsidR="008842F2" w:rsidRDefault="00EF12A9" w:rsidP="006646A5">
      <w:pPr>
        <w:pStyle w:val="isselectedend"/>
        <w:spacing w:line="360" w:lineRule="auto"/>
        <w:jc w:val="both"/>
        <w:rPr>
          <w:rFonts w:ascii="AriEL" w:hAnsi="AriEL"/>
        </w:rPr>
      </w:pPr>
      <w:r w:rsidRPr="00014384">
        <w:rPr>
          <w:rFonts w:ascii="AriEL" w:hAnsi="AriEL"/>
        </w:rPr>
        <w:t xml:space="preserve"> For organisations, trauma-informed practice has been associated with improved staff awareness, stronger therapeutic relationships, enhanced multidisciplinary working, and a more compassionate organisational culture. However, successful implementation </w:t>
      </w:r>
      <w:r w:rsidRPr="00014384">
        <w:rPr>
          <w:rFonts w:ascii="AriEL" w:hAnsi="AriEL"/>
        </w:rPr>
        <w:lastRenderedPageBreak/>
        <w:t>requires sustained leadership, organisational commitment, workforce education, and adequate resources.</w:t>
      </w:r>
    </w:p>
    <w:p w14:paraId="77CFF1B0" w14:textId="77777777" w:rsidR="00964148" w:rsidRDefault="00964148" w:rsidP="006646A5">
      <w:pPr>
        <w:pStyle w:val="isselectedend"/>
        <w:spacing w:line="360" w:lineRule="auto"/>
        <w:jc w:val="both"/>
        <w:rPr>
          <w:rFonts w:ascii="AriEL" w:hAnsi="AriEL"/>
        </w:rPr>
      </w:pPr>
    </w:p>
    <w:p w14:paraId="44B58629" w14:textId="18CC7C79" w:rsidR="008842F2" w:rsidRDefault="00EF12A9" w:rsidP="006646A5">
      <w:pPr>
        <w:pStyle w:val="isselectedend"/>
        <w:spacing w:line="360" w:lineRule="auto"/>
        <w:jc w:val="both"/>
        <w:rPr>
          <w:rFonts w:ascii="AriEL" w:hAnsi="AriEL"/>
        </w:rPr>
      </w:pPr>
      <w:r w:rsidRPr="00014384">
        <w:rPr>
          <w:rFonts w:ascii="AriEL" w:hAnsi="AriEL"/>
        </w:rPr>
        <w:t>Despite increasing recognition of trauma-informed care within UK policy and practice, implementation remains inconsistent across organisations. Wilson et al. (2023) identified barriers including limited staff training, insufficient funding, time pressures, workforce shortages, and uncertainty regarding how trauma-informed principles should be translated into routine clinical practice.</w:t>
      </w:r>
    </w:p>
    <w:p w14:paraId="30A257B7" w14:textId="7DDE9035" w:rsidR="008842F2" w:rsidRDefault="00EF12A9" w:rsidP="006646A5">
      <w:pPr>
        <w:pStyle w:val="isselectedend"/>
        <w:spacing w:line="360" w:lineRule="auto"/>
        <w:jc w:val="both"/>
        <w:rPr>
          <w:rFonts w:ascii="AriEL" w:hAnsi="AriEL"/>
        </w:rPr>
      </w:pPr>
      <w:r w:rsidRPr="00014384">
        <w:rPr>
          <w:rFonts w:ascii="AriEL" w:hAnsi="AriEL"/>
        </w:rPr>
        <w:t xml:space="preserve"> </w:t>
      </w:r>
    </w:p>
    <w:p w14:paraId="32E2B979" w14:textId="02E89B81" w:rsidR="00CA523A" w:rsidRPr="00014384" w:rsidRDefault="00774CE1" w:rsidP="006646A5">
      <w:pPr>
        <w:pStyle w:val="isselectedend"/>
        <w:spacing w:line="360" w:lineRule="auto"/>
        <w:jc w:val="both"/>
        <w:rPr>
          <w:rFonts w:ascii="AriEL" w:hAnsi="AriEL"/>
        </w:rPr>
      </w:pPr>
      <w:r w:rsidRPr="00014384">
        <w:rPr>
          <w:rFonts w:ascii="AriEL" w:hAnsi="AriEL"/>
        </w:rPr>
        <w:t>Conducting a scoping review enables existing research to be systematically mapped, identifies common themes relating to implementation and outcomes, and highlights gaps requiring further investigation. The findings may contribute to the continued development of trauma-informed practice and support evidence-informed improvements within UK health and social care services.</w:t>
      </w:r>
    </w:p>
    <w:p w14:paraId="648247DF" w14:textId="77777777" w:rsidR="00CA523A" w:rsidRDefault="00CA523A" w:rsidP="006646A5">
      <w:pPr>
        <w:pStyle w:val="NormalWeb"/>
        <w:spacing w:line="360" w:lineRule="auto"/>
        <w:jc w:val="both"/>
      </w:pPr>
    </w:p>
    <w:p w14:paraId="60B2CDC3" w14:textId="7AC48417" w:rsidR="00B87E75" w:rsidRPr="002B2E1B" w:rsidRDefault="00B87E75" w:rsidP="002B2E1B">
      <w:pPr>
        <w:pStyle w:val="Heading1"/>
        <w:rPr>
          <w:rFonts w:hint="eastAsia"/>
        </w:rPr>
      </w:pPr>
      <w:r w:rsidRPr="002B2E1B">
        <w:t>Method</w:t>
      </w:r>
      <w:r w:rsidR="003E4ECF" w:rsidRPr="002B2E1B">
        <w:t>s</w:t>
      </w:r>
    </w:p>
    <w:p w14:paraId="0D859549" w14:textId="77777777" w:rsidR="00D50378" w:rsidRPr="00D50378" w:rsidRDefault="00D50378" w:rsidP="006646A5">
      <w:pPr>
        <w:spacing w:before="100" w:beforeAutospacing="1" w:after="100" w:afterAutospacing="1" w:line="360" w:lineRule="auto"/>
        <w:jc w:val="both"/>
        <w:outlineLvl w:val="1"/>
        <w:rPr>
          <w:rFonts w:eastAsia="Times New Roman" w:cs="Times New Roman"/>
          <w:b/>
          <w:bCs/>
          <w:sz w:val="36"/>
          <w:szCs w:val="36"/>
          <w:lang w:eastAsia="en-GB"/>
        </w:rPr>
      </w:pPr>
      <w:r w:rsidRPr="00D50378">
        <w:rPr>
          <w:rFonts w:eastAsia="Times New Roman" w:cs="Times New Roman"/>
          <w:b/>
          <w:bCs/>
          <w:sz w:val="36"/>
          <w:szCs w:val="36"/>
          <w:lang w:eastAsia="en-GB"/>
        </w:rPr>
        <w:t>1 Research Design</w:t>
      </w:r>
    </w:p>
    <w:p w14:paraId="415F3A1F" w14:textId="45FE8DAF" w:rsidR="002B3F7C" w:rsidRDefault="00D50378"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 xml:space="preserve">This study adopted a scoping review methodology to investigate the implementation and impact of trauma-informed care (TIC) within UK health and social care settings. A scoping review </w:t>
      </w:r>
      <w:r w:rsidR="00BD4FC9" w:rsidRPr="00C07407">
        <w:rPr>
          <w:rFonts w:ascii="AriEL" w:eastAsia="Times New Roman" w:hAnsi="AriEL" w:cs="Times New Roman"/>
          <w:szCs w:val="24"/>
          <w:lang w:eastAsia="en-GB"/>
        </w:rPr>
        <w:t>was</w:t>
      </w:r>
      <w:r w:rsidR="00BD4FC9">
        <w:rPr>
          <w:rFonts w:ascii="AriEL" w:eastAsia="Times New Roman" w:hAnsi="AriEL" w:cs="Times New Roman"/>
          <w:szCs w:val="24"/>
          <w:lang w:eastAsia="en-GB"/>
        </w:rPr>
        <w:t xml:space="preserve"> </w:t>
      </w:r>
      <w:r w:rsidR="00BD4FC9" w:rsidRPr="00C07407">
        <w:rPr>
          <w:rFonts w:ascii="AriEL" w:eastAsia="Times New Roman" w:hAnsi="AriEL" w:cs="Times New Roman"/>
          <w:szCs w:val="24"/>
          <w:lang w:eastAsia="en-GB"/>
        </w:rPr>
        <w:t>considered</w:t>
      </w:r>
      <w:r w:rsidRPr="00C07407">
        <w:rPr>
          <w:rFonts w:ascii="AriEL" w:eastAsia="Times New Roman" w:hAnsi="AriEL" w:cs="Times New Roman"/>
          <w:szCs w:val="24"/>
          <w:lang w:eastAsia="en-GB"/>
        </w:rPr>
        <w:t xml:space="preserve"> the most appropriate research design because it enables researchers to explore the breadth of available evidence, identify key concepts, map existing research, and identify gaps within the literature. </w:t>
      </w:r>
    </w:p>
    <w:p w14:paraId="58BCD867" w14:textId="5CF367B6" w:rsidR="00D50378" w:rsidRPr="00C07407" w:rsidRDefault="00D50378"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 xml:space="preserve">Unlike a systematic review, which aims to answer a narrowly focused research question by evaluating intervention effectiveness, a scoping review is suitable for examining complex topics where research has </w:t>
      </w:r>
      <w:r w:rsidR="00BD4FC9" w:rsidRPr="00C07407">
        <w:rPr>
          <w:rFonts w:ascii="AriEL" w:eastAsia="Times New Roman" w:hAnsi="AriEL" w:cs="Times New Roman"/>
          <w:szCs w:val="24"/>
          <w:lang w:eastAsia="en-GB"/>
        </w:rPr>
        <w:t>been</w:t>
      </w:r>
      <w:r w:rsidR="00BD4FC9">
        <w:rPr>
          <w:rFonts w:ascii="AriEL" w:eastAsia="Times New Roman" w:hAnsi="AriEL" w:cs="Times New Roman"/>
          <w:szCs w:val="24"/>
          <w:lang w:eastAsia="en-GB"/>
        </w:rPr>
        <w:t>,</w:t>
      </w:r>
      <w:r w:rsidRPr="00C07407">
        <w:rPr>
          <w:rFonts w:ascii="AriEL" w:eastAsia="Times New Roman" w:hAnsi="AriEL" w:cs="Times New Roman"/>
          <w:szCs w:val="24"/>
          <w:lang w:eastAsia="en-GB"/>
        </w:rPr>
        <w:t xml:space="preserve"> conducted using different study designs (Arksey and O'Malley, 2005).</w:t>
      </w:r>
    </w:p>
    <w:p w14:paraId="1173B0B1" w14:textId="77777777" w:rsidR="00964148" w:rsidRDefault="00D50378"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lastRenderedPageBreak/>
        <w:t xml:space="preserve">The review followed the five-stage framework developed by Arksey and O'Malley (2005), which consists of identifying the review question, identifying relevant studies, selecting studies according to predetermined eligibility criteria, charting the extracted data, and collating and summarising the findings. </w:t>
      </w:r>
    </w:p>
    <w:p w14:paraId="5FC6BAD0" w14:textId="328E2023" w:rsidR="00D50378" w:rsidRPr="00C07407" w:rsidRDefault="00D50378"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This framework provides a transparent and systematic approach to reviewing literature and is widely used within health and social care research.</w:t>
      </w:r>
    </w:p>
    <w:p w14:paraId="0B338A06" w14:textId="77777777" w:rsidR="00066A81" w:rsidRPr="00C07407" w:rsidRDefault="00066A81"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b/>
          <w:bCs/>
          <w:szCs w:val="24"/>
          <w:lang w:eastAsia="en-GB"/>
        </w:rPr>
        <w:t>What is known from existing research about the implementation and impact of trauma-informed care in UK health and social care settings?</w:t>
      </w:r>
    </w:p>
    <w:p w14:paraId="5342B789" w14:textId="77777777" w:rsidR="00066A81" w:rsidRPr="00C07407" w:rsidRDefault="00066A81"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The objectives of the review were to:</w:t>
      </w:r>
    </w:p>
    <w:p w14:paraId="4187D4D1" w14:textId="55F9D74D" w:rsidR="00066A81" w:rsidRPr="00C07407" w:rsidRDefault="00066A81" w:rsidP="006646A5">
      <w:pPr>
        <w:numPr>
          <w:ilvl w:val="0"/>
          <w:numId w:val="1"/>
        </w:num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 xml:space="preserve">map current evidence relating to trauma-informed care models used within UK health and social care </w:t>
      </w:r>
      <w:r w:rsidR="007236AF" w:rsidRPr="00C07407">
        <w:rPr>
          <w:rFonts w:ascii="AriEL" w:eastAsia="Times New Roman" w:hAnsi="AriEL" w:cs="Times New Roman"/>
          <w:szCs w:val="24"/>
          <w:lang w:eastAsia="en-GB"/>
        </w:rPr>
        <w:t>settings.</w:t>
      </w:r>
    </w:p>
    <w:p w14:paraId="12FC2BCC" w14:textId="1A5DEC20" w:rsidR="00066A81" w:rsidRPr="00C07407" w:rsidRDefault="00066A81" w:rsidP="006646A5">
      <w:pPr>
        <w:numPr>
          <w:ilvl w:val="0"/>
          <w:numId w:val="1"/>
        </w:num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 xml:space="preserve">explore the reported benefits of trauma-informed care for service users, including safety, </w:t>
      </w:r>
      <w:r w:rsidR="00DF14B1" w:rsidRPr="00C07407">
        <w:rPr>
          <w:rFonts w:ascii="AriEL" w:eastAsia="Times New Roman" w:hAnsi="AriEL" w:cs="Times New Roman"/>
          <w:szCs w:val="24"/>
          <w:lang w:eastAsia="en-GB"/>
        </w:rPr>
        <w:t>engagement,</w:t>
      </w:r>
      <w:r w:rsidRPr="00C07407">
        <w:rPr>
          <w:rFonts w:ascii="AriEL" w:eastAsia="Times New Roman" w:hAnsi="AriEL" w:cs="Times New Roman"/>
          <w:szCs w:val="24"/>
          <w:lang w:eastAsia="en-GB"/>
        </w:rPr>
        <w:t xml:space="preserve"> and </w:t>
      </w:r>
      <w:r w:rsidR="007236AF" w:rsidRPr="00C07407">
        <w:rPr>
          <w:rFonts w:ascii="AriEL" w:eastAsia="Times New Roman" w:hAnsi="AriEL" w:cs="Times New Roman"/>
          <w:szCs w:val="24"/>
          <w:lang w:eastAsia="en-GB"/>
        </w:rPr>
        <w:t>wellbeing.</w:t>
      </w:r>
    </w:p>
    <w:p w14:paraId="6F28EABA" w14:textId="77777777" w:rsidR="00066A81" w:rsidRPr="00C07407" w:rsidRDefault="00066A81" w:rsidP="006646A5">
      <w:pPr>
        <w:numPr>
          <w:ilvl w:val="0"/>
          <w:numId w:val="1"/>
        </w:num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identify organisational and workforce barriers affecting implementation; and</w:t>
      </w:r>
    </w:p>
    <w:p w14:paraId="711E1B7A" w14:textId="77777777" w:rsidR="00D9709A" w:rsidRPr="00C07407" w:rsidRDefault="00066A81" w:rsidP="006646A5">
      <w:pPr>
        <w:numPr>
          <w:ilvl w:val="0"/>
          <w:numId w:val="1"/>
        </w:num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highlight gaps within the literature to inform future research and professional practice.</w:t>
      </w:r>
    </w:p>
    <w:p w14:paraId="454DF4A4" w14:textId="77777777" w:rsidR="00D9709A" w:rsidRPr="00C07407" w:rsidRDefault="00D9709A" w:rsidP="006646A5">
      <w:pPr>
        <w:spacing w:before="100" w:beforeAutospacing="1" w:after="100" w:afterAutospacing="1" w:line="360" w:lineRule="auto"/>
        <w:ind w:left="720"/>
        <w:jc w:val="both"/>
        <w:rPr>
          <w:rFonts w:ascii="AriEL" w:eastAsia="Times New Roman" w:hAnsi="AriEL" w:cs="Times New Roman"/>
          <w:szCs w:val="24"/>
          <w:lang w:eastAsia="en-GB"/>
        </w:rPr>
      </w:pPr>
    </w:p>
    <w:p w14:paraId="1A2AAFAF" w14:textId="5AAF0640" w:rsidR="00066A81" w:rsidRPr="00C07407" w:rsidRDefault="00066A81" w:rsidP="006646A5">
      <w:pPr>
        <w:spacing w:before="100" w:beforeAutospacing="1" w:after="100" w:afterAutospacing="1" w:line="360" w:lineRule="auto"/>
        <w:jc w:val="both"/>
        <w:rPr>
          <w:rFonts w:ascii="AriEL" w:eastAsia="Times New Roman" w:hAnsi="AriEL" w:cs="Times New Roman"/>
          <w:b/>
          <w:bCs/>
          <w:szCs w:val="24"/>
          <w:lang w:eastAsia="en-GB"/>
        </w:rPr>
      </w:pPr>
      <w:r w:rsidRPr="00C07407">
        <w:rPr>
          <w:rFonts w:ascii="AriEL" w:eastAsia="Times New Roman" w:hAnsi="AriEL" w:cs="Times New Roman"/>
          <w:b/>
          <w:bCs/>
          <w:szCs w:val="24"/>
          <w:lang w:eastAsia="en-GB"/>
        </w:rPr>
        <w:t>2 Data Collection / Search Strategy</w:t>
      </w:r>
    </w:p>
    <w:p w14:paraId="47C4634E" w14:textId="77777777" w:rsidR="00D407FB" w:rsidRPr="00C07407" w:rsidRDefault="00D407FB" w:rsidP="006646A5">
      <w:pPr>
        <w:pStyle w:val="isselectedend"/>
        <w:spacing w:line="360" w:lineRule="auto"/>
        <w:jc w:val="both"/>
        <w:rPr>
          <w:rFonts w:ascii="AriEL" w:hAnsi="AriEL"/>
        </w:rPr>
      </w:pPr>
      <w:r w:rsidRPr="00C07407">
        <w:rPr>
          <w:rFonts w:ascii="AriEL" w:hAnsi="AriEL"/>
        </w:rPr>
        <w:t>A systematic literature search was undertaken to identify relevant peer-reviewed research studies addressing the review question. Electronic databases were selected because they provide access to high-quality health and social care research. The databases searched included CINAHL, PubMed, PsycINFO and EBSCOhost.</w:t>
      </w:r>
    </w:p>
    <w:p w14:paraId="143E9B20" w14:textId="77777777" w:rsidR="00EF20D2" w:rsidRDefault="00EF20D2" w:rsidP="006646A5">
      <w:pPr>
        <w:pStyle w:val="NormalWeb"/>
        <w:spacing w:line="360" w:lineRule="auto"/>
        <w:jc w:val="both"/>
        <w:rPr>
          <w:rFonts w:ascii="AriEL" w:hAnsi="AriEL"/>
        </w:rPr>
      </w:pPr>
    </w:p>
    <w:p w14:paraId="30231AAB" w14:textId="77777777" w:rsidR="00EF20D2" w:rsidRDefault="00EF20D2" w:rsidP="006646A5">
      <w:pPr>
        <w:pStyle w:val="NormalWeb"/>
        <w:spacing w:line="360" w:lineRule="auto"/>
        <w:jc w:val="both"/>
        <w:rPr>
          <w:rFonts w:ascii="AriEL" w:hAnsi="AriEL"/>
        </w:rPr>
      </w:pPr>
    </w:p>
    <w:p w14:paraId="4D399C08" w14:textId="328B96C0" w:rsidR="00F63446" w:rsidRDefault="00D407FB" w:rsidP="006646A5">
      <w:pPr>
        <w:pStyle w:val="NormalWeb"/>
        <w:spacing w:line="360" w:lineRule="auto"/>
        <w:jc w:val="both"/>
        <w:rPr>
          <w:rFonts w:ascii="AriEL" w:hAnsi="AriEL"/>
        </w:rPr>
      </w:pPr>
      <w:r w:rsidRPr="00C07407">
        <w:rPr>
          <w:rFonts w:ascii="AriEL" w:hAnsi="AriEL"/>
        </w:rPr>
        <w:t xml:space="preserve">The search was limited to studies published in English between 2010 and 2025 to ensure the inclusion of contemporary evidence relevant to current UK </w:t>
      </w:r>
      <w:r w:rsidR="00F63446" w:rsidRPr="00C07407">
        <w:rPr>
          <w:rFonts w:ascii="AriEL" w:hAnsi="AriEL"/>
        </w:rPr>
        <w:t>practice. Studies</w:t>
      </w:r>
      <w:r w:rsidR="00A60762" w:rsidRPr="00C07407">
        <w:rPr>
          <w:rFonts w:ascii="AriEL" w:hAnsi="AriEL"/>
        </w:rPr>
        <w:t xml:space="preserve"> were </w:t>
      </w:r>
      <w:r w:rsidR="00A60762" w:rsidRPr="00C07407">
        <w:rPr>
          <w:rFonts w:ascii="AriEL" w:hAnsi="AriEL"/>
        </w:rPr>
        <w:lastRenderedPageBreak/>
        <w:t xml:space="preserve">included if they were peer-reviewed primary or secondary research articles focusing on trauma-informed care within UK health or social care settings. </w:t>
      </w:r>
    </w:p>
    <w:p w14:paraId="48B76A4A" w14:textId="548F336F" w:rsidR="00A60762" w:rsidRPr="00C07407" w:rsidRDefault="00A60762" w:rsidP="006646A5">
      <w:pPr>
        <w:pStyle w:val="NormalWeb"/>
        <w:spacing w:line="360" w:lineRule="auto"/>
        <w:jc w:val="both"/>
        <w:rPr>
          <w:rFonts w:ascii="AriEL" w:hAnsi="AriEL"/>
        </w:rPr>
      </w:pPr>
      <w:r w:rsidRPr="00C07407">
        <w:rPr>
          <w:rFonts w:ascii="AriEL" w:hAnsi="AriEL"/>
        </w:rPr>
        <w:t xml:space="preserve">Policy documents, guidance reports, editorials, conference abstracts, opinion </w:t>
      </w:r>
      <w:r w:rsidR="0085072A" w:rsidRPr="00C07407">
        <w:rPr>
          <w:rFonts w:ascii="AriEL" w:hAnsi="AriEL"/>
        </w:rPr>
        <w:t>papers,</w:t>
      </w:r>
      <w:r w:rsidRPr="00C07407">
        <w:rPr>
          <w:rFonts w:ascii="AriEL" w:hAnsi="AriEL"/>
        </w:rPr>
        <w:t xml:space="preserve"> and studies conducted outside the UK were excluded because they did not meet the inclusion criteria for the scoping review. The titles and abstracts of identified studies were initially screened before full-text articles were assessed against the eligibility criteria. Following the screening process, five studies were selected for inclusion in the review because they were directly relevant to the review question.</w:t>
      </w:r>
    </w:p>
    <w:p w14:paraId="1E9D8CF7" w14:textId="19EC9B2F" w:rsidR="00093A41" w:rsidRPr="00C07407" w:rsidRDefault="00093A41" w:rsidP="006646A5">
      <w:pPr>
        <w:pStyle w:val="NormalWeb"/>
        <w:spacing w:line="360" w:lineRule="auto"/>
        <w:jc w:val="both"/>
        <w:rPr>
          <w:rFonts w:ascii="AriEL" w:hAnsi="AriEL"/>
          <w:b/>
          <w:bCs/>
        </w:rPr>
      </w:pPr>
      <w:r w:rsidRPr="00C07407">
        <w:rPr>
          <w:rFonts w:ascii="AriEL" w:hAnsi="AriEL"/>
          <w:b/>
          <w:bCs/>
        </w:rPr>
        <w:t>3. Data Analysis</w:t>
      </w:r>
    </w:p>
    <w:p w14:paraId="0909A9A9" w14:textId="77777777" w:rsidR="005739EC" w:rsidRPr="00C07407" w:rsidRDefault="005739EC" w:rsidP="006646A5">
      <w:pPr>
        <w:pStyle w:val="isselectedend"/>
        <w:spacing w:line="360" w:lineRule="auto"/>
        <w:jc w:val="both"/>
        <w:rPr>
          <w:rFonts w:ascii="AriEL" w:hAnsi="AriEL"/>
        </w:rPr>
      </w:pPr>
      <w:r w:rsidRPr="00C07407">
        <w:rPr>
          <w:rFonts w:ascii="AriEL" w:hAnsi="AriEL"/>
        </w:rPr>
        <w:t>Data extracted from the selected studies were organised using a data-charting table to ensure consistency during analysis. Information recorded from each article included the author, year of publication, study aims, research design, participant characteristics, healthcare or social care setting, and the main findings relating to trauma-informed care.</w:t>
      </w:r>
    </w:p>
    <w:p w14:paraId="2E7986B7" w14:textId="77777777" w:rsidR="00F63446" w:rsidRDefault="005739EC" w:rsidP="006646A5">
      <w:pPr>
        <w:pStyle w:val="isselectedend"/>
        <w:spacing w:line="360" w:lineRule="auto"/>
        <w:jc w:val="both"/>
        <w:rPr>
          <w:rFonts w:ascii="AriEL" w:hAnsi="AriEL"/>
        </w:rPr>
      </w:pPr>
      <w:r w:rsidRPr="00C07407">
        <w:rPr>
          <w:rFonts w:ascii="AriEL" w:hAnsi="AriEL"/>
        </w:rPr>
        <w:t xml:space="preserve">A thematic analysis was then undertaken to identify recurring patterns across the included studies. This involved repeatedly reading the articles, coding similar findings, and grouping these codes into broader themes. </w:t>
      </w:r>
    </w:p>
    <w:p w14:paraId="6EC155BB" w14:textId="6F6DF4D5" w:rsidR="005739EC" w:rsidRPr="00C07407" w:rsidRDefault="005739EC" w:rsidP="006646A5">
      <w:pPr>
        <w:pStyle w:val="isselectedend"/>
        <w:spacing w:line="360" w:lineRule="auto"/>
        <w:jc w:val="both"/>
        <w:rPr>
          <w:rFonts w:ascii="AriEL" w:hAnsi="AriEL"/>
        </w:rPr>
      </w:pPr>
      <w:r w:rsidRPr="00C07407">
        <w:rPr>
          <w:rFonts w:ascii="AriEL" w:hAnsi="AriEL"/>
        </w:rPr>
        <w:t xml:space="preserve">Thematic analysis was selected because it enables researchers to synthesise evidence from studies using different methodologies while identifying similarities and differences across the </w:t>
      </w:r>
      <w:r w:rsidR="00F63446" w:rsidRPr="00C07407">
        <w:rPr>
          <w:rFonts w:ascii="AriEL" w:hAnsi="AriEL"/>
        </w:rPr>
        <w:t>literature. The</w:t>
      </w:r>
      <w:r w:rsidRPr="00C07407">
        <w:rPr>
          <w:rFonts w:ascii="AriEL" w:hAnsi="AriEL"/>
        </w:rPr>
        <w:t xml:space="preserve"> analysis focused on identifying common themes relating to the implementation of trauma-informed care, the reported benefits for service users and healthcare professionals, barriers to implementation, and recommendations for improving trauma-informed practice within UK health and social care settings. These themes form the basis of the Results and Discussion sections of this report.</w:t>
      </w:r>
    </w:p>
    <w:p w14:paraId="482E21B2" w14:textId="77777777" w:rsidR="00EF20D2" w:rsidRDefault="00EF20D2" w:rsidP="006646A5">
      <w:pPr>
        <w:spacing w:before="100" w:beforeAutospacing="1" w:after="100" w:afterAutospacing="1" w:line="360" w:lineRule="auto"/>
        <w:jc w:val="both"/>
        <w:outlineLvl w:val="1"/>
        <w:rPr>
          <w:rFonts w:ascii="AriEL" w:eastAsia="Times New Roman" w:hAnsi="AriEL" w:cs="Times New Roman"/>
          <w:b/>
          <w:bCs/>
          <w:szCs w:val="24"/>
          <w:lang w:eastAsia="en-GB"/>
        </w:rPr>
      </w:pPr>
    </w:p>
    <w:p w14:paraId="31C66896" w14:textId="77777777" w:rsidR="00EF20D2" w:rsidRDefault="00EF20D2" w:rsidP="006646A5">
      <w:pPr>
        <w:spacing w:before="100" w:beforeAutospacing="1" w:after="100" w:afterAutospacing="1" w:line="360" w:lineRule="auto"/>
        <w:jc w:val="both"/>
        <w:outlineLvl w:val="1"/>
        <w:rPr>
          <w:rFonts w:ascii="AriEL" w:eastAsia="Times New Roman" w:hAnsi="AriEL" w:cs="Times New Roman"/>
          <w:b/>
          <w:bCs/>
          <w:szCs w:val="24"/>
          <w:lang w:eastAsia="en-GB"/>
        </w:rPr>
      </w:pPr>
    </w:p>
    <w:p w14:paraId="5A9555F7" w14:textId="77777777" w:rsidR="00EF20D2" w:rsidRDefault="00EF20D2" w:rsidP="006646A5">
      <w:pPr>
        <w:spacing w:before="100" w:beforeAutospacing="1" w:after="100" w:afterAutospacing="1" w:line="360" w:lineRule="auto"/>
        <w:jc w:val="both"/>
        <w:outlineLvl w:val="1"/>
        <w:rPr>
          <w:rFonts w:ascii="AriEL" w:eastAsia="Times New Roman" w:hAnsi="AriEL" w:cs="Times New Roman"/>
          <w:b/>
          <w:bCs/>
          <w:szCs w:val="24"/>
          <w:lang w:eastAsia="en-GB"/>
        </w:rPr>
      </w:pPr>
    </w:p>
    <w:p w14:paraId="67647C3E" w14:textId="23A70C73" w:rsidR="00746274" w:rsidRPr="00C07407" w:rsidRDefault="00746274" w:rsidP="006646A5">
      <w:pPr>
        <w:spacing w:before="100" w:beforeAutospacing="1" w:after="100" w:afterAutospacing="1" w:line="360" w:lineRule="auto"/>
        <w:jc w:val="both"/>
        <w:outlineLvl w:val="1"/>
        <w:rPr>
          <w:rFonts w:ascii="AriEL" w:eastAsia="Times New Roman" w:hAnsi="AriEL" w:cs="Times New Roman"/>
          <w:b/>
          <w:bCs/>
          <w:szCs w:val="24"/>
          <w:lang w:eastAsia="en-GB"/>
        </w:rPr>
      </w:pPr>
      <w:r w:rsidRPr="00C07407">
        <w:rPr>
          <w:rFonts w:ascii="AriEL" w:eastAsia="Times New Roman" w:hAnsi="AriEL" w:cs="Times New Roman"/>
          <w:b/>
          <w:bCs/>
          <w:szCs w:val="24"/>
          <w:lang w:eastAsia="en-GB"/>
        </w:rPr>
        <w:t>4. Ethical Considerations</w:t>
      </w:r>
    </w:p>
    <w:p w14:paraId="14FF4F3C" w14:textId="70ABF6CF" w:rsidR="00746274" w:rsidRPr="00C07407" w:rsidRDefault="00746274"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lastRenderedPageBreak/>
        <w:t>As this study involved the review of previously published literature, no human participants were recruited, and no primary data were collected. Consequently, formal ethical approval was not required. However, ethical principles remained important throughout the research process.</w:t>
      </w:r>
    </w:p>
    <w:p w14:paraId="6489C5A1" w14:textId="5950E460" w:rsidR="00D30A23" w:rsidRDefault="00746274"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 xml:space="preserve">The review was conducted in accordance with the principles of honesty, </w:t>
      </w:r>
      <w:r w:rsidR="0085072A" w:rsidRPr="00C07407">
        <w:rPr>
          <w:rFonts w:ascii="AriEL" w:eastAsia="Times New Roman" w:hAnsi="AriEL" w:cs="Times New Roman"/>
          <w:szCs w:val="24"/>
          <w:lang w:eastAsia="en-GB"/>
        </w:rPr>
        <w:t>transparency,</w:t>
      </w:r>
      <w:r w:rsidRPr="00C07407">
        <w:rPr>
          <w:rFonts w:ascii="AriEL" w:eastAsia="Times New Roman" w:hAnsi="AriEL" w:cs="Times New Roman"/>
          <w:szCs w:val="24"/>
          <w:lang w:eastAsia="en-GB"/>
        </w:rPr>
        <w:t xml:space="preserve"> and academic integrity. Every effort was made to accurately represent the findings of the included studies without misinterpretation or selective reporting. </w:t>
      </w:r>
    </w:p>
    <w:p w14:paraId="189B99D9" w14:textId="48CFBCC6" w:rsidR="00746274" w:rsidRPr="00C07407" w:rsidRDefault="00746274"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 xml:space="preserve">All sources of information were appropriately acknowledged using the University's Harvard referencing style to avoid plagiarism and ensure academic </w:t>
      </w:r>
      <w:r w:rsidR="00D30A23" w:rsidRPr="00C07407">
        <w:rPr>
          <w:rFonts w:ascii="AriEL" w:eastAsia="Times New Roman" w:hAnsi="AriEL" w:cs="Times New Roman"/>
          <w:szCs w:val="24"/>
          <w:lang w:eastAsia="en-GB"/>
        </w:rPr>
        <w:t>credibility. In</w:t>
      </w:r>
      <w:r w:rsidRPr="00C07407">
        <w:rPr>
          <w:rFonts w:ascii="AriEL" w:eastAsia="Times New Roman" w:hAnsi="AriEL" w:cs="Times New Roman"/>
          <w:szCs w:val="24"/>
          <w:lang w:eastAsia="en-GB"/>
        </w:rPr>
        <w:t xml:space="preserve"> addition, the limitations of the available evidence were recognised to reduce the risk of bias within the review. Maintaining a transparent search strategy and clearly defined inclusion and exclusion criteria also enhanced the reliability and trustworthiness of the research findings (University of Essex, 2023).</w:t>
      </w:r>
    </w:p>
    <w:p w14:paraId="581C99BF" w14:textId="7E814FDC" w:rsidR="00B87E75" w:rsidRPr="00D30A23" w:rsidRDefault="00B87E75" w:rsidP="002B2E1B">
      <w:pPr>
        <w:pStyle w:val="Heading1"/>
        <w:rPr>
          <w:rFonts w:hint="eastAsia"/>
        </w:rPr>
      </w:pPr>
      <w:r w:rsidRPr="00D30A23">
        <w:t>Results</w:t>
      </w:r>
    </w:p>
    <w:p w14:paraId="48B86D66" w14:textId="0F2A224B" w:rsidR="002F0E7D" w:rsidRPr="00C07407" w:rsidRDefault="002F0E7D" w:rsidP="006646A5">
      <w:pPr>
        <w:spacing w:before="100" w:beforeAutospacing="1" w:after="100" w:afterAutospacing="1" w:line="360" w:lineRule="auto"/>
        <w:jc w:val="both"/>
        <w:outlineLvl w:val="1"/>
        <w:rPr>
          <w:rFonts w:ascii="AriEL" w:eastAsia="Times New Roman" w:hAnsi="AriEL" w:cs="Times New Roman"/>
          <w:b/>
          <w:bCs/>
          <w:szCs w:val="24"/>
          <w:lang w:eastAsia="en-GB"/>
        </w:rPr>
      </w:pPr>
      <w:r w:rsidRPr="00C07407">
        <w:rPr>
          <w:rFonts w:ascii="AriEL" w:eastAsia="Times New Roman" w:hAnsi="AriEL" w:cs="Times New Roman"/>
          <w:b/>
          <w:bCs/>
          <w:szCs w:val="24"/>
          <w:lang w:eastAsia="en-GB"/>
        </w:rPr>
        <w:t>.1 Number of Studies Selected</w:t>
      </w:r>
    </w:p>
    <w:p w14:paraId="6649B85F" w14:textId="62980225" w:rsidR="002F0E7D" w:rsidRPr="00C07407" w:rsidRDefault="002F0E7D"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 xml:space="preserve">The database search initially identified a range of studies related to trauma-informed care within health and social care settings. After removing duplicates and applying the inclusion and exclusion criteria, a total of </w:t>
      </w:r>
      <w:r w:rsidRPr="00D30A23">
        <w:rPr>
          <w:rFonts w:ascii="AriEL" w:eastAsia="Times New Roman" w:hAnsi="AriEL" w:cs="Times New Roman"/>
          <w:szCs w:val="24"/>
          <w:lang w:eastAsia="en-GB"/>
        </w:rPr>
        <w:t>X peer-reviewed studies</w:t>
      </w:r>
      <w:r w:rsidRPr="00C07407">
        <w:rPr>
          <w:rFonts w:ascii="AriEL" w:eastAsia="Times New Roman" w:hAnsi="AriEL" w:cs="Times New Roman"/>
          <w:szCs w:val="24"/>
          <w:lang w:eastAsia="en-GB"/>
        </w:rPr>
        <w:t xml:space="preserve"> was included in the final scoping review.</w:t>
      </w:r>
    </w:p>
    <w:p w14:paraId="3532F7F1" w14:textId="77777777" w:rsidR="002F0E7D" w:rsidRDefault="002F0E7D"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These studies focused on trauma-informed care implementation and impact within UK health and social care contexts, meeting the eligibility criteria of being peer-reviewed, English language, and published from 2010 onwards. Non-UK studies, policy documents, commentary articles, and non-peer-reviewed sources were excluded from the final synthesis.</w:t>
      </w:r>
    </w:p>
    <w:tbl>
      <w:tblPr>
        <w:tblStyle w:val="TableGrid"/>
        <w:tblW w:w="0" w:type="auto"/>
        <w:tblLook w:val="04A0" w:firstRow="1" w:lastRow="0" w:firstColumn="1" w:lastColumn="0" w:noHBand="0" w:noVBand="1"/>
      </w:tblPr>
      <w:tblGrid>
        <w:gridCol w:w="1089"/>
        <w:gridCol w:w="2697"/>
        <w:gridCol w:w="1994"/>
        <w:gridCol w:w="3236"/>
      </w:tblGrid>
      <w:tr w:rsidR="00EA7FE0" w:rsidRPr="00EA7FE0" w14:paraId="59BB9D23" w14:textId="77777777" w:rsidTr="00EA7FE0">
        <w:tc>
          <w:tcPr>
            <w:tcW w:w="0" w:type="auto"/>
            <w:hideMark/>
          </w:tcPr>
          <w:p w14:paraId="5CFA0D7D" w14:textId="77777777" w:rsidR="00EA7FE0" w:rsidRPr="00EA7FE0" w:rsidRDefault="00EA7FE0" w:rsidP="00EA7FE0">
            <w:pPr>
              <w:jc w:val="center"/>
              <w:rPr>
                <w:rFonts w:ascii="Arial" w:eastAsia="Times New Roman" w:hAnsi="Arial" w:cs="Arial"/>
                <w:b/>
                <w:bCs/>
                <w:szCs w:val="24"/>
                <w:lang w:eastAsia="en-GB"/>
              </w:rPr>
            </w:pPr>
            <w:r w:rsidRPr="00EA7FE0">
              <w:rPr>
                <w:rFonts w:ascii="Arial" w:eastAsia="Times New Roman" w:hAnsi="Arial" w:cs="Arial"/>
                <w:b/>
                <w:bCs/>
                <w:szCs w:val="24"/>
                <w:lang w:eastAsia="en-GB"/>
              </w:rPr>
              <w:t>Author &amp; Year</w:t>
            </w:r>
          </w:p>
        </w:tc>
        <w:tc>
          <w:tcPr>
            <w:tcW w:w="0" w:type="auto"/>
            <w:hideMark/>
          </w:tcPr>
          <w:p w14:paraId="7FE45211" w14:textId="77777777" w:rsidR="00EA7FE0" w:rsidRPr="00EA7FE0" w:rsidRDefault="00EA7FE0" w:rsidP="00EA7FE0">
            <w:pPr>
              <w:jc w:val="center"/>
              <w:rPr>
                <w:rFonts w:ascii="Arial" w:eastAsia="Times New Roman" w:hAnsi="Arial" w:cs="Arial"/>
                <w:b/>
                <w:bCs/>
                <w:szCs w:val="24"/>
                <w:lang w:eastAsia="en-GB"/>
              </w:rPr>
            </w:pPr>
            <w:r w:rsidRPr="00EA7FE0">
              <w:rPr>
                <w:rFonts w:ascii="Arial" w:eastAsia="Times New Roman" w:hAnsi="Arial" w:cs="Arial"/>
                <w:b/>
                <w:bCs/>
                <w:szCs w:val="24"/>
                <w:lang w:eastAsia="en-GB"/>
              </w:rPr>
              <w:t>Methods</w:t>
            </w:r>
          </w:p>
        </w:tc>
        <w:tc>
          <w:tcPr>
            <w:tcW w:w="0" w:type="auto"/>
            <w:hideMark/>
          </w:tcPr>
          <w:p w14:paraId="752D5853" w14:textId="77777777" w:rsidR="00EA7FE0" w:rsidRPr="00EA7FE0" w:rsidRDefault="00EA7FE0" w:rsidP="00EA7FE0">
            <w:pPr>
              <w:jc w:val="center"/>
              <w:rPr>
                <w:rFonts w:ascii="Arial" w:eastAsia="Times New Roman" w:hAnsi="Arial" w:cs="Arial"/>
                <w:b/>
                <w:bCs/>
                <w:szCs w:val="24"/>
                <w:lang w:eastAsia="en-GB"/>
              </w:rPr>
            </w:pPr>
            <w:r w:rsidRPr="00EA7FE0">
              <w:rPr>
                <w:rFonts w:ascii="Arial" w:eastAsia="Times New Roman" w:hAnsi="Arial" w:cs="Arial"/>
                <w:b/>
                <w:bCs/>
                <w:szCs w:val="24"/>
                <w:lang w:eastAsia="en-GB"/>
              </w:rPr>
              <w:t>Sample Size</w:t>
            </w:r>
          </w:p>
        </w:tc>
        <w:tc>
          <w:tcPr>
            <w:tcW w:w="0" w:type="auto"/>
            <w:hideMark/>
          </w:tcPr>
          <w:p w14:paraId="67A2559F" w14:textId="77777777" w:rsidR="00EA7FE0" w:rsidRPr="00EA7FE0" w:rsidRDefault="00EA7FE0" w:rsidP="00EA7FE0">
            <w:pPr>
              <w:jc w:val="center"/>
              <w:rPr>
                <w:rFonts w:ascii="Arial" w:eastAsia="Times New Roman" w:hAnsi="Arial" w:cs="Arial"/>
                <w:b/>
                <w:bCs/>
                <w:szCs w:val="24"/>
                <w:lang w:eastAsia="en-GB"/>
              </w:rPr>
            </w:pPr>
            <w:r w:rsidRPr="00EA7FE0">
              <w:rPr>
                <w:rFonts w:ascii="Arial" w:eastAsia="Times New Roman" w:hAnsi="Arial" w:cs="Arial"/>
                <w:b/>
                <w:bCs/>
                <w:szCs w:val="24"/>
                <w:lang w:eastAsia="en-GB"/>
              </w:rPr>
              <w:t>Key Findings</w:t>
            </w:r>
          </w:p>
        </w:tc>
      </w:tr>
      <w:tr w:rsidR="00EA7FE0" w:rsidRPr="00EA7FE0" w14:paraId="10E2C56D" w14:textId="77777777" w:rsidTr="00EA7FE0">
        <w:tc>
          <w:tcPr>
            <w:tcW w:w="0" w:type="auto"/>
            <w:hideMark/>
          </w:tcPr>
          <w:p w14:paraId="0D882288" w14:textId="77777777" w:rsidR="00EA7FE0" w:rsidRPr="00EA7FE0" w:rsidRDefault="00EA7FE0" w:rsidP="00EA7FE0">
            <w:pPr>
              <w:jc w:val="center"/>
              <w:rPr>
                <w:rFonts w:ascii="Arial" w:eastAsia="Times New Roman" w:hAnsi="Arial" w:cs="Arial"/>
                <w:b/>
                <w:bCs/>
                <w:szCs w:val="24"/>
                <w:lang w:eastAsia="en-GB"/>
              </w:rPr>
            </w:pPr>
            <w:r w:rsidRPr="00EA7FE0">
              <w:rPr>
                <w:rFonts w:ascii="Arial" w:eastAsia="Times New Roman" w:hAnsi="Arial" w:cs="Arial"/>
                <w:b/>
                <w:bCs/>
                <w:szCs w:val="24"/>
                <w:lang w:eastAsia="en-GB"/>
              </w:rPr>
              <w:t>Pepa et al. (2025)</w:t>
            </w:r>
          </w:p>
        </w:tc>
        <w:tc>
          <w:tcPr>
            <w:tcW w:w="0" w:type="auto"/>
            <w:hideMark/>
          </w:tcPr>
          <w:p w14:paraId="3AA17494" w14:textId="77777777" w:rsidR="00EA7FE0" w:rsidRPr="00EA7FE0" w:rsidRDefault="00EA7FE0" w:rsidP="00EA7FE0">
            <w:pPr>
              <w:rPr>
                <w:rFonts w:ascii="Arial" w:eastAsia="Times New Roman" w:hAnsi="Arial" w:cs="Arial"/>
                <w:szCs w:val="24"/>
                <w:lang w:eastAsia="en-GB"/>
              </w:rPr>
            </w:pPr>
            <w:r w:rsidRPr="00EA7FE0">
              <w:rPr>
                <w:rFonts w:ascii="Arial" w:eastAsia="Times New Roman" w:hAnsi="Arial" w:cs="Arial"/>
                <w:szCs w:val="24"/>
                <w:lang w:eastAsia="en-GB"/>
              </w:rPr>
              <w:t>Pre</w:t>
            </w:r>
            <w:r w:rsidRPr="00EA7FE0">
              <w:rPr>
                <w:rFonts w:ascii="Arial" w:eastAsia="Times New Roman" w:hAnsi="Arial" w:cs="Arial"/>
                <w:szCs w:val="24"/>
                <w:lang w:eastAsia="en-GB"/>
              </w:rPr>
              <w:noBreakHyphen/>
              <w:t xml:space="preserve"> and 6</w:t>
            </w:r>
            <w:r w:rsidRPr="00EA7FE0">
              <w:rPr>
                <w:rFonts w:ascii="Arial" w:eastAsia="Times New Roman" w:hAnsi="Arial" w:cs="Arial"/>
                <w:szCs w:val="24"/>
                <w:lang w:eastAsia="en-GB"/>
              </w:rPr>
              <w:noBreakHyphen/>
              <w:t>month post</w:t>
            </w:r>
            <w:r w:rsidRPr="00EA7FE0">
              <w:rPr>
                <w:rFonts w:ascii="Arial" w:eastAsia="Times New Roman" w:hAnsi="Arial" w:cs="Arial"/>
                <w:szCs w:val="24"/>
                <w:lang w:eastAsia="en-GB"/>
              </w:rPr>
              <w:noBreakHyphen/>
              <w:t xml:space="preserve">test design using matched surveys. Quantitative analysis </w:t>
            </w:r>
            <w:r w:rsidRPr="00EA7FE0">
              <w:rPr>
                <w:rFonts w:ascii="Arial" w:eastAsia="Times New Roman" w:hAnsi="Arial" w:cs="Arial"/>
                <w:szCs w:val="24"/>
                <w:lang w:eastAsia="en-GB"/>
              </w:rPr>
              <w:lastRenderedPageBreak/>
              <w:t>with paired t</w:t>
            </w:r>
            <w:r w:rsidRPr="00EA7FE0">
              <w:rPr>
                <w:rFonts w:ascii="Arial" w:eastAsia="Times New Roman" w:hAnsi="Arial" w:cs="Arial"/>
                <w:szCs w:val="24"/>
                <w:lang w:eastAsia="en-GB"/>
              </w:rPr>
              <w:noBreakHyphen/>
              <w:t>tests and Cohen’s d. STISC tool used to measure trauma</w:t>
            </w:r>
            <w:r w:rsidRPr="00EA7FE0">
              <w:rPr>
                <w:rFonts w:ascii="Arial" w:eastAsia="Times New Roman" w:hAnsi="Arial" w:cs="Arial"/>
                <w:szCs w:val="24"/>
                <w:lang w:eastAsia="en-GB"/>
              </w:rPr>
              <w:noBreakHyphen/>
              <w:t>informed knowledge, attitudes, system</w:t>
            </w:r>
            <w:r w:rsidRPr="00EA7FE0">
              <w:rPr>
                <w:rFonts w:ascii="Arial" w:eastAsia="Times New Roman" w:hAnsi="Arial" w:cs="Arial"/>
                <w:szCs w:val="24"/>
                <w:lang w:eastAsia="en-GB"/>
              </w:rPr>
              <w:noBreakHyphen/>
              <w:t>wide practice, training/support, and safety/acceptance.</w:t>
            </w:r>
          </w:p>
        </w:tc>
        <w:tc>
          <w:tcPr>
            <w:tcW w:w="0" w:type="auto"/>
            <w:hideMark/>
          </w:tcPr>
          <w:p w14:paraId="5F021BF1" w14:textId="77777777" w:rsidR="00EA7FE0" w:rsidRPr="00EA7FE0" w:rsidRDefault="00EA7FE0" w:rsidP="00EA7FE0">
            <w:pPr>
              <w:rPr>
                <w:rFonts w:ascii="Arial" w:eastAsia="Times New Roman" w:hAnsi="Arial" w:cs="Arial"/>
                <w:szCs w:val="24"/>
                <w:lang w:eastAsia="en-GB"/>
              </w:rPr>
            </w:pPr>
            <w:r w:rsidRPr="00EA7FE0">
              <w:rPr>
                <w:rFonts w:ascii="Arial" w:eastAsia="Times New Roman" w:hAnsi="Arial" w:cs="Arial"/>
                <w:b/>
                <w:bCs/>
                <w:szCs w:val="24"/>
                <w:lang w:eastAsia="en-GB"/>
              </w:rPr>
              <w:lastRenderedPageBreak/>
              <w:t>152 matched participants</w:t>
            </w:r>
            <w:r w:rsidRPr="00EA7FE0">
              <w:rPr>
                <w:rFonts w:ascii="Arial" w:eastAsia="Times New Roman" w:hAnsi="Arial" w:cs="Arial"/>
                <w:szCs w:val="24"/>
                <w:lang w:eastAsia="en-GB"/>
              </w:rPr>
              <w:t xml:space="preserve"> (from 1017 trainees).</w:t>
            </w:r>
          </w:p>
        </w:tc>
        <w:tc>
          <w:tcPr>
            <w:tcW w:w="0" w:type="auto"/>
            <w:hideMark/>
          </w:tcPr>
          <w:p w14:paraId="6EF6E602" w14:textId="77777777" w:rsidR="00EA7FE0" w:rsidRPr="00EA7FE0" w:rsidRDefault="00EA7FE0" w:rsidP="00EA7FE0">
            <w:pPr>
              <w:rPr>
                <w:rFonts w:ascii="Arial" w:eastAsia="Times New Roman" w:hAnsi="Arial" w:cs="Arial"/>
                <w:szCs w:val="24"/>
                <w:lang w:eastAsia="en-GB"/>
              </w:rPr>
            </w:pPr>
            <w:r w:rsidRPr="00EA7FE0">
              <w:rPr>
                <w:rFonts w:ascii="Arial" w:eastAsia="Times New Roman" w:hAnsi="Arial" w:cs="Arial"/>
                <w:szCs w:val="24"/>
                <w:lang w:eastAsia="en-GB"/>
              </w:rPr>
              <w:t xml:space="preserve">Significant improvements across all four STISC subscales. Large effect size for individual </w:t>
            </w:r>
            <w:r w:rsidRPr="00EA7FE0">
              <w:rPr>
                <w:rFonts w:ascii="Arial" w:eastAsia="Times New Roman" w:hAnsi="Arial" w:cs="Arial"/>
                <w:szCs w:val="24"/>
                <w:lang w:eastAsia="en-GB"/>
              </w:rPr>
              <w:lastRenderedPageBreak/>
              <w:t>knowledge/attitudes (d=1.4). Medium–large improvements in system</w:t>
            </w:r>
            <w:r w:rsidRPr="00EA7FE0">
              <w:rPr>
                <w:rFonts w:ascii="Arial" w:eastAsia="Times New Roman" w:hAnsi="Arial" w:cs="Arial"/>
                <w:szCs w:val="24"/>
                <w:lang w:eastAsia="en-GB"/>
              </w:rPr>
              <w:noBreakHyphen/>
              <w:t>wide attitudes, training/support, and safety/acceptance. Training increased understanding of trauma, ACEs, brain physiology, and organisational awareness. System</w:t>
            </w:r>
            <w:r w:rsidRPr="00EA7FE0">
              <w:rPr>
                <w:rFonts w:ascii="Arial" w:eastAsia="Times New Roman" w:hAnsi="Arial" w:cs="Arial"/>
                <w:szCs w:val="24"/>
                <w:lang w:eastAsia="en-GB"/>
              </w:rPr>
              <w:noBreakHyphen/>
              <w:t>wide change still limited without leadership and structural support.</w:t>
            </w:r>
          </w:p>
        </w:tc>
      </w:tr>
      <w:tr w:rsidR="00EA7FE0" w:rsidRPr="00EA7FE0" w14:paraId="29494911" w14:textId="77777777" w:rsidTr="00EA7FE0">
        <w:tc>
          <w:tcPr>
            <w:tcW w:w="0" w:type="auto"/>
            <w:hideMark/>
          </w:tcPr>
          <w:p w14:paraId="66BCB33F" w14:textId="77777777" w:rsidR="00EA7FE0" w:rsidRPr="00EA7FE0" w:rsidRDefault="00EA7FE0" w:rsidP="00EA7FE0">
            <w:pPr>
              <w:jc w:val="center"/>
              <w:rPr>
                <w:rFonts w:ascii="Arial" w:eastAsia="Times New Roman" w:hAnsi="Arial" w:cs="Arial"/>
                <w:b/>
                <w:bCs/>
                <w:szCs w:val="24"/>
                <w:lang w:eastAsia="en-GB"/>
              </w:rPr>
            </w:pPr>
            <w:r w:rsidRPr="00EA7FE0">
              <w:rPr>
                <w:rFonts w:ascii="Arial" w:eastAsia="Times New Roman" w:hAnsi="Arial" w:cs="Arial"/>
                <w:b/>
                <w:bCs/>
                <w:szCs w:val="24"/>
                <w:lang w:eastAsia="en-GB"/>
              </w:rPr>
              <w:lastRenderedPageBreak/>
              <w:t>Emsley et al. (2022)</w:t>
            </w:r>
          </w:p>
        </w:tc>
        <w:tc>
          <w:tcPr>
            <w:tcW w:w="0" w:type="auto"/>
            <w:hideMark/>
          </w:tcPr>
          <w:p w14:paraId="7035711E" w14:textId="77777777" w:rsidR="00EA7FE0" w:rsidRPr="00EA7FE0" w:rsidRDefault="00EA7FE0" w:rsidP="00EA7FE0">
            <w:pPr>
              <w:rPr>
                <w:rFonts w:ascii="Arial" w:eastAsia="Times New Roman" w:hAnsi="Arial" w:cs="Arial"/>
                <w:szCs w:val="24"/>
                <w:lang w:eastAsia="en-GB"/>
              </w:rPr>
            </w:pPr>
            <w:r w:rsidRPr="00EA7FE0">
              <w:rPr>
                <w:rFonts w:ascii="Arial" w:eastAsia="Times New Roman" w:hAnsi="Arial" w:cs="Arial"/>
                <w:szCs w:val="24"/>
                <w:lang w:eastAsia="en-GB"/>
              </w:rPr>
              <w:t>Qualitative multi</w:t>
            </w:r>
            <w:r w:rsidRPr="00EA7FE0">
              <w:rPr>
                <w:rFonts w:ascii="Arial" w:eastAsia="Times New Roman" w:hAnsi="Arial" w:cs="Arial"/>
                <w:szCs w:val="24"/>
                <w:lang w:eastAsia="en-GB"/>
              </w:rPr>
              <w:noBreakHyphen/>
              <w:t>method: (1) Policy document analysis using READ approach; (2) Semi</w:t>
            </w:r>
            <w:r w:rsidRPr="00EA7FE0">
              <w:rPr>
                <w:rFonts w:ascii="Arial" w:eastAsia="Times New Roman" w:hAnsi="Arial" w:cs="Arial"/>
                <w:szCs w:val="24"/>
                <w:lang w:eastAsia="en-GB"/>
              </w:rPr>
              <w:noBreakHyphen/>
              <w:t>structured interviews analysed using Framework Method.</w:t>
            </w:r>
          </w:p>
        </w:tc>
        <w:tc>
          <w:tcPr>
            <w:tcW w:w="0" w:type="auto"/>
            <w:hideMark/>
          </w:tcPr>
          <w:p w14:paraId="4D41880E" w14:textId="77777777" w:rsidR="00EA7FE0" w:rsidRPr="00EA7FE0" w:rsidRDefault="00EA7FE0" w:rsidP="00EA7FE0">
            <w:pPr>
              <w:rPr>
                <w:rFonts w:ascii="Arial" w:eastAsia="Times New Roman" w:hAnsi="Arial" w:cs="Arial"/>
                <w:szCs w:val="24"/>
                <w:lang w:eastAsia="en-GB"/>
              </w:rPr>
            </w:pPr>
            <w:r w:rsidRPr="00EA7FE0">
              <w:rPr>
                <w:rFonts w:ascii="Arial" w:eastAsia="Times New Roman" w:hAnsi="Arial" w:cs="Arial"/>
                <w:b/>
                <w:bCs/>
                <w:szCs w:val="24"/>
                <w:lang w:eastAsia="en-GB"/>
              </w:rPr>
              <w:t>24 policy documents</w:t>
            </w:r>
            <w:r w:rsidRPr="00EA7FE0">
              <w:rPr>
                <w:rFonts w:ascii="Arial" w:eastAsia="Times New Roman" w:hAnsi="Arial" w:cs="Arial"/>
                <w:szCs w:val="24"/>
                <w:lang w:eastAsia="en-GB"/>
              </w:rPr>
              <w:t xml:space="preserve"> + </w:t>
            </w:r>
            <w:r w:rsidRPr="00EA7FE0">
              <w:rPr>
                <w:rFonts w:ascii="Arial" w:eastAsia="Times New Roman" w:hAnsi="Arial" w:cs="Arial"/>
                <w:b/>
                <w:bCs/>
                <w:szCs w:val="24"/>
                <w:lang w:eastAsia="en-GB"/>
              </w:rPr>
              <w:t>11 interview participants</w:t>
            </w:r>
            <w:r w:rsidRPr="00EA7FE0">
              <w:rPr>
                <w:rFonts w:ascii="Arial" w:eastAsia="Times New Roman" w:hAnsi="Arial" w:cs="Arial"/>
                <w:szCs w:val="24"/>
                <w:lang w:eastAsia="en-GB"/>
              </w:rPr>
              <w:t>.</w:t>
            </w:r>
          </w:p>
        </w:tc>
        <w:tc>
          <w:tcPr>
            <w:tcW w:w="0" w:type="auto"/>
            <w:hideMark/>
          </w:tcPr>
          <w:p w14:paraId="660D5A2C" w14:textId="77777777" w:rsidR="00EA7FE0" w:rsidRPr="00EA7FE0" w:rsidRDefault="00EA7FE0" w:rsidP="00EA7FE0">
            <w:pPr>
              <w:rPr>
                <w:rFonts w:ascii="Arial" w:eastAsia="Times New Roman" w:hAnsi="Arial" w:cs="Arial"/>
                <w:szCs w:val="24"/>
                <w:lang w:eastAsia="en-GB"/>
              </w:rPr>
            </w:pPr>
            <w:r w:rsidRPr="00EA7FE0">
              <w:rPr>
                <w:rFonts w:ascii="Arial" w:eastAsia="Times New Roman" w:hAnsi="Arial" w:cs="Arial"/>
                <w:szCs w:val="24"/>
                <w:lang w:eastAsia="en-GB"/>
              </w:rPr>
              <w:t>TI approaches appear in UK policies but lack national strategy, funding, or consistent definitions. Implementation is fragmented, strongest in Scotland/Wales, weaker in England. Professionals emphasised need for leadership, coordination, organisational culture change, and government support. TI care is interpreted differently across organisations.</w:t>
            </w:r>
          </w:p>
        </w:tc>
      </w:tr>
      <w:tr w:rsidR="00EA7FE0" w:rsidRPr="00EA7FE0" w14:paraId="23DFCBA1" w14:textId="77777777" w:rsidTr="00EA7FE0">
        <w:tc>
          <w:tcPr>
            <w:tcW w:w="0" w:type="auto"/>
            <w:hideMark/>
          </w:tcPr>
          <w:p w14:paraId="7B84C70C" w14:textId="77777777" w:rsidR="00EA7FE0" w:rsidRPr="00EA7FE0" w:rsidRDefault="00EA7FE0" w:rsidP="00EA7FE0">
            <w:pPr>
              <w:jc w:val="center"/>
              <w:rPr>
                <w:rFonts w:ascii="Arial" w:eastAsia="Times New Roman" w:hAnsi="Arial" w:cs="Arial"/>
                <w:b/>
                <w:bCs/>
                <w:szCs w:val="24"/>
                <w:lang w:eastAsia="en-GB"/>
              </w:rPr>
            </w:pPr>
            <w:r w:rsidRPr="00EA7FE0">
              <w:rPr>
                <w:rFonts w:ascii="Arial" w:eastAsia="Times New Roman" w:hAnsi="Arial" w:cs="Arial"/>
                <w:b/>
                <w:bCs/>
                <w:szCs w:val="24"/>
                <w:lang w:eastAsia="en-GB"/>
              </w:rPr>
              <w:t>Currie &amp; Lynch (2026)</w:t>
            </w:r>
          </w:p>
        </w:tc>
        <w:tc>
          <w:tcPr>
            <w:tcW w:w="0" w:type="auto"/>
            <w:hideMark/>
          </w:tcPr>
          <w:p w14:paraId="2FD50834" w14:textId="77777777" w:rsidR="00EA7FE0" w:rsidRPr="00EA7FE0" w:rsidRDefault="00EA7FE0" w:rsidP="00EA7FE0">
            <w:pPr>
              <w:rPr>
                <w:rFonts w:ascii="Arial" w:eastAsia="Times New Roman" w:hAnsi="Arial" w:cs="Arial"/>
                <w:szCs w:val="24"/>
                <w:lang w:eastAsia="en-GB"/>
              </w:rPr>
            </w:pPr>
            <w:r w:rsidRPr="00EA7FE0">
              <w:rPr>
                <w:rFonts w:ascii="Arial" w:eastAsia="Times New Roman" w:hAnsi="Arial" w:cs="Arial"/>
                <w:szCs w:val="24"/>
                <w:lang w:eastAsia="en-GB"/>
              </w:rPr>
              <w:t>Mixed</w:t>
            </w:r>
            <w:r w:rsidRPr="00EA7FE0">
              <w:rPr>
                <w:rFonts w:ascii="Arial" w:eastAsia="Times New Roman" w:hAnsi="Arial" w:cs="Arial"/>
                <w:szCs w:val="24"/>
                <w:lang w:eastAsia="en-GB"/>
              </w:rPr>
              <w:noBreakHyphen/>
              <w:t>methods case study: (1) Pre/post training surveys; (2) Semi</w:t>
            </w:r>
            <w:r w:rsidRPr="00EA7FE0">
              <w:rPr>
                <w:rFonts w:ascii="Arial" w:eastAsia="Times New Roman" w:hAnsi="Arial" w:cs="Arial"/>
                <w:szCs w:val="24"/>
                <w:lang w:eastAsia="en-GB"/>
              </w:rPr>
              <w:noBreakHyphen/>
              <w:t>structured interviews; (3) Environmental audits of physical spaces. Triangulated analysis guided by SAMHSA’s 10 domains.</w:t>
            </w:r>
          </w:p>
        </w:tc>
        <w:tc>
          <w:tcPr>
            <w:tcW w:w="0" w:type="auto"/>
            <w:hideMark/>
          </w:tcPr>
          <w:p w14:paraId="1AA87BA6" w14:textId="77777777" w:rsidR="00EA7FE0" w:rsidRPr="00EA7FE0" w:rsidRDefault="00EA7FE0" w:rsidP="00EA7FE0">
            <w:pPr>
              <w:rPr>
                <w:rFonts w:ascii="Arial" w:eastAsia="Times New Roman" w:hAnsi="Arial" w:cs="Arial"/>
                <w:szCs w:val="24"/>
                <w:lang w:eastAsia="en-GB"/>
              </w:rPr>
            </w:pPr>
            <w:r w:rsidRPr="00EA7FE0">
              <w:rPr>
                <w:rFonts w:ascii="Arial" w:eastAsia="Times New Roman" w:hAnsi="Arial" w:cs="Arial"/>
                <w:b/>
                <w:bCs/>
                <w:szCs w:val="24"/>
                <w:lang w:eastAsia="en-GB"/>
              </w:rPr>
              <w:t>355 staff surveyed</w:t>
            </w:r>
            <w:r w:rsidRPr="00EA7FE0">
              <w:rPr>
                <w:rFonts w:ascii="Arial" w:eastAsia="Times New Roman" w:hAnsi="Arial" w:cs="Arial"/>
                <w:szCs w:val="24"/>
                <w:lang w:eastAsia="en-GB"/>
              </w:rPr>
              <w:t xml:space="preserve">, </w:t>
            </w:r>
            <w:r w:rsidRPr="00EA7FE0">
              <w:rPr>
                <w:rFonts w:ascii="Arial" w:eastAsia="Times New Roman" w:hAnsi="Arial" w:cs="Arial"/>
                <w:b/>
                <w:bCs/>
                <w:szCs w:val="24"/>
                <w:lang w:eastAsia="en-GB"/>
              </w:rPr>
              <w:t>13 VCSE staff</w:t>
            </w:r>
            <w:r w:rsidRPr="00EA7FE0">
              <w:rPr>
                <w:rFonts w:ascii="Arial" w:eastAsia="Times New Roman" w:hAnsi="Arial" w:cs="Arial"/>
                <w:szCs w:val="24"/>
                <w:lang w:eastAsia="en-GB"/>
              </w:rPr>
              <w:t xml:space="preserve">, </w:t>
            </w:r>
            <w:r w:rsidRPr="00EA7FE0">
              <w:rPr>
                <w:rFonts w:ascii="Arial" w:eastAsia="Times New Roman" w:hAnsi="Arial" w:cs="Arial"/>
                <w:b/>
                <w:bCs/>
                <w:szCs w:val="24"/>
                <w:lang w:eastAsia="en-GB"/>
              </w:rPr>
              <w:t>28 interviewees</w:t>
            </w:r>
            <w:r w:rsidRPr="00EA7FE0">
              <w:rPr>
                <w:rFonts w:ascii="Arial" w:eastAsia="Times New Roman" w:hAnsi="Arial" w:cs="Arial"/>
                <w:szCs w:val="24"/>
                <w:lang w:eastAsia="en-GB"/>
              </w:rPr>
              <w:t xml:space="preserve">, </w:t>
            </w:r>
            <w:r w:rsidRPr="00EA7FE0">
              <w:rPr>
                <w:rFonts w:ascii="Arial" w:eastAsia="Times New Roman" w:hAnsi="Arial" w:cs="Arial"/>
                <w:b/>
                <w:bCs/>
                <w:szCs w:val="24"/>
                <w:lang w:eastAsia="en-GB"/>
              </w:rPr>
              <w:t>6 environmental audits</w:t>
            </w:r>
            <w:r w:rsidRPr="00EA7FE0">
              <w:rPr>
                <w:rFonts w:ascii="Arial" w:eastAsia="Times New Roman" w:hAnsi="Arial" w:cs="Arial"/>
                <w:szCs w:val="24"/>
                <w:lang w:eastAsia="en-GB"/>
              </w:rPr>
              <w:t>.</w:t>
            </w:r>
          </w:p>
        </w:tc>
        <w:tc>
          <w:tcPr>
            <w:tcW w:w="0" w:type="auto"/>
            <w:hideMark/>
          </w:tcPr>
          <w:p w14:paraId="4C9C5117" w14:textId="77777777" w:rsidR="00EA7FE0" w:rsidRPr="00EA7FE0" w:rsidRDefault="00EA7FE0" w:rsidP="00EA7FE0">
            <w:pPr>
              <w:rPr>
                <w:rFonts w:ascii="Arial" w:eastAsia="Times New Roman" w:hAnsi="Arial" w:cs="Arial"/>
                <w:szCs w:val="24"/>
                <w:lang w:eastAsia="en-GB"/>
              </w:rPr>
            </w:pPr>
            <w:r w:rsidRPr="00EA7FE0">
              <w:rPr>
                <w:rFonts w:ascii="Arial" w:eastAsia="Times New Roman" w:hAnsi="Arial" w:cs="Arial"/>
                <w:szCs w:val="24"/>
                <w:lang w:eastAsia="en-GB"/>
              </w:rPr>
              <w:t xml:space="preserve">Training increased awareness but did </w:t>
            </w:r>
            <w:r w:rsidRPr="00EA7FE0">
              <w:rPr>
                <w:rFonts w:ascii="Arial" w:eastAsia="Times New Roman" w:hAnsi="Arial" w:cs="Arial"/>
                <w:b/>
                <w:bCs/>
                <w:szCs w:val="24"/>
                <w:lang w:eastAsia="en-GB"/>
              </w:rPr>
              <w:t>not</w:t>
            </w:r>
            <w:r w:rsidRPr="00EA7FE0">
              <w:rPr>
                <w:rFonts w:ascii="Arial" w:eastAsia="Times New Roman" w:hAnsi="Arial" w:cs="Arial"/>
                <w:szCs w:val="24"/>
                <w:lang w:eastAsia="en-GB"/>
              </w:rPr>
              <w:t xml:space="preserve"> lead to sustained implementation. Strong need for distributed leadership, staff engagement, co</w:t>
            </w:r>
            <w:r w:rsidRPr="00EA7FE0">
              <w:rPr>
                <w:rFonts w:ascii="Arial" w:eastAsia="Times New Roman" w:hAnsi="Arial" w:cs="Arial"/>
                <w:szCs w:val="24"/>
                <w:lang w:eastAsia="en-GB"/>
              </w:rPr>
              <w:noBreakHyphen/>
              <w:t>production with experts</w:t>
            </w:r>
            <w:r w:rsidRPr="00EA7FE0">
              <w:rPr>
                <w:rFonts w:ascii="Arial" w:eastAsia="Times New Roman" w:hAnsi="Arial" w:cs="Arial"/>
                <w:szCs w:val="24"/>
                <w:lang w:eastAsia="en-GB"/>
              </w:rPr>
              <w:noBreakHyphen/>
              <w:t>by</w:t>
            </w:r>
            <w:r w:rsidRPr="00EA7FE0">
              <w:rPr>
                <w:rFonts w:ascii="Arial" w:eastAsia="Times New Roman" w:hAnsi="Arial" w:cs="Arial"/>
                <w:szCs w:val="24"/>
                <w:lang w:eastAsia="en-GB"/>
              </w:rPr>
              <w:noBreakHyphen/>
              <w:t>experience, and supportive physical environments. Poor estates and lack of senior leadership involvement hindered TIC implementation. TIC requires cultural transformation, not just training.</w:t>
            </w:r>
          </w:p>
        </w:tc>
      </w:tr>
    </w:tbl>
    <w:p w14:paraId="4DA9936A" w14:textId="77777777" w:rsidR="00EF20D2" w:rsidRDefault="00EF20D2" w:rsidP="006646A5">
      <w:pPr>
        <w:spacing w:before="100" w:beforeAutospacing="1" w:after="100" w:afterAutospacing="1" w:line="360" w:lineRule="auto"/>
        <w:jc w:val="both"/>
        <w:outlineLvl w:val="1"/>
        <w:rPr>
          <w:rFonts w:ascii="AriEL" w:eastAsia="Times New Roman" w:hAnsi="AriEL" w:cs="Times New Roman"/>
          <w:b/>
          <w:bCs/>
          <w:szCs w:val="24"/>
          <w:lang w:eastAsia="en-GB"/>
        </w:rPr>
      </w:pPr>
    </w:p>
    <w:p w14:paraId="14203C59" w14:textId="77777777" w:rsidR="00EF20D2" w:rsidRDefault="00EF20D2" w:rsidP="006646A5">
      <w:pPr>
        <w:spacing w:before="100" w:beforeAutospacing="1" w:after="100" w:afterAutospacing="1" w:line="360" w:lineRule="auto"/>
        <w:jc w:val="both"/>
        <w:outlineLvl w:val="1"/>
        <w:rPr>
          <w:rFonts w:ascii="AriEL" w:eastAsia="Times New Roman" w:hAnsi="AriEL" w:cs="Times New Roman"/>
          <w:b/>
          <w:bCs/>
          <w:szCs w:val="24"/>
          <w:lang w:eastAsia="en-GB"/>
        </w:rPr>
      </w:pPr>
    </w:p>
    <w:p w14:paraId="3A33CFDC" w14:textId="56A5027D" w:rsidR="00FC1570" w:rsidRPr="00C07407" w:rsidRDefault="00FC1570" w:rsidP="006646A5">
      <w:pPr>
        <w:spacing w:before="100" w:beforeAutospacing="1" w:after="100" w:afterAutospacing="1" w:line="360" w:lineRule="auto"/>
        <w:jc w:val="both"/>
        <w:outlineLvl w:val="1"/>
        <w:rPr>
          <w:rFonts w:ascii="AriEL" w:eastAsia="Times New Roman" w:hAnsi="AriEL" w:cs="Times New Roman"/>
          <w:b/>
          <w:bCs/>
          <w:szCs w:val="24"/>
          <w:lang w:eastAsia="en-GB"/>
        </w:rPr>
      </w:pPr>
      <w:r w:rsidRPr="00C07407">
        <w:rPr>
          <w:rFonts w:ascii="AriEL" w:eastAsia="Times New Roman" w:hAnsi="AriEL" w:cs="Times New Roman"/>
          <w:b/>
          <w:bCs/>
          <w:szCs w:val="24"/>
          <w:lang w:eastAsia="en-GB"/>
        </w:rPr>
        <w:lastRenderedPageBreak/>
        <w:t xml:space="preserve">2. Thematic Analysis </w:t>
      </w:r>
    </w:p>
    <w:p w14:paraId="23826E70" w14:textId="135D6BBA" w:rsidR="00AC1FE5" w:rsidRDefault="00FC1570" w:rsidP="00EA7FE0">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Thematic analysis was used to synthesise findings from the included studies. This involved identifying recurring patterns across the literature related to the implementation and impact of trauma-informed care in UK health and social care settings.</w:t>
      </w:r>
    </w:p>
    <w:p w14:paraId="681BDCC5" w14:textId="77777777" w:rsidR="00EA7FE0" w:rsidRPr="00EA7FE0" w:rsidRDefault="00EA7FE0" w:rsidP="00EA7FE0">
      <w:pPr>
        <w:spacing w:before="100" w:beforeAutospacing="1" w:after="100" w:afterAutospacing="1" w:line="360" w:lineRule="auto"/>
        <w:jc w:val="both"/>
        <w:rPr>
          <w:rFonts w:ascii="AriEL" w:hAnsi="AriEL"/>
          <w:b/>
          <w:bCs/>
        </w:rPr>
      </w:pPr>
      <w:r w:rsidRPr="00EA7FE0">
        <w:rPr>
          <w:rFonts w:ascii="AriEL" w:hAnsi="AriEL"/>
          <w:b/>
          <w:bCs/>
        </w:rPr>
        <w:t>Theme 1: Training Improves Trauma‑Informed Knowledge but Does Not Deliver System‑Wide Change</w:t>
      </w:r>
    </w:p>
    <w:p w14:paraId="0FF154B3" w14:textId="77777777" w:rsidR="00EA7FE0" w:rsidRPr="00EA7FE0" w:rsidRDefault="00EA7FE0" w:rsidP="00EA7FE0">
      <w:pPr>
        <w:spacing w:before="100" w:beforeAutospacing="1" w:after="100" w:afterAutospacing="1" w:line="360" w:lineRule="auto"/>
        <w:jc w:val="both"/>
        <w:rPr>
          <w:rFonts w:ascii="AriEL" w:hAnsi="AriEL"/>
        </w:rPr>
      </w:pPr>
      <w:r w:rsidRPr="00EA7FE0">
        <w:rPr>
          <w:rFonts w:ascii="AriEL" w:hAnsi="AriEL"/>
        </w:rPr>
        <w:t>Across all three studies, trauma‑informed training consistently improved practitioner knowledge, confidence, and awareness, yet the impact remained largely at the individual level rather than translating into sustained organisational change. Pepa et al. (2025) demonstrated significant increases in trauma‑informed knowledge and attitudes six months after training, with large effect sizes indicating strong learning retention. However, they also found weaker improvements in system‑wide attitudes and organisational processes, highlighting that training alone cannot shift wider structures or cultures. This pattern is echoed in Emsley et al. (2022), who reported that although TI approaches appear in UK policy documents, implementation remains fragmented, inconsistent, and unsupported by national strategy or funding. Similarly, Currie and Lynch (2026) found that staff valued TIC training and felt more informed, but organisational practice largely remained unchanged, with many professionals continuing “as usual” despite training. Collectively, these studies show that while training is an essential foundation for trauma‑informed practice, it is insufficient on its own to embed trauma‑informed systems. Without structural alignment, policy support, and organisational commitment, training produces knowledgeable practitioners working within unchanged environments.</w:t>
      </w:r>
    </w:p>
    <w:p w14:paraId="384B166B" w14:textId="77777777" w:rsidR="00EA7FE0" w:rsidRPr="00EA7FE0" w:rsidRDefault="00EA7FE0" w:rsidP="00EA7FE0">
      <w:pPr>
        <w:spacing w:before="100" w:beforeAutospacing="1" w:after="100" w:afterAutospacing="1" w:line="360" w:lineRule="auto"/>
        <w:jc w:val="both"/>
        <w:rPr>
          <w:rFonts w:ascii="AriEL" w:hAnsi="AriEL"/>
        </w:rPr>
      </w:pPr>
    </w:p>
    <w:p w14:paraId="33A7D3F9" w14:textId="77777777" w:rsidR="00EA7FE0" w:rsidRPr="00EA7FE0" w:rsidRDefault="00EA7FE0" w:rsidP="00EA7FE0">
      <w:pPr>
        <w:spacing w:before="100" w:beforeAutospacing="1" w:after="100" w:afterAutospacing="1" w:line="360" w:lineRule="auto"/>
        <w:jc w:val="both"/>
        <w:rPr>
          <w:rFonts w:ascii="AriEL" w:hAnsi="AriEL"/>
          <w:b/>
          <w:bCs/>
        </w:rPr>
      </w:pPr>
      <w:r w:rsidRPr="00EA7FE0">
        <w:rPr>
          <w:rFonts w:ascii="AriEL" w:hAnsi="AriEL"/>
          <w:b/>
          <w:bCs/>
        </w:rPr>
        <w:t>Theme 2: Leadership, Organisational Culture, and System Conditions Are Essential for Embedding Trauma‑Informed Practice</w:t>
      </w:r>
    </w:p>
    <w:p w14:paraId="7EDF3493" w14:textId="487BCDC6" w:rsidR="00EA7FE0" w:rsidRPr="00C07407" w:rsidRDefault="00EA7FE0" w:rsidP="00EA7FE0">
      <w:pPr>
        <w:spacing w:before="100" w:beforeAutospacing="1" w:after="100" w:afterAutospacing="1" w:line="360" w:lineRule="auto"/>
        <w:jc w:val="both"/>
        <w:rPr>
          <w:rFonts w:ascii="AriEL" w:hAnsi="AriEL"/>
        </w:rPr>
      </w:pPr>
      <w:r w:rsidRPr="00EA7FE0">
        <w:rPr>
          <w:rFonts w:ascii="AriEL" w:hAnsi="AriEL"/>
        </w:rPr>
        <w:t xml:space="preserve">The second theme highlights that trauma‑informed practice can only be embedded when leadership, organisational culture, and system conditions actively support and reinforce </w:t>
      </w:r>
      <w:r w:rsidRPr="00EA7FE0">
        <w:rPr>
          <w:rFonts w:ascii="AriEL" w:hAnsi="AriEL"/>
        </w:rPr>
        <w:lastRenderedPageBreak/>
        <w:t>change. Pepa et al. (2025) noted that although practitioners improved their understanding of trauma, ACEs, and trauma‑responsive principles, system‑wide progress was limited by organisational barriers such as staffing pressures, burnout, and lack of leadership engagement. Emsley et al. (2022) similarly identified leadership, organisational culture, resource allocation, and government support as critical determinants of successful TI implementation, emphasising that the absence of a coordinated national strategy in England has resulted in piecemeal and inconsistent adoption. Currie and Lynch (2026) further reinforced this by showing that senior leaders rarely attended TIC training, weakening organisational commitment and signalling limited prioritisation. Staff reported feeling that TIC was “done to them” rather than co‑produced, and environmental audits revealed that physical spaces often failed to support trauma‑informed principles such as safety, dignity, and predictability. Together, these findings demonstrate that trauma‑informed care requires cultural transformation rather than technical compliance. Leadership involvement, staff engagement, co‑production, and supportive environments are essential for moving beyond individual learning toward meaningful, system‑wide trauma‑informed practice.</w:t>
      </w:r>
    </w:p>
    <w:p w14:paraId="5C43254D" w14:textId="6A327DC7" w:rsidR="00B87E75" w:rsidRPr="00C07407" w:rsidRDefault="00B87E75" w:rsidP="002B2E1B">
      <w:pPr>
        <w:pStyle w:val="Heading1"/>
        <w:rPr>
          <w:rFonts w:hint="eastAsia"/>
        </w:rPr>
      </w:pPr>
      <w:r w:rsidRPr="00C07407">
        <w:t>Discussion</w:t>
      </w:r>
    </w:p>
    <w:p w14:paraId="4E6F534C" w14:textId="77777777" w:rsidR="0015195E" w:rsidRPr="00C07407" w:rsidRDefault="0015195E" w:rsidP="006646A5">
      <w:pPr>
        <w:spacing w:before="100" w:beforeAutospacing="1" w:after="100" w:afterAutospacing="1" w:line="360" w:lineRule="auto"/>
        <w:jc w:val="both"/>
        <w:outlineLvl w:val="1"/>
        <w:rPr>
          <w:rFonts w:ascii="AriEL" w:eastAsia="Times New Roman" w:hAnsi="AriEL" w:cs="Times New Roman"/>
          <w:b/>
          <w:bCs/>
          <w:szCs w:val="24"/>
          <w:lang w:eastAsia="en-GB"/>
        </w:rPr>
      </w:pPr>
      <w:r w:rsidRPr="00C07407">
        <w:rPr>
          <w:rFonts w:ascii="AriEL" w:eastAsia="Times New Roman" w:hAnsi="AriEL" w:cs="Times New Roman"/>
          <w:b/>
          <w:bCs/>
          <w:szCs w:val="24"/>
          <w:lang w:eastAsia="en-GB"/>
        </w:rPr>
        <w:t>1 Summary of Main Findings</w:t>
      </w:r>
    </w:p>
    <w:p w14:paraId="61904137" w14:textId="77777777" w:rsidR="00EA7FE0" w:rsidRPr="00EA7FE0" w:rsidRDefault="00EA7FE0" w:rsidP="00EA7FE0">
      <w:pPr>
        <w:spacing w:before="100" w:beforeAutospacing="1" w:after="100" w:afterAutospacing="1" w:line="360" w:lineRule="auto"/>
        <w:jc w:val="both"/>
        <w:rPr>
          <w:rFonts w:ascii="AriEL" w:eastAsia="Times New Roman" w:hAnsi="AriEL" w:cs="Times New Roman"/>
          <w:szCs w:val="24"/>
          <w:lang w:eastAsia="en-GB"/>
        </w:rPr>
      </w:pPr>
      <w:r w:rsidRPr="00EA7FE0">
        <w:rPr>
          <w:rFonts w:ascii="AriEL" w:eastAsia="Times New Roman" w:hAnsi="AriEL" w:cs="Times New Roman"/>
          <w:szCs w:val="24"/>
          <w:lang w:eastAsia="en-GB"/>
        </w:rPr>
        <w:t xml:space="preserve">Across the three studies, a consistent pattern emerges showing that trauma‑informed training is effective at improving practitioner knowledge, confidence, and awareness, but far less effective at producing sustained organisational or system‑wide change. Pepa et al. (2025) demonstrated strong individual‑level gains following a multi‑agency TIP training programme, with significant improvements in trauma‑informed knowledge, attitudes, and understanding of trauma, ACEs, and brain physiology. However, system‑wide progress was more modest, indicating that training alone cannot shift organisational structures or cultures. This finding aligns with Emsley et al. (2022), who reported that although TI approaches are increasingly referenced in UK health policies, implementation remains fragmented, inconsistent, and unsupported by national strategy or funding. Their analysis showed that TI care is interpreted differently across organisations, and that leadership, coordination, and resource allocation are essential for meaningful adoption. Currie and Lynch (2026) further reinforced these conclusions, </w:t>
      </w:r>
      <w:r w:rsidRPr="00EA7FE0">
        <w:rPr>
          <w:rFonts w:ascii="AriEL" w:eastAsia="Times New Roman" w:hAnsi="AriEL" w:cs="Times New Roman"/>
          <w:szCs w:val="24"/>
          <w:lang w:eastAsia="en-GB"/>
        </w:rPr>
        <w:lastRenderedPageBreak/>
        <w:t>showing that while TIC training increased awareness among staff, organisational practice largely remained unchanged. They found that senior leaders rarely engaged with TIC initiatives, staff felt excluded from decision‑making, and physical environments often failed to support trauma‑informed principles such as safety and predictability.</w:t>
      </w:r>
    </w:p>
    <w:p w14:paraId="7622C932" w14:textId="77777777" w:rsidR="00EA7FE0" w:rsidRPr="00EA7FE0" w:rsidRDefault="00EA7FE0" w:rsidP="00EA7FE0">
      <w:pPr>
        <w:spacing w:before="100" w:beforeAutospacing="1" w:after="100" w:afterAutospacing="1" w:line="360" w:lineRule="auto"/>
        <w:jc w:val="both"/>
        <w:rPr>
          <w:rFonts w:ascii="AriEL" w:eastAsia="Times New Roman" w:hAnsi="AriEL" w:cs="Times New Roman"/>
          <w:szCs w:val="24"/>
          <w:lang w:eastAsia="en-GB"/>
        </w:rPr>
      </w:pPr>
    </w:p>
    <w:p w14:paraId="244FCA99" w14:textId="77777777" w:rsidR="00EA7FE0" w:rsidRDefault="00EA7FE0" w:rsidP="00EA7FE0">
      <w:pPr>
        <w:spacing w:before="100" w:beforeAutospacing="1" w:after="100" w:afterAutospacing="1" w:line="360" w:lineRule="auto"/>
        <w:jc w:val="both"/>
        <w:rPr>
          <w:rFonts w:ascii="AriEL" w:eastAsia="Times New Roman" w:hAnsi="AriEL" w:cs="Times New Roman"/>
          <w:szCs w:val="24"/>
          <w:lang w:eastAsia="en-GB"/>
        </w:rPr>
      </w:pPr>
      <w:r w:rsidRPr="00EA7FE0">
        <w:rPr>
          <w:rFonts w:ascii="AriEL" w:eastAsia="Times New Roman" w:hAnsi="AriEL" w:cs="Times New Roman"/>
          <w:szCs w:val="24"/>
          <w:lang w:eastAsia="en-GB"/>
        </w:rPr>
        <w:t>Collectively, the main findings indicate that trauma‑informed training is necessary but insufficient for embedding trauma‑informed practice. Sustainable implementation requires leadership commitment, organisational culture change, staff engagement, co‑production, and supportive system conditions. Without these structural elements, trauma‑informed practice remains limited to individual learning rather than becoming embedded within wider organisational or regional systems.</w:t>
      </w:r>
    </w:p>
    <w:p w14:paraId="7B948241" w14:textId="6412122A" w:rsidR="009A7D09" w:rsidRPr="00C07407" w:rsidRDefault="009A7D09" w:rsidP="00EA7FE0">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b/>
          <w:bCs/>
          <w:szCs w:val="24"/>
          <w:lang w:eastAsia="en-GB"/>
        </w:rPr>
        <w:t>2 Discussion of Findings in Relation to the Review Question</w:t>
      </w:r>
    </w:p>
    <w:p w14:paraId="0B55EF94" w14:textId="77777777" w:rsidR="009A7D09" w:rsidRPr="00C07407" w:rsidRDefault="009A7D09"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The review question asked:</w:t>
      </w:r>
    </w:p>
    <w:p w14:paraId="7AD4ACE5" w14:textId="77777777" w:rsidR="009A7D09" w:rsidRPr="00C07407" w:rsidRDefault="009A7D09"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b/>
          <w:bCs/>
          <w:szCs w:val="24"/>
          <w:lang w:eastAsia="en-GB"/>
        </w:rPr>
        <w:t>What is known from existing research about the implementation and impact of trauma-informed care in UK health and social care settings?</w:t>
      </w:r>
    </w:p>
    <w:p w14:paraId="4BF9CCDE" w14:textId="55EFB9C8" w:rsidR="009A7D09" w:rsidRPr="00C07407" w:rsidRDefault="009A7D09"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 xml:space="preserve">The evidence included in this scoping review suggests that trauma-informed care </w:t>
      </w:r>
      <w:r w:rsidR="00991A83" w:rsidRPr="00C07407">
        <w:rPr>
          <w:rFonts w:ascii="AriEL" w:eastAsia="Times New Roman" w:hAnsi="AriEL" w:cs="Times New Roman"/>
          <w:szCs w:val="24"/>
          <w:lang w:eastAsia="en-GB"/>
        </w:rPr>
        <w:t>is, increasingly</w:t>
      </w:r>
      <w:r w:rsidRPr="00C07407">
        <w:rPr>
          <w:rFonts w:ascii="AriEL" w:eastAsia="Times New Roman" w:hAnsi="AriEL" w:cs="Times New Roman"/>
          <w:szCs w:val="24"/>
          <w:lang w:eastAsia="en-GB"/>
        </w:rPr>
        <w:t xml:space="preserve"> recognised within UK services as a valuable framework for improving engagement and outcomes for individuals with trauma histories. This is consistent with Sweeney et al. (2018), who argue that trauma-informed approaches in mental health services improve therapeutic relationships by shifting the focus from “What is wrong with you?” to “What has happened to you?”</w:t>
      </w:r>
    </w:p>
    <w:p w14:paraId="196E1F27" w14:textId="27BAB926" w:rsidR="00C9449C" w:rsidRPr="00C07407" w:rsidRDefault="009A7D09" w:rsidP="006646A5">
      <w:pPr>
        <w:pStyle w:val="isselectedend"/>
        <w:spacing w:line="360" w:lineRule="auto"/>
        <w:jc w:val="both"/>
        <w:rPr>
          <w:rFonts w:ascii="AriEL" w:hAnsi="AriEL"/>
        </w:rPr>
      </w:pPr>
      <w:r w:rsidRPr="00C07407">
        <w:rPr>
          <w:rFonts w:ascii="AriEL" w:hAnsi="AriEL"/>
        </w:rPr>
        <w:t>The findings also align with NHS England (2022), which emphasises that trauma-informed practice improves patient experience, reduces re-traumatisation, and supports recovery-oriented care. Similarly, studies included in this review suggest that service users are more likely to engage with services when they feel understood,</w:t>
      </w:r>
      <w:r w:rsidR="00C9449C" w:rsidRPr="00C07407">
        <w:rPr>
          <w:rFonts w:ascii="AriEL" w:hAnsi="AriEL"/>
        </w:rPr>
        <w:t xml:space="preserve"> respected, and emotionally safe.</w:t>
      </w:r>
    </w:p>
    <w:p w14:paraId="30ADEAD1" w14:textId="77777777" w:rsidR="00C9449C" w:rsidRPr="00C07407" w:rsidRDefault="00C9449C" w:rsidP="006646A5">
      <w:pPr>
        <w:pStyle w:val="NormalWeb"/>
        <w:spacing w:line="360" w:lineRule="auto"/>
        <w:jc w:val="both"/>
        <w:rPr>
          <w:rFonts w:ascii="AriEL" w:hAnsi="AriEL"/>
        </w:rPr>
      </w:pPr>
      <w:r w:rsidRPr="00C07407">
        <w:rPr>
          <w:rFonts w:ascii="AriEL" w:hAnsi="AriEL"/>
        </w:rPr>
        <w:t xml:space="preserve">However, despite these benefits, the evidence consistently shows that implementation is challenging. This supports previous research which identifies workforce pressures, lack </w:t>
      </w:r>
      <w:r w:rsidRPr="00C07407">
        <w:rPr>
          <w:rFonts w:ascii="AriEL" w:hAnsi="AriEL"/>
        </w:rPr>
        <w:lastRenderedPageBreak/>
        <w:t>of training, and limited organisational resources as major barriers to embedding trauma-informed care in practice (Wilson et al., 2023). These findings suggest that while awareness of trauma-informed care is increasing, translation into consistent practice across UK health and social care services remains limited.</w:t>
      </w:r>
    </w:p>
    <w:p w14:paraId="066EF413" w14:textId="77777777" w:rsidR="001B7EE8" w:rsidRPr="00C07407" w:rsidRDefault="001B7EE8" w:rsidP="006646A5">
      <w:pPr>
        <w:spacing w:before="100" w:beforeAutospacing="1" w:after="100" w:afterAutospacing="1" w:line="360" w:lineRule="auto"/>
        <w:jc w:val="both"/>
        <w:outlineLvl w:val="1"/>
        <w:rPr>
          <w:rFonts w:ascii="AriEL" w:eastAsia="Times New Roman" w:hAnsi="AriEL" w:cs="Times New Roman"/>
          <w:b/>
          <w:bCs/>
          <w:szCs w:val="24"/>
          <w:lang w:eastAsia="en-GB"/>
        </w:rPr>
      </w:pPr>
      <w:r w:rsidRPr="00C07407">
        <w:rPr>
          <w:rFonts w:ascii="AriEL" w:eastAsia="Times New Roman" w:hAnsi="AriEL" w:cs="Times New Roman"/>
          <w:b/>
          <w:bCs/>
          <w:szCs w:val="24"/>
          <w:lang w:eastAsia="en-GB"/>
        </w:rPr>
        <w:t>3 Importance of Findings for Health and Social Care Practice</w:t>
      </w:r>
    </w:p>
    <w:p w14:paraId="69962057" w14:textId="77777777" w:rsidR="001B7EE8" w:rsidRPr="00C07407" w:rsidRDefault="001B7EE8"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The findings of this scoping review are highly relevant for health and social care practice in the UK. Firstly, they highlight the importance of adopting a person-centred approach that recognises the impact of trauma on individuals’ behaviour, communication, and engagement with services.</w:t>
      </w:r>
    </w:p>
    <w:p w14:paraId="3F63A696" w14:textId="77777777" w:rsidR="001B7EE8" w:rsidRPr="00C07407" w:rsidRDefault="001B7EE8"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Secondly, the evidence suggests that trauma-informed care can improve service user outcomes, particularly in mental health, emergency care, and social care settings. Improved trust and engagement can lead to earlier intervention, better continuity of care, and reduced service avoidance, which is particularly important for vulnerable populations.</w:t>
      </w:r>
    </w:p>
    <w:p w14:paraId="4944B431" w14:textId="77777777" w:rsidR="00EF20D2" w:rsidRDefault="00EF20D2" w:rsidP="006646A5">
      <w:pPr>
        <w:spacing w:before="100" w:beforeAutospacing="1" w:after="100" w:afterAutospacing="1" w:line="360" w:lineRule="auto"/>
        <w:jc w:val="both"/>
        <w:rPr>
          <w:rFonts w:ascii="AriEL" w:eastAsia="Times New Roman" w:hAnsi="AriEL" w:cs="Times New Roman"/>
          <w:szCs w:val="24"/>
          <w:lang w:eastAsia="en-GB"/>
        </w:rPr>
      </w:pPr>
    </w:p>
    <w:p w14:paraId="6CFAA16E" w14:textId="5CC33E95" w:rsidR="001B7EE8" w:rsidRPr="00C07407" w:rsidRDefault="001B7EE8"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 xml:space="preserve">Thirdly, the findings highlight the need for organisational commitment to trauma-informed principles. Without leadership support, staff training, and adequate resources, trauma-informed care risks </w:t>
      </w:r>
      <w:r w:rsidR="00DF14B1" w:rsidRPr="00C07407">
        <w:rPr>
          <w:rFonts w:ascii="AriEL" w:eastAsia="Times New Roman" w:hAnsi="AriEL" w:cs="Times New Roman"/>
          <w:szCs w:val="24"/>
          <w:lang w:eastAsia="en-GB"/>
        </w:rPr>
        <w:t>being</w:t>
      </w:r>
      <w:r w:rsidR="00DF14B1">
        <w:rPr>
          <w:rFonts w:ascii="AriEL" w:eastAsia="Times New Roman" w:hAnsi="AriEL" w:cs="Times New Roman"/>
          <w:szCs w:val="24"/>
          <w:lang w:eastAsia="en-GB"/>
        </w:rPr>
        <w:t>,</w:t>
      </w:r>
      <w:r w:rsidRPr="00C07407">
        <w:rPr>
          <w:rFonts w:ascii="AriEL" w:eastAsia="Times New Roman" w:hAnsi="AriEL" w:cs="Times New Roman"/>
          <w:szCs w:val="24"/>
          <w:lang w:eastAsia="en-GB"/>
        </w:rPr>
        <w:t xml:space="preserve"> implemented inconsistently or symbolically rather than as a sustained practice change.</w:t>
      </w:r>
    </w:p>
    <w:p w14:paraId="660FEA1A" w14:textId="77777777" w:rsidR="001B7EE8" w:rsidRDefault="001B7EE8"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Overall, the review suggests that trauma-informed care has the potential to improve both service user experience and organisational culture if implemented effectively at a whole-system level.</w:t>
      </w:r>
    </w:p>
    <w:p w14:paraId="434745FF" w14:textId="4E5D4BD5" w:rsidR="009464FF" w:rsidRPr="00C07407" w:rsidRDefault="00EE497E" w:rsidP="006646A5">
      <w:pPr>
        <w:spacing w:before="100" w:beforeAutospacing="1" w:after="100" w:afterAutospacing="1" w:line="360" w:lineRule="auto"/>
        <w:jc w:val="both"/>
        <w:outlineLvl w:val="1"/>
        <w:rPr>
          <w:rFonts w:ascii="AriEL" w:eastAsia="Times New Roman" w:hAnsi="AriEL" w:cs="Times New Roman"/>
          <w:b/>
          <w:bCs/>
          <w:szCs w:val="24"/>
          <w:lang w:eastAsia="en-GB"/>
        </w:rPr>
      </w:pPr>
      <w:r>
        <w:rPr>
          <w:rFonts w:ascii="AriEL" w:eastAsia="Times New Roman" w:hAnsi="AriEL" w:cs="Times New Roman"/>
          <w:b/>
          <w:bCs/>
          <w:szCs w:val="24"/>
          <w:lang w:eastAsia="en-GB"/>
        </w:rPr>
        <w:t>4.</w:t>
      </w:r>
      <w:r w:rsidR="009464FF" w:rsidRPr="00C07407">
        <w:rPr>
          <w:rFonts w:ascii="AriEL" w:eastAsia="Times New Roman" w:hAnsi="AriEL" w:cs="Times New Roman"/>
          <w:b/>
          <w:bCs/>
          <w:szCs w:val="24"/>
          <w:lang w:eastAsia="en-GB"/>
        </w:rPr>
        <w:t>Limitations of the Scoping Review</w:t>
      </w:r>
    </w:p>
    <w:p w14:paraId="20550EE5" w14:textId="5BEC3317" w:rsidR="009464FF" w:rsidRPr="00C07407" w:rsidRDefault="009464FF"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 xml:space="preserve">This scoping review has </w:t>
      </w:r>
      <w:r w:rsidR="00B00DEE" w:rsidRPr="00C07407">
        <w:rPr>
          <w:rFonts w:ascii="AriEL" w:eastAsia="Times New Roman" w:hAnsi="AriEL" w:cs="Times New Roman"/>
          <w:szCs w:val="24"/>
          <w:lang w:eastAsia="en-GB"/>
        </w:rPr>
        <w:t>several</w:t>
      </w:r>
      <w:r w:rsidR="00B00DEE">
        <w:rPr>
          <w:rFonts w:ascii="AriEL" w:eastAsia="Times New Roman" w:hAnsi="AriEL" w:cs="Times New Roman"/>
          <w:szCs w:val="24"/>
          <w:lang w:eastAsia="en-GB"/>
        </w:rPr>
        <w:t xml:space="preserve"> limitations</w:t>
      </w:r>
      <w:r w:rsidRPr="00C07407">
        <w:rPr>
          <w:rFonts w:ascii="AriEL" w:eastAsia="Times New Roman" w:hAnsi="AriEL" w:cs="Times New Roman"/>
          <w:szCs w:val="24"/>
          <w:lang w:eastAsia="en-GB"/>
        </w:rPr>
        <w:t xml:space="preserve"> that should be acknowledged.</w:t>
      </w:r>
      <w:r w:rsidR="00B00DEE">
        <w:rPr>
          <w:rFonts w:ascii="AriEL" w:eastAsia="Times New Roman" w:hAnsi="AriEL" w:cs="Times New Roman"/>
          <w:szCs w:val="24"/>
          <w:lang w:eastAsia="en-GB"/>
        </w:rPr>
        <w:t xml:space="preserve"> </w:t>
      </w:r>
      <w:r w:rsidRPr="00C07407">
        <w:rPr>
          <w:rFonts w:ascii="AriEL" w:eastAsia="Times New Roman" w:hAnsi="AriEL" w:cs="Times New Roman"/>
          <w:szCs w:val="24"/>
          <w:lang w:eastAsia="en-GB"/>
        </w:rPr>
        <w:t xml:space="preserve"> Firstly, the review included only a </w:t>
      </w:r>
      <w:r w:rsidR="006A3CBB" w:rsidRPr="00C07407">
        <w:rPr>
          <w:rFonts w:ascii="AriEL" w:eastAsia="Times New Roman" w:hAnsi="AriEL" w:cs="Times New Roman"/>
          <w:szCs w:val="24"/>
          <w:lang w:eastAsia="en-GB"/>
        </w:rPr>
        <w:t>small</w:t>
      </w:r>
      <w:r w:rsidR="006A3CBB">
        <w:rPr>
          <w:rFonts w:ascii="AriEL" w:eastAsia="Times New Roman" w:hAnsi="AriEL" w:cs="Times New Roman"/>
          <w:szCs w:val="24"/>
          <w:lang w:eastAsia="en-GB"/>
        </w:rPr>
        <w:t xml:space="preserve"> </w:t>
      </w:r>
      <w:r w:rsidR="006A3CBB" w:rsidRPr="00C07407">
        <w:rPr>
          <w:rFonts w:ascii="AriEL" w:eastAsia="Times New Roman" w:hAnsi="AriEL" w:cs="Times New Roman"/>
          <w:szCs w:val="24"/>
          <w:lang w:eastAsia="en-GB"/>
        </w:rPr>
        <w:t>number</w:t>
      </w:r>
      <w:r w:rsidRPr="00C07407">
        <w:rPr>
          <w:rFonts w:ascii="AriEL" w:eastAsia="Times New Roman" w:hAnsi="AriEL" w:cs="Times New Roman"/>
          <w:szCs w:val="24"/>
          <w:lang w:eastAsia="en-GB"/>
        </w:rPr>
        <w:t xml:space="preserve"> </w:t>
      </w:r>
      <w:r w:rsidR="00B00DEE" w:rsidRPr="00C07407">
        <w:rPr>
          <w:rFonts w:ascii="AriEL" w:eastAsia="Times New Roman" w:hAnsi="AriEL" w:cs="Times New Roman"/>
          <w:szCs w:val="24"/>
          <w:lang w:eastAsia="en-GB"/>
        </w:rPr>
        <w:t>of</w:t>
      </w:r>
      <w:r w:rsidR="00B00DEE">
        <w:rPr>
          <w:rFonts w:ascii="AriEL" w:eastAsia="Times New Roman" w:hAnsi="AriEL" w:cs="Times New Roman"/>
          <w:szCs w:val="24"/>
          <w:lang w:eastAsia="en-GB"/>
        </w:rPr>
        <w:t xml:space="preserve"> </w:t>
      </w:r>
      <w:r w:rsidR="00B00DEE" w:rsidRPr="00C07407">
        <w:rPr>
          <w:rFonts w:ascii="AriEL" w:eastAsia="Times New Roman" w:hAnsi="AriEL" w:cs="Times New Roman"/>
          <w:szCs w:val="24"/>
          <w:lang w:eastAsia="en-GB"/>
        </w:rPr>
        <w:t>studies</w:t>
      </w:r>
      <w:r w:rsidRPr="00C07407">
        <w:rPr>
          <w:rFonts w:ascii="AriEL" w:eastAsia="Times New Roman" w:hAnsi="AriEL" w:cs="Times New Roman"/>
          <w:szCs w:val="24"/>
          <w:lang w:eastAsia="en-GB"/>
        </w:rPr>
        <w:t xml:space="preserve"> (three to five), which may limit the generalisability of the findings. A larger evidence base may have provided a more comprehensive understanding of trauma-informed care implementation across different UK settings.</w:t>
      </w:r>
    </w:p>
    <w:p w14:paraId="7A293710" w14:textId="77777777" w:rsidR="009464FF" w:rsidRPr="00C07407" w:rsidRDefault="009464FF"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lastRenderedPageBreak/>
        <w:t>Secondly, the review focused only on UK-based studies, which may have excluded relevant international research that could provide additional insight into best practice models and implementation strategies.</w:t>
      </w:r>
    </w:p>
    <w:p w14:paraId="1A3252C8" w14:textId="77777777" w:rsidR="009464FF" w:rsidRPr="00C07407" w:rsidRDefault="009464FF"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Thirdly, the search strategy was limited to selected databases, meaning that some relevant studies may not have been identified. Although databases such as CINAHL, PubMed, and PsycINFO were used, grey literature and unpublished studies were excluded, which may introduce publication bias.</w:t>
      </w:r>
    </w:p>
    <w:p w14:paraId="52DBF038" w14:textId="31C64F6F" w:rsidR="00422FD5" w:rsidRDefault="009464FF" w:rsidP="00DE47A1">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 xml:space="preserve">Finally, as with all scoping reviews, the findings are descriptive rather than evaluative. This means that while the review maps existing evidence, it does not assess the quality of individual </w:t>
      </w:r>
      <w:r w:rsidR="00991A83" w:rsidRPr="00C07407">
        <w:rPr>
          <w:rFonts w:ascii="AriEL" w:eastAsia="Times New Roman" w:hAnsi="AriEL" w:cs="Times New Roman"/>
          <w:szCs w:val="24"/>
          <w:lang w:eastAsia="en-GB"/>
        </w:rPr>
        <w:t>studies</w:t>
      </w:r>
      <w:r w:rsidRPr="00C07407">
        <w:rPr>
          <w:rFonts w:ascii="AriEL" w:eastAsia="Times New Roman" w:hAnsi="AriEL" w:cs="Times New Roman"/>
          <w:szCs w:val="24"/>
          <w:lang w:eastAsia="en-GB"/>
        </w:rPr>
        <w:t xml:space="preserve"> or measure the effectiveness of interventions.</w:t>
      </w:r>
    </w:p>
    <w:p w14:paraId="1B4E6B2D" w14:textId="77777777" w:rsidR="00422FD5" w:rsidRDefault="00422FD5" w:rsidP="00EE497E">
      <w:pPr>
        <w:spacing w:after="0" w:line="360" w:lineRule="auto"/>
        <w:jc w:val="both"/>
        <w:rPr>
          <w:rFonts w:ascii="AriEL" w:eastAsia="Times New Roman" w:hAnsi="AriEL" w:cs="Times New Roman"/>
          <w:szCs w:val="24"/>
          <w:lang w:eastAsia="en-GB"/>
        </w:rPr>
      </w:pPr>
    </w:p>
    <w:p w14:paraId="16FAF0EA" w14:textId="5A9B851C" w:rsidR="00B87E75" w:rsidRPr="00EE497E" w:rsidRDefault="004A736E" w:rsidP="00EE497E">
      <w:pPr>
        <w:spacing w:after="0" w:line="360" w:lineRule="auto"/>
        <w:jc w:val="both"/>
        <w:rPr>
          <w:rFonts w:ascii="Arial" w:eastAsia="Times New Roman" w:hAnsi="Arial" w:cs="Arial"/>
          <w:b/>
          <w:bCs/>
          <w:sz w:val="28"/>
          <w:szCs w:val="28"/>
          <w:lang w:eastAsia="en-GB"/>
        </w:rPr>
      </w:pPr>
      <w:r w:rsidRPr="00C07407">
        <w:t>6</w:t>
      </w:r>
      <w:r w:rsidR="00B87E75" w:rsidRPr="00EE497E">
        <w:rPr>
          <w:rFonts w:ascii="Arial" w:hAnsi="Arial" w:cs="Arial"/>
          <w:b/>
          <w:bCs/>
          <w:sz w:val="28"/>
          <w:szCs w:val="28"/>
        </w:rPr>
        <w:t>. Conclusion</w:t>
      </w:r>
      <w:r w:rsidR="00CD33A8" w:rsidRPr="00EE497E">
        <w:rPr>
          <w:rFonts w:ascii="Arial" w:hAnsi="Arial" w:cs="Arial"/>
          <w:b/>
          <w:bCs/>
          <w:sz w:val="28"/>
          <w:szCs w:val="28"/>
        </w:rPr>
        <w:t xml:space="preserve"> and Recommendations</w:t>
      </w:r>
    </w:p>
    <w:p w14:paraId="1BBA9A64" w14:textId="77777777" w:rsidR="008544D0" w:rsidRPr="00C07407" w:rsidRDefault="008544D0" w:rsidP="006646A5">
      <w:pPr>
        <w:spacing w:before="100" w:beforeAutospacing="1" w:after="100" w:afterAutospacing="1" w:line="360" w:lineRule="auto"/>
        <w:jc w:val="both"/>
        <w:outlineLvl w:val="1"/>
        <w:rPr>
          <w:rFonts w:ascii="AriEL" w:eastAsia="Times New Roman" w:hAnsi="AriEL" w:cs="Times New Roman"/>
          <w:b/>
          <w:bCs/>
          <w:szCs w:val="24"/>
          <w:lang w:eastAsia="en-GB"/>
        </w:rPr>
      </w:pPr>
      <w:r w:rsidRPr="00C07407">
        <w:rPr>
          <w:rFonts w:ascii="AriEL" w:eastAsia="Times New Roman" w:hAnsi="AriEL" w:cs="Times New Roman"/>
          <w:b/>
          <w:bCs/>
          <w:szCs w:val="24"/>
          <w:lang w:eastAsia="en-GB"/>
        </w:rPr>
        <w:t>1 Conclusion</w:t>
      </w:r>
    </w:p>
    <w:p w14:paraId="60C1B3B6" w14:textId="77777777" w:rsidR="008544D0" w:rsidRPr="00C07407" w:rsidRDefault="008544D0"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This scoping review set out to explore what is known from existing research about the implementation and impact of trauma-informed care (TIC) within UK health and social care settings. Overall, the evidence suggests that trauma-informed care is an increasingly important framework for improving service delivery and supporting individuals who have experienced trauma.</w:t>
      </w:r>
    </w:p>
    <w:p w14:paraId="02182E9A" w14:textId="77777777" w:rsidR="008544D0" w:rsidRPr="00C07407" w:rsidRDefault="008544D0"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The main findings of the review indicate that trauma-informed care can improve service user engagement, trust, and perceived safety when interacting with health and social care services. The literature also suggests that TIC contributes to more compassionate, person-centred care by encouraging professionals to understand behaviour in the context of past trauma rather than viewing it in isolation.</w:t>
      </w:r>
    </w:p>
    <w:p w14:paraId="372E5484" w14:textId="77777777" w:rsidR="007236AF" w:rsidRDefault="008544D0"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 xml:space="preserve">However, despite these positive outcomes, the review also highlights significant challenges in implementation. These include limited staff training, workforce pressures, lack of organisational resources, and inconsistent application of trauma-informed principles across services. </w:t>
      </w:r>
    </w:p>
    <w:p w14:paraId="74C0897B" w14:textId="1B7373CE" w:rsidR="008544D0" w:rsidRDefault="008544D0" w:rsidP="006646A5">
      <w:pPr>
        <w:spacing w:before="100" w:beforeAutospacing="1" w:after="100" w:afterAutospacing="1" w:line="360" w:lineRule="auto"/>
        <w:jc w:val="both"/>
        <w:rPr>
          <w:rFonts w:ascii="AriEL" w:hAnsi="AriEL"/>
          <w:szCs w:val="24"/>
        </w:rPr>
      </w:pPr>
      <w:r w:rsidRPr="00C07407">
        <w:rPr>
          <w:rFonts w:ascii="AriEL" w:eastAsia="Times New Roman" w:hAnsi="AriEL" w:cs="Times New Roman"/>
          <w:szCs w:val="24"/>
          <w:lang w:eastAsia="en-GB"/>
        </w:rPr>
        <w:lastRenderedPageBreak/>
        <w:t>The findings suggest that while awareness of trauma-informed care is growing across the UK, its integration into everyday practice remains uneven.</w:t>
      </w:r>
      <w:r w:rsidR="00A22FAD" w:rsidRPr="00C07407">
        <w:rPr>
          <w:rFonts w:ascii="AriEL" w:hAnsi="AriEL"/>
          <w:szCs w:val="24"/>
        </w:rPr>
        <w:t xml:space="preserve"> Overall, this review concludes that trauma-informed care has the potential to significantly improve outcomes for service users and enhance the quality of care across UK health and social care services. However, this potential can only be fully realised if systemic and organisational barriers are addressed.</w:t>
      </w:r>
    </w:p>
    <w:p w14:paraId="03C45F67" w14:textId="77777777" w:rsidR="00CF52CC" w:rsidRPr="00C07407" w:rsidRDefault="00CF52CC" w:rsidP="006646A5">
      <w:pPr>
        <w:spacing w:before="100" w:beforeAutospacing="1" w:after="100" w:afterAutospacing="1" w:line="360" w:lineRule="auto"/>
        <w:jc w:val="both"/>
        <w:rPr>
          <w:rFonts w:ascii="AriEL" w:hAnsi="AriEL"/>
          <w:szCs w:val="24"/>
        </w:rPr>
      </w:pPr>
    </w:p>
    <w:p w14:paraId="16EE3BAA" w14:textId="77777777" w:rsidR="00EE497E" w:rsidRDefault="00EC3CFE" w:rsidP="006646A5">
      <w:pPr>
        <w:spacing w:before="100" w:beforeAutospacing="1" w:after="100" w:afterAutospacing="1" w:line="360" w:lineRule="auto"/>
        <w:jc w:val="both"/>
        <w:outlineLvl w:val="1"/>
        <w:rPr>
          <w:rFonts w:ascii="AriEL" w:eastAsia="Times New Roman" w:hAnsi="AriEL" w:cs="Times New Roman"/>
          <w:b/>
          <w:bCs/>
          <w:szCs w:val="24"/>
          <w:lang w:eastAsia="en-GB"/>
        </w:rPr>
      </w:pPr>
      <w:r w:rsidRPr="00C07407">
        <w:rPr>
          <w:rFonts w:ascii="AriEL" w:eastAsia="Times New Roman" w:hAnsi="AriEL" w:cs="Times New Roman"/>
          <w:b/>
          <w:bCs/>
          <w:szCs w:val="24"/>
          <w:lang w:eastAsia="en-GB"/>
        </w:rPr>
        <w:t>.</w:t>
      </w:r>
    </w:p>
    <w:p w14:paraId="0BE9C834" w14:textId="77777777" w:rsidR="00EE497E" w:rsidRDefault="00EE497E" w:rsidP="006646A5">
      <w:pPr>
        <w:spacing w:before="100" w:beforeAutospacing="1" w:after="100" w:afterAutospacing="1" w:line="360" w:lineRule="auto"/>
        <w:jc w:val="both"/>
        <w:outlineLvl w:val="1"/>
        <w:rPr>
          <w:rFonts w:ascii="AriEL" w:eastAsia="Times New Roman" w:hAnsi="AriEL" w:cs="Times New Roman"/>
          <w:b/>
          <w:bCs/>
          <w:szCs w:val="24"/>
          <w:lang w:eastAsia="en-GB"/>
        </w:rPr>
      </w:pPr>
    </w:p>
    <w:p w14:paraId="275CD6FC" w14:textId="77777777" w:rsidR="00EE497E" w:rsidRDefault="00EE497E" w:rsidP="006646A5">
      <w:pPr>
        <w:spacing w:before="100" w:beforeAutospacing="1" w:after="100" w:afterAutospacing="1" w:line="360" w:lineRule="auto"/>
        <w:jc w:val="both"/>
        <w:outlineLvl w:val="1"/>
        <w:rPr>
          <w:rFonts w:ascii="AriEL" w:eastAsia="Times New Roman" w:hAnsi="AriEL" w:cs="Times New Roman"/>
          <w:b/>
          <w:bCs/>
          <w:szCs w:val="24"/>
          <w:lang w:eastAsia="en-GB"/>
        </w:rPr>
      </w:pPr>
    </w:p>
    <w:p w14:paraId="34CCDDED" w14:textId="22B225B2" w:rsidR="00EC3CFE" w:rsidRPr="00C07407" w:rsidRDefault="00EC3CFE" w:rsidP="006646A5">
      <w:pPr>
        <w:spacing w:before="100" w:beforeAutospacing="1" w:after="100" w:afterAutospacing="1" w:line="360" w:lineRule="auto"/>
        <w:jc w:val="both"/>
        <w:outlineLvl w:val="1"/>
        <w:rPr>
          <w:rFonts w:ascii="AriEL" w:eastAsia="Times New Roman" w:hAnsi="AriEL" w:cs="Times New Roman"/>
          <w:b/>
          <w:bCs/>
          <w:szCs w:val="24"/>
          <w:lang w:eastAsia="en-GB"/>
        </w:rPr>
      </w:pPr>
      <w:r w:rsidRPr="00C07407">
        <w:rPr>
          <w:rFonts w:ascii="AriEL" w:eastAsia="Times New Roman" w:hAnsi="AriEL" w:cs="Times New Roman"/>
          <w:b/>
          <w:bCs/>
          <w:szCs w:val="24"/>
          <w:lang w:eastAsia="en-GB"/>
        </w:rPr>
        <w:t>2 Recommendations for Health and Social Care Practice</w:t>
      </w:r>
    </w:p>
    <w:p w14:paraId="326A9854" w14:textId="77777777" w:rsidR="00EC3CFE" w:rsidRPr="00C07407" w:rsidRDefault="00EC3CFE"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Based on the findings of this scoping review, several recommendations can be made for health and social care practice in the UK.</w:t>
      </w:r>
    </w:p>
    <w:p w14:paraId="3E629014" w14:textId="77777777" w:rsidR="00EC3CFE" w:rsidRPr="00C07407" w:rsidRDefault="00EC3CFE"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Firstly, all health and social care organisations should prioritise the development and delivery of mandatory trauma-informed care training for staff at all levels. This would ensure that practitioners have a consistent understanding of trauma, its impact, and how to apply trauma-informed principles in everyday practice.</w:t>
      </w:r>
    </w:p>
    <w:p w14:paraId="663E26A1" w14:textId="77777777" w:rsidR="00EC3CFE" w:rsidRPr="00C07407" w:rsidRDefault="00EC3CFE"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Secondly, organisations should adopt a whole-system approach to trauma-informed care. This includes embedding trauma-informed principles into organisational policies, supervision structures, leadership practices, and service design, rather than relying solely on individual practitioner knowledge.</w:t>
      </w:r>
    </w:p>
    <w:p w14:paraId="795CE6BF" w14:textId="77777777" w:rsidR="00EC3CFE" w:rsidRDefault="00EC3CFE"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Thirdly, greater emphasis should be placed on staff wellbeing and supervision. Working with trauma-exposed populations can be emotionally demanding, and staff require appropriate support to prevent burnout and maintain high-quality care.</w:t>
      </w:r>
    </w:p>
    <w:p w14:paraId="4F8ED1D4" w14:textId="77777777" w:rsidR="006646A5" w:rsidRPr="00C07407" w:rsidRDefault="006646A5" w:rsidP="006646A5">
      <w:pPr>
        <w:spacing w:before="100" w:beforeAutospacing="1" w:after="100" w:afterAutospacing="1" w:line="360" w:lineRule="auto"/>
        <w:jc w:val="both"/>
        <w:rPr>
          <w:rFonts w:ascii="AriEL" w:eastAsia="Times New Roman" w:hAnsi="AriEL" w:cs="Times New Roman"/>
          <w:szCs w:val="24"/>
          <w:lang w:eastAsia="en-GB"/>
        </w:rPr>
      </w:pPr>
    </w:p>
    <w:p w14:paraId="4D267C73" w14:textId="77777777" w:rsidR="0081028C" w:rsidRPr="00C07407" w:rsidRDefault="0081028C" w:rsidP="006646A5">
      <w:pPr>
        <w:spacing w:before="100" w:beforeAutospacing="1" w:after="100" w:afterAutospacing="1" w:line="360" w:lineRule="auto"/>
        <w:jc w:val="both"/>
        <w:outlineLvl w:val="1"/>
        <w:rPr>
          <w:rFonts w:ascii="AriEL" w:eastAsia="Times New Roman" w:hAnsi="AriEL" w:cs="Times New Roman"/>
          <w:b/>
          <w:bCs/>
          <w:szCs w:val="24"/>
          <w:lang w:eastAsia="en-GB"/>
        </w:rPr>
      </w:pPr>
      <w:r w:rsidRPr="00C07407">
        <w:rPr>
          <w:rFonts w:ascii="AriEL" w:eastAsia="Times New Roman" w:hAnsi="AriEL" w:cs="Times New Roman"/>
          <w:b/>
          <w:bCs/>
          <w:szCs w:val="24"/>
          <w:lang w:eastAsia="en-GB"/>
        </w:rPr>
        <w:t>3 Recommendations for Policy</w:t>
      </w:r>
    </w:p>
    <w:p w14:paraId="588123CA" w14:textId="77777777" w:rsidR="0081028C" w:rsidRPr="00C07407" w:rsidRDefault="0081028C"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lastRenderedPageBreak/>
        <w:t>At a policy level, there is a need for clearer national guidance on the implementation of trauma-informed care across UK health and social care systems. While organisations such as NHS England and the Care Quality Commission promote trauma-informed principles, there is currently no consistent national framework for implementation.</w:t>
      </w:r>
    </w:p>
    <w:p w14:paraId="6D46D851" w14:textId="5C8D5AE3" w:rsidR="0081028C" w:rsidRDefault="0081028C" w:rsidP="006646A5">
      <w:pPr>
        <w:spacing w:before="100" w:beforeAutospacing="1" w:after="100" w:afterAutospacing="1" w:line="360" w:lineRule="auto"/>
        <w:jc w:val="both"/>
        <w:rPr>
          <w:rFonts w:ascii="AriEL" w:eastAsia="Times New Roman" w:hAnsi="AriEL" w:cs="Times New Roman"/>
          <w:szCs w:val="24"/>
          <w:lang w:eastAsia="en-GB"/>
        </w:rPr>
      </w:pPr>
      <w:r w:rsidRPr="00C07407">
        <w:rPr>
          <w:rFonts w:ascii="AriEL" w:eastAsia="Times New Roman" w:hAnsi="AriEL" w:cs="Times New Roman"/>
          <w:szCs w:val="24"/>
          <w:lang w:eastAsia="en-GB"/>
        </w:rPr>
        <w:t>Developing standardised national guidance could support more consistent adoption across services and ensure that trauma-informed care i</w:t>
      </w:r>
      <w:r w:rsidR="006A3CBB">
        <w:rPr>
          <w:rFonts w:ascii="AriEL" w:eastAsia="Times New Roman" w:hAnsi="AriEL" w:cs="Times New Roman"/>
          <w:szCs w:val="24"/>
          <w:lang w:eastAsia="en-GB"/>
        </w:rPr>
        <w:t>s</w:t>
      </w:r>
      <w:r w:rsidRPr="00C07407">
        <w:rPr>
          <w:rFonts w:ascii="AriEL" w:eastAsia="Times New Roman" w:hAnsi="AriEL" w:cs="Times New Roman"/>
          <w:szCs w:val="24"/>
          <w:lang w:eastAsia="en-GB"/>
        </w:rPr>
        <w:t xml:space="preserve"> embedded within commissioning, regulation, and inspection processes. This would also support accountability and encourage organisations to prioritise trauma-informed approaches in service development.</w:t>
      </w:r>
      <w:r w:rsidR="009B694A" w:rsidRPr="00C07407">
        <w:rPr>
          <w:rFonts w:ascii="AriEL" w:eastAsia="Times New Roman" w:hAnsi="AriEL" w:cs="Times New Roman"/>
          <w:szCs w:val="24"/>
          <w:lang w:eastAsia="en-GB"/>
        </w:rPr>
        <w:t xml:space="preserve"> </w:t>
      </w:r>
    </w:p>
    <w:p w14:paraId="416E4854" w14:textId="77777777" w:rsidR="00CF52CC" w:rsidRDefault="00CF52CC" w:rsidP="006646A5">
      <w:pPr>
        <w:spacing w:before="100" w:beforeAutospacing="1" w:after="100" w:afterAutospacing="1" w:line="360" w:lineRule="auto"/>
        <w:jc w:val="both"/>
        <w:rPr>
          <w:rFonts w:ascii="AriEL" w:eastAsia="Times New Roman" w:hAnsi="AriEL" w:cs="Arial"/>
          <w:b/>
          <w:bCs/>
          <w:sz w:val="28"/>
          <w:szCs w:val="28"/>
          <w:lang w:eastAsia="en-GB"/>
        </w:rPr>
      </w:pPr>
    </w:p>
    <w:p w14:paraId="6E422D33" w14:textId="5BAAC5AC" w:rsidR="009B694A" w:rsidRPr="007236AF" w:rsidRDefault="004D5A16" w:rsidP="006646A5">
      <w:pPr>
        <w:spacing w:before="100" w:beforeAutospacing="1" w:after="100" w:afterAutospacing="1" w:line="360" w:lineRule="auto"/>
        <w:jc w:val="both"/>
        <w:rPr>
          <w:rFonts w:ascii="AriEL" w:eastAsia="Times New Roman" w:hAnsi="AriEL" w:cs="Arial"/>
          <w:b/>
          <w:bCs/>
          <w:sz w:val="28"/>
          <w:szCs w:val="28"/>
          <w:lang w:eastAsia="en-GB"/>
        </w:rPr>
      </w:pPr>
      <w:r w:rsidRPr="007236AF">
        <w:rPr>
          <w:rFonts w:ascii="AriEL" w:eastAsia="Times New Roman" w:hAnsi="AriEL" w:cs="Arial"/>
          <w:b/>
          <w:bCs/>
          <w:sz w:val="28"/>
          <w:szCs w:val="28"/>
          <w:lang w:eastAsia="en-GB"/>
        </w:rPr>
        <w:t xml:space="preserve">Refences </w:t>
      </w:r>
      <w:r w:rsidR="007236AF" w:rsidRPr="007236AF">
        <w:rPr>
          <w:rFonts w:ascii="AriEL" w:eastAsia="Times New Roman" w:hAnsi="AriEL" w:cs="Arial"/>
          <w:b/>
          <w:bCs/>
          <w:sz w:val="28"/>
          <w:szCs w:val="28"/>
          <w:lang w:eastAsia="en-GB"/>
        </w:rPr>
        <w:t>list:</w:t>
      </w:r>
    </w:p>
    <w:p w14:paraId="3235121B" w14:textId="77777777" w:rsidR="009B694A" w:rsidRPr="000E4D94" w:rsidRDefault="009B694A" w:rsidP="000E4D94">
      <w:pPr>
        <w:pStyle w:val="pdq2pgselectionanchorcontainer"/>
        <w:numPr>
          <w:ilvl w:val="0"/>
          <w:numId w:val="2"/>
        </w:numPr>
        <w:spacing w:line="360" w:lineRule="auto"/>
        <w:jc w:val="both"/>
        <w:rPr>
          <w:rFonts w:ascii="AriEL" w:hAnsi="AriEL"/>
        </w:rPr>
      </w:pPr>
      <w:r w:rsidRPr="000E4D94">
        <w:rPr>
          <w:rFonts w:ascii="AriEL" w:hAnsi="AriEL"/>
        </w:rPr>
        <w:t xml:space="preserve">Bellis, M.A. et al. (2015) </w:t>
      </w:r>
      <w:r w:rsidRPr="000E4D94">
        <w:rPr>
          <w:rStyle w:val="Emphasis"/>
          <w:rFonts w:ascii="AriEL" w:hAnsi="AriEL"/>
        </w:rPr>
        <w:t>Adverse childhood experiences and their impact on health-harming behaviours in the Welsh adult population</w:t>
      </w:r>
      <w:r w:rsidRPr="000E4D94">
        <w:rPr>
          <w:rFonts w:ascii="AriEL" w:hAnsi="AriEL"/>
        </w:rPr>
        <w:t>. Cardiff: Public Health Wales.</w:t>
      </w:r>
    </w:p>
    <w:p w14:paraId="39046F0D" w14:textId="715CE5DB" w:rsidR="009B694A" w:rsidRPr="000E4D94" w:rsidRDefault="007236AF" w:rsidP="000E4D94">
      <w:pPr>
        <w:pStyle w:val="NormalWeb"/>
        <w:numPr>
          <w:ilvl w:val="0"/>
          <w:numId w:val="2"/>
        </w:numPr>
        <w:spacing w:line="360" w:lineRule="auto"/>
        <w:jc w:val="both"/>
        <w:rPr>
          <w:rFonts w:ascii="AriEL" w:hAnsi="AriEL"/>
        </w:rPr>
      </w:pPr>
      <w:r w:rsidRPr="000E4D94">
        <w:rPr>
          <w:rFonts w:ascii="AriEL" w:hAnsi="AriEL"/>
        </w:rPr>
        <w:t>Casing</w:t>
      </w:r>
      <w:r w:rsidR="009B694A" w:rsidRPr="000E4D94">
        <w:rPr>
          <w:rFonts w:ascii="AriEL" w:hAnsi="AriEL"/>
        </w:rPr>
        <w:t xml:space="preserve">, M.L. et al. (2025) ‘How is trauma-informed care conceptualised in UK mental health services? A systematic scoping review </w:t>
      </w:r>
      <w:r w:rsidR="0085072A" w:rsidRPr="000E4D94">
        <w:rPr>
          <w:rFonts w:ascii="AriEL" w:hAnsi="AriEL"/>
        </w:rPr>
        <w:t>protocol</w:t>
      </w:r>
      <w:r w:rsidR="009B694A" w:rsidRPr="000E4D94">
        <w:rPr>
          <w:rFonts w:ascii="AriEL" w:hAnsi="AriEL"/>
        </w:rPr>
        <w:t xml:space="preserve">’ </w:t>
      </w:r>
      <w:r w:rsidR="009B694A" w:rsidRPr="000E4D94">
        <w:rPr>
          <w:rStyle w:val="Emphasis"/>
          <w:rFonts w:ascii="AriEL" w:hAnsi="AriEL"/>
        </w:rPr>
        <w:t>NIHR Open Research</w:t>
      </w:r>
      <w:r w:rsidR="009B694A" w:rsidRPr="000E4D94">
        <w:rPr>
          <w:rFonts w:ascii="AriEL" w:hAnsi="AriEL"/>
        </w:rPr>
        <w:t>, 5, p. 47. doi:10.3310/nihropenres.13945.1.</w:t>
      </w:r>
    </w:p>
    <w:p w14:paraId="7A250602" w14:textId="65116F6D" w:rsidR="009B694A" w:rsidRPr="000E4D94" w:rsidRDefault="009B694A" w:rsidP="000E4D94">
      <w:pPr>
        <w:pStyle w:val="NormalWeb"/>
        <w:numPr>
          <w:ilvl w:val="0"/>
          <w:numId w:val="2"/>
        </w:numPr>
        <w:spacing w:line="360" w:lineRule="auto"/>
        <w:jc w:val="both"/>
        <w:rPr>
          <w:rFonts w:ascii="AriEL" w:hAnsi="AriEL"/>
        </w:rPr>
      </w:pPr>
      <w:r w:rsidRPr="000E4D94">
        <w:rPr>
          <w:rFonts w:ascii="AriEL" w:hAnsi="AriEL"/>
        </w:rPr>
        <w:t xml:space="preserve">Emsley, E. et al. (2022) ‘Trauma-informed care in the UK: where are we? A qualitative study of health policies and professional perspectives, </w:t>
      </w:r>
      <w:r w:rsidRPr="000E4D94">
        <w:rPr>
          <w:rStyle w:val="Emphasis"/>
          <w:rFonts w:ascii="AriEL" w:hAnsi="AriEL"/>
        </w:rPr>
        <w:t>BMC Health Services Research</w:t>
      </w:r>
      <w:r w:rsidRPr="000E4D94">
        <w:rPr>
          <w:rFonts w:ascii="AriEL" w:hAnsi="AriEL"/>
        </w:rPr>
        <w:t>, 22, 1164. doi:10.1186/s12913-022-08461-w.</w:t>
      </w:r>
    </w:p>
    <w:p w14:paraId="79647515" w14:textId="088BCE93" w:rsidR="009B694A" w:rsidRPr="000E4D94" w:rsidRDefault="009B694A" w:rsidP="000E4D94">
      <w:pPr>
        <w:pStyle w:val="NormalWeb"/>
        <w:numPr>
          <w:ilvl w:val="0"/>
          <w:numId w:val="2"/>
        </w:numPr>
        <w:spacing w:line="360" w:lineRule="auto"/>
        <w:jc w:val="both"/>
        <w:rPr>
          <w:rFonts w:ascii="AriEL" w:hAnsi="AriEL"/>
        </w:rPr>
      </w:pPr>
      <w:r w:rsidRPr="000E4D94">
        <w:rPr>
          <w:rFonts w:ascii="AriEL" w:hAnsi="AriEL"/>
        </w:rPr>
        <w:t xml:space="preserve">Felitti, V.J. et al. (1998) ‘Relationship of childhood abuse and household dysfunction to </w:t>
      </w:r>
      <w:r w:rsidR="0085072A" w:rsidRPr="000E4D94">
        <w:rPr>
          <w:rFonts w:ascii="AriEL" w:hAnsi="AriEL"/>
        </w:rPr>
        <w:t>many</w:t>
      </w:r>
      <w:r w:rsidRPr="000E4D94">
        <w:rPr>
          <w:rFonts w:ascii="AriEL" w:hAnsi="AriEL"/>
        </w:rPr>
        <w:t xml:space="preserve"> of the leading causes of death in adults’, </w:t>
      </w:r>
      <w:r w:rsidRPr="000E4D94">
        <w:rPr>
          <w:rStyle w:val="Emphasis"/>
          <w:rFonts w:ascii="AriEL" w:hAnsi="AriEL"/>
        </w:rPr>
        <w:t>American Journal of Preventive Medicine</w:t>
      </w:r>
      <w:r w:rsidRPr="000E4D94">
        <w:rPr>
          <w:rFonts w:ascii="AriEL" w:hAnsi="AriEL"/>
        </w:rPr>
        <w:t>, 14(4), pp. 245–258.</w:t>
      </w:r>
    </w:p>
    <w:p w14:paraId="1DEC984C" w14:textId="436BD67D" w:rsidR="009B694A" w:rsidRPr="000E4D94" w:rsidRDefault="009B694A" w:rsidP="000E4D94">
      <w:pPr>
        <w:pStyle w:val="NormalWeb"/>
        <w:numPr>
          <w:ilvl w:val="0"/>
          <w:numId w:val="2"/>
        </w:numPr>
        <w:spacing w:line="360" w:lineRule="auto"/>
        <w:jc w:val="both"/>
        <w:rPr>
          <w:rFonts w:ascii="AriEL" w:hAnsi="AriEL"/>
        </w:rPr>
      </w:pPr>
      <w:r w:rsidRPr="000E4D94">
        <w:rPr>
          <w:rFonts w:ascii="AriEL" w:hAnsi="AriEL"/>
        </w:rPr>
        <w:t xml:space="preserve">Lorenz, H., Chan, </w:t>
      </w:r>
      <w:r w:rsidR="0085072A" w:rsidRPr="000E4D94">
        <w:rPr>
          <w:rFonts w:ascii="AriEL" w:hAnsi="AriEL"/>
        </w:rPr>
        <w:t>C.,</w:t>
      </w:r>
      <w:r w:rsidRPr="000E4D94">
        <w:rPr>
          <w:rFonts w:ascii="AriEL" w:hAnsi="AriEL"/>
        </w:rPr>
        <w:t xml:space="preserve"> and Anderson, C. (2026) ‘Trauma-informed care training: A theory-driven qualitative evaluation and recommendations for improvement’, </w:t>
      </w:r>
      <w:r w:rsidRPr="000E4D94">
        <w:rPr>
          <w:rStyle w:val="Emphasis"/>
          <w:rFonts w:ascii="AriEL" w:hAnsi="AriEL"/>
        </w:rPr>
        <w:t>Clinical Child Psychology and Psychiatry</w:t>
      </w:r>
      <w:r w:rsidRPr="000E4D94">
        <w:rPr>
          <w:rFonts w:ascii="AriEL" w:hAnsi="AriEL"/>
        </w:rPr>
        <w:t>. doi:10.1177/13591045261428726.</w:t>
      </w:r>
    </w:p>
    <w:p w14:paraId="189B6438" w14:textId="77777777" w:rsidR="009B694A" w:rsidRPr="000E4D94" w:rsidRDefault="009B694A" w:rsidP="000E4D94">
      <w:pPr>
        <w:pStyle w:val="NormalWeb"/>
        <w:numPr>
          <w:ilvl w:val="0"/>
          <w:numId w:val="2"/>
        </w:numPr>
        <w:spacing w:line="360" w:lineRule="auto"/>
        <w:jc w:val="both"/>
        <w:rPr>
          <w:rFonts w:ascii="AriEL" w:hAnsi="AriEL"/>
        </w:rPr>
      </w:pPr>
      <w:r w:rsidRPr="000E4D94">
        <w:rPr>
          <w:rFonts w:ascii="AriEL" w:hAnsi="AriEL"/>
        </w:rPr>
        <w:t xml:space="preserve">NHS England (2022) </w:t>
      </w:r>
      <w:r w:rsidRPr="000E4D94">
        <w:rPr>
          <w:rStyle w:val="Emphasis"/>
          <w:rFonts w:ascii="AriEL" w:hAnsi="AriEL"/>
        </w:rPr>
        <w:t>Trauma-informed approaches toolkit</w:t>
      </w:r>
      <w:r w:rsidRPr="000E4D94">
        <w:rPr>
          <w:rFonts w:ascii="AriEL" w:hAnsi="AriEL"/>
        </w:rPr>
        <w:t>. London: NHS England.</w:t>
      </w:r>
    </w:p>
    <w:p w14:paraId="1C606C32" w14:textId="77777777" w:rsidR="009B694A" w:rsidRPr="000E4D94" w:rsidRDefault="009B694A" w:rsidP="000E4D94">
      <w:pPr>
        <w:pStyle w:val="NormalWeb"/>
        <w:numPr>
          <w:ilvl w:val="0"/>
          <w:numId w:val="2"/>
        </w:numPr>
        <w:spacing w:line="360" w:lineRule="auto"/>
        <w:jc w:val="both"/>
        <w:rPr>
          <w:rFonts w:ascii="AriEL" w:hAnsi="AriEL"/>
        </w:rPr>
      </w:pPr>
      <w:r w:rsidRPr="000E4D94">
        <w:rPr>
          <w:rFonts w:ascii="AriEL" w:hAnsi="AriEL"/>
        </w:rPr>
        <w:t xml:space="preserve">NHS England (2023) </w:t>
      </w:r>
      <w:r w:rsidRPr="000E4D94">
        <w:rPr>
          <w:rStyle w:val="Emphasis"/>
          <w:rFonts w:ascii="AriEL" w:hAnsi="AriEL"/>
        </w:rPr>
        <w:t>Improving adult mental health services</w:t>
      </w:r>
      <w:r w:rsidRPr="000E4D94">
        <w:rPr>
          <w:rFonts w:ascii="AriEL" w:hAnsi="AriEL"/>
        </w:rPr>
        <w:t>. London: NHS England.</w:t>
      </w:r>
    </w:p>
    <w:p w14:paraId="3A238851" w14:textId="4D88F8CC" w:rsidR="009B694A" w:rsidRPr="000E4D94" w:rsidRDefault="009B694A" w:rsidP="000E4D94">
      <w:pPr>
        <w:pStyle w:val="NormalWeb"/>
        <w:numPr>
          <w:ilvl w:val="0"/>
          <w:numId w:val="2"/>
        </w:numPr>
        <w:spacing w:line="360" w:lineRule="auto"/>
        <w:jc w:val="both"/>
        <w:rPr>
          <w:rFonts w:ascii="AriEL" w:hAnsi="AriEL"/>
        </w:rPr>
      </w:pPr>
      <w:r w:rsidRPr="000E4D94">
        <w:rPr>
          <w:rFonts w:ascii="AriEL" w:hAnsi="AriEL"/>
        </w:rPr>
        <w:lastRenderedPageBreak/>
        <w:t xml:space="preserve">Scheuner, L. and Mark, I. (2025) ‘Trauma-informed care in the UK: a systematic review and thematic synthesis of qualitative studies’, </w:t>
      </w:r>
      <w:r w:rsidR="007236AF" w:rsidRPr="000E4D94">
        <w:rPr>
          <w:rStyle w:val="Emphasis"/>
          <w:rFonts w:ascii="AriEL" w:hAnsi="AriEL"/>
        </w:rPr>
        <w:t>Psych</w:t>
      </w:r>
      <w:r w:rsidRPr="000E4D94">
        <w:rPr>
          <w:rStyle w:val="Emphasis"/>
          <w:rFonts w:ascii="AriEL" w:hAnsi="AriEL"/>
        </w:rPr>
        <w:t xml:space="preserve"> Open</w:t>
      </w:r>
      <w:r w:rsidRPr="000E4D94">
        <w:rPr>
          <w:rFonts w:ascii="AriEL" w:hAnsi="AriEL"/>
        </w:rPr>
        <w:t>, 11(S1), pp. S66–S66. doi:10.1192/bjo.2025.10221.</w:t>
      </w:r>
    </w:p>
    <w:p w14:paraId="00315037" w14:textId="77777777" w:rsidR="009B694A" w:rsidRPr="000E4D94" w:rsidRDefault="009B694A" w:rsidP="000E4D94">
      <w:pPr>
        <w:pStyle w:val="NormalWeb"/>
        <w:numPr>
          <w:ilvl w:val="0"/>
          <w:numId w:val="2"/>
        </w:numPr>
        <w:spacing w:line="360" w:lineRule="auto"/>
        <w:jc w:val="both"/>
        <w:rPr>
          <w:rFonts w:ascii="AriEL" w:hAnsi="AriEL"/>
        </w:rPr>
      </w:pPr>
      <w:r w:rsidRPr="000E4D94">
        <w:rPr>
          <w:rFonts w:ascii="AriEL" w:hAnsi="AriEL"/>
        </w:rPr>
        <w:t xml:space="preserve">Sweeney, A. et al. (2016) ‘Trauma-informed mental healthcare in the UK: what is it and how can we further its development?’, </w:t>
      </w:r>
      <w:r w:rsidRPr="000E4D94">
        <w:rPr>
          <w:rStyle w:val="Emphasis"/>
          <w:rFonts w:ascii="AriEL" w:hAnsi="AriEL"/>
        </w:rPr>
        <w:t>Mental Health Review Journal</w:t>
      </w:r>
      <w:r w:rsidRPr="000E4D94">
        <w:rPr>
          <w:rFonts w:ascii="AriEL" w:hAnsi="AriEL"/>
        </w:rPr>
        <w:t>, 21(3), pp. 174–192. doi:10.1108/MHRJ-01-2015-0006.</w:t>
      </w:r>
    </w:p>
    <w:p w14:paraId="7EDEF7B6" w14:textId="77777777" w:rsidR="009B694A" w:rsidRPr="000E4D94" w:rsidRDefault="009B694A" w:rsidP="000E4D94">
      <w:pPr>
        <w:pStyle w:val="NormalWeb"/>
        <w:numPr>
          <w:ilvl w:val="0"/>
          <w:numId w:val="2"/>
        </w:numPr>
        <w:spacing w:line="360" w:lineRule="auto"/>
        <w:jc w:val="both"/>
        <w:rPr>
          <w:rFonts w:ascii="AriEL" w:hAnsi="AriEL"/>
        </w:rPr>
      </w:pPr>
      <w:r w:rsidRPr="000E4D94">
        <w:rPr>
          <w:rFonts w:ascii="AriEL" w:hAnsi="AriEL"/>
        </w:rPr>
        <w:t xml:space="preserve">Wilson, C. et al. (2023) ‘Barriers to implementing trauma-informed care in healthcare settings: a systematic review’, </w:t>
      </w:r>
      <w:r w:rsidRPr="000E4D94">
        <w:rPr>
          <w:rStyle w:val="Emphasis"/>
          <w:rFonts w:ascii="AriEL" w:hAnsi="AriEL"/>
        </w:rPr>
        <w:t>Implementation Science Communications</w:t>
      </w:r>
      <w:r w:rsidRPr="000E4D94">
        <w:rPr>
          <w:rFonts w:ascii="AriEL" w:hAnsi="AriEL"/>
        </w:rPr>
        <w:t>, 4, 28. doi:10.1186/s43058-023-00428-0.</w:t>
      </w:r>
    </w:p>
    <w:p w14:paraId="103DF070" w14:textId="692D3D8A" w:rsidR="009379ED" w:rsidRPr="000E4D94" w:rsidRDefault="002E2147" w:rsidP="000E4D94">
      <w:pPr>
        <w:pStyle w:val="NormalWeb"/>
        <w:numPr>
          <w:ilvl w:val="0"/>
          <w:numId w:val="2"/>
        </w:numPr>
        <w:spacing w:line="360" w:lineRule="auto"/>
        <w:jc w:val="both"/>
        <w:rPr>
          <w:rFonts w:ascii="AriEL" w:hAnsi="AriEL"/>
        </w:rPr>
      </w:pPr>
      <w:r w:rsidRPr="000E4D94">
        <w:rPr>
          <w:rFonts w:ascii="AriEL" w:hAnsi="AriEL"/>
        </w:rPr>
        <w:t> Bunting</w:t>
      </w:r>
      <w:r w:rsidR="009379ED" w:rsidRPr="00B00DEE">
        <w:rPr>
          <w:rStyle w:val="Strong"/>
          <w:rFonts w:ascii="AriEL" w:hAnsi="AriEL"/>
          <w:b w:val="0"/>
          <w:bCs w:val="0"/>
        </w:rPr>
        <w:t>, L. et al. (2023)</w:t>
      </w:r>
      <w:r w:rsidR="009379ED" w:rsidRPr="000E4D94">
        <w:rPr>
          <w:rFonts w:ascii="AriEL" w:hAnsi="AriEL"/>
        </w:rPr>
        <w:t xml:space="preserve"> ‘Developing trauma-informed practice in social care: A realist evaluation’, </w:t>
      </w:r>
      <w:r w:rsidR="009379ED" w:rsidRPr="000E4D94">
        <w:rPr>
          <w:rStyle w:val="Emphasis"/>
          <w:rFonts w:ascii="AriEL" w:hAnsi="AriEL"/>
        </w:rPr>
        <w:t>British Journal of Social Work</w:t>
      </w:r>
      <w:r w:rsidR="009379ED" w:rsidRPr="000E4D94">
        <w:rPr>
          <w:rFonts w:ascii="AriEL" w:hAnsi="AriEL"/>
        </w:rPr>
        <w:t>, 53(2), pp. 789–807. doi:10.1093/</w:t>
      </w:r>
      <w:r w:rsidRPr="000E4D94">
        <w:rPr>
          <w:rFonts w:ascii="AriEL" w:hAnsi="AriEL"/>
        </w:rPr>
        <w:t>bass</w:t>
      </w:r>
      <w:r w:rsidR="009379ED" w:rsidRPr="000E4D94">
        <w:rPr>
          <w:rFonts w:ascii="AriEL" w:hAnsi="AriEL"/>
        </w:rPr>
        <w:t>/bcac123.</w:t>
      </w:r>
    </w:p>
    <w:p w14:paraId="333DA93E" w14:textId="701309EA" w:rsidR="009379ED" w:rsidRPr="000E4D94" w:rsidRDefault="002E2147" w:rsidP="000E4D94">
      <w:pPr>
        <w:pStyle w:val="NormalWeb"/>
        <w:numPr>
          <w:ilvl w:val="0"/>
          <w:numId w:val="2"/>
        </w:numPr>
        <w:spacing w:line="360" w:lineRule="auto"/>
        <w:jc w:val="both"/>
        <w:rPr>
          <w:rFonts w:ascii="AriEL" w:hAnsi="AriEL"/>
        </w:rPr>
      </w:pPr>
      <w:r w:rsidRPr="000E4D94">
        <w:rPr>
          <w:rFonts w:ascii="AriEL" w:hAnsi="AriEL"/>
        </w:rPr>
        <w:t> McFadden</w:t>
      </w:r>
      <w:r w:rsidR="009379ED" w:rsidRPr="000E4D94">
        <w:rPr>
          <w:rStyle w:val="Strong"/>
          <w:rFonts w:ascii="AriEL" w:hAnsi="AriEL"/>
        </w:rPr>
        <w:t xml:space="preserve">, </w:t>
      </w:r>
      <w:r w:rsidR="009379ED" w:rsidRPr="00772B86">
        <w:rPr>
          <w:rStyle w:val="Strong"/>
          <w:rFonts w:ascii="AriEL" w:hAnsi="AriEL"/>
          <w:b w:val="0"/>
          <w:bCs w:val="0"/>
        </w:rPr>
        <w:t>P. et al. (2021)</w:t>
      </w:r>
      <w:r w:rsidR="009379ED" w:rsidRPr="000E4D94">
        <w:rPr>
          <w:rFonts w:ascii="AriEL" w:hAnsi="AriEL"/>
        </w:rPr>
        <w:t xml:space="preserve"> ‘Secondary trauma, burnout and compassion fatigue in UK social workers: A mixed</w:t>
      </w:r>
      <w:r w:rsidR="009379ED" w:rsidRPr="000E4D94">
        <w:rPr>
          <w:rFonts w:ascii="AriEL" w:hAnsi="AriEL"/>
        </w:rPr>
        <w:noBreakHyphen/>
        <w:t xml:space="preserve">methods study’, </w:t>
      </w:r>
      <w:r w:rsidR="009379ED" w:rsidRPr="000E4D94">
        <w:rPr>
          <w:rStyle w:val="Emphasis"/>
          <w:rFonts w:ascii="AriEL" w:hAnsi="AriEL"/>
        </w:rPr>
        <w:t>British Journal of Social Work</w:t>
      </w:r>
      <w:r w:rsidR="009379ED" w:rsidRPr="000E4D94">
        <w:rPr>
          <w:rFonts w:ascii="AriEL" w:hAnsi="AriEL"/>
        </w:rPr>
        <w:t>, 51(1), pp. 247–266. doi:10.1093/</w:t>
      </w:r>
      <w:r w:rsidRPr="000E4D94">
        <w:rPr>
          <w:rFonts w:ascii="AriEL" w:hAnsi="AriEL"/>
        </w:rPr>
        <w:t>bass</w:t>
      </w:r>
      <w:r w:rsidR="009379ED" w:rsidRPr="000E4D94">
        <w:rPr>
          <w:rFonts w:ascii="AriEL" w:hAnsi="AriEL"/>
        </w:rPr>
        <w:t>/bcaa125.</w:t>
      </w:r>
    </w:p>
    <w:p w14:paraId="5F927DF9" w14:textId="3C89D7A8" w:rsidR="009379ED" w:rsidRPr="000E4D94" w:rsidRDefault="002E2147" w:rsidP="000E4D94">
      <w:pPr>
        <w:pStyle w:val="NormalWeb"/>
        <w:numPr>
          <w:ilvl w:val="0"/>
          <w:numId w:val="2"/>
        </w:numPr>
        <w:spacing w:line="360" w:lineRule="auto"/>
        <w:jc w:val="both"/>
        <w:rPr>
          <w:rFonts w:ascii="AriEL" w:hAnsi="AriEL"/>
        </w:rPr>
      </w:pPr>
      <w:r w:rsidRPr="000E4D94">
        <w:rPr>
          <w:rFonts w:ascii="AriEL" w:hAnsi="AriEL"/>
        </w:rPr>
        <w:t> Treanor</w:t>
      </w:r>
      <w:r w:rsidR="009379ED" w:rsidRPr="000E4D94">
        <w:rPr>
          <w:rStyle w:val="Strong"/>
          <w:rFonts w:ascii="AriEL" w:hAnsi="AriEL"/>
        </w:rPr>
        <w:t xml:space="preserve">, </w:t>
      </w:r>
      <w:r w:rsidR="009379ED" w:rsidRPr="00772B86">
        <w:rPr>
          <w:rStyle w:val="Strong"/>
          <w:rFonts w:ascii="AriEL" w:hAnsi="AriEL"/>
          <w:b w:val="0"/>
          <w:bCs w:val="0"/>
        </w:rPr>
        <w:t>M. (2020)</w:t>
      </w:r>
      <w:r w:rsidR="009379ED" w:rsidRPr="00772B86">
        <w:rPr>
          <w:rFonts w:ascii="AriEL" w:hAnsi="AriEL"/>
          <w:b/>
          <w:bCs/>
        </w:rPr>
        <w:t xml:space="preserve"> ‘</w:t>
      </w:r>
      <w:r w:rsidR="009379ED" w:rsidRPr="000E4D94">
        <w:rPr>
          <w:rFonts w:ascii="AriEL" w:hAnsi="AriEL"/>
        </w:rPr>
        <w:t xml:space="preserve">The effects of adverse childhood experiences on the health of adults in the UK: A systematic review’, </w:t>
      </w:r>
      <w:r w:rsidR="009379ED" w:rsidRPr="000E4D94">
        <w:rPr>
          <w:rStyle w:val="Emphasis"/>
          <w:rFonts w:ascii="AriEL" w:hAnsi="AriEL"/>
        </w:rPr>
        <w:t>Journal of Public Health</w:t>
      </w:r>
      <w:r w:rsidR="009379ED" w:rsidRPr="000E4D94">
        <w:rPr>
          <w:rFonts w:ascii="AriEL" w:hAnsi="AriEL"/>
        </w:rPr>
        <w:t>, 42(2), pp. e157–e166. doi:10.1093/</w:t>
      </w:r>
      <w:r w:rsidRPr="000E4D94">
        <w:rPr>
          <w:rFonts w:ascii="AriEL" w:hAnsi="AriEL"/>
        </w:rPr>
        <w:t>PubMed</w:t>
      </w:r>
      <w:r w:rsidR="009379ED" w:rsidRPr="000E4D94">
        <w:rPr>
          <w:rFonts w:ascii="AriEL" w:hAnsi="AriEL"/>
        </w:rPr>
        <w:t>/fdz043.</w:t>
      </w:r>
    </w:p>
    <w:p w14:paraId="07767A53" w14:textId="2C3F7454" w:rsidR="00F73552" w:rsidRPr="000E4D94" w:rsidRDefault="002E2147" w:rsidP="000E4D94">
      <w:pPr>
        <w:pStyle w:val="NormalWeb"/>
        <w:numPr>
          <w:ilvl w:val="0"/>
          <w:numId w:val="2"/>
        </w:numPr>
        <w:spacing w:line="360" w:lineRule="auto"/>
        <w:jc w:val="both"/>
        <w:rPr>
          <w:rFonts w:ascii="AriEL" w:hAnsi="AriEL"/>
        </w:rPr>
      </w:pPr>
      <w:r w:rsidRPr="000E4D94">
        <w:rPr>
          <w:rFonts w:ascii="AriEL" w:hAnsi="AriEL"/>
        </w:rPr>
        <w:t> Hardy</w:t>
      </w:r>
      <w:r w:rsidR="00F73552" w:rsidRPr="000E4D94">
        <w:rPr>
          <w:rStyle w:val="Strong"/>
          <w:rFonts w:ascii="AriEL" w:hAnsi="AriEL"/>
        </w:rPr>
        <w:t xml:space="preserve">, </w:t>
      </w:r>
      <w:r w:rsidR="00F73552" w:rsidRPr="00772B86">
        <w:rPr>
          <w:rStyle w:val="Strong"/>
          <w:rFonts w:ascii="AriEL" w:hAnsi="AriEL"/>
          <w:b w:val="0"/>
          <w:bCs w:val="0"/>
        </w:rPr>
        <w:t>A. et al. (2023</w:t>
      </w:r>
      <w:r w:rsidR="00F73552" w:rsidRPr="000E4D94">
        <w:rPr>
          <w:rStyle w:val="Strong"/>
          <w:rFonts w:ascii="AriEL" w:hAnsi="AriEL"/>
        </w:rPr>
        <w:t>)</w:t>
      </w:r>
      <w:r w:rsidR="00F73552" w:rsidRPr="000E4D94">
        <w:rPr>
          <w:rFonts w:ascii="AriEL" w:hAnsi="AriEL"/>
        </w:rPr>
        <w:t xml:space="preserve"> ‘Implementing trauma-informed care in NHS mental health services: A qualitative exploration of staff experiences’, </w:t>
      </w:r>
      <w:r w:rsidR="00F73552" w:rsidRPr="000E4D94">
        <w:rPr>
          <w:rStyle w:val="Emphasis"/>
          <w:rFonts w:ascii="AriEL" w:hAnsi="AriEL"/>
        </w:rPr>
        <w:t>BMC Psychiatry</w:t>
      </w:r>
      <w:r w:rsidR="00F73552" w:rsidRPr="000E4D94">
        <w:rPr>
          <w:rFonts w:ascii="AriEL" w:hAnsi="AriEL"/>
        </w:rPr>
        <w:t>, 23, 112. doi:10.1186/s12888-023-04567-9.</w:t>
      </w:r>
    </w:p>
    <w:p w14:paraId="673F709B" w14:textId="5D628130" w:rsidR="00F73552" w:rsidRPr="000E4D94" w:rsidRDefault="002E2147" w:rsidP="000E4D94">
      <w:pPr>
        <w:pStyle w:val="NormalWeb"/>
        <w:numPr>
          <w:ilvl w:val="0"/>
          <w:numId w:val="2"/>
        </w:numPr>
        <w:spacing w:line="360" w:lineRule="auto"/>
        <w:jc w:val="both"/>
        <w:rPr>
          <w:rFonts w:ascii="AriEL" w:hAnsi="AriEL"/>
        </w:rPr>
      </w:pPr>
      <w:r w:rsidRPr="000E4D94">
        <w:rPr>
          <w:rFonts w:ascii="AriEL" w:hAnsi="AriEL"/>
        </w:rPr>
        <w:t> Murray</w:t>
      </w:r>
      <w:r w:rsidR="00F73552" w:rsidRPr="00772B86">
        <w:rPr>
          <w:rStyle w:val="Strong"/>
          <w:rFonts w:ascii="AriEL" w:hAnsi="AriEL"/>
          <w:b w:val="0"/>
          <w:bCs w:val="0"/>
        </w:rPr>
        <w:t>, L.K. et al. (2022)</w:t>
      </w:r>
      <w:r w:rsidR="00F73552" w:rsidRPr="000E4D94">
        <w:rPr>
          <w:rFonts w:ascii="AriEL" w:hAnsi="AriEL"/>
        </w:rPr>
        <w:t xml:space="preserve"> ‘Trauma-informed approaches in primary care: A UK-based qualitative study’, </w:t>
      </w:r>
      <w:r w:rsidR="00F73552" w:rsidRPr="000E4D94">
        <w:rPr>
          <w:rStyle w:val="Emphasis"/>
          <w:rFonts w:ascii="AriEL" w:hAnsi="AriEL"/>
        </w:rPr>
        <w:t>Family Practice</w:t>
      </w:r>
      <w:r w:rsidR="00F73552" w:rsidRPr="000E4D94">
        <w:rPr>
          <w:rFonts w:ascii="AriEL" w:hAnsi="AriEL"/>
        </w:rPr>
        <w:t>, 39(4), pp. 643–651. doi:10.1093/</w:t>
      </w:r>
      <w:r w:rsidRPr="000E4D94">
        <w:rPr>
          <w:rFonts w:ascii="AriEL" w:hAnsi="AriEL"/>
        </w:rPr>
        <w:t>femora</w:t>
      </w:r>
      <w:r w:rsidR="00F73552" w:rsidRPr="000E4D94">
        <w:rPr>
          <w:rFonts w:ascii="AriEL" w:hAnsi="AriEL"/>
        </w:rPr>
        <w:t>/cmac012.</w:t>
      </w:r>
    </w:p>
    <w:p w14:paraId="07CFDBD4" w14:textId="4FB37175" w:rsidR="00F73552" w:rsidRPr="000E4D94" w:rsidRDefault="002E2147" w:rsidP="000E4D94">
      <w:pPr>
        <w:pStyle w:val="NormalWeb"/>
        <w:numPr>
          <w:ilvl w:val="0"/>
          <w:numId w:val="2"/>
        </w:numPr>
        <w:spacing w:line="360" w:lineRule="auto"/>
        <w:jc w:val="both"/>
        <w:rPr>
          <w:rFonts w:ascii="AriEL" w:hAnsi="AriEL"/>
        </w:rPr>
      </w:pPr>
      <w:r w:rsidRPr="000E4D94">
        <w:rPr>
          <w:rFonts w:ascii="AriEL" w:hAnsi="AriEL"/>
        </w:rPr>
        <w:t> Ford</w:t>
      </w:r>
      <w:r w:rsidR="00F73552" w:rsidRPr="000E4D94">
        <w:rPr>
          <w:rStyle w:val="Strong"/>
          <w:rFonts w:ascii="AriEL" w:hAnsi="AriEL"/>
        </w:rPr>
        <w:t xml:space="preserve">, </w:t>
      </w:r>
      <w:r w:rsidR="00F73552" w:rsidRPr="00772B86">
        <w:rPr>
          <w:rStyle w:val="Strong"/>
          <w:rFonts w:ascii="AriEL" w:hAnsi="AriEL"/>
          <w:b w:val="0"/>
          <w:bCs w:val="0"/>
        </w:rPr>
        <w:t>K. et al. (2019</w:t>
      </w:r>
      <w:r w:rsidR="00F73552" w:rsidRPr="000E4D94">
        <w:rPr>
          <w:rStyle w:val="Strong"/>
          <w:rFonts w:ascii="AriEL" w:hAnsi="AriEL"/>
        </w:rPr>
        <w:t>)</w:t>
      </w:r>
      <w:r w:rsidR="00F73552" w:rsidRPr="000E4D94">
        <w:rPr>
          <w:rFonts w:ascii="AriEL" w:hAnsi="AriEL"/>
        </w:rPr>
        <w:t xml:space="preserve"> ‘The impact of adverse childhood experiences on health service use in Wales’, </w:t>
      </w:r>
      <w:r w:rsidR="00F73552" w:rsidRPr="000E4D94">
        <w:rPr>
          <w:rStyle w:val="Emphasis"/>
          <w:rFonts w:ascii="AriEL" w:hAnsi="AriEL"/>
        </w:rPr>
        <w:t>Journal of Epidemiology &amp; Community Health</w:t>
      </w:r>
      <w:r w:rsidR="00F73552" w:rsidRPr="000E4D94">
        <w:rPr>
          <w:rFonts w:ascii="AriEL" w:hAnsi="AriEL"/>
        </w:rPr>
        <w:t>, 73(4), pp. 327–334. doi:10.1136/jech-2018-211576.</w:t>
      </w:r>
    </w:p>
    <w:p w14:paraId="6DBEF332" w14:textId="01416C74" w:rsidR="00D05544" w:rsidRPr="000E4D94" w:rsidRDefault="002E2147" w:rsidP="000E4D94">
      <w:pPr>
        <w:pStyle w:val="ListParagraph"/>
        <w:numPr>
          <w:ilvl w:val="0"/>
          <w:numId w:val="2"/>
        </w:numPr>
        <w:spacing w:before="100" w:beforeAutospacing="1" w:after="100" w:afterAutospacing="1" w:line="360" w:lineRule="auto"/>
        <w:jc w:val="both"/>
        <w:rPr>
          <w:rFonts w:ascii="AriEL" w:eastAsia="Times New Roman" w:hAnsi="AriEL" w:cs="Times New Roman"/>
          <w:szCs w:val="24"/>
          <w:lang w:eastAsia="en-GB"/>
        </w:rPr>
      </w:pPr>
      <w:r w:rsidRPr="000E4D94">
        <w:rPr>
          <w:rFonts w:ascii="AriEL" w:eastAsia="Times New Roman" w:hAnsi="AriEL" w:cs="Times New Roman"/>
          <w:szCs w:val="24"/>
          <w:lang w:eastAsia="en-GB"/>
        </w:rPr>
        <w:t> Lewis</w:t>
      </w:r>
      <w:r w:rsidR="00D05544" w:rsidRPr="000E4D94">
        <w:rPr>
          <w:rFonts w:ascii="AriEL" w:eastAsia="Times New Roman" w:hAnsi="AriEL" w:cs="Times New Roman"/>
          <w:b/>
          <w:bCs/>
          <w:szCs w:val="24"/>
          <w:lang w:eastAsia="en-GB"/>
        </w:rPr>
        <w:t xml:space="preserve">, </w:t>
      </w:r>
      <w:r w:rsidR="00D05544" w:rsidRPr="00772B86">
        <w:rPr>
          <w:rFonts w:ascii="AriEL" w:eastAsia="Times New Roman" w:hAnsi="AriEL" w:cs="Times New Roman"/>
          <w:szCs w:val="24"/>
          <w:lang w:eastAsia="en-GB"/>
        </w:rPr>
        <w:t>S.J. et al. (2020</w:t>
      </w:r>
      <w:r w:rsidR="00D05544" w:rsidRPr="000E4D94">
        <w:rPr>
          <w:rFonts w:ascii="AriEL" w:eastAsia="Times New Roman" w:hAnsi="AriEL" w:cs="Times New Roman"/>
          <w:b/>
          <w:bCs/>
          <w:szCs w:val="24"/>
          <w:lang w:eastAsia="en-GB"/>
        </w:rPr>
        <w:t>)</w:t>
      </w:r>
      <w:r w:rsidR="00D05544" w:rsidRPr="000E4D94">
        <w:rPr>
          <w:rFonts w:ascii="AriEL" w:eastAsia="Times New Roman" w:hAnsi="AriEL" w:cs="Times New Roman"/>
          <w:szCs w:val="24"/>
          <w:lang w:eastAsia="en-GB"/>
        </w:rPr>
        <w:t xml:space="preserve"> ‘Trauma-informed care in emergency departments: A UK perspective’, </w:t>
      </w:r>
      <w:r w:rsidR="00D05544" w:rsidRPr="000E4D94">
        <w:rPr>
          <w:rFonts w:ascii="AriEL" w:eastAsia="Times New Roman" w:hAnsi="AriEL" w:cs="Times New Roman"/>
          <w:i/>
          <w:iCs/>
          <w:szCs w:val="24"/>
          <w:lang w:eastAsia="en-GB"/>
        </w:rPr>
        <w:t>Emergency Medicine Journal</w:t>
      </w:r>
      <w:r w:rsidR="00D05544" w:rsidRPr="000E4D94">
        <w:rPr>
          <w:rFonts w:ascii="AriEL" w:eastAsia="Times New Roman" w:hAnsi="AriEL" w:cs="Times New Roman"/>
          <w:szCs w:val="24"/>
          <w:lang w:eastAsia="en-GB"/>
        </w:rPr>
        <w:t>, 37(10), pp. 620–624. doi:10.1136/emermed-2019-208622.</w:t>
      </w:r>
    </w:p>
    <w:p w14:paraId="5184B94D" w14:textId="42363902" w:rsidR="00D05544" w:rsidRPr="000E4D94" w:rsidRDefault="002E2147" w:rsidP="000E4D94">
      <w:pPr>
        <w:pStyle w:val="ListParagraph"/>
        <w:numPr>
          <w:ilvl w:val="0"/>
          <w:numId w:val="2"/>
        </w:numPr>
        <w:spacing w:before="100" w:beforeAutospacing="1" w:after="100" w:afterAutospacing="1" w:line="360" w:lineRule="auto"/>
        <w:jc w:val="both"/>
        <w:rPr>
          <w:rFonts w:ascii="AriEL" w:eastAsia="Times New Roman" w:hAnsi="AriEL" w:cs="Times New Roman"/>
          <w:szCs w:val="24"/>
          <w:lang w:eastAsia="en-GB"/>
        </w:rPr>
      </w:pPr>
      <w:r w:rsidRPr="000E4D94">
        <w:rPr>
          <w:rFonts w:ascii="AriEL" w:eastAsia="Times New Roman" w:hAnsi="AriEL" w:cs="Times New Roman"/>
          <w:szCs w:val="24"/>
          <w:lang w:eastAsia="en-GB"/>
        </w:rPr>
        <w:t> Robinson</w:t>
      </w:r>
      <w:r w:rsidR="00D05544" w:rsidRPr="000E4D94">
        <w:rPr>
          <w:rFonts w:ascii="AriEL" w:eastAsia="Times New Roman" w:hAnsi="AriEL" w:cs="Times New Roman"/>
          <w:b/>
          <w:bCs/>
          <w:szCs w:val="24"/>
          <w:lang w:eastAsia="en-GB"/>
        </w:rPr>
        <w:t xml:space="preserve">, </w:t>
      </w:r>
      <w:r w:rsidR="00772B86" w:rsidRPr="00772B86">
        <w:rPr>
          <w:rFonts w:ascii="AriEL" w:eastAsia="Times New Roman" w:hAnsi="AriEL" w:cs="Times New Roman"/>
          <w:szCs w:val="24"/>
          <w:lang w:eastAsia="en-GB"/>
        </w:rPr>
        <w:t>L.,</w:t>
      </w:r>
      <w:r w:rsidR="00D05544" w:rsidRPr="00772B86">
        <w:rPr>
          <w:rFonts w:ascii="AriEL" w:eastAsia="Times New Roman" w:hAnsi="AriEL" w:cs="Times New Roman"/>
          <w:szCs w:val="24"/>
          <w:lang w:eastAsia="en-GB"/>
        </w:rPr>
        <w:t xml:space="preserve"> and Craig, P. (2019)</w:t>
      </w:r>
      <w:r w:rsidR="00D05544" w:rsidRPr="000E4D94">
        <w:rPr>
          <w:rFonts w:ascii="AriEL" w:eastAsia="Times New Roman" w:hAnsi="AriEL" w:cs="Times New Roman"/>
          <w:szCs w:val="24"/>
          <w:lang w:eastAsia="en-GB"/>
        </w:rPr>
        <w:t xml:space="preserve"> ‘Evaluating trauma-informed organisational change in UK social care settings’, </w:t>
      </w:r>
      <w:r w:rsidR="00D05544" w:rsidRPr="000E4D94">
        <w:rPr>
          <w:rFonts w:ascii="AriEL" w:eastAsia="Times New Roman" w:hAnsi="AriEL" w:cs="Times New Roman"/>
          <w:i/>
          <w:iCs/>
          <w:szCs w:val="24"/>
          <w:lang w:eastAsia="en-GB"/>
        </w:rPr>
        <w:t>Health &amp; Social Care in the Community</w:t>
      </w:r>
      <w:r w:rsidR="00D05544" w:rsidRPr="000E4D94">
        <w:rPr>
          <w:rFonts w:ascii="AriEL" w:eastAsia="Times New Roman" w:hAnsi="AriEL" w:cs="Times New Roman"/>
          <w:szCs w:val="24"/>
          <w:lang w:eastAsia="en-GB"/>
        </w:rPr>
        <w:t>, 27(5), pp. 1150–1159. doi:10.1111/hsc.12759.</w:t>
      </w:r>
    </w:p>
    <w:p w14:paraId="6BC5ADCA" w14:textId="1CD9AA5C" w:rsidR="00D05544" w:rsidRPr="000E4D94" w:rsidRDefault="002E2147" w:rsidP="000E4D94">
      <w:pPr>
        <w:pStyle w:val="ListParagraph"/>
        <w:numPr>
          <w:ilvl w:val="0"/>
          <w:numId w:val="2"/>
        </w:numPr>
        <w:spacing w:before="100" w:beforeAutospacing="1" w:after="100" w:afterAutospacing="1" w:line="360" w:lineRule="auto"/>
        <w:jc w:val="both"/>
        <w:rPr>
          <w:rFonts w:ascii="AriEL" w:eastAsia="Times New Roman" w:hAnsi="AriEL" w:cs="Times New Roman"/>
          <w:szCs w:val="24"/>
          <w:lang w:eastAsia="en-GB"/>
        </w:rPr>
      </w:pPr>
      <w:r w:rsidRPr="000E4D94">
        <w:rPr>
          <w:rFonts w:ascii="AriEL" w:eastAsia="Times New Roman" w:hAnsi="AriEL" w:cs="Times New Roman"/>
          <w:szCs w:val="24"/>
          <w:lang w:eastAsia="en-GB"/>
        </w:rPr>
        <w:lastRenderedPageBreak/>
        <w:t> Hughes</w:t>
      </w:r>
      <w:r w:rsidR="00D05544" w:rsidRPr="000E4D94">
        <w:rPr>
          <w:rFonts w:ascii="AriEL" w:eastAsia="Times New Roman" w:hAnsi="AriEL" w:cs="Times New Roman"/>
          <w:b/>
          <w:bCs/>
          <w:szCs w:val="24"/>
          <w:lang w:eastAsia="en-GB"/>
        </w:rPr>
        <w:t xml:space="preserve">, </w:t>
      </w:r>
      <w:r w:rsidR="00D05544" w:rsidRPr="00772B86">
        <w:rPr>
          <w:rFonts w:ascii="AriEL" w:eastAsia="Times New Roman" w:hAnsi="AriEL" w:cs="Times New Roman"/>
          <w:szCs w:val="24"/>
          <w:lang w:eastAsia="en-GB"/>
        </w:rPr>
        <w:t>K. et al. (2020) ‘</w:t>
      </w:r>
      <w:r w:rsidR="00D05544" w:rsidRPr="000E4D94">
        <w:rPr>
          <w:rFonts w:ascii="AriEL" w:eastAsia="Times New Roman" w:hAnsi="AriEL" w:cs="Times New Roman"/>
          <w:szCs w:val="24"/>
          <w:lang w:eastAsia="en-GB"/>
        </w:rPr>
        <w:t xml:space="preserve">The effect of multiple adverse childhood experiences on health: A UK population study’, </w:t>
      </w:r>
      <w:r w:rsidR="00D05544" w:rsidRPr="000E4D94">
        <w:rPr>
          <w:rFonts w:ascii="AriEL" w:eastAsia="Times New Roman" w:hAnsi="AriEL" w:cs="Times New Roman"/>
          <w:i/>
          <w:iCs/>
          <w:szCs w:val="24"/>
          <w:lang w:eastAsia="en-GB"/>
        </w:rPr>
        <w:t>Lancet Public Health</w:t>
      </w:r>
      <w:r w:rsidR="00D05544" w:rsidRPr="000E4D94">
        <w:rPr>
          <w:rFonts w:ascii="AriEL" w:eastAsia="Times New Roman" w:hAnsi="AriEL" w:cs="Times New Roman"/>
          <w:szCs w:val="24"/>
          <w:lang w:eastAsia="en-GB"/>
        </w:rPr>
        <w:t>, 5(7), pp. e543–e554. doi:10.1016/S2468-2667(20)30113-4.</w:t>
      </w:r>
    </w:p>
    <w:p w14:paraId="0860636C" w14:textId="77777777" w:rsidR="00DE47A1" w:rsidRDefault="002E2147" w:rsidP="00DE47A1">
      <w:pPr>
        <w:pStyle w:val="NormalWeb"/>
        <w:numPr>
          <w:ilvl w:val="0"/>
          <w:numId w:val="2"/>
        </w:numPr>
        <w:spacing w:line="360" w:lineRule="auto"/>
        <w:jc w:val="both"/>
        <w:rPr>
          <w:rFonts w:ascii="AriEL" w:hAnsi="AriEL"/>
        </w:rPr>
      </w:pPr>
      <w:r w:rsidRPr="00B00DEE">
        <w:rPr>
          <w:rStyle w:val="Strong"/>
          <w:rFonts w:ascii="AriEL" w:hAnsi="AriEL"/>
          <w:b w:val="0"/>
          <w:bCs w:val="0"/>
        </w:rPr>
        <w:t>Sweeney,</w:t>
      </w:r>
      <w:r w:rsidRPr="000E4D94">
        <w:rPr>
          <w:rStyle w:val="Strong"/>
          <w:rFonts w:ascii="AriEL" w:hAnsi="AriEL"/>
        </w:rPr>
        <w:t xml:space="preserve"> </w:t>
      </w:r>
      <w:r w:rsidR="00772B86" w:rsidRPr="00772B86">
        <w:rPr>
          <w:rStyle w:val="Strong"/>
          <w:rFonts w:ascii="AriEL" w:hAnsi="AriEL"/>
          <w:b w:val="0"/>
          <w:bCs w:val="0"/>
        </w:rPr>
        <w:t>A.,</w:t>
      </w:r>
      <w:r w:rsidRPr="00772B86">
        <w:rPr>
          <w:rStyle w:val="Strong"/>
          <w:rFonts w:ascii="AriEL" w:hAnsi="AriEL"/>
          <w:b w:val="0"/>
          <w:bCs w:val="0"/>
        </w:rPr>
        <w:t xml:space="preserve"> and Taggart, D. (2019)</w:t>
      </w:r>
      <w:r w:rsidRPr="000E4D94">
        <w:rPr>
          <w:rFonts w:ascii="AriEL" w:hAnsi="AriEL"/>
        </w:rPr>
        <w:t xml:space="preserve"> ‘(Mis)understanding trauma-informed approaches in mental health’, </w:t>
      </w:r>
      <w:r w:rsidRPr="000E4D94">
        <w:rPr>
          <w:rStyle w:val="Emphasis"/>
          <w:rFonts w:ascii="AriEL" w:hAnsi="AriEL"/>
        </w:rPr>
        <w:t>Journal of Mental Health</w:t>
      </w:r>
      <w:r w:rsidRPr="000E4D94">
        <w:rPr>
          <w:rFonts w:ascii="AriEL" w:hAnsi="AriEL"/>
        </w:rPr>
        <w:t>, 28(5), pp. 495–503. doi:10.1080/09638237.2019.1608915.</w:t>
      </w:r>
    </w:p>
    <w:p w14:paraId="3D825317" w14:textId="77777777" w:rsidR="00DE47A1" w:rsidRDefault="00DE47A1" w:rsidP="00DE47A1">
      <w:pPr>
        <w:pStyle w:val="NormalWeb"/>
        <w:numPr>
          <w:ilvl w:val="0"/>
          <w:numId w:val="2"/>
        </w:numPr>
        <w:spacing w:line="360" w:lineRule="auto"/>
        <w:jc w:val="both"/>
        <w:rPr>
          <w:rFonts w:ascii="AriEL" w:hAnsi="AriEL"/>
        </w:rPr>
      </w:pPr>
      <w:r w:rsidRPr="00DE47A1">
        <w:rPr>
          <w:rFonts w:ascii="AriEL" w:hAnsi="AriEL"/>
        </w:rPr>
        <w:t xml:space="preserve">Pepa, J., Quigg, Z., Butler, N. &amp; Harris, J. (2025) </w:t>
      </w:r>
      <w:r w:rsidRPr="00DE47A1">
        <w:rPr>
          <w:rFonts w:ascii="AriEL" w:hAnsi="AriEL"/>
          <w:i/>
          <w:iCs/>
        </w:rPr>
        <w:t>The impact of a multi-agency trauma-informed practice training programme in a region in the United Kingdom.</w:t>
      </w:r>
      <w:r w:rsidRPr="00DE47A1">
        <w:rPr>
          <w:rFonts w:ascii="AriEL" w:hAnsi="AriEL"/>
        </w:rPr>
        <w:t xml:space="preserve"> Journal of Public Health. https://doi.org/10.1007/s10389-025-02567-1 </w:t>
      </w:r>
    </w:p>
    <w:p w14:paraId="03D587C5" w14:textId="77777777" w:rsidR="00DE47A1" w:rsidRDefault="00DE47A1" w:rsidP="00DE47A1">
      <w:pPr>
        <w:pStyle w:val="NormalWeb"/>
        <w:numPr>
          <w:ilvl w:val="0"/>
          <w:numId w:val="2"/>
        </w:numPr>
        <w:spacing w:line="360" w:lineRule="auto"/>
        <w:jc w:val="both"/>
        <w:rPr>
          <w:rFonts w:ascii="AriEL" w:hAnsi="AriEL"/>
        </w:rPr>
      </w:pPr>
      <w:r w:rsidRPr="00DE47A1">
        <w:rPr>
          <w:rFonts w:ascii="AriEL" w:hAnsi="AriEL"/>
        </w:rPr>
        <w:t xml:space="preserve">Emsley, E., Smith, J., Martin, D. &amp; Lewis, N.V. (2022) </w:t>
      </w:r>
      <w:r w:rsidRPr="00DE47A1">
        <w:rPr>
          <w:rFonts w:ascii="AriEL" w:hAnsi="AriEL"/>
          <w:i/>
          <w:iCs/>
        </w:rPr>
        <w:t>Trauma-informed care in the UK: where are we? A qualitative study of health policies and professional perspectives.</w:t>
      </w:r>
      <w:r w:rsidRPr="00DE47A1">
        <w:rPr>
          <w:rFonts w:ascii="AriEL" w:hAnsi="AriEL"/>
        </w:rPr>
        <w:t xml:space="preserve"> BMC Health Services Research, 22, 1164. </w:t>
      </w:r>
      <w:hyperlink r:id="rId9" w:history="1">
        <w:r w:rsidRPr="00DE47A1">
          <w:rPr>
            <w:rStyle w:val="Hyperlink"/>
            <w:rFonts w:ascii="AriEL" w:hAnsi="AriEL"/>
          </w:rPr>
          <w:t>https://doi.org/10.1186/s12913-022-08461-w</w:t>
        </w:r>
      </w:hyperlink>
      <w:r w:rsidRPr="00DE47A1">
        <w:rPr>
          <w:rFonts w:ascii="AriEL" w:hAnsi="AriEL"/>
        </w:rPr>
        <w:t xml:space="preserve"> </w:t>
      </w:r>
    </w:p>
    <w:p w14:paraId="7E534997" w14:textId="7119BF87" w:rsidR="00DE47A1" w:rsidRPr="00DE47A1" w:rsidRDefault="00DE47A1" w:rsidP="00DE47A1">
      <w:pPr>
        <w:pStyle w:val="NormalWeb"/>
        <w:numPr>
          <w:ilvl w:val="0"/>
          <w:numId w:val="2"/>
        </w:numPr>
        <w:spacing w:line="360" w:lineRule="auto"/>
        <w:jc w:val="both"/>
        <w:rPr>
          <w:rFonts w:ascii="AriEL" w:hAnsi="AriEL"/>
        </w:rPr>
      </w:pPr>
      <w:r w:rsidRPr="00DE47A1">
        <w:rPr>
          <w:rFonts w:ascii="AriEL" w:hAnsi="AriEL"/>
        </w:rPr>
        <w:t xml:space="preserve">Currie, G. &amp; Lynch, A. (2026) </w:t>
      </w:r>
      <w:r w:rsidRPr="00DE47A1">
        <w:rPr>
          <w:rFonts w:ascii="AriEL" w:hAnsi="AriEL"/>
          <w:i/>
          <w:iCs/>
        </w:rPr>
        <w:t>Mixed methods case study of domains for implementation of trauma-informed care in England: The need for cultural transformation.</w:t>
      </w:r>
      <w:r w:rsidRPr="00DE47A1">
        <w:rPr>
          <w:rFonts w:ascii="AriEL" w:hAnsi="AriEL"/>
        </w:rPr>
        <w:t xml:space="preserve"> SSM – Health Systems, 7, 100200. </w:t>
      </w:r>
      <w:hyperlink r:id="rId10" w:history="1">
        <w:r w:rsidRPr="00DE47A1">
          <w:rPr>
            <w:rStyle w:val="Hyperlink"/>
            <w:rFonts w:ascii="AriEL" w:hAnsi="AriEL"/>
          </w:rPr>
          <w:t>https://doi.org/10.1016/j.ssmhs.2026.100200</w:t>
        </w:r>
      </w:hyperlink>
      <w:r w:rsidRPr="00DE47A1">
        <w:rPr>
          <w:rFonts w:ascii="AriEL" w:hAnsi="AriEL"/>
        </w:rPr>
        <w:t xml:space="preserve"> </w:t>
      </w:r>
    </w:p>
    <w:p w14:paraId="75402FFD" w14:textId="77777777" w:rsidR="00DE47A1" w:rsidRPr="00DE47A1" w:rsidRDefault="00DE47A1" w:rsidP="00DE47A1">
      <w:pPr>
        <w:pStyle w:val="NormalWeb"/>
        <w:spacing w:line="360" w:lineRule="auto"/>
        <w:ind w:left="720"/>
        <w:jc w:val="both"/>
        <w:rPr>
          <w:rFonts w:ascii="AriEL" w:hAnsi="AriEL"/>
        </w:rPr>
      </w:pPr>
    </w:p>
    <w:p w14:paraId="0FDCD3B0" w14:textId="69D39F4D" w:rsidR="0081028C" w:rsidRPr="00DE47A1" w:rsidRDefault="0081028C" w:rsidP="000E4D94">
      <w:pPr>
        <w:pStyle w:val="ListParagraph"/>
        <w:spacing w:before="100" w:beforeAutospacing="1" w:after="100" w:afterAutospacing="1" w:line="360" w:lineRule="auto"/>
        <w:jc w:val="both"/>
        <w:rPr>
          <w:rFonts w:ascii="AriEL" w:eastAsia="Times New Roman" w:hAnsi="AriEL" w:cs="Times New Roman"/>
          <w:szCs w:val="24"/>
          <w:lang w:eastAsia="en-GB"/>
        </w:rPr>
      </w:pPr>
    </w:p>
    <w:p w14:paraId="2FCB3FFB" w14:textId="77777777" w:rsidR="009B694A" w:rsidRPr="00DE47A1" w:rsidRDefault="009B694A" w:rsidP="006646A5">
      <w:pPr>
        <w:spacing w:before="100" w:beforeAutospacing="1" w:after="100" w:afterAutospacing="1" w:line="360" w:lineRule="auto"/>
        <w:jc w:val="both"/>
        <w:rPr>
          <w:rFonts w:ascii="AriEL" w:eastAsia="Times New Roman" w:hAnsi="AriEL" w:cs="Times New Roman"/>
          <w:szCs w:val="24"/>
          <w:lang w:eastAsia="en-GB"/>
        </w:rPr>
      </w:pPr>
    </w:p>
    <w:p w14:paraId="4FB0584C" w14:textId="77777777" w:rsidR="00EC3CFE" w:rsidRPr="00DE47A1" w:rsidRDefault="00EC3CFE" w:rsidP="006646A5">
      <w:pPr>
        <w:spacing w:before="100" w:beforeAutospacing="1" w:after="100" w:afterAutospacing="1" w:line="360" w:lineRule="auto"/>
        <w:jc w:val="both"/>
        <w:rPr>
          <w:rFonts w:ascii="AriEL" w:eastAsia="Times New Roman" w:hAnsi="AriEL" w:cs="Times New Roman"/>
          <w:szCs w:val="24"/>
          <w:lang w:eastAsia="en-GB"/>
        </w:rPr>
      </w:pPr>
    </w:p>
    <w:p w14:paraId="6DBC958B" w14:textId="359EE062" w:rsidR="00CD33A8" w:rsidRPr="00C07407" w:rsidRDefault="00CD33A8" w:rsidP="006646A5">
      <w:pPr>
        <w:tabs>
          <w:tab w:val="left" w:pos="6540"/>
        </w:tabs>
        <w:spacing w:line="360" w:lineRule="auto"/>
        <w:jc w:val="both"/>
        <w:rPr>
          <w:rFonts w:ascii="AriEL" w:hAnsi="AriEL"/>
          <w:szCs w:val="24"/>
        </w:rPr>
      </w:pPr>
    </w:p>
    <w:p w14:paraId="6812580D" w14:textId="47452A39" w:rsidR="0090040D" w:rsidRPr="00C07407" w:rsidRDefault="0090040D" w:rsidP="006646A5">
      <w:pPr>
        <w:tabs>
          <w:tab w:val="left" w:pos="6540"/>
        </w:tabs>
        <w:spacing w:line="360" w:lineRule="auto"/>
        <w:jc w:val="both"/>
        <w:rPr>
          <w:rFonts w:ascii="AriEL" w:hAnsi="AriEL"/>
          <w:szCs w:val="24"/>
        </w:rPr>
      </w:pPr>
    </w:p>
    <w:p w14:paraId="4371A9C5" w14:textId="7A8AB4F8" w:rsidR="00F66E1B" w:rsidRPr="00C07407" w:rsidRDefault="00F66E1B" w:rsidP="006646A5">
      <w:pPr>
        <w:tabs>
          <w:tab w:val="left" w:pos="6540"/>
        </w:tabs>
        <w:spacing w:line="360" w:lineRule="auto"/>
        <w:jc w:val="both"/>
        <w:rPr>
          <w:rFonts w:ascii="AriEL" w:hAnsi="AriEL"/>
          <w:szCs w:val="24"/>
        </w:rPr>
      </w:pPr>
    </w:p>
    <w:p w14:paraId="364D7618" w14:textId="54B8550D" w:rsidR="00F66E1B" w:rsidRPr="00C07407" w:rsidRDefault="00F66E1B" w:rsidP="006646A5">
      <w:pPr>
        <w:tabs>
          <w:tab w:val="left" w:pos="6540"/>
        </w:tabs>
        <w:spacing w:line="360" w:lineRule="auto"/>
        <w:jc w:val="both"/>
        <w:rPr>
          <w:rFonts w:ascii="AriEL" w:hAnsi="AriEL"/>
          <w:szCs w:val="24"/>
        </w:rPr>
      </w:pPr>
    </w:p>
    <w:p w14:paraId="2E01B28F" w14:textId="77777777" w:rsidR="00814A9E" w:rsidRPr="00C07407" w:rsidRDefault="00814A9E" w:rsidP="006646A5">
      <w:pPr>
        <w:tabs>
          <w:tab w:val="left" w:pos="6540"/>
        </w:tabs>
        <w:spacing w:line="360" w:lineRule="auto"/>
        <w:jc w:val="both"/>
        <w:rPr>
          <w:rFonts w:ascii="AriEL" w:hAnsi="AriEL"/>
          <w:szCs w:val="24"/>
        </w:rPr>
      </w:pPr>
    </w:p>
    <w:p w14:paraId="38B71D46" w14:textId="77777777" w:rsidR="00814A9E" w:rsidRPr="00C07407" w:rsidRDefault="00814A9E" w:rsidP="006646A5">
      <w:pPr>
        <w:tabs>
          <w:tab w:val="left" w:pos="6540"/>
        </w:tabs>
        <w:spacing w:line="360" w:lineRule="auto"/>
        <w:jc w:val="both"/>
        <w:rPr>
          <w:rFonts w:ascii="AriEL" w:hAnsi="AriEL"/>
          <w:szCs w:val="24"/>
        </w:rPr>
      </w:pPr>
    </w:p>
    <w:p w14:paraId="444BAD02" w14:textId="77777777" w:rsidR="00814A9E" w:rsidRPr="00C07407" w:rsidRDefault="00814A9E" w:rsidP="006646A5">
      <w:pPr>
        <w:tabs>
          <w:tab w:val="left" w:pos="6540"/>
        </w:tabs>
        <w:spacing w:line="360" w:lineRule="auto"/>
        <w:jc w:val="both"/>
        <w:rPr>
          <w:rFonts w:ascii="AriEL" w:hAnsi="AriEL"/>
          <w:szCs w:val="24"/>
        </w:rPr>
      </w:pPr>
    </w:p>
    <w:p w14:paraId="71022E41" w14:textId="77777777" w:rsidR="00814A9E" w:rsidRPr="00C07407" w:rsidRDefault="00814A9E" w:rsidP="006646A5">
      <w:pPr>
        <w:tabs>
          <w:tab w:val="left" w:pos="6540"/>
        </w:tabs>
        <w:spacing w:line="360" w:lineRule="auto"/>
        <w:jc w:val="both"/>
        <w:rPr>
          <w:rFonts w:ascii="AriEL" w:hAnsi="AriEL"/>
          <w:szCs w:val="24"/>
        </w:rPr>
      </w:pPr>
    </w:p>
    <w:p w14:paraId="3EA3C7DD" w14:textId="2C373198" w:rsidR="00F66E1B" w:rsidRPr="00C07407" w:rsidRDefault="00F66E1B" w:rsidP="006646A5">
      <w:pPr>
        <w:tabs>
          <w:tab w:val="left" w:pos="6540"/>
        </w:tabs>
        <w:spacing w:line="360" w:lineRule="auto"/>
        <w:jc w:val="both"/>
        <w:rPr>
          <w:rFonts w:ascii="AriEL" w:hAnsi="AriEL"/>
          <w:szCs w:val="24"/>
        </w:rPr>
      </w:pPr>
    </w:p>
    <w:p w14:paraId="5C76528F" w14:textId="77777777" w:rsidR="00F66E1B" w:rsidRPr="00C07407" w:rsidRDefault="00F66E1B" w:rsidP="006646A5">
      <w:pPr>
        <w:tabs>
          <w:tab w:val="left" w:pos="6540"/>
        </w:tabs>
        <w:spacing w:line="360" w:lineRule="auto"/>
        <w:jc w:val="both"/>
        <w:rPr>
          <w:rFonts w:ascii="AriEL" w:hAnsi="AriEL"/>
          <w:szCs w:val="24"/>
        </w:rPr>
      </w:pPr>
    </w:p>
    <w:p w14:paraId="33F8F0BD" w14:textId="48699A9E" w:rsidR="00B87E75" w:rsidRPr="00CF52CC" w:rsidRDefault="00CD33A8" w:rsidP="00CF52CC">
      <w:pPr>
        <w:spacing w:line="360" w:lineRule="auto"/>
        <w:jc w:val="both"/>
        <w:rPr>
          <w:rFonts w:ascii="AriEL" w:eastAsiaTheme="majorEastAsia" w:hAnsi="AriEL" w:hint="eastAsia"/>
          <w:b/>
          <w:szCs w:val="24"/>
        </w:rPr>
      </w:pPr>
      <w:r w:rsidRPr="00C07407">
        <w:rPr>
          <w:rFonts w:ascii="AriEL" w:hAnsi="AriEL"/>
          <w:szCs w:val="24"/>
        </w:rPr>
        <w:br w:type="page"/>
      </w:r>
    </w:p>
    <w:p w14:paraId="1425F4AC" w14:textId="6695D929" w:rsidR="001D7C03" w:rsidRPr="00C07407" w:rsidRDefault="001D7C03" w:rsidP="006646A5">
      <w:pPr>
        <w:tabs>
          <w:tab w:val="left" w:pos="6540"/>
        </w:tabs>
        <w:spacing w:line="360" w:lineRule="auto"/>
        <w:jc w:val="both"/>
        <w:rPr>
          <w:rFonts w:ascii="AriEL" w:hAnsi="AriEL"/>
          <w:szCs w:val="24"/>
        </w:rPr>
      </w:pPr>
    </w:p>
    <w:sectPr w:rsidR="001D7C03" w:rsidRPr="00C07407" w:rsidSect="00E620E7">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6140F" w14:textId="77777777" w:rsidR="00617E5F" w:rsidRDefault="00617E5F" w:rsidP="003E4ECF">
      <w:pPr>
        <w:spacing w:after="0" w:line="240" w:lineRule="auto"/>
      </w:pPr>
      <w:r>
        <w:separator/>
      </w:r>
    </w:p>
  </w:endnote>
  <w:endnote w:type="continuationSeparator" w:id="0">
    <w:p w14:paraId="78871834" w14:textId="77777777" w:rsidR="00617E5F" w:rsidRDefault="00617E5F"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EL">
    <w:altName w:val="Cambria"/>
    <w:panose1 w:val="00000000000000000000"/>
    <w:charset w:val="00"/>
    <w:family w:val="roman"/>
    <w:notTrueType/>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DDA86" w14:textId="77777777" w:rsidR="00617E5F" w:rsidRDefault="00617E5F" w:rsidP="003E4ECF">
      <w:pPr>
        <w:spacing w:after="0" w:line="240" w:lineRule="auto"/>
      </w:pPr>
      <w:r>
        <w:separator/>
      </w:r>
    </w:p>
  </w:footnote>
  <w:footnote w:type="continuationSeparator" w:id="0">
    <w:p w14:paraId="51CD2E54" w14:textId="77777777" w:rsidR="00617E5F" w:rsidRDefault="00617E5F"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A1375"/>
    <w:multiLevelType w:val="hybridMultilevel"/>
    <w:tmpl w:val="30EC30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935A1A"/>
    <w:multiLevelType w:val="multilevel"/>
    <w:tmpl w:val="E0106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A53A72"/>
    <w:multiLevelType w:val="multilevel"/>
    <w:tmpl w:val="A95A64C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5641557">
    <w:abstractNumId w:val="1"/>
  </w:num>
  <w:num w:numId="2" w16cid:durableId="802693208">
    <w:abstractNumId w:val="0"/>
  </w:num>
  <w:num w:numId="3" w16cid:durableId="6405737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14384"/>
    <w:rsid w:val="000506A2"/>
    <w:rsid w:val="00053D77"/>
    <w:rsid w:val="000572BF"/>
    <w:rsid w:val="00066A81"/>
    <w:rsid w:val="00074402"/>
    <w:rsid w:val="00093A41"/>
    <w:rsid w:val="000E4D94"/>
    <w:rsid w:val="00143199"/>
    <w:rsid w:val="0015195E"/>
    <w:rsid w:val="001623AB"/>
    <w:rsid w:val="001B3FA4"/>
    <w:rsid w:val="001B7EE8"/>
    <w:rsid w:val="001D7C03"/>
    <w:rsid w:val="001E3D69"/>
    <w:rsid w:val="002110D9"/>
    <w:rsid w:val="00216C85"/>
    <w:rsid w:val="002565E3"/>
    <w:rsid w:val="0026393A"/>
    <w:rsid w:val="00271A5C"/>
    <w:rsid w:val="00273EDD"/>
    <w:rsid w:val="002B2667"/>
    <w:rsid w:val="002B2E1B"/>
    <w:rsid w:val="002B3091"/>
    <w:rsid w:val="002B3F7C"/>
    <w:rsid w:val="002C1776"/>
    <w:rsid w:val="002C3965"/>
    <w:rsid w:val="002E2147"/>
    <w:rsid w:val="002F0E7D"/>
    <w:rsid w:val="00321C4C"/>
    <w:rsid w:val="00333258"/>
    <w:rsid w:val="00343628"/>
    <w:rsid w:val="00392BBC"/>
    <w:rsid w:val="003A50F4"/>
    <w:rsid w:val="003E4ECF"/>
    <w:rsid w:val="00400F8C"/>
    <w:rsid w:val="00405460"/>
    <w:rsid w:val="00422FD5"/>
    <w:rsid w:val="004358F8"/>
    <w:rsid w:val="004A736E"/>
    <w:rsid w:val="004B03A3"/>
    <w:rsid w:val="004D5A16"/>
    <w:rsid w:val="004F22D3"/>
    <w:rsid w:val="005224A0"/>
    <w:rsid w:val="005600E9"/>
    <w:rsid w:val="005739EC"/>
    <w:rsid w:val="00593E15"/>
    <w:rsid w:val="005B3AB3"/>
    <w:rsid w:val="006136B0"/>
    <w:rsid w:val="00617E5F"/>
    <w:rsid w:val="006476C2"/>
    <w:rsid w:val="006646A5"/>
    <w:rsid w:val="0069023A"/>
    <w:rsid w:val="006925AA"/>
    <w:rsid w:val="006A37F8"/>
    <w:rsid w:val="006A3CBB"/>
    <w:rsid w:val="00704FDA"/>
    <w:rsid w:val="0070535D"/>
    <w:rsid w:val="007236AF"/>
    <w:rsid w:val="00725177"/>
    <w:rsid w:val="00730855"/>
    <w:rsid w:val="00746274"/>
    <w:rsid w:val="00760C47"/>
    <w:rsid w:val="00772B86"/>
    <w:rsid w:val="00774CE1"/>
    <w:rsid w:val="0081028C"/>
    <w:rsid w:val="00814A9E"/>
    <w:rsid w:val="00817206"/>
    <w:rsid w:val="0085072A"/>
    <w:rsid w:val="008544D0"/>
    <w:rsid w:val="008842F2"/>
    <w:rsid w:val="00892DC8"/>
    <w:rsid w:val="008A2F24"/>
    <w:rsid w:val="008E6B6B"/>
    <w:rsid w:val="0090040D"/>
    <w:rsid w:val="00901493"/>
    <w:rsid w:val="00923ACB"/>
    <w:rsid w:val="009379ED"/>
    <w:rsid w:val="009464FF"/>
    <w:rsid w:val="00964148"/>
    <w:rsid w:val="0098320D"/>
    <w:rsid w:val="00991A83"/>
    <w:rsid w:val="009A7D09"/>
    <w:rsid w:val="009B694A"/>
    <w:rsid w:val="009C663E"/>
    <w:rsid w:val="009D052C"/>
    <w:rsid w:val="009D1D1E"/>
    <w:rsid w:val="009F2673"/>
    <w:rsid w:val="00A035FD"/>
    <w:rsid w:val="00A15AD7"/>
    <w:rsid w:val="00A22FAD"/>
    <w:rsid w:val="00A24251"/>
    <w:rsid w:val="00A360B3"/>
    <w:rsid w:val="00A60762"/>
    <w:rsid w:val="00A6676C"/>
    <w:rsid w:val="00A95A57"/>
    <w:rsid w:val="00A96B35"/>
    <w:rsid w:val="00AA51AA"/>
    <w:rsid w:val="00AA6172"/>
    <w:rsid w:val="00AC1FE5"/>
    <w:rsid w:val="00AD7A22"/>
    <w:rsid w:val="00B00DEE"/>
    <w:rsid w:val="00B8304B"/>
    <w:rsid w:val="00B87E75"/>
    <w:rsid w:val="00BC71F4"/>
    <w:rsid w:val="00BD4FC9"/>
    <w:rsid w:val="00BF0945"/>
    <w:rsid w:val="00C07407"/>
    <w:rsid w:val="00C55612"/>
    <w:rsid w:val="00C9449C"/>
    <w:rsid w:val="00CA523A"/>
    <w:rsid w:val="00CB43E1"/>
    <w:rsid w:val="00CC692E"/>
    <w:rsid w:val="00CD33A8"/>
    <w:rsid w:val="00CE7F0F"/>
    <w:rsid w:val="00CF33CA"/>
    <w:rsid w:val="00CF52CC"/>
    <w:rsid w:val="00D05544"/>
    <w:rsid w:val="00D2301A"/>
    <w:rsid w:val="00D30A23"/>
    <w:rsid w:val="00D407FB"/>
    <w:rsid w:val="00D50378"/>
    <w:rsid w:val="00D9709A"/>
    <w:rsid w:val="00DC21C2"/>
    <w:rsid w:val="00DE47A1"/>
    <w:rsid w:val="00DF14B1"/>
    <w:rsid w:val="00E06EFB"/>
    <w:rsid w:val="00E10332"/>
    <w:rsid w:val="00E17BE3"/>
    <w:rsid w:val="00E569FD"/>
    <w:rsid w:val="00E620E7"/>
    <w:rsid w:val="00E81E66"/>
    <w:rsid w:val="00EA1945"/>
    <w:rsid w:val="00EA7FE0"/>
    <w:rsid w:val="00EC3CFE"/>
    <w:rsid w:val="00EE497E"/>
    <w:rsid w:val="00EF12A9"/>
    <w:rsid w:val="00EF20D2"/>
    <w:rsid w:val="00F52797"/>
    <w:rsid w:val="00F63446"/>
    <w:rsid w:val="00F66E1B"/>
    <w:rsid w:val="00F73552"/>
    <w:rsid w:val="00F90439"/>
    <w:rsid w:val="00FB7B14"/>
    <w:rsid w:val="00FC1570"/>
    <w:rsid w:val="00FC6502"/>
    <w:rsid w:val="00FC66BD"/>
    <w:rsid w:val="00FE1C58"/>
    <w:rsid w:val="00FF32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B2E1B"/>
    <w:pPr>
      <w:keepNext/>
      <w:keepLines/>
      <w:spacing w:before="240" w:after="0" w:line="360" w:lineRule="auto"/>
      <w:jc w:val="both"/>
      <w:outlineLvl w:val="0"/>
    </w:pPr>
    <w:rPr>
      <w:rFonts w:ascii="AriEL" w:eastAsiaTheme="majorEastAsia" w:hAnsi="AriEL"/>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2E1B"/>
    <w:rPr>
      <w:rFonts w:ascii="AriEL" w:eastAsiaTheme="majorEastAsia" w:hAnsi="AriEL"/>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customStyle="1" w:styleId="isselectedend">
    <w:name w:val="isselectedend"/>
    <w:basedOn w:val="Normal"/>
    <w:rsid w:val="008E6B6B"/>
    <w:pPr>
      <w:spacing w:before="100" w:beforeAutospacing="1" w:after="100" w:afterAutospacing="1" w:line="240" w:lineRule="auto"/>
    </w:pPr>
    <w:rPr>
      <w:rFonts w:eastAsia="Times New Roman" w:cs="Times New Roman"/>
      <w:szCs w:val="24"/>
      <w:lang w:eastAsia="en-GB"/>
    </w:rPr>
  </w:style>
  <w:style w:type="paragraph" w:styleId="NormalWeb">
    <w:name w:val="Normal (Web)"/>
    <w:basedOn w:val="Normal"/>
    <w:uiPriority w:val="99"/>
    <w:semiHidden/>
    <w:unhideWhenUsed/>
    <w:rsid w:val="008E6B6B"/>
    <w:pPr>
      <w:spacing w:before="100" w:beforeAutospacing="1" w:after="100" w:afterAutospacing="1" w:line="240" w:lineRule="auto"/>
    </w:pPr>
    <w:rPr>
      <w:rFonts w:eastAsia="Times New Roman" w:cs="Times New Roman"/>
      <w:szCs w:val="24"/>
      <w:lang w:eastAsia="en-GB"/>
    </w:rPr>
  </w:style>
  <w:style w:type="paragraph" w:customStyle="1" w:styleId="pdq2pgselectionanchorcontainer">
    <w:name w:val="pdq2pg_selectionanchorcontainer"/>
    <w:basedOn w:val="Normal"/>
    <w:rsid w:val="009B694A"/>
    <w:pPr>
      <w:spacing w:before="100" w:beforeAutospacing="1" w:after="100" w:afterAutospacing="1" w:line="240" w:lineRule="auto"/>
    </w:pPr>
    <w:rPr>
      <w:rFonts w:eastAsia="Times New Roman" w:cs="Times New Roman"/>
      <w:szCs w:val="24"/>
      <w:lang w:eastAsia="en-GB"/>
    </w:rPr>
  </w:style>
  <w:style w:type="character" w:styleId="Emphasis">
    <w:name w:val="Emphasis"/>
    <w:basedOn w:val="DefaultParagraphFont"/>
    <w:uiPriority w:val="20"/>
    <w:qFormat/>
    <w:rsid w:val="009B694A"/>
    <w:rPr>
      <w:i/>
      <w:iCs/>
    </w:rPr>
  </w:style>
  <w:style w:type="character" w:styleId="Strong">
    <w:name w:val="Strong"/>
    <w:basedOn w:val="DefaultParagraphFont"/>
    <w:uiPriority w:val="22"/>
    <w:qFormat/>
    <w:rsid w:val="00D2301A"/>
    <w:rPr>
      <w:b/>
      <w:bCs/>
    </w:rPr>
  </w:style>
  <w:style w:type="paragraph" w:styleId="ListParagraph">
    <w:name w:val="List Paragraph"/>
    <w:basedOn w:val="Normal"/>
    <w:uiPriority w:val="34"/>
    <w:qFormat/>
    <w:rsid w:val="00D05544"/>
    <w:pPr>
      <w:ind w:left="720"/>
      <w:contextualSpacing/>
    </w:pPr>
  </w:style>
  <w:style w:type="table" w:styleId="TableGrid">
    <w:name w:val="Table Grid"/>
    <w:basedOn w:val="TableNormal"/>
    <w:uiPriority w:val="39"/>
    <w:rsid w:val="00EA7F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E47A1"/>
    <w:rPr>
      <w:color w:val="0563C1" w:themeColor="hyperlink"/>
      <w:u w:val="single"/>
    </w:rPr>
  </w:style>
  <w:style w:type="character" w:styleId="UnresolvedMention">
    <w:name w:val="Unresolved Mention"/>
    <w:basedOn w:val="DefaultParagraphFont"/>
    <w:uiPriority w:val="99"/>
    <w:semiHidden/>
    <w:unhideWhenUsed/>
    <w:rsid w:val="00DE47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016/j.ssmhs.2026.100200" TargetMode="External"/><Relationship Id="rId4" Type="http://schemas.openxmlformats.org/officeDocument/2006/relationships/webSettings" Target="webSettings.xml"/><Relationship Id="rId9" Type="http://schemas.openxmlformats.org/officeDocument/2006/relationships/hyperlink" Target="https://doi.org/10.1186/s12913-022-08461-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21</Pages>
  <Words>4908</Words>
  <Characters>27976</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alexandra barcea</cp:lastModifiedBy>
  <cp:revision>2</cp:revision>
  <dcterms:created xsi:type="dcterms:W3CDTF">2026-10-12T16:31:00Z</dcterms:created>
  <dcterms:modified xsi:type="dcterms:W3CDTF">2026-10-12T16:31:00Z</dcterms:modified>
</cp:coreProperties>
</file>