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A455ACB" w14:textId="77777777" w:rsidR="00605B77" w:rsidRDefault="00605B77" w:rsidP="002636B3">
      <w:pPr>
        <w:rPr>
          <w:rFonts w:asciiTheme="minorBidi" w:hAnsiTheme="minorBidi"/>
        </w:rPr>
      </w:pPr>
    </w:p>
    <w:p w14:paraId="1D4F0702" w14:textId="1430ABAC" w:rsidR="004D30D5" w:rsidRDefault="004D30D5" w:rsidP="00605B77">
      <w:pPr>
        <w:jc w:val="center"/>
        <w:rPr>
          <w:rFonts w:asciiTheme="minorBidi" w:hAnsiTheme="minorBidi"/>
        </w:rPr>
      </w:pPr>
      <w:r w:rsidRPr="00F4799C">
        <w:rPr>
          <w:rFonts w:asciiTheme="minorBidi" w:hAnsiTheme="minorBidi"/>
          <w:noProof/>
        </w:rPr>
        <w:drawing>
          <wp:inline distT="0" distB="0" distL="0" distR="0" wp14:anchorId="2A36A15B" wp14:editId="0D6E645A">
            <wp:extent cx="5915507" cy="1802750"/>
            <wp:effectExtent l="0" t="0" r="3175" b="1270"/>
            <wp:docPr id="21149111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108335" cy="1861514"/>
                    </a:xfrm>
                    <a:prstGeom prst="rect">
                      <a:avLst/>
                    </a:prstGeom>
                    <a:noFill/>
                  </pic:spPr>
                </pic:pic>
              </a:graphicData>
            </a:graphic>
          </wp:inline>
        </w:drawing>
      </w:r>
    </w:p>
    <w:p w14:paraId="71DF91BB" w14:textId="77777777" w:rsidR="004D30D5" w:rsidRDefault="004D30D5" w:rsidP="00605B77">
      <w:pPr>
        <w:jc w:val="center"/>
        <w:rPr>
          <w:rFonts w:asciiTheme="minorBidi" w:hAnsiTheme="minorBidi"/>
        </w:rPr>
      </w:pPr>
    </w:p>
    <w:p w14:paraId="3470631A" w14:textId="77777777" w:rsidR="004D30D5" w:rsidRDefault="004D30D5" w:rsidP="00605B77">
      <w:pPr>
        <w:jc w:val="center"/>
        <w:rPr>
          <w:rFonts w:asciiTheme="minorBidi" w:hAnsiTheme="minorBidi"/>
        </w:rPr>
      </w:pPr>
    </w:p>
    <w:p w14:paraId="6DED4AEC" w14:textId="77777777" w:rsidR="004D30D5" w:rsidRDefault="004D30D5" w:rsidP="00605B77">
      <w:pPr>
        <w:jc w:val="center"/>
        <w:rPr>
          <w:rFonts w:asciiTheme="minorBidi" w:hAnsiTheme="minorBidi"/>
        </w:rPr>
      </w:pPr>
    </w:p>
    <w:p w14:paraId="5DF4D232" w14:textId="77777777" w:rsidR="004D30D5" w:rsidRDefault="004D30D5" w:rsidP="00605B77">
      <w:pPr>
        <w:jc w:val="center"/>
        <w:rPr>
          <w:rFonts w:asciiTheme="minorBidi" w:hAnsiTheme="minorBidi"/>
        </w:rPr>
      </w:pPr>
    </w:p>
    <w:p w14:paraId="48267945" w14:textId="77777777" w:rsidR="004D30D5" w:rsidRDefault="004D30D5" w:rsidP="00605B77">
      <w:pPr>
        <w:jc w:val="center"/>
        <w:rPr>
          <w:rFonts w:asciiTheme="minorBidi" w:hAnsiTheme="minorBidi"/>
        </w:rPr>
      </w:pPr>
    </w:p>
    <w:p w14:paraId="3820A8A3" w14:textId="77777777" w:rsidR="004D30D5" w:rsidRDefault="004D30D5" w:rsidP="00605B77">
      <w:pPr>
        <w:jc w:val="center"/>
        <w:rPr>
          <w:rFonts w:asciiTheme="minorBidi" w:hAnsiTheme="minorBidi"/>
        </w:rPr>
      </w:pPr>
    </w:p>
    <w:p w14:paraId="02462680" w14:textId="77777777" w:rsidR="004D30D5" w:rsidRPr="00F4799C" w:rsidRDefault="004D30D5" w:rsidP="00605B77">
      <w:pPr>
        <w:jc w:val="center"/>
        <w:rPr>
          <w:rFonts w:asciiTheme="minorBidi" w:hAnsiTheme="minorBidi"/>
        </w:rPr>
      </w:pPr>
    </w:p>
    <w:p w14:paraId="11B8F378" w14:textId="77777777" w:rsidR="00605B77" w:rsidRPr="00F4799C" w:rsidRDefault="00605B77" w:rsidP="00605B77">
      <w:pPr>
        <w:jc w:val="center"/>
        <w:rPr>
          <w:rFonts w:asciiTheme="minorBidi" w:hAnsiTheme="minorBidi"/>
          <w:b/>
          <w:bCs/>
          <w:sz w:val="28"/>
          <w:szCs w:val="28"/>
        </w:rPr>
      </w:pPr>
      <w:r w:rsidRPr="00F4799C">
        <w:rPr>
          <w:rFonts w:asciiTheme="minorBidi" w:hAnsiTheme="minorBidi"/>
          <w:b/>
          <w:bCs/>
          <w:sz w:val="28"/>
          <w:szCs w:val="28"/>
        </w:rPr>
        <w:t>Student Name:</w:t>
      </w:r>
      <w:r>
        <w:rPr>
          <w:rFonts w:asciiTheme="minorBidi" w:hAnsiTheme="minorBidi"/>
          <w:b/>
          <w:bCs/>
          <w:sz w:val="28"/>
          <w:szCs w:val="28"/>
        </w:rPr>
        <w:t xml:space="preserve"> </w:t>
      </w:r>
      <w:r w:rsidRPr="002636B3">
        <w:rPr>
          <w:rFonts w:asciiTheme="minorBidi" w:hAnsiTheme="minorBidi"/>
          <w:b/>
          <w:bCs/>
          <w:sz w:val="32"/>
          <w:szCs w:val="32"/>
        </w:rPr>
        <w:t>Georgiana-Ioana Chirita</w:t>
      </w:r>
    </w:p>
    <w:p w14:paraId="7F60EE46" w14:textId="77777777" w:rsidR="00605B77" w:rsidRPr="00F4799C" w:rsidRDefault="00605B77" w:rsidP="00605B77">
      <w:pPr>
        <w:jc w:val="center"/>
        <w:rPr>
          <w:rFonts w:asciiTheme="minorBidi" w:hAnsiTheme="minorBidi"/>
          <w:b/>
          <w:bCs/>
          <w:sz w:val="28"/>
          <w:szCs w:val="28"/>
        </w:rPr>
      </w:pPr>
    </w:p>
    <w:p w14:paraId="44A1EFA9" w14:textId="77777777" w:rsidR="00605B77" w:rsidRPr="00F4799C" w:rsidRDefault="00605B77" w:rsidP="00605B77">
      <w:pPr>
        <w:jc w:val="center"/>
        <w:rPr>
          <w:rFonts w:asciiTheme="minorBidi" w:hAnsiTheme="minorBidi"/>
          <w:b/>
          <w:bCs/>
          <w:sz w:val="28"/>
          <w:szCs w:val="28"/>
        </w:rPr>
      </w:pPr>
      <w:r w:rsidRPr="00F4799C">
        <w:rPr>
          <w:rFonts w:asciiTheme="minorBidi" w:hAnsiTheme="minorBidi"/>
          <w:b/>
          <w:bCs/>
          <w:sz w:val="28"/>
          <w:szCs w:val="28"/>
        </w:rPr>
        <w:t>Student ID:</w:t>
      </w:r>
      <w:r>
        <w:rPr>
          <w:rFonts w:asciiTheme="minorBidi" w:hAnsiTheme="minorBidi"/>
          <w:b/>
          <w:bCs/>
          <w:sz w:val="28"/>
          <w:szCs w:val="28"/>
        </w:rPr>
        <w:t xml:space="preserve"> 2120500</w:t>
      </w:r>
    </w:p>
    <w:p w14:paraId="13740661" w14:textId="77777777" w:rsidR="00605B77" w:rsidRPr="00F4799C" w:rsidRDefault="00605B77" w:rsidP="00605B77">
      <w:pPr>
        <w:jc w:val="center"/>
        <w:rPr>
          <w:rFonts w:asciiTheme="minorBidi" w:hAnsiTheme="minorBidi"/>
          <w:sz w:val="28"/>
          <w:szCs w:val="28"/>
        </w:rPr>
      </w:pPr>
    </w:p>
    <w:p w14:paraId="652584DD" w14:textId="77777777" w:rsidR="00605B77" w:rsidRPr="00F4799C" w:rsidRDefault="00605B77" w:rsidP="00605B77">
      <w:pPr>
        <w:jc w:val="center"/>
        <w:rPr>
          <w:rFonts w:asciiTheme="minorBidi" w:hAnsiTheme="minorBidi"/>
          <w:sz w:val="28"/>
          <w:szCs w:val="28"/>
        </w:rPr>
      </w:pPr>
    </w:p>
    <w:p w14:paraId="6B66F304" w14:textId="77777777" w:rsidR="00605B77" w:rsidRDefault="00605B77" w:rsidP="00605B77">
      <w:pPr>
        <w:jc w:val="center"/>
        <w:rPr>
          <w:rFonts w:asciiTheme="minorBidi" w:hAnsiTheme="minorBidi"/>
          <w:b/>
          <w:bCs/>
          <w:sz w:val="28"/>
          <w:szCs w:val="28"/>
        </w:rPr>
      </w:pPr>
      <w:r w:rsidRPr="00F4799C">
        <w:rPr>
          <w:rFonts w:asciiTheme="minorBidi" w:hAnsiTheme="minorBidi"/>
          <w:b/>
          <w:bCs/>
          <w:sz w:val="28"/>
          <w:szCs w:val="28"/>
        </w:rPr>
        <w:t xml:space="preserve">Module Name: </w:t>
      </w:r>
      <w:r>
        <w:rPr>
          <w:rFonts w:asciiTheme="minorBidi" w:hAnsiTheme="minorBidi"/>
          <w:b/>
          <w:bCs/>
          <w:sz w:val="28"/>
          <w:szCs w:val="28"/>
        </w:rPr>
        <w:t xml:space="preserve">MARKETING MANAGEMENT </w:t>
      </w:r>
    </w:p>
    <w:p w14:paraId="6785CD66" w14:textId="77777777" w:rsidR="00605B77" w:rsidRPr="00F4799C" w:rsidRDefault="00605B77" w:rsidP="00605B77">
      <w:pPr>
        <w:jc w:val="center"/>
        <w:rPr>
          <w:rFonts w:asciiTheme="minorBidi" w:hAnsiTheme="minorBidi"/>
          <w:b/>
          <w:bCs/>
          <w:sz w:val="28"/>
          <w:szCs w:val="28"/>
        </w:rPr>
      </w:pPr>
    </w:p>
    <w:p w14:paraId="13259FF1" w14:textId="77777777" w:rsidR="00605B77" w:rsidRPr="00F4799C" w:rsidRDefault="00605B77" w:rsidP="00605B77">
      <w:pPr>
        <w:jc w:val="center"/>
        <w:rPr>
          <w:rFonts w:asciiTheme="minorBidi" w:hAnsiTheme="minorBidi"/>
          <w:b/>
          <w:bCs/>
          <w:sz w:val="28"/>
          <w:szCs w:val="28"/>
        </w:rPr>
      </w:pPr>
      <w:r w:rsidRPr="00F4799C">
        <w:rPr>
          <w:rFonts w:asciiTheme="minorBidi" w:hAnsiTheme="minorBidi"/>
          <w:b/>
          <w:bCs/>
          <w:sz w:val="28"/>
          <w:szCs w:val="28"/>
        </w:rPr>
        <w:t>Module Code: LCMB702</w:t>
      </w:r>
      <w:r>
        <w:rPr>
          <w:rFonts w:asciiTheme="minorBidi" w:hAnsiTheme="minorBidi"/>
          <w:b/>
          <w:bCs/>
          <w:sz w:val="28"/>
          <w:szCs w:val="28"/>
        </w:rPr>
        <w:t>4</w:t>
      </w:r>
    </w:p>
    <w:p w14:paraId="038C1A07" w14:textId="77777777" w:rsidR="00605B77" w:rsidRPr="00F4799C" w:rsidRDefault="00605B77" w:rsidP="004D30D5">
      <w:pPr>
        <w:rPr>
          <w:rFonts w:asciiTheme="minorBidi" w:hAnsiTheme="minorBidi"/>
          <w:b/>
          <w:bCs/>
          <w:sz w:val="28"/>
          <w:szCs w:val="28"/>
        </w:rPr>
      </w:pPr>
    </w:p>
    <w:p w14:paraId="30CF2595" w14:textId="77777777" w:rsidR="00605B77" w:rsidRPr="00F4799C" w:rsidRDefault="00605B77" w:rsidP="00605B77">
      <w:pPr>
        <w:rPr>
          <w:rFonts w:asciiTheme="minorBidi" w:hAnsiTheme="minorBidi"/>
          <w:b/>
          <w:bCs/>
          <w:sz w:val="28"/>
          <w:szCs w:val="28"/>
        </w:rPr>
      </w:pPr>
    </w:p>
    <w:p w14:paraId="15E190F6" w14:textId="77777777" w:rsidR="00605B77" w:rsidRPr="00F4799C" w:rsidRDefault="00605B77" w:rsidP="00605B77">
      <w:pPr>
        <w:jc w:val="center"/>
        <w:rPr>
          <w:rFonts w:asciiTheme="minorBidi" w:hAnsiTheme="minorBidi"/>
          <w:b/>
          <w:bCs/>
          <w:sz w:val="28"/>
          <w:szCs w:val="28"/>
        </w:rPr>
      </w:pPr>
      <w:r w:rsidRPr="00F4799C">
        <w:rPr>
          <w:rFonts w:asciiTheme="minorBidi" w:hAnsiTheme="minorBidi"/>
          <w:b/>
          <w:bCs/>
          <w:sz w:val="28"/>
          <w:szCs w:val="28"/>
        </w:rPr>
        <w:t>Lecturer’s Name:</w:t>
      </w:r>
    </w:p>
    <w:p w14:paraId="0982D9F4" w14:textId="77777777" w:rsidR="00605B77" w:rsidRPr="00F4799C" w:rsidRDefault="00605B77" w:rsidP="00605B77">
      <w:pPr>
        <w:jc w:val="center"/>
        <w:rPr>
          <w:rFonts w:asciiTheme="minorBidi" w:hAnsiTheme="minorBidi"/>
          <w:b/>
          <w:bCs/>
          <w:sz w:val="28"/>
          <w:szCs w:val="28"/>
        </w:rPr>
      </w:pPr>
    </w:p>
    <w:p w14:paraId="7BF01C09" w14:textId="37428CA9" w:rsidR="00605B77" w:rsidRPr="00F4799C" w:rsidRDefault="00605B77" w:rsidP="00605B77">
      <w:pPr>
        <w:jc w:val="center"/>
        <w:rPr>
          <w:rFonts w:asciiTheme="minorBidi" w:hAnsiTheme="minorBidi"/>
          <w:b/>
          <w:bCs/>
          <w:sz w:val="28"/>
          <w:szCs w:val="28"/>
        </w:rPr>
      </w:pPr>
      <w:r>
        <w:rPr>
          <w:rFonts w:asciiTheme="minorBidi" w:hAnsiTheme="minorBidi"/>
          <w:b/>
          <w:bCs/>
          <w:sz w:val="28"/>
          <w:szCs w:val="28"/>
        </w:rPr>
        <w:t>Laila Maazouz</w:t>
      </w:r>
    </w:p>
    <w:p w14:paraId="45708087" w14:textId="77777777" w:rsidR="00605B77" w:rsidRPr="00F4799C" w:rsidRDefault="00605B77" w:rsidP="00605B77">
      <w:pPr>
        <w:rPr>
          <w:rFonts w:asciiTheme="minorBidi" w:hAnsiTheme="minorBidi"/>
          <w:b/>
          <w:bCs/>
          <w:sz w:val="28"/>
          <w:szCs w:val="28"/>
        </w:rPr>
      </w:pPr>
    </w:p>
    <w:p w14:paraId="07FF8D3E" w14:textId="77777777" w:rsidR="00605B77" w:rsidRPr="00F4799C" w:rsidRDefault="00605B77" w:rsidP="00605B77">
      <w:pPr>
        <w:jc w:val="center"/>
        <w:rPr>
          <w:rFonts w:asciiTheme="minorBidi" w:hAnsiTheme="minorBidi"/>
          <w:b/>
          <w:bCs/>
          <w:sz w:val="28"/>
          <w:szCs w:val="28"/>
        </w:rPr>
      </w:pPr>
      <w:r w:rsidRPr="00F4799C">
        <w:rPr>
          <w:rFonts w:asciiTheme="minorBidi" w:hAnsiTheme="minorBidi"/>
          <w:b/>
          <w:bCs/>
          <w:sz w:val="28"/>
          <w:szCs w:val="28"/>
        </w:rPr>
        <w:t>Work Count:</w:t>
      </w:r>
    </w:p>
    <w:p w14:paraId="71DA40F6" w14:textId="77777777" w:rsidR="00605B77" w:rsidRPr="00F4799C" w:rsidRDefault="00605B77" w:rsidP="00605B77">
      <w:pPr>
        <w:jc w:val="center"/>
        <w:rPr>
          <w:rFonts w:asciiTheme="minorBidi" w:hAnsiTheme="minorBidi"/>
          <w:b/>
          <w:bCs/>
          <w:sz w:val="28"/>
          <w:szCs w:val="28"/>
        </w:rPr>
      </w:pPr>
    </w:p>
    <w:p w14:paraId="5CFB1B78" w14:textId="57C8FD36" w:rsidR="00605B77" w:rsidRPr="00F4799C" w:rsidRDefault="00605B77" w:rsidP="00605B77">
      <w:pPr>
        <w:jc w:val="center"/>
        <w:rPr>
          <w:rFonts w:asciiTheme="minorBidi" w:hAnsiTheme="minorBidi"/>
          <w:b/>
          <w:bCs/>
          <w:sz w:val="28"/>
          <w:szCs w:val="28"/>
        </w:rPr>
      </w:pPr>
      <w:r>
        <w:rPr>
          <w:rFonts w:asciiTheme="minorBidi" w:hAnsiTheme="minorBidi"/>
          <w:b/>
          <w:bCs/>
          <w:sz w:val="28"/>
          <w:szCs w:val="28"/>
        </w:rPr>
        <w:t>Marketing Environment Analysis</w:t>
      </w:r>
    </w:p>
    <w:p w14:paraId="2859BF69" w14:textId="77777777" w:rsidR="00605B77" w:rsidRPr="00F4799C" w:rsidRDefault="00605B77" w:rsidP="00605B77">
      <w:pPr>
        <w:jc w:val="center"/>
        <w:rPr>
          <w:rFonts w:asciiTheme="minorBidi" w:hAnsiTheme="minorBidi"/>
          <w:b/>
          <w:bCs/>
          <w:sz w:val="28"/>
          <w:szCs w:val="28"/>
        </w:rPr>
      </w:pPr>
    </w:p>
    <w:p w14:paraId="1610D971" w14:textId="77777777" w:rsidR="00605B77" w:rsidRPr="00F4799C" w:rsidRDefault="00605B77" w:rsidP="00605B77">
      <w:pPr>
        <w:jc w:val="center"/>
        <w:rPr>
          <w:rFonts w:asciiTheme="minorBidi" w:hAnsiTheme="minorBidi"/>
          <w:b/>
          <w:bCs/>
          <w:sz w:val="28"/>
          <w:szCs w:val="28"/>
        </w:rPr>
      </w:pPr>
    </w:p>
    <w:p w14:paraId="1F7283AB" w14:textId="77777777" w:rsidR="00605B77" w:rsidRPr="00F4799C" w:rsidRDefault="00605B77" w:rsidP="00605B77">
      <w:pPr>
        <w:jc w:val="center"/>
        <w:rPr>
          <w:rFonts w:asciiTheme="minorBidi" w:hAnsiTheme="minorBidi"/>
          <w:b/>
          <w:bCs/>
          <w:sz w:val="28"/>
          <w:szCs w:val="28"/>
        </w:rPr>
      </w:pPr>
    </w:p>
    <w:p w14:paraId="0731F2C5" w14:textId="77777777" w:rsidR="00605B77" w:rsidRPr="00F4799C" w:rsidRDefault="00605B77" w:rsidP="00605B77">
      <w:pPr>
        <w:jc w:val="center"/>
        <w:rPr>
          <w:rFonts w:asciiTheme="minorBidi" w:hAnsiTheme="minorBidi"/>
          <w:b/>
          <w:bCs/>
          <w:sz w:val="28"/>
          <w:szCs w:val="28"/>
        </w:rPr>
      </w:pPr>
      <w:r w:rsidRPr="00F4799C">
        <w:rPr>
          <w:rFonts w:asciiTheme="minorBidi" w:hAnsiTheme="minorBidi"/>
          <w:b/>
          <w:bCs/>
          <w:sz w:val="28"/>
          <w:szCs w:val="28"/>
        </w:rPr>
        <w:t>Term 1</w:t>
      </w:r>
    </w:p>
    <w:p w14:paraId="2A429E89" w14:textId="77777777" w:rsidR="002636B3" w:rsidRDefault="002636B3" w:rsidP="00605B77">
      <w:pPr>
        <w:rPr>
          <w:rFonts w:asciiTheme="minorBidi" w:hAnsiTheme="minorBidi"/>
          <w:b/>
          <w:bCs/>
        </w:rPr>
      </w:pPr>
    </w:p>
    <w:p w14:paraId="223B1329" w14:textId="20B3BC11" w:rsidR="00605B77" w:rsidRPr="00F4799C" w:rsidRDefault="00605B77" w:rsidP="004D5589">
      <w:r w:rsidRPr="00F4799C">
        <w:br w:type="page"/>
      </w:r>
    </w:p>
    <w:sdt>
      <w:sdtPr>
        <w:rPr>
          <w:rFonts w:asciiTheme="minorHAnsi" w:eastAsiaTheme="minorHAnsi" w:hAnsiTheme="minorHAnsi" w:cstheme="minorBidi"/>
          <w:b w:val="0"/>
          <w:bCs w:val="0"/>
          <w:color w:val="auto"/>
          <w:kern w:val="2"/>
          <w:sz w:val="24"/>
          <w:szCs w:val="24"/>
          <w:lang w:val="en-GB"/>
          <w14:ligatures w14:val="standardContextual"/>
        </w:rPr>
        <w:id w:val="-190296798"/>
        <w:docPartObj>
          <w:docPartGallery w:val="Table of Contents"/>
          <w:docPartUnique/>
        </w:docPartObj>
      </w:sdtPr>
      <w:sdtEndPr>
        <w:rPr>
          <w:noProof/>
        </w:rPr>
      </w:sdtEndPr>
      <w:sdtContent>
        <w:p w14:paraId="3D99346E" w14:textId="5F3F768C" w:rsidR="008802B1" w:rsidRDefault="008802B1" w:rsidP="008802B1">
          <w:pPr>
            <w:pStyle w:val="TOCHeading"/>
          </w:pPr>
          <w:r>
            <w:t>Table of Contents:</w:t>
          </w:r>
        </w:p>
        <w:p w14:paraId="4CCF44F7" w14:textId="77777777" w:rsidR="008802B1" w:rsidRPr="008802B1" w:rsidRDefault="008802B1" w:rsidP="008802B1">
          <w:pPr>
            <w:rPr>
              <w:lang w:val="en-US"/>
            </w:rPr>
          </w:pPr>
        </w:p>
        <w:p w14:paraId="1D02601E" w14:textId="02D36D2B" w:rsidR="00733CE3" w:rsidRDefault="00733CE3" w:rsidP="008802B1">
          <w:pPr>
            <w:pStyle w:val="ListParagraph"/>
            <w:numPr>
              <w:ilvl w:val="0"/>
              <w:numId w:val="2"/>
            </w:numPr>
            <w:rPr>
              <w:lang w:val="en-US"/>
            </w:rPr>
          </w:pPr>
          <w:r>
            <w:rPr>
              <w:lang w:val="en-US"/>
            </w:rPr>
            <w:t>Marketing Environment Analysis……………………………………………………….3</w:t>
          </w:r>
        </w:p>
        <w:p w14:paraId="67F3B9FE" w14:textId="3EE7EFFD" w:rsidR="008802B1" w:rsidRPr="00733CE3" w:rsidRDefault="00733CE3" w:rsidP="00733CE3">
          <w:pPr>
            <w:ind w:left="1080" w:firstLine="360"/>
            <w:rPr>
              <w:lang w:val="en-US"/>
            </w:rPr>
          </w:pPr>
          <w:r>
            <w:rPr>
              <w:lang w:val="en-US"/>
            </w:rPr>
            <w:t>1.1.</w:t>
          </w:r>
          <w:r w:rsidRPr="00733CE3">
            <w:rPr>
              <w:lang w:val="en-US"/>
            </w:rPr>
            <w:t xml:space="preserve"> Introduction</w:t>
          </w:r>
          <w:r w:rsidR="008802B1" w:rsidRPr="00733CE3">
            <w:rPr>
              <w:lang w:val="en-US"/>
            </w:rPr>
            <w:t>………………………………………………………………</w:t>
          </w:r>
          <w:proofErr w:type="gramStart"/>
          <w:r w:rsidR="008802B1" w:rsidRPr="00733CE3">
            <w:rPr>
              <w:lang w:val="en-US"/>
            </w:rPr>
            <w:t>…</w:t>
          </w:r>
          <w:r>
            <w:rPr>
              <w:lang w:val="en-US"/>
            </w:rPr>
            <w:t>..</w:t>
          </w:r>
          <w:proofErr w:type="gramEnd"/>
          <w:r w:rsidR="008802B1" w:rsidRPr="00733CE3">
            <w:rPr>
              <w:lang w:val="en-US"/>
            </w:rPr>
            <w:t>3</w:t>
          </w:r>
        </w:p>
        <w:p w14:paraId="25A767C7" w14:textId="082693BB" w:rsidR="008802B1" w:rsidRPr="008802B1" w:rsidRDefault="008802B1" w:rsidP="008802B1">
          <w:pPr>
            <w:pStyle w:val="ListParagraph"/>
            <w:numPr>
              <w:ilvl w:val="0"/>
              <w:numId w:val="2"/>
            </w:numPr>
            <w:rPr>
              <w:lang w:val="en-US"/>
            </w:rPr>
          </w:pPr>
          <w:r w:rsidRPr="002636B3">
            <w:rPr>
              <w:b/>
              <w:bCs/>
              <w:lang w:val="en-US"/>
            </w:rPr>
            <w:t>Task</w:t>
          </w:r>
          <w:r>
            <w:rPr>
              <w:lang w:val="en-US"/>
            </w:rPr>
            <w:t xml:space="preserve"> .1 Critical Analysis of the Macro Marketing Environment……………</w:t>
          </w:r>
          <w:proofErr w:type="gramStart"/>
          <w:r>
            <w:rPr>
              <w:lang w:val="en-US"/>
            </w:rPr>
            <w:t>…</w:t>
          </w:r>
          <w:r w:rsidR="00733CE3">
            <w:rPr>
              <w:lang w:val="en-US"/>
            </w:rPr>
            <w:t>.</w:t>
          </w:r>
          <w:r w:rsidR="00F11D06">
            <w:rPr>
              <w:lang w:val="en-US"/>
            </w:rPr>
            <w:t>.</w:t>
          </w:r>
          <w:proofErr w:type="gramEnd"/>
          <w:r w:rsidR="00F11D06">
            <w:rPr>
              <w:lang w:val="en-US"/>
            </w:rPr>
            <w:t>4</w:t>
          </w:r>
        </w:p>
        <w:p w14:paraId="15726FE3" w14:textId="174F3796" w:rsidR="008802B1" w:rsidRDefault="008802B1" w:rsidP="008802B1">
          <w:pPr>
            <w:ind w:left="720"/>
            <w:rPr>
              <w:lang w:val="en-US"/>
            </w:rPr>
          </w:pPr>
          <w:r>
            <w:rPr>
              <w:lang w:val="en-US"/>
            </w:rPr>
            <w:t>2.1. Macro Marketing Environment…………………………………………….…</w:t>
          </w:r>
          <w:proofErr w:type="gramStart"/>
          <w:r>
            <w:rPr>
              <w:lang w:val="en-US"/>
            </w:rPr>
            <w:t>…</w:t>
          </w:r>
          <w:r w:rsidR="00F11D06">
            <w:rPr>
              <w:lang w:val="en-US"/>
            </w:rPr>
            <w:t>..</w:t>
          </w:r>
          <w:proofErr w:type="gramEnd"/>
          <w:r w:rsidR="00F11D06">
            <w:rPr>
              <w:lang w:val="en-US"/>
            </w:rPr>
            <w:t>5</w:t>
          </w:r>
        </w:p>
        <w:p w14:paraId="3CEAFF3E" w14:textId="1DE69909" w:rsidR="008802B1" w:rsidRDefault="008802B1" w:rsidP="008802B1">
          <w:pPr>
            <w:rPr>
              <w:lang w:val="en-US"/>
            </w:rPr>
          </w:pPr>
          <w:r>
            <w:rPr>
              <w:lang w:val="en-US"/>
            </w:rPr>
            <w:tab/>
            <w:t xml:space="preserve">2.2. Analysis of Macro </w:t>
          </w:r>
          <w:r w:rsidR="00F11D06">
            <w:rPr>
              <w:b/>
              <w:bCs/>
              <w:lang w:val="en-US"/>
            </w:rPr>
            <w:t>Political</w:t>
          </w:r>
          <w:r>
            <w:rPr>
              <w:lang w:val="en-US"/>
            </w:rPr>
            <w:t xml:space="preserve"> factor…………………………………</w:t>
          </w:r>
          <w:proofErr w:type="gramStart"/>
          <w:r>
            <w:rPr>
              <w:lang w:val="en-US"/>
            </w:rPr>
            <w:t>…..</w:t>
          </w:r>
          <w:proofErr w:type="gramEnd"/>
          <w:r>
            <w:rPr>
              <w:lang w:val="en-US"/>
            </w:rPr>
            <w:t>…</w:t>
          </w:r>
          <w:proofErr w:type="gramStart"/>
          <w:r w:rsidR="00F11D06">
            <w:rPr>
              <w:lang w:val="en-US"/>
            </w:rPr>
            <w:t>…..</w:t>
          </w:r>
          <w:proofErr w:type="gramEnd"/>
          <w:r w:rsidR="00F11D06">
            <w:rPr>
              <w:lang w:val="en-US"/>
            </w:rPr>
            <w:t>5-6</w:t>
          </w:r>
        </w:p>
        <w:p w14:paraId="6A529324" w14:textId="697785F2" w:rsidR="008802B1" w:rsidRDefault="008802B1" w:rsidP="008802B1">
          <w:pPr>
            <w:rPr>
              <w:lang w:val="en-US"/>
            </w:rPr>
          </w:pPr>
          <w:r>
            <w:rPr>
              <w:lang w:val="en-US"/>
            </w:rPr>
            <w:tab/>
          </w:r>
          <w:r>
            <w:rPr>
              <w:lang w:val="en-US"/>
            </w:rPr>
            <w:tab/>
            <w:t xml:space="preserve">2.2.1 Impact on the </w:t>
          </w:r>
          <w:r w:rsidR="00A32717" w:rsidRPr="002636B3">
            <w:rPr>
              <w:b/>
              <w:bCs/>
              <w:lang w:val="en-US"/>
            </w:rPr>
            <w:t>Pioneer/NETFLIX</w:t>
          </w:r>
          <w:r w:rsidR="00A32717">
            <w:rPr>
              <w:lang w:val="en-US"/>
            </w:rPr>
            <w:t xml:space="preserve"> Organizations</w:t>
          </w:r>
          <w:r>
            <w:rPr>
              <w:lang w:val="en-US"/>
            </w:rPr>
            <w:t>………………</w:t>
          </w:r>
          <w:r w:rsidR="00F11D06">
            <w:rPr>
              <w:lang w:val="en-US"/>
            </w:rPr>
            <w:t>…6</w:t>
          </w:r>
        </w:p>
        <w:p w14:paraId="0FEB7C89" w14:textId="1D74F8D3" w:rsidR="008802B1" w:rsidRDefault="008802B1" w:rsidP="008802B1">
          <w:pPr>
            <w:rPr>
              <w:lang w:val="en-US"/>
            </w:rPr>
          </w:pPr>
          <w:r>
            <w:rPr>
              <w:lang w:val="en-US"/>
            </w:rPr>
            <w:tab/>
          </w:r>
          <w:r>
            <w:rPr>
              <w:lang w:val="en-US"/>
            </w:rPr>
            <w:tab/>
            <w:t xml:space="preserve">2.2.2 Impact on the </w:t>
          </w:r>
          <w:r w:rsidRPr="002636B3">
            <w:rPr>
              <w:b/>
              <w:bCs/>
              <w:lang w:val="en-US"/>
            </w:rPr>
            <w:t>Follower</w:t>
          </w:r>
          <w:r w:rsidR="00A32717" w:rsidRPr="002636B3">
            <w:rPr>
              <w:b/>
              <w:bCs/>
              <w:lang w:val="en-US"/>
            </w:rPr>
            <w:t>/</w:t>
          </w:r>
          <w:r w:rsidRPr="002636B3">
            <w:rPr>
              <w:b/>
              <w:bCs/>
              <w:lang w:val="en-US"/>
            </w:rPr>
            <w:t>D</w:t>
          </w:r>
          <w:r w:rsidR="00A32717" w:rsidRPr="002636B3">
            <w:rPr>
              <w:b/>
              <w:bCs/>
              <w:lang w:val="en-US"/>
            </w:rPr>
            <w:t>ISNEY</w:t>
          </w:r>
          <w:r>
            <w:rPr>
              <w:lang w:val="en-US"/>
            </w:rPr>
            <w:t xml:space="preserve"> + </w:t>
          </w:r>
          <w:r w:rsidR="00A32717">
            <w:rPr>
              <w:lang w:val="en-US"/>
            </w:rPr>
            <w:t>Organizations</w:t>
          </w:r>
          <w:r>
            <w:rPr>
              <w:lang w:val="en-US"/>
            </w:rPr>
            <w:t>……………</w:t>
          </w:r>
          <w:r w:rsidR="00F11D06">
            <w:rPr>
              <w:lang w:val="en-US"/>
            </w:rPr>
            <w:t>6-7</w:t>
          </w:r>
        </w:p>
        <w:p w14:paraId="60691BC5" w14:textId="2A96EA8F" w:rsidR="00A32717" w:rsidRDefault="00A32717" w:rsidP="008802B1">
          <w:pPr>
            <w:rPr>
              <w:lang w:val="en-US"/>
            </w:rPr>
          </w:pPr>
          <w:r>
            <w:rPr>
              <w:lang w:val="en-US"/>
            </w:rPr>
            <w:tab/>
            <w:t xml:space="preserve">2.3. Analysis of Macro </w:t>
          </w:r>
          <w:r w:rsidR="00F11D06">
            <w:rPr>
              <w:b/>
              <w:bCs/>
              <w:lang w:val="en-US"/>
            </w:rPr>
            <w:t>Economic</w:t>
          </w:r>
          <w:r>
            <w:rPr>
              <w:lang w:val="en-US"/>
            </w:rPr>
            <w:t xml:space="preserve"> factor……………………………………………</w:t>
          </w:r>
          <w:r w:rsidR="00F11D06">
            <w:rPr>
              <w:lang w:val="en-US"/>
            </w:rPr>
            <w:t>7</w:t>
          </w:r>
        </w:p>
        <w:p w14:paraId="4235DAC0" w14:textId="4649EF59" w:rsidR="008802B1" w:rsidRDefault="00A32717" w:rsidP="008802B1">
          <w:pPr>
            <w:rPr>
              <w:lang w:val="en-US"/>
            </w:rPr>
          </w:pPr>
          <w:r>
            <w:rPr>
              <w:lang w:val="en-US"/>
            </w:rPr>
            <w:tab/>
          </w:r>
          <w:r>
            <w:rPr>
              <w:lang w:val="en-US"/>
            </w:rPr>
            <w:tab/>
            <w:t xml:space="preserve">2.3.1 Impact on the </w:t>
          </w:r>
          <w:r w:rsidRPr="002636B3">
            <w:rPr>
              <w:b/>
              <w:bCs/>
              <w:lang w:val="en-US"/>
            </w:rPr>
            <w:t>Pioneer/NETFLIX</w:t>
          </w:r>
          <w:r>
            <w:rPr>
              <w:lang w:val="en-US"/>
            </w:rPr>
            <w:t xml:space="preserve"> Organizations………………</w:t>
          </w:r>
          <w:r w:rsidR="00F11D06">
            <w:rPr>
              <w:lang w:val="en-US"/>
            </w:rPr>
            <w:t>….8</w:t>
          </w:r>
        </w:p>
        <w:p w14:paraId="7F1CF5CE" w14:textId="6CE04489" w:rsidR="00A32717" w:rsidRDefault="00A32717" w:rsidP="008802B1">
          <w:pPr>
            <w:rPr>
              <w:lang w:val="en-US"/>
            </w:rPr>
          </w:pPr>
          <w:r>
            <w:rPr>
              <w:lang w:val="en-US"/>
            </w:rPr>
            <w:tab/>
          </w:r>
          <w:r>
            <w:rPr>
              <w:lang w:val="en-US"/>
            </w:rPr>
            <w:tab/>
            <w:t xml:space="preserve">2.3.2. Impact on the </w:t>
          </w:r>
          <w:r w:rsidRPr="002636B3">
            <w:rPr>
              <w:b/>
              <w:bCs/>
              <w:lang w:val="en-US"/>
            </w:rPr>
            <w:t>Follower/DISNEY</w:t>
          </w:r>
          <w:r>
            <w:rPr>
              <w:lang w:val="en-US"/>
            </w:rPr>
            <w:t xml:space="preserve"> + Organizations……………</w:t>
          </w:r>
          <w:r w:rsidR="003704C0">
            <w:rPr>
              <w:lang w:val="en-US"/>
            </w:rPr>
            <w:t>…</w:t>
          </w:r>
          <w:r w:rsidR="00F11D06">
            <w:rPr>
              <w:lang w:val="en-US"/>
            </w:rPr>
            <w:t>8</w:t>
          </w:r>
        </w:p>
        <w:p w14:paraId="1120EF58" w14:textId="2698A74F" w:rsidR="003704C0" w:rsidRDefault="003704C0" w:rsidP="008802B1">
          <w:pPr>
            <w:rPr>
              <w:lang w:val="en-US"/>
            </w:rPr>
          </w:pPr>
          <w:r>
            <w:rPr>
              <w:lang w:val="en-US"/>
            </w:rPr>
            <w:tab/>
          </w:r>
          <w:r>
            <w:rPr>
              <w:lang w:val="en-US"/>
            </w:rPr>
            <w:tab/>
            <w:t>2.3.3. Comparative Analysis……………………………………………………</w:t>
          </w:r>
          <w:r w:rsidR="00F11D06">
            <w:rPr>
              <w:lang w:val="en-US"/>
            </w:rPr>
            <w:t>8</w:t>
          </w:r>
        </w:p>
        <w:p w14:paraId="0AC5E327" w14:textId="46D75AC7" w:rsidR="008802B1" w:rsidRDefault="00FF2719" w:rsidP="00FF2719">
          <w:pPr>
            <w:rPr>
              <w:lang w:val="en-US"/>
            </w:rPr>
          </w:pPr>
          <w:r>
            <w:rPr>
              <w:lang w:val="en-US"/>
            </w:rPr>
            <w:t xml:space="preserve">      </w:t>
          </w:r>
          <w:r w:rsidR="00A32717">
            <w:rPr>
              <w:lang w:val="en-US"/>
            </w:rPr>
            <w:t xml:space="preserve">3. </w:t>
          </w:r>
          <w:r w:rsidR="00A32717" w:rsidRPr="002636B3">
            <w:rPr>
              <w:b/>
              <w:bCs/>
              <w:lang w:val="en-US"/>
            </w:rPr>
            <w:t>Task</w:t>
          </w:r>
          <w:r w:rsidR="00A32717">
            <w:rPr>
              <w:lang w:val="en-US"/>
            </w:rPr>
            <w:t xml:space="preserve">. 2 Strategic responses of </w:t>
          </w:r>
          <w:r w:rsidR="00A32717" w:rsidRPr="002636B3">
            <w:rPr>
              <w:b/>
              <w:bCs/>
              <w:lang w:val="en-US"/>
            </w:rPr>
            <w:t>pioneering</w:t>
          </w:r>
          <w:r w:rsidR="00AB42E8" w:rsidRPr="002636B3">
            <w:rPr>
              <w:b/>
              <w:bCs/>
              <w:lang w:val="en-US"/>
            </w:rPr>
            <w:t>/NETFLIX</w:t>
          </w:r>
          <w:r w:rsidR="00AB42E8">
            <w:rPr>
              <w:lang w:val="en-US"/>
            </w:rPr>
            <w:t xml:space="preserve"> </w:t>
          </w:r>
          <w:r w:rsidR="00A32717">
            <w:rPr>
              <w:lang w:val="en-US"/>
            </w:rPr>
            <w:t xml:space="preserve">and </w:t>
          </w:r>
          <w:r w:rsidR="00A32717" w:rsidRPr="002636B3">
            <w:rPr>
              <w:b/>
              <w:bCs/>
              <w:lang w:val="en-US"/>
            </w:rPr>
            <w:t>follower</w:t>
          </w:r>
          <w:r w:rsidR="00AB42E8" w:rsidRPr="002636B3">
            <w:rPr>
              <w:b/>
              <w:bCs/>
              <w:lang w:val="en-US"/>
            </w:rPr>
            <w:t>/ DISNEY+</w:t>
          </w:r>
          <w:r w:rsidR="00AB42E8">
            <w:rPr>
              <w:lang w:val="en-US"/>
            </w:rPr>
            <w:t xml:space="preserve"> </w:t>
          </w:r>
          <w:r w:rsidR="00A32717">
            <w:rPr>
              <w:lang w:val="en-US"/>
            </w:rPr>
            <w:t>organizations…</w:t>
          </w:r>
          <w:r w:rsidR="00AB42E8">
            <w:rPr>
              <w:lang w:val="en-US"/>
            </w:rPr>
            <w:t>………………………………………………………………………………………</w:t>
          </w:r>
          <w:r w:rsidR="00F11D06">
            <w:rPr>
              <w:lang w:val="en-US"/>
            </w:rPr>
            <w:t>8-9</w:t>
          </w:r>
        </w:p>
        <w:p w14:paraId="4D65722F" w14:textId="10B65AA2" w:rsidR="00A32717" w:rsidRDefault="00A32717" w:rsidP="008802B1">
          <w:pPr>
            <w:rPr>
              <w:lang w:val="en-US"/>
            </w:rPr>
          </w:pPr>
          <w:r>
            <w:rPr>
              <w:lang w:val="en-US"/>
            </w:rPr>
            <w:tab/>
          </w:r>
          <w:r>
            <w:rPr>
              <w:lang w:val="en-US"/>
            </w:rPr>
            <w:tab/>
            <w:t xml:space="preserve">3.1 </w:t>
          </w:r>
          <w:r w:rsidRPr="002636B3">
            <w:rPr>
              <w:b/>
              <w:bCs/>
              <w:lang w:val="en-US"/>
            </w:rPr>
            <w:t>Pioneering/ NETFLIX</w:t>
          </w:r>
          <w:r>
            <w:rPr>
              <w:lang w:val="en-US"/>
            </w:rPr>
            <w:t xml:space="preserve"> Organization’s Strategic Responses………</w:t>
          </w:r>
          <w:r w:rsidR="00F11D06">
            <w:rPr>
              <w:lang w:val="en-US"/>
            </w:rPr>
            <w:t>9</w:t>
          </w:r>
        </w:p>
        <w:p w14:paraId="377F1CBC" w14:textId="5892600B" w:rsidR="00A32717" w:rsidRDefault="00A32717" w:rsidP="008802B1">
          <w:pPr>
            <w:rPr>
              <w:lang w:val="en-US"/>
            </w:rPr>
          </w:pPr>
          <w:r>
            <w:rPr>
              <w:lang w:val="en-US"/>
            </w:rPr>
            <w:tab/>
          </w:r>
          <w:r>
            <w:rPr>
              <w:lang w:val="en-US"/>
            </w:rPr>
            <w:tab/>
            <w:t xml:space="preserve">3.2 </w:t>
          </w:r>
          <w:r w:rsidRPr="002636B3">
            <w:rPr>
              <w:b/>
              <w:bCs/>
              <w:lang w:val="en-US"/>
            </w:rPr>
            <w:t>Follower/DISNEY +</w:t>
          </w:r>
          <w:r>
            <w:rPr>
              <w:lang w:val="en-US"/>
            </w:rPr>
            <w:t xml:space="preserve"> Organization’s Strategic Responses………</w:t>
          </w:r>
          <w:r w:rsidR="00F11D06">
            <w:rPr>
              <w:lang w:val="en-US"/>
            </w:rPr>
            <w:t>9</w:t>
          </w:r>
        </w:p>
        <w:p w14:paraId="35F740FB" w14:textId="33A8F318" w:rsidR="003704C0" w:rsidRDefault="003704C0" w:rsidP="008802B1">
          <w:pPr>
            <w:rPr>
              <w:lang w:val="en-US"/>
            </w:rPr>
          </w:pPr>
          <w:r>
            <w:rPr>
              <w:lang w:val="en-US"/>
            </w:rPr>
            <w:tab/>
          </w:r>
          <w:r>
            <w:rPr>
              <w:lang w:val="en-US"/>
            </w:rPr>
            <w:tab/>
            <w:t>3.</w:t>
          </w:r>
          <w:r w:rsidR="007B6C52">
            <w:rPr>
              <w:lang w:val="en-US"/>
            </w:rPr>
            <w:t>3. Comparative</w:t>
          </w:r>
          <w:r>
            <w:rPr>
              <w:lang w:val="en-US"/>
            </w:rPr>
            <w:t xml:space="preserve"> evaluation…………………………………………………</w:t>
          </w:r>
          <w:r w:rsidR="00F11D06">
            <w:rPr>
              <w:lang w:val="en-US"/>
            </w:rPr>
            <w:t>…9</w:t>
          </w:r>
        </w:p>
        <w:p w14:paraId="1C7485E0" w14:textId="054C75D4" w:rsidR="008802B1" w:rsidRDefault="00FF2719" w:rsidP="00FF2719">
          <w:pPr>
            <w:rPr>
              <w:lang w:val="en-US"/>
            </w:rPr>
          </w:pPr>
          <w:r>
            <w:rPr>
              <w:lang w:val="en-US"/>
            </w:rPr>
            <w:t xml:space="preserve">       </w:t>
          </w:r>
          <w:r w:rsidR="00AB42E8">
            <w:rPr>
              <w:lang w:val="en-US"/>
            </w:rPr>
            <w:t>4. Conclusion…………………………………………………………………………………</w:t>
          </w:r>
          <w:proofErr w:type="gramStart"/>
          <w:r w:rsidR="003704C0">
            <w:rPr>
              <w:lang w:val="en-US"/>
            </w:rPr>
            <w:t>…..</w:t>
          </w:r>
          <w:proofErr w:type="gramEnd"/>
          <w:r w:rsidR="003704C0">
            <w:rPr>
              <w:lang w:val="en-US"/>
            </w:rPr>
            <w:t>9</w:t>
          </w:r>
          <w:r w:rsidR="00F11D06">
            <w:rPr>
              <w:lang w:val="en-US"/>
            </w:rPr>
            <w:t>-10</w:t>
          </w:r>
        </w:p>
        <w:p w14:paraId="5069CB6B" w14:textId="7A548643" w:rsidR="00AB42E8" w:rsidRDefault="00FF2719" w:rsidP="00FF2719">
          <w:pPr>
            <w:rPr>
              <w:lang w:val="en-US"/>
            </w:rPr>
          </w:pPr>
          <w:r>
            <w:rPr>
              <w:lang w:val="en-US"/>
            </w:rPr>
            <w:t xml:space="preserve">       </w:t>
          </w:r>
          <w:r w:rsidR="00AB42E8">
            <w:rPr>
              <w:lang w:val="en-US"/>
            </w:rPr>
            <w:t>5.References…………………………………………………………………………………</w:t>
          </w:r>
          <w:r w:rsidR="003704C0">
            <w:rPr>
              <w:lang w:val="en-US"/>
            </w:rPr>
            <w:t>……1</w:t>
          </w:r>
          <w:r w:rsidR="00F11D06">
            <w:rPr>
              <w:lang w:val="en-US"/>
            </w:rPr>
            <w:t>1</w:t>
          </w:r>
        </w:p>
        <w:p w14:paraId="72EC906A" w14:textId="77777777" w:rsidR="008802B1" w:rsidRDefault="008802B1" w:rsidP="008802B1">
          <w:pPr>
            <w:rPr>
              <w:lang w:val="en-US"/>
            </w:rPr>
          </w:pPr>
        </w:p>
        <w:p w14:paraId="3949DAAF" w14:textId="3D409DA5" w:rsidR="008802B1" w:rsidRPr="008802B1" w:rsidRDefault="00000000" w:rsidP="008802B1">
          <w:pPr>
            <w:rPr>
              <w:lang w:val="en-US"/>
            </w:rPr>
          </w:pPr>
        </w:p>
      </w:sdtContent>
    </w:sdt>
    <w:p w14:paraId="3A526A6E" w14:textId="77777777" w:rsidR="002B5486" w:rsidRDefault="002B5486"/>
    <w:p w14:paraId="6FDF537E" w14:textId="77777777" w:rsidR="004D30D5" w:rsidRDefault="004D30D5"/>
    <w:p w14:paraId="55396BA7" w14:textId="77777777" w:rsidR="004D30D5" w:rsidRDefault="004D30D5"/>
    <w:p w14:paraId="1420E6AE" w14:textId="77777777" w:rsidR="00285ABE" w:rsidRDefault="00285ABE"/>
    <w:p w14:paraId="6DD5F7FE" w14:textId="77777777" w:rsidR="00285ABE" w:rsidRDefault="00285ABE"/>
    <w:p w14:paraId="0AE2217A" w14:textId="77777777" w:rsidR="00285ABE" w:rsidRDefault="00285ABE"/>
    <w:p w14:paraId="295B7585" w14:textId="77777777" w:rsidR="00285ABE" w:rsidRDefault="00285ABE"/>
    <w:p w14:paraId="19351F3D" w14:textId="77777777" w:rsidR="00285ABE" w:rsidRDefault="00285ABE"/>
    <w:p w14:paraId="5304177B" w14:textId="77777777" w:rsidR="00285ABE" w:rsidRDefault="00285ABE"/>
    <w:p w14:paraId="790E1E71" w14:textId="77777777" w:rsidR="00285ABE" w:rsidRDefault="00285ABE"/>
    <w:p w14:paraId="3CBAFDAE" w14:textId="77777777" w:rsidR="00285ABE" w:rsidRDefault="00285ABE"/>
    <w:p w14:paraId="3C3736B3" w14:textId="77777777" w:rsidR="00285ABE" w:rsidRDefault="00285ABE"/>
    <w:p w14:paraId="2F8241E4" w14:textId="77777777" w:rsidR="00285ABE" w:rsidRDefault="00285ABE"/>
    <w:p w14:paraId="6BB8F2EE" w14:textId="77777777" w:rsidR="00285ABE" w:rsidRDefault="00285ABE"/>
    <w:p w14:paraId="5EA2F586" w14:textId="77777777" w:rsidR="00285ABE" w:rsidRDefault="00285ABE"/>
    <w:p w14:paraId="45914133" w14:textId="77777777" w:rsidR="00285ABE" w:rsidRDefault="00285ABE"/>
    <w:p w14:paraId="552A6F43" w14:textId="77777777" w:rsidR="00285ABE" w:rsidRDefault="00285ABE"/>
    <w:p w14:paraId="5D2FDDFC" w14:textId="77777777" w:rsidR="00285ABE" w:rsidRDefault="00285ABE"/>
    <w:p w14:paraId="62D23DE9" w14:textId="77777777" w:rsidR="00285ABE" w:rsidRDefault="00285ABE"/>
    <w:p w14:paraId="68A3068E" w14:textId="77777777" w:rsidR="00285ABE" w:rsidRDefault="00285ABE"/>
    <w:p w14:paraId="671A50BD" w14:textId="77777777" w:rsidR="00A67394" w:rsidRDefault="00A67394"/>
    <w:p w14:paraId="2BED4BC5" w14:textId="77777777" w:rsidR="00A67394" w:rsidRDefault="00A67394"/>
    <w:p w14:paraId="3273A3EE" w14:textId="77777777" w:rsidR="00A67394" w:rsidRDefault="00A67394"/>
    <w:p w14:paraId="4935C1DA" w14:textId="77777777" w:rsidR="00A67394" w:rsidRDefault="00A67394"/>
    <w:p w14:paraId="751CC319" w14:textId="77777777" w:rsidR="0090562E" w:rsidRDefault="0090562E" w:rsidP="000B641D">
      <w:pPr>
        <w:spacing w:line="360" w:lineRule="auto"/>
        <w:ind w:left="720" w:firstLine="720"/>
        <w:jc w:val="both"/>
      </w:pPr>
    </w:p>
    <w:p w14:paraId="5E08E837" w14:textId="2F6D32AD" w:rsidR="000B641D" w:rsidRPr="007B6C52" w:rsidRDefault="000B641D" w:rsidP="007B6C52">
      <w:pPr>
        <w:pStyle w:val="ListParagraph"/>
        <w:numPr>
          <w:ilvl w:val="0"/>
          <w:numId w:val="6"/>
        </w:numPr>
        <w:spacing w:line="360" w:lineRule="auto"/>
        <w:jc w:val="both"/>
        <w:rPr>
          <w:rFonts w:ascii="Arial" w:hAnsi="Arial" w:cs="Arial"/>
          <w:b/>
          <w:bCs/>
          <w:sz w:val="28"/>
          <w:szCs w:val="28"/>
          <w:u w:val="single"/>
        </w:rPr>
      </w:pPr>
      <w:r w:rsidRPr="007B6C52">
        <w:rPr>
          <w:rFonts w:ascii="Arial" w:hAnsi="Arial" w:cs="Arial"/>
          <w:b/>
          <w:bCs/>
          <w:sz w:val="28"/>
          <w:szCs w:val="28"/>
          <w:u w:val="single"/>
        </w:rPr>
        <w:lastRenderedPageBreak/>
        <w:t>Marketing Environment Analysis</w:t>
      </w:r>
      <w:r w:rsidR="007B6C52" w:rsidRPr="007B6C52">
        <w:rPr>
          <w:rFonts w:ascii="Arial" w:hAnsi="Arial" w:cs="Arial"/>
          <w:b/>
          <w:bCs/>
          <w:sz w:val="28"/>
          <w:szCs w:val="28"/>
          <w:u w:val="single"/>
        </w:rPr>
        <w:t>.</w:t>
      </w:r>
    </w:p>
    <w:p w14:paraId="3C186CDD" w14:textId="06A4CEE9" w:rsidR="000B641D" w:rsidRPr="007B6C52" w:rsidRDefault="000B641D" w:rsidP="007B6C52">
      <w:pPr>
        <w:pStyle w:val="ListParagraph"/>
        <w:numPr>
          <w:ilvl w:val="1"/>
          <w:numId w:val="6"/>
        </w:numPr>
        <w:spacing w:line="360" w:lineRule="auto"/>
        <w:jc w:val="both"/>
        <w:rPr>
          <w:rFonts w:ascii="Arial" w:hAnsi="Arial" w:cs="Arial"/>
          <w:b/>
          <w:bCs/>
          <w:u w:val="single"/>
        </w:rPr>
      </w:pPr>
      <w:r w:rsidRPr="007B6C52">
        <w:rPr>
          <w:rFonts w:ascii="Arial" w:hAnsi="Arial" w:cs="Arial"/>
          <w:b/>
          <w:bCs/>
          <w:u w:val="single"/>
        </w:rPr>
        <w:t>Introduction</w:t>
      </w:r>
      <w:r w:rsidR="0090562E" w:rsidRPr="007B6C52">
        <w:rPr>
          <w:rFonts w:ascii="Arial" w:hAnsi="Arial" w:cs="Arial"/>
          <w:b/>
          <w:bCs/>
          <w:u w:val="single"/>
        </w:rPr>
        <w:t>.</w:t>
      </w:r>
    </w:p>
    <w:p w14:paraId="5CC9670A" w14:textId="77777777" w:rsidR="0090562E" w:rsidRPr="000B641D" w:rsidRDefault="0090562E" w:rsidP="000B641D">
      <w:pPr>
        <w:spacing w:line="360" w:lineRule="auto"/>
        <w:ind w:left="720"/>
        <w:jc w:val="both"/>
        <w:rPr>
          <w:rFonts w:ascii="Arial" w:hAnsi="Arial" w:cs="Arial"/>
          <w:b/>
          <w:bCs/>
          <w:u w:val="single"/>
        </w:rPr>
      </w:pPr>
    </w:p>
    <w:p w14:paraId="78E8B28F" w14:textId="2AA13992" w:rsidR="00570A26" w:rsidRPr="00060903" w:rsidRDefault="00570A26" w:rsidP="00570A26">
      <w:pPr>
        <w:spacing w:line="360" w:lineRule="auto"/>
        <w:ind w:firstLine="720"/>
        <w:jc w:val="both"/>
        <w:rPr>
          <w:rFonts w:ascii="Arial" w:hAnsi="Arial" w:cs="Arial"/>
        </w:rPr>
      </w:pPr>
      <w:r w:rsidRPr="00570A26">
        <w:t xml:space="preserve"> </w:t>
      </w:r>
      <w:r w:rsidRPr="00060903">
        <w:rPr>
          <w:rFonts w:ascii="Arial" w:hAnsi="Arial" w:cs="Arial"/>
        </w:rPr>
        <w:t>This report critically analyses the macro-marketing environment as a central component of strategic marketing management, focusing on how external forces shape organisational competitiveness within the global video streaming industry. Specifically, it compares Netflix as a pioneering market leader with Disney+ as a follower organisation, examining how political and economic factors create both opportunities and threats that influence their strategic positioning.</w:t>
      </w:r>
    </w:p>
    <w:p w14:paraId="12172198" w14:textId="77777777" w:rsidR="00570A26" w:rsidRPr="00060903" w:rsidRDefault="00570A26" w:rsidP="00570A26">
      <w:pPr>
        <w:spacing w:line="360" w:lineRule="auto"/>
        <w:ind w:firstLine="720"/>
        <w:jc w:val="both"/>
        <w:rPr>
          <w:rFonts w:ascii="Arial" w:hAnsi="Arial" w:cs="Arial"/>
        </w:rPr>
      </w:pPr>
      <w:r w:rsidRPr="00060903">
        <w:rPr>
          <w:rFonts w:ascii="Arial" w:hAnsi="Arial" w:cs="Arial"/>
        </w:rPr>
        <w:t>The video streaming industry has experienced rapid growth over the past decade, driven by technological advancement, changing consumer viewing habits, and the shift from linear television to on-demand digital platforms (Smith, 2022). This highly competitive landscape is characterised by intense rivalry, high content investment costs, global expansion strategies, and continuous innovation. Key players such as Netflix, Disney+, Amazon Prime Video, and HBO Max compete on content differentiation, pricing strategies, and user experience, making strategic agility essential for sustained success.</w:t>
      </w:r>
    </w:p>
    <w:p w14:paraId="1C70919F" w14:textId="77777777" w:rsidR="00570A26" w:rsidRPr="00060903" w:rsidRDefault="00570A26" w:rsidP="00570A26">
      <w:pPr>
        <w:spacing w:line="360" w:lineRule="auto"/>
        <w:jc w:val="both"/>
        <w:rPr>
          <w:rFonts w:ascii="Arial" w:hAnsi="Arial" w:cs="Arial"/>
        </w:rPr>
      </w:pPr>
      <w:r w:rsidRPr="00060903">
        <w:rPr>
          <w:rFonts w:ascii="Arial" w:hAnsi="Arial" w:cs="Arial"/>
        </w:rPr>
        <w:t>Analysing the macro-marketing environment is crucial for organisations operating in such dynamic markets. External forces—particularly political and economic factors—can significantly impact regulatory conditions, market access, consumer purchasing power, and overall industry profitability (Kotler et al., 2019). A thorough understanding of these influences enables firms to anticipate risks, exploit emerging opportunities, and maintain competitive advantage.</w:t>
      </w:r>
    </w:p>
    <w:p w14:paraId="7D911475" w14:textId="258F4C97" w:rsidR="006128EE" w:rsidRPr="00060903" w:rsidRDefault="00570A26" w:rsidP="00570A26">
      <w:pPr>
        <w:spacing w:line="360" w:lineRule="auto"/>
        <w:ind w:firstLine="720"/>
        <w:jc w:val="both"/>
        <w:rPr>
          <w:rFonts w:ascii="Arial" w:hAnsi="Arial" w:cs="Arial"/>
        </w:rPr>
      </w:pPr>
      <w:r w:rsidRPr="00060903">
        <w:rPr>
          <w:rFonts w:ascii="Arial" w:hAnsi="Arial" w:cs="Arial"/>
        </w:rPr>
        <w:t>This report will first examine the role of political factors in shaping strategic decisions for Netflix and Disney+, followed by an analysis of key economic influences. It will then evaluate how these macro-environmental forces affect each company’s competitive position within the industry. The report adopts a comparative approach to highlight differences between a pioneering and follower firm, providing critical insights into strategic marketing responses within a rapidly evolving global market.</w:t>
      </w:r>
    </w:p>
    <w:p w14:paraId="24BF802A" w14:textId="77777777" w:rsidR="00570A26" w:rsidRPr="00060903" w:rsidRDefault="00570A26" w:rsidP="00570A26">
      <w:pPr>
        <w:spacing w:line="360" w:lineRule="auto"/>
        <w:ind w:firstLine="720"/>
        <w:jc w:val="both"/>
        <w:rPr>
          <w:rFonts w:ascii="Arial" w:hAnsi="Arial" w:cs="Arial"/>
        </w:rPr>
      </w:pPr>
    </w:p>
    <w:p w14:paraId="7F371D1C" w14:textId="77777777" w:rsidR="00570A26" w:rsidRDefault="00570A26" w:rsidP="00570A26">
      <w:pPr>
        <w:spacing w:line="360" w:lineRule="auto"/>
        <w:ind w:firstLine="720"/>
        <w:jc w:val="both"/>
      </w:pPr>
    </w:p>
    <w:p w14:paraId="35273005" w14:textId="77777777" w:rsidR="00570A26" w:rsidRDefault="00570A26" w:rsidP="00570A26">
      <w:pPr>
        <w:spacing w:line="360" w:lineRule="auto"/>
        <w:ind w:firstLine="720"/>
        <w:jc w:val="both"/>
      </w:pPr>
    </w:p>
    <w:p w14:paraId="468BB2CC" w14:textId="77777777" w:rsidR="0090562E" w:rsidRDefault="0090562E" w:rsidP="0090562E">
      <w:pPr>
        <w:spacing w:line="360" w:lineRule="auto"/>
        <w:jc w:val="both"/>
      </w:pPr>
    </w:p>
    <w:p w14:paraId="0C0D91DA" w14:textId="77777777" w:rsidR="0090562E" w:rsidRDefault="0090562E" w:rsidP="0090562E">
      <w:pPr>
        <w:spacing w:line="360" w:lineRule="auto"/>
        <w:jc w:val="both"/>
        <w:rPr>
          <w:b/>
          <w:bCs/>
          <w:sz w:val="28"/>
          <w:szCs w:val="28"/>
          <w:u w:val="single"/>
        </w:rPr>
      </w:pPr>
      <w:r w:rsidRPr="0090562E">
        <w:rPr>
          <w:b/>
          <w:bCs/>
          <w:sz w:val="28"/>
          <w:szCs w:val="28"/>
          <w:u w:val="single"/>
        </w:rPr>
        <w:lastRenderedPageBreak/>
        <w:t>Task 1: Critical Analysis of the Macro-Marketing Environment</w:t>
      </w:r>
    </w:p>
    <w:p w14:paraId="23D0C971" w14:textId="110210D8" w:rsidR="00570A26" w:rsidRDefault="00570A26" w:rsidP="00570A26">
      <w:pPr>
        <w:spacing w:line="360" w:lineRule="auto"/>
        <w:ind w:firstLine="720"/>
        <w:jc w:val="both"/>
        <w:rPr>
          <w:b/>
          <w:bCs/>
          <w:sz w:val="28"/>
          <w:szCs w:val="28"/>
          <w:u w:val="single"/>
        </w:rPr>
      </w:pPr>
      <w:r>
        <w:rPr>
          <w:b/>
          <w:bCs/>
          <w:sz w:val="28"/>
          <w:szCs w:val="28"/>
          <w:u w:val="single"/>
        </w:rPr>
        <w:t>2.1 Macro-Marketing Environment.</w:t>
      </w:r>
    </w:p>
    <w:p w14:paraId="78371AE3" w14:textId="77777777" w:rsidR="00570A26" w:rsidRPr="00060903" w:rsidRDefault="00570A26" w:rsidP="00570A26">
      <w:pPr>
        <w:spacing w:line="360" w:lineRule="auto"/>
        <w:ind w:firstLine="720"/>
        <w:jc w:val="both"/>
        <w:rPr>
          <w:rFonts w:ascii="Arial" w:hAnsi="Arial" w:cs="Arial"/>
        </w:rPr>
      </w:pPr>
      <w:r w:rsidRPr="00060903">
        <w:rPr>
          <w:rFonts w:ascii="Arial" w:hAnsi="Arial" w:cs="Arial"/>
        </w:rPr>
        <w:t>The macro-marketing environment refers to the broad set of external forces that shape organisational performance but remain largely beyond managerial control. These forces influence strategic marketing decisions by affecting market demand, cost structures, regulatory constraints, and competitive dynamics (Kotler et al., 2019). For firms operating in the global video streaming industry, such as Netflix and Disney+, understanding the macro-environment is particularly critical due to the industry’s international scope, high capital investment, and sensitivity to regulatory and economic conditions.</w:t>
      </w:r>
    </w:p>
    <w:p w14:paraId="750F7E4F" w14:textId="77777777" w:rsidR="00570A26" w:rsidRPr="00060903" w:rsidRDefault="00570A26" w:rsidP="00570A26">
      <w:pPr>
        <w:spacing w:line="360" w:lineRule="auto"/>
        <w:ind w:firstLine="720"/>
        <w:jc w:val="both"/>
        <w:rPr>
          <w:rFonts w:ascii="Arial" w:hAnsi="Arial" w:cs="Arial"/>
        </w:rPr>
      </w:pPr>
      <w:r w:rsidRPr="00060903">
        <w:rPr>
          <w:rFonts w:ascii="Arial" w:hAnsi="Arial" w:cs="Arial"/>
        </w:rPr>
        <w:t>A widely adopted framework for analysing these external forces is the PESTLE model, which categorises macro-environmental influences into Political, Economic, Social, Technological, Legal, and Environmental factors (Johnson et al., 2020). This framework provides a structured approach to identifying opportunities and threats by systematically evaluating how each dimension impacts organisational strategy. For example, political and legal factors may shape content regulation and market entry, while technological factors drive platform innovation. The PESTLE framework is therefore essential in strategic marketing management as it enables firms to anticipate environmental changes and align their strategies accordingly.</w:t>
      </w:r>
    </w:p>
    <w:p w14:paraId="6E6D999A" w14:textId="77777777" w:rsidR="00570A26" w:rsidRPr="00060903" w:rsidRDefault="00570A26" w:rsidP="00570A26">
      <w:pPr>
        <w:spacing w:line="360" w:lineRule="auto"/>
        <w:ind w:firstLine="720"/>
        <w:jc w:val="both"/>
        <w:rPr>
          <w:rFonts w:ascii="Arial" w:hAnsi="Arial" w:cs="Arial"/>
        </w:rPr>
      </w:pPr>
      <w:r w:rsidRPr="00060903">
        <w:rPr>
          <w:rFonts w:ascii="Arial" w:hAnsi="Arial" w:cs="Arial"/>
        </w:rPr>
        <w:t>This report focuses specifically on political and economic factors due to their significant strategic relevance within the streaming industry. Political factors are critical because streaming platforms operate across multiple jurisdictions, each with distinct regulatory requirements, censorship laws, and content quotas. Governments increasingly intervene in digital media markets through policies related to data protection, taxation, and local content production, which can create both barriers and opportunities for global firms (Doyle, 2021). For instance, regulations in regions such as the European Union requiring local content quotas directly influence content strategies and investment decisions.</w:t>
      </w:r>
    </w:p>
    <w:p w14:paraId="7DAAA15A" w14:textId="77777777" w:rsidR="00570A26" w:rsidRPr="00060903" w:rsidRDefault="00570A26" w:rsidP="00570A26">
      <w:pPr>
        <w:spacing w:line="360" w:lineRule="auto"/>
        <w:ind w:firstLine="720"/>
        <w:jc w:val="both"/>
        <w:rPr>
          <w:rFonts w:ascii="Arial" w:hAnsi="Arial" w:cs="Arial"/>
        </w:rPr>
      </w:pPr>
      <w:r w:rsidRPr="00060903">
        <w:rPr>
          <w:rFonts w:ascii="Arial" w:hAnsi="Arial" w:cs="Arial"/>
        </w:rPr>
        <w:t xml:space="preserve">Economic factors are equally significant, as the streaming industry is highly sensitive to changes in consumer purchasing power and macroeconomic stability. Subscription-based business models rely on discretionary spending, meaning that inflation, recessionary pressures, and exchange rate fluctuations can directly impact subscriber growth and retention (Lobato, 2019). Additionally, high production and </w:t>
      </w:r>
      <w:r w:rsidRPr="00060903">
        <w:rPr>
          <w:rFonts w:ascii="Arial" w:hAnsi="Arial" w:cs="Arial"/>
        </w:rPr>
        <w:lastRenderedPageBreak/>
        <w:t>licensing costs make firms vulnerable to economic downturns, intensifying competition and pressuring profit margins.</w:t>
      </w:r>
    </w:p>
    <w:p w14:paraId="77B7ED9A" w14:textId="41B69CA9" w:rsidR="00570A26" w:rsidRPr="00060903" w:rsidRDefault="00570A26" w:rsidP="00570A26">
      <w:pPr>
        <w:spacing w:line="360" w:lineRule="auto"/>
        <w:ind w:firstLine="720"/>
        <w:jc w:val="both"/>
        <w:rPr>
          <w:rFonts w:ascii="Arial" w:hAnsi="Arial" w:cs="Arial"/>
        </w:rPr>
      </w:pPr>
      <w:r w:rsidRPr="00060903">
        <w:rPr>
          <w:rFonts w:ascii="Arial" w:hAnsi="Arial" w:cs="Arial"/>
        </w:rPr>
        <w:t>The selection of political and economic factors is therefore justified by their direct and substantial influence on both market accessibility and financial performance within the streaming sector. These forces not only shape strategic decision-making but also determine the relative competitive positions of pioneering firms like Netflix and follower organisations such as Disney+, making them critical areas of analysis in this report.</w:t>
      </w:r>
    </w:p>
    <w:p w14:paraId="56C60574" w14:textId="69BE9BEE" w:rsidR="0090562E" w:rsidRPr="005F4CA5" w:rsidRDefault="005F4CA5" w:rsidP="00276470">
      <w:pPr>
        <w:spacing w:line="360" w:lineRule="auto"/>
        <w:jc w:val="both"/>
        <w:rPr>
          <w:b/>
          <w:bCs/>
          <w:sz w:val="28"/>
          <w:szCs w:val="28"/>
          <w:u w:val="single"/>
        </w:rPr>
      </w:pPr>
      <w:r>
        <w:tab/>
      </w:r>
      <w:r>
        <w:tab/>
      </w:r>
      <w:r w:rsidRPr="005F4CA5">
        <w:rPr>
          <w:b/>
          <w:bCs/>
          <w:sz w:val="28"/>
          <w:szCs w:val="28"/>
          <w:u w:val="single"/>
        </w:rPr>
        <w:t>2 Task.1. Critical Analysis of the Macro-marketing Environment.</w:t>
      </w:r>
    </w:p>
    <w:p w14:paraId="613FC57A" w14:textId="5223EF98" w:rsidR="00733CE3" w:rsidRDefault="00733CE3" w:rsidP="00733CE3">
      <w:pPr>
        <w:spacing w:line="360" w:lineRule="auto"/>
        <w:ind w:firstLine="720"/>
        <w:jc w:val="both"/>
        <w:rPr>
          <w:b/>
          <w:bCs/>
          <w:sz w:val="28"/>
          <w:szCs w:val="28"/>
          <w:u w:val="single"/>
        </w:rPr>
      </w:pPr>
      <w:r w:rsidRPr="00733CE3">
        <w:rPr>
          <w:b/>
          <w:bCs/>
          <w:sz w:val="28"/>
          <w:szCs w:val="28"/>
          <w:u w:val="single"/>
        </w:rPr>
        <w:t>2.</w:t>
      </w:r>
      <w:r w:rsidR="00FB0626">
        <w:rPr>
          <w:b/>
          <w:bCs/>
          <w:sz w:val="28"/>
          <w:szCs w:val="28"/>
          <w:u w:val="single"/>
        </w:rPr>
        <w:t>1.</w:t>
      </w:r>
      <w:r w:rsidRPr="00733CE3">
        <w:rPr>
          <w:b/>
          <w:bCs/>
          <w:sz w:val="28"/>
          <w:szCs w:val="28"/>
          <w:u w:val="single"/>
        </w:rPr>
        <w:t xml:space="preserve"> </w:t>
      </w:r>
      <w:r w:rsidRPr="00882ACC">
        <w:rPr>
          <w:b/>
          <w:bCs/>
          <w:u w:val="single"/>
        </w:rPr>
        <w:t>Analysis</w:t>
      </w:r>
      <w:r w:rsidR="005F4CA5" w:rsidRPr="00882ACC">
        <w:rPr>
          <w:b/>
          <w:bCs/>
          <w:u w:val="single"/>
        </w:rPr>
        <w:t xml:space="preserve"> of the </w:t>
      </w:r>
      <w:r w:rsidR="00882ACC" w:rsidRPr="00882ACC">
        <w:rPr>
          <w:b/>
          <w:bCs/>
          <w:u w:val="single"/>
        </w:rPr>
        <w:t xml:space="preserve">Political </w:t>
      </w:r>
      <w:r w:rsidR="005F4CA5" w:rsidRPr="00882ACC">
        <w:rPr>
          <w:b/>
          <w:bCs/>
          <w:u w:val="single"/>
        </w:rPr>
        <w:t>Macro-Environmental factors</w:t>
      </w:r>
      <w:r w:rsidR="005F4CA5">
        <w:rPr>
          <w:b/>
          <w:bCs/>
          <w:sz w:val="28"/>
          <w:szCs w:val="28"/>
          <w:u w:val="single"/>
        </w:rPr>
        <w:t>.</w:t>
      </w:r>
    </w:p>
    <w:p w14:paraId="01A37B63" w14:textId="43CA25D1" w:rsidR="007B6C52" w:rsidRPr="00060903" w:rsidRDefault="00882ACC" w:rsidP="00882ACC">
      <w:pPr>
        <w:spacing w:line="360" w:lineRule="auto"/>
        <w:ind w:firstLine="720"/>
        <w:jc w:val="both"/>
        <w:rPr>
          <w:rFonts w:ascii="Arial" w:hAnsi="Arial" w:cs="Arial"/>
        </w:rPr>
      </w:pPr>
      <w:r w:rsidRPr="00060903">
        <w:rPr>
          <w:rFonts w:ascii="Arial" w:hAnsi="Arial" w:cs="Arial"/>
        </w:rPr>
        <w:t>Political factors play a critical role in shaping the strategic landscape of the global video streaming industry, particularly due to its cross-border nature and dependence on regulatory approval, content governance, and digital taxation policies. Governments increasingly intervene in digital media through content quotas, censorship rules, and competition regulations, making political forces a key determinant of both opportunity and risk (Doyle, 2021).</w:t>
      </w:r>
    </w:p>
    <w:p w14:paraId="1B327648" w14:textId="2696E529" w:rsidR="00882ACC" w:rsidRPr="00060903" w:rsidRDefault="00882ACC" w:rsidP="00882ACC">
      <w:pPr>
        <w:pStyle w:val="ListParagraph"/>
        <w:numPr>
          <w:ilvl w:val="2"/>
          <w:numId w:val="2"/>
        </w:numPr>
        <w:spacing w:line="360" w:lineRule="auto"/>
        <w:jc w:val="both"/>
        <w:rPr>
          <w:b/>
          <w:bCs/>
          <w:u w:val="single"/>
        </w:rPr>
      </w:pPr>
      <w:r w:rsidRPr="00060903">
        <w:rPr>
          <w:b/>
          <w:bCs/>
          <w:u w:val="single"/>
        </w:rPr>
        <w:t>Impact of Netflix (Pioneer Organisation).</w:t>
      </w:r>
    </w:p>
    <w:p w14:paraId="48E215CA" w14:textId="77777777" w:rsidR="004506A0" w:rsidRPr="00060903" w:rsidRDefault="00882ACC" w:rsidP="00882ACC">
      <w:pPr>
        <w:spacing w:line="360" w:lineRule="auto"/>
        <w:ind w:firstLine="720"/>
        <w:jc w:val="both"/>
        <w:rPr>
          <w:rFonts w:ascii="Arial" w:hAnsi="Arial" w:cs="Arial"/>
        </w:rPr>
      </w:pPr>
      <w:r w:rsidRPr="00060903">
        <w:rPr>
          <w:rFonts w:ascii="Arial" w:hAnsi="Arial" w:cs="Arial"/>
        </w:rPr>
        <w:t>As a first mover in the global streaming market, Netflix has established a strong international presence, operating in over 190 countries. However, this global reach exposes the company in complex political environments and regulatory pressures.</w:t>
      </w:r>
      <w:r w:rsidR="004506A0" w:rsidRPr="00060903">
        <w:rPr>
          <w:rFonts w:ascii="Arial" w:hAnsi="Arial" w:cs="Arial"/>
        </w:rPr>
        <w:t xml:space="preserve"> One major political factor is the introduction of local content quotas, particularly within the European Union, which requires streaming platforms to ensure that at least 30% of their catalogues consist of European-produced content (European Commission, 2020).</w:t>
      </w:r>
    </w:p>
    <w:p w14:paraId="4CF5A304" w14:textId="45F56730" w:rsidR="00882ACC" w:rsidRDefault="004506A0" w:rsidP="00882ACC">
      <w:pPr>
        <w:spacing w:line="360" w:lineRule="auto"/>
        <w:ind w:firstLine="720"/>
        <w:jc w:val="both"/>
      </w:pPr>
      <w:r w:rsidRPr="00060903">
        <w:rPr>
          <w:rFonts w:ascii="Arial" w:hAnsi="Arial" w:cs="Arial"/>
        </w:rPr>
        <w:t>For Neflix, this represents both an opportunity and a threat. On one hand, compliance has driven substantial investment in local productions, such as European and Asian original content, enabling Netflix to strengthen its global brand ad appeal to diverse audiences (Lobato, 2019). This localisation strategy has enhanced customer engagement and differentiation, contributing to its sustained competitive advantage. On the other hand, such regulatory requirements increase production costs and operational complexity, placing pressure on profitability and strategic flexibility.</w:t>
      </w:r>
      <w:r w:rsidR="00882ACC">
        <w:t xml:space="preserve"> </w:t>
      </w:r>
    </w:p>
    <w:p w14:paraId="600D8434" w14:textId="2E57E3B6" w:rsidR="004506A0" w:rsidRPr="00060903" w:rsidRDefault="004506A0" w:rsidP="00882ACC">
      <w:pPr>
        <w:spacing w:line="360" w:lineRule="auto"/>
        <w:ind w:firstLine="720"/>
        <w:jc w:val="both"/>
        <w:rPr>
          <w:rFonts w:ascii="Arial" w:hAnsi="Arial" w:cs="Arial"/>
        </w:rPr>
      </w:pPr>
      <w:r w:rsidRPr="00060903">
        <w:rPr>
          <w:rFonts w:ascii="Arial" w:hAnsi="Arial" w:cs="Arial"/>
        </w:rPr>
        <w:lastRenderedPageBreak/>
        <w:t>Additionally, political scrutiny regarding digital taxation- such as the introduction of digital services taxes in several countries- poses a financial threat by increasing operational cost and reducing margins (OECD, 2021</w:t>
      </w:r>
      <w:r w:rsidR="00465D0B" w:rsidRPr="00060903">
        <w:rPr>
          <w:rFonts w:ascii="Arial" w:hAnsi="Arial" w:cs="Arial"/>
        </w:rPr>
        <w:t>). Despite</w:t>
      </w:r>
      <w:r w:rsidRPr="00060903">
        <w:rPr>
          <w:rFonts w:ascii="Arial" w:hAnsi="Arial" w:cs="Arial"/>
        </w:rPr>
        <w:t xml:space="preserve"> this, Netflix’s scale, established infrastructure, and experience in navigating diverse regulatory systems provide it with greater adaptability compared to newer entrants.</w:t>
      </w:r>
    </w:p>
    <w:p w14:paraId="5F4A3402" w14:textId="1273EF26" w:rsidR="00465D0B" w:rsidRPr="00465D0B" w:rsidRDefault="00465D0B" w:rsidP="00465D0B">
      <w:pPr>
        <w:spacing w:line="360" w:lineRule="auto"/>
        <w:jc w:val="both"/>
        <w:rPr>
          <w:b/>
          <w:bCs/>
          <w:u w:val="single"/>
        </w:rPr>
      </w:pPr>
      <w:r>
        <w:tab/>
      </w:r>
      <w:r w:rsidRPr="00465D0B">
        <w:rPr>
          <w:b/>
          <w:bCs/>
          <w:u w:val="single"/>
        </w:rPr>
        <w:t>2.2.2 Impact on Disney+ (Follower Organisation).</w:t>
      </w:r>
    </w:p>
    <w:p w14:paraId="22198DF1" w14:textId="5C996C66" w:rsidR="00465D0B" w:rsidRPr="00060903" w:rsidRDefault="00465D0B" w:rsidP="00465D0B">
      <w:pPr>
        <w:spacing w:line="360" w:lineRule="auto"/>
        <w:jc w:val="both"/>
        <w:rPr>
          <w:rFonts w:ascii="Arial" w:hAnsi="Arial" w:cs="Arial"/>
        </w:rPr>
      </w:pPr>
      <w:r>
        <w:tab/>
      </w:r>
      <w:r w:rsidRPr="00060903">
        <w:rPr>
          <w:rFonts w:ascii="Arial" w:hAnsi="Arial" w:cs="Arial"/>
        </w:rPr>
        <w:t>As a later entrant, Disney + faces similar political cons</w:t>
      </w:r>
      <w:r w:rsidR="005F557F" w:rsidRPr="00060903">
        <w:rPr>
          <w:rFonts w:ascii="Arial" w:hAnsi="Arial" w:cs="Arial"/>
        </w:rPr>
        <w:t>traints but with different strategic implications. The EU content quota and other regulatory requirements present a challenge for Disney+ due to its initial reliance on a strong but predominantly US- centric content library (Johnson et al.2020). This creates a short-term threat, as the platform must invest heavily in local content production to remain compliant and competitive in international markets.</w:t>
      </w:r>
    </w:p>
    <w:p w14:paraId="52831FA8" w14:textId="6F9F9334" w:rsidR="005F557F" w:rsidRPr="00060903" w:rsidRDefault="005F557F" w:rsidP="005F557F">
      <w:pPr>
        <w:spacing w:line="360" w:lineRule="auto"/>
        <w:ind w:firstLine="720"/>
        <w:jc w:val="both"/>
        <w:rPr>
          <w:rFonts w:ascii="Arial" w:hAnsi="Arial" w:cs="Arial"/>
        </w:rPr>
      </w:pPr>
      <w:r w:rsidRPr="00060903">
        <w:rPr>
          <w:rFonts w:ascii="Arial" w:hAnsi="Arial" w:cs="Arial"/>
        </w:rPr>
        <w:t>However, Disney+ also benefits from political factors in certain contexts. Its established relationships, brand reputation, and vertically integrated structure (including production studios and intellectual property ownership) enable it to respond</w:t>
      </w:r>
      <w:r w:rsidR="00FD4A0E" w:rsidRPr="00060903">
        <w:rPr>
          <w:rFonts w:ascii="Arial" w:hAnsi="Arial" w:cs="Arial"/>
        </w:rPr>
        <w:t xml:space="preserve"> strategically by leveraging existing franchises while expanding into localised content. This creates an opportunity to build regional relevance while maintaining global brand consistency. </w:t>
      </w:r>
    </w:p>
    <w:p w14:paraId="243C0663" w14:textId="0E22A19E" w:rsidR="00FD4A0E" w:rsidRPr="00060903" w:rsidRDefault="00FD4A0E" w:rsidP="005F557F">
      <w:pPr>
        <w:spacing w:line="360" w:lineRule="auto"/>
        <w:ind w:firstLine="720"/>
        <w:jc w:val="both"/>
        <w:rPr>
          <w:rFonts w:ascii="Arial" w:hAnsi="Arial" w:cs="Arial"/>
        </w:rPr>
      </w:pPr>
      <w:r w:rsidRPr="00060903">
        <w:rPr>
          <w:rFonts w:ascii="Arial" w:hAnsi="Arial" w:cs="Arial"/>
        </w:rPr>
        <w:t>Nevertheless, compared to Netflix, Disney+ demonstrates greater vulnerability in adapting to political environments due to its later market entry and less diversified global production network. Netflix’s early investment in international markets has allowed it to embed itself more deeply within local industries, whereas Disney+ is still in the process of scaling its global footprint (Lobato, 2019)</w:t>
      </w:r>
    </w:p>
    <w:p w14:paraId="259338FB" w14:textId="09BF2818" w:rsidR="00FD4A0E" w:rsidRPr="00060903" w:rsidRDefault="00427ACB" w:rsidP="00060903">
      <w:pPr>
        <w:spacing w:line="360" w:lineRule="auto"/>
        <w:ind w:firstLine="720"/>
        <w:jc w:val="both"/>
        <w:rPr>
          <w:b/>
          <w:bCs/>
          <w:u w:val="single"/>
        </w:rPr>
      </w:pPr>
      <w:r w:rsidRPr="00060903">
        <w:rPr>
          <w:b/>
          <w:bCs/>
          <w:u w:val="single"/>
        </w:rPr>
        <w:t>2.2.3. Comparative implications for Competitive Position.</w:t>
      </w:r>
    </w:p>
    <w:p w14:paraId="4BAD4553" w14:textId="4D2561BB" w:rsidR="00427ACB" w:rsidRPr="00060903" w:rsidRDefault="00427ACB" w:rsidP="00427ACB">
      <w:pPr>
        <w:spacing w:line="360" w:lineRule="auto"/>
        <w:jc w:val="both"/>
        <w:rPr>
          <w:rFonts w:ascii="Arial" w:hAnsi="Arial" w:cs="Arial"/>
        </w:rPr>
      </w:pPr>
      <w:r>
        <w:tab/>
      </w:r>
      <w:r w:rsidRPr="00060903">
        <w:rPr>
          <w:rFonts w:ascii="Arial" w:hAnsi="Arial" w:cs="Arial"/>
        </w:rPr>
        <w:t xml:space="preserve">Political factors such as content regulation </w:t>
      </w:r>
      <w:r w:rsidR="005E6D17" w:rsidRPr="00060903">
        <w:rPr>
          <w:rFonts w:ascii="Arial" w:hAnsi="Arial" w:cs="Arial"/>
        </w:rPr>
        <w:t>and digital taxation influence the competitive positioning of both firms by shaping cost structures, market access, and content strategies. Netflix’s proactive adaptation to regulatory environments has strengthened its competitive advantage through localisation and global diversification. In contrast, Disney + faces higher initial adjustment costs and regulatory pressures as it expands internationally, placing it at a relative disadvantage in terms of speed and flexibility.</w:t>
      </w:r>
    </w:p>
    <w:p w14:paraId="16FF07FB" w14:textId="729A4E65" w:rsidR="005E6D17" w:rsidRPr="00060903" w:rsidRDefault="005E6D17" w:rsidP="00427ACB">
      <w:pPr>
        <w:spacing w:line="360" w:lineRule="auto"/>
        <w:jc w:val="both"/>
        <w:rPr>
          <w:rFonts w:ascii="Arial" w:hAnsi="Arial" w:cs="Arial"/>
        </w:rPr>
      </w:pPr>
      <w:r w:rsidRPr="00060903">
        <w:rPr>
          <w:rFonts w:ascii="Arial" w:hAnsi="Arial" w:cs="Arial"/>
        </w:rPr>
        <w:tab/>
        <w:t xml:space="preserve">However, Disney+ strong intellectual property </w:t>
      </w:r>
      <w:r w:rsidR="00273D21" w:rsidRPr="00060903">
        <w:rPr>
          <w:rFonts w:ascii="Arial" w:hAnsi="Arial" w:cs="Arial"/>
        </w:rPr>
        <w:t>portfolio</w:t>
      </w:r>
      <w:r w:rsidRPr="00060903">
        <w:rPr>
          <w:rFonts w:ascii="Arial" w:hAnsi="Arial" w:cs="Arial"/>
        </w:rPr>
        <w:t xml:space="preserve"> and </w:t>
      </w:r>
      <w:r w:rsidR="00273D21" w:rsidRPr="00060903">
        <w:rPr>
          <w:rFonts w:ascii="Arial" w:hAnsi="Arial" w:cs="Arial"/>
        </w:rPr>
        <w:t xml:space="preserve">financial backing may enable it to overcome these challenges over time, Ultimately, political factors </w:t>
      </w:r>
      <w:r w:rsidR="00273D21" w:rsidRPr="00060903">
        <w:rPr>
          <w:rFonts w:ascii="Arial" w:hAnsi="Arial" w:cs="Arial"/>
        </w:rPr>
        <w:lastRenderedPageBreak/>
        <w:t>reinforce Netflix position as a more adaptable and globally embedded pioneer, while highlighting Disney’s transitional status as a follower striving to achieve similar levels of market integration and strategic resilience.</w:t>
      </w:r>
    </w:p>
    <w:p w14:paraId="4BD49CE0" w14:textId="77777777" w:rsidR="00882ACC" w:rsidRDefault="00882ACC" w:rsidP="001B45A8">
      <w:pPr>
        <w:spacing w:line="360" w:lineRule="auto"/>
        <w:jc w:val="both"/>
      </w:pPr>
    </w:p>
    <w:p w14:paraId="4C93359C" w14:textId="095F3F2B" w:rsidR="007A4768" w:rsidRDefault="007A4768" w:rsidP="007A4768">
      <w:pPr>
        <w:spacing w:line="360" w:lineRule="auto"/>
        <w:jc w:val="both"/>
        <w:rPr>
          <w:b/>
          <w:bCs/>
          <w:sz w:val="28"/>
          <w:szCs w:val="28"/>
          <w:u w:val="single"/>
        </w:rPr>
      </w:pPr>
      <w:r>
        <w:tab/>
      </w:r>
      <w:r w:rsidRPr="007A4768">
        <w:rPr>
          <w:b/>
          <w:bCs/>
          <w:sz w:val="28"/>
          <w:szCs w:val="28"/>
          <w:u w:val="single"/>
        </w:rPr>
        <w:t>2.3 Economic Factors Analysis</w:t>
      </w:r>
    </w:p>
    <w:p w14:paraId="0ED1D554" w14:textId="7F71E5C8" w:rsidR="00882ACC" w:rsidRPr="00882ACC" w:rsidRDefault="00882ACC" w:rsidP="00882ACC">
      <w:pPr>
        <w:spacing w:line="360" w:lineRule="auto"/>
        <w:ind w:firstLine="720"/>
        <w:jc w:val="both"/>
        <w:rPr>
          <w:rFonts w:ascii="Arial" w:hAnsi="Arial" w:cs="Arial"/>
        </w:rPr>
      </w:pPr>
      <w:r w:rsidRPr="00276470">
        <w:rPr>
          <w:rFonts w:ascii="Arial" w:hAnsi="Arial" w:cs="Arial"/>
        </w:rPr>
        <w:t xml:space="preserve">Economic </w:t>
      </w:r>
      <w:r>
        <w:rPr>
          <w:rFonts w:ascii="Arial" w:hAnsi="Arial" w:cs="Arial"/>
        </w:rPr>
        <w:t>factors play a critical role in shaping strategic marketing decisions within the global streaming industry, particularly due to its reliance on subscription-based revenue models and high content investment costs. Key economic dynamics such as inflation, consumer purchasing power, market maturity, and revenue growth trends create both opportunities and threats for firms like Netflix(pioneer) and Disney+(follower).</w:t>
      </w:r>
    </w:p>
    <w:p w14:paraId="70C58E20" w14:textId="53A4060F" w:rsidR="007A4768" w:rsidRDefault="007A4768" w:rsidP="00060903">
      <w:pPr>
        <w:spacing w:line="360" w:lineRule="auto"/>
        <w:ind w:firstLine="720"/>
        <w:jc w:val="both"/>
      </w:pPr>
      <w:r>
        <w:t>2.</w:t>
      </w:r>
      <w:r w:rsidR="00060903">
        <w:t>3.1</w:t>
      </w:r>
      <w:r>
        <w:t xml:space="preserve">. </w:t>
      </w:r>
      <w:r w:rsidRPr="007A4768">
        <w:rPr>
          <w:b/>
          <w:bCs/>
          <w:u w:val="single"/>
        </w:rPr>
        <w:t>Impact on Netflix (Pioneer</w:t>
      </w:r>
      <w:r w:rsidR="007B6C52">
        <w:rPr>
          <w:b/>
          <w:bCs/>
          <w:u w:val="single"/>
        </w:rPr>
        <w:t xml:space="preserve"> Organisation</w:t>
      </w:r>
      <w:r w:rsidRPr="007A4768">
        <w:rPr>
          <w:b/>
          <w:bCs/>
          <w:u w:val="single"/>
        </w:rPr>
        <w:t>)</w:t>
      </w:r>
    </w:p>
    <w:p w14:paraId="3A5CB259" w14:textId="77777777" w:rsidR="00EF32BA" w:rsidRPr="00060903" w:rsidRDefault="00EF32BA" w:rsidP="00EF32BA">
      <w:pPr>
        <w:spacing w:line="360" w:lineRule="auto"/>
        <w:ind w:firstLine="720"/>
        <w:jc w:val="both"/>
        <w:rPr>
          <w:rFonts w:ascii="Arial" w:hAnsi="Arial" w:cs="Arial"/>
        </w:rPr>
      </w:pPr>
      <w:r w:rsidRPr="00060903">
        <w:rPr>
          <w:rFonts w:ascii="Arial" w:hAnsi="Arial" w:cs="Arial"/>
        </w:rPr>
        <w:t>From an opportunity perspective, the continued growth of the global entertainment and media market- projected to reach $3.5 trillion by 2029- provides a strong foundation for revenue expansion and market penetration (PwC, 2025). Netflix, as the first mover with over 300 million global users, has leveraged this growth through pricing strategies, global expansion, and diversifies revenue streams such as ad-supported tiers. The rise of ad-supported subscriptions-reaching around 40% of Netflix accounts in 2025-demontrates its ability to adapt to economic pressures by offering lower-cost alternatives, thereby maintaining subscriber growth even during periods of economic uncertainty.</w:t>
      </w:r>
    </w:p>
    <w:p w14:paraId="1132CEC9" w14:textId="77777777" w:rsidR="00EF32BA" w:rsidRPr="00060903" w:rsidRDefault="00EF32BA" w:rsidP="00EF32BA">
      <w:pPr>
        <w:spacing w:line="360" w:lineRule="auto"/>
        <w:ind w:firstLine="720"/>
        <w:jc w:val="both"/>
        <w:rPr>
          <w:rFonts w:ascii="Arial" w:hAnsi="Arial" w:cs="Arial"/>
        </w:rPr>
      </w:pPr>
      <w:r w:rsidRPr="00060903">
        <w:rPr>
          <w:rFonts w:ascii="Arial" w:hAnsi="Arial" w:cs="Arial"/>
        </w:rPr>
        <w:t>However, economic pressure also present significant threats. Increasing “</w:t>
      </w:r>
      <w:proofErr w:type="spellStart"/>
      <w:r w:rsidRPr="00060903">
        <w:rPr>
          <w:rFonts w:ascii="Arial" w:hAnsi="Arial" w:cs="Arial"/>
        </w:rPr>
        <w:t>streamflation</w:t>
      </w:r>
      <w:proofErr w:type="spellEnd"/>
      <w:r w:rsidRPr="00060903">
        <w:rPr>
          <w:rFonts w:ascii="Arial" w:hAnsi="Arial" w:cs="Arial"/>
        </w:rPr>
        <w:t>” (rising subscription prices) and consumer sensitivity to inflation can lead to subscription fatigue and potential churn (Barclays, 2025). Additionally, the slowdown in subscriber growth in mature market such as the U.S. indicates that the industry is entering a saturation phase, intensifying competition and limiting expansion opportunities.</w:t>
      </w:r>
    </w:p>
    <w:p w14:paraId="1F968336" w14:textId="1AD885F6" w:rsidR="00EF32BA" w:rsidRPr="00060903" w:rsidRDefault="00EF32BA" w:rsidP="00EF32BA">
      <w:pPr>
        <w:spacing w:line="360" w:lineRule="auto"/>
        <w:ind w:firstLine="720"/>
        <w:jc w:val="both"/>
        <w:rPr>
          <w:rFonts w:ascii="Arial" w:hAnsi="Arial" w:cs="Arial"/>
        </w:rPr>
      </w:pPr>
      <w:r w:rsidRPr="00060903">
        <w:rPr>
          <w:rFonts w:ascii="Arial" w:hAnsi="Arial" w:cs="Arial"/>
        </w:rPr>
        <w:t>Despite these threats, Netflix demonstrates strong adaptability due to its data-driven strategy, global scale, and diversified revenue model (subscription + advertising). This enhances its competitive advantage by reinforcing its leadership position.</w:t>
      </w:r>
    </w:p>
    <w:p w14:paraId="6A1683D9" w14:textId="77777777" w:rsidR="00060903" w:rsidRPr="00060903" w:rsidRDefault="00060903" w:rsidP="00EF32BA">
      <w:pPr>
        <w:spacing w:line="360" w:lineRule="auto"/>
        <w:ind w:firstLine="720"/>
        <w:jc w:val="both"/>
        <w:rPr>
          <w:rFonts w:ascii="Arial" w:hAnsi="Arial" w:cs="Arial"/>
        </w:rPr>
      </w:pPr>
    </w:p>
    <w:p w14:paraId="3130DE0E" w14:textId="77777777" w:rsidR="00EF32BA" w:rsidRPr="00060903" w:rsidRDefault="00EF32BA" w:rsidP="007A4768">
      <w:pPr>
        <w:spacing w:line="360" w:lineRule="auto"/>
        <w:jc w:val="both"/>
        <w:rPr>
          <w:rFonts w:ascii="Arial" w:hAnsi="Arial" w:cs="Arial"/>
        </w:rPr>
      </w:pPr>
    </w:p>
    <w:p w14:paraId="371A43B1" w14:textId="71ABCD34" w:rsidR="007A4768" w:rsidRPr="00060903" w:rsidRDefault="007A4768" w:rsidP="00060903">
      <w:pPr>
        <w:pStyle w:val="ListParagraph"/>
        <w:numPr>
          <w:ilvl w:val="1"/>
          <w:numId w:val="2"/>
        </w:numPr>
        <w:spacing w:line="360" w:lineRule="auto"/>
        <w:jc w:val="both"/>
        <w:rPr>
          <w:b/>
          <w:bCs/>
          <w:u w:val="single"/>
        </w:rPr>
      </w:pPr>
      <w:r w:rsidRPr="00060903">
        <w:rPr>
          <w:b/>
          <w:bCs/>
          <w:u w:val="single"/>
        </w:rPr>
        <w:lastRenderedPageBreak/>
        <w:t>Impact on Disney+ (Follower</w:t>
      </w:r>
      <w:r w:rsidR="007B6C52" w:rsidRPr="00060903">
        <w:rPr>
          <w:b/>
          <w:bCs/>
          <w:u w:val="single"/>
        </w:rPr>
        <w:t xml:space="preserve"> Organisation</w:t>
      </w:r>
      <w:r w:rsidRPr="00060903">
        <w:rPr>
          <w:b/>
          <w:bCs/>
          <w:u w:val="single"/>
        </w:rPr>
        <w:t>).</w:t>
      </w:r>
    </w:p>
    <w:p w14:paraId="446F01FB" w14:textId="77777777" w:rsidR="00060903" w:rsidRPr="00060903" w:rsidRDefault="00060903" w:rsidP="00060903">
      <w:pPr>
        <w:spacing w:line="360" w:lineRule="auto"/>
        <w:jc w:val="both"/>
        <w:rPr>
          <w:b/>
          <w:bCs/>
          <w:u w:val="single"/>
        </w:rPr>
      </w:pPr>
    </w:p>
    <w:p w14:paraId="36FD2FEF" w14:textId="77777777" w:rsidR="003B1721" w:rsidRPr="00060903" w:rsidRDefault="003B1721" w:rsidP="003B1721">
      <w:pPr>
        <w:spacing w:line="360" w:lineRule="auto"/>
        <w:ind w:firstLine="720"/>
        <w:jc w:val="both"/>
        <w:rPr>
          <w:rFonts w:ascii="Arial" w:hAnsi="Arial" w:cs="Arial"/>
        </w:rPr>
      </w:pPr>
      <w:r w:rsidRPr="00060903">
        <w:rPr>
          <w:rFonts w:ascii="Arial" w:hAnsi="Arial" w:cs="Arial"/>
        </w:rPr>
        <w:t>For Disney+, economic conditions present both opportunities and vulnerabilities. Like Netflix, the shift towards as-supported models offers a growth opportunity, with usage rising of 44% of subscribers, indicating successful adaptation to cost-sensitive consumers. Furthermore, Disney+ benefits from strong intellectual property (IP) assets, allowing it to monetise content across multiple revenue streams (films, merchandise), which partially offsets economic pressures (Kumar, 2025).</w:t>
      </w:r>
    </w:p>
    <w:p w14:paraId="2A24C622" w14:textId="77777777" w:rsidR="003B1721" w:rsidRPr="00060903" w:rsidRDefault="003B1721" w:rsidP="003B1721">
      <w:pPr>
        <w:spacing w:line="360" w:lineRule="auto"/>
        <w:jc w:val="both"/>
        <w:rPr>
          <w:rFonts w:ascii="Arial" w:hAnsi="Arial" w:cs="Arial"/>
        </w:rPr>
      </w:pPr>
      <w:r w:rsidRPr="00060903">
        <w:rPr>
          <w:rFonts w:ascii="Arial" w:hAnsi="Arial" w:cs="Arial"/>
        </w:rPr>
        <w:tab/>
        <w:t>However, Disney+ appears more vulnerable to economic threats. Evidence shows that recent price increases led to a loss of approximately 700.000 subscribers in 2025, highlighting higher price sensitivity mong its user base. As a later entrant, Disney+ faces higher customer acquisition costs and lower brand loyalty in streaming compared to Netflix, limiting its ability to pass on rising costs to consumers.</w:t>
      </w:r>
    </w:p>
    <w:p w14:paraId="6778DEFC" w14:textId="18719B50" w:rsidR="007B6C52" w:rsidRPr="00060903" w:rsidRDefault="003B1721" w:rsidP="003B1721">
      <w:pPr>
        <w:spacing w:line="360" w:lineRule="auto"/>
        <w:jc w:val="both"/>
        <w:rPr>
          <w:rFonts w:ascii="Arial" w:hAnsi="Arial" w:cs="Arial"/>
        </w:rPr>
      </w:pPr>
      <w:r w:rsidRPr="00060903">
        <w:rPr>
          <w:rFonts w:ascii="Arial" w:hAnsi="Arial" w:cs="Arial"/>
        </w:rPr>
        <w:tab/>
        <w:t>Moreover, the industry-wide shift from subscriber growth to profitability places pressure on Disney+ to restructure its strategy, focusing on revenue diversification and cost control rather than rapid expansion.</w:t>
      </w:r>
    </w:p>
    <w:p w14:paraId="161E0A91" w14:textId="60FBF67F" w:rsidR="007A4768" w:rsidRPr="007A4768" w:rsidRDefault="007A4768" w:rsidP="007A4768">
      <w:pPr>
        <w:spacing w:line="360" w:lineRule="auto"/>
        <w:ind w:left="720" w:firstLine="720"/>
        <w:jc w:val="both"/>
        <w:rPr>
          <w:b/>
          <w:bCs/>
          <w:u w:val="single"/>
        </w:rPr>
      </w:pPr>
      <w:r w:rsidRPr="007A4768">
        <w:rPr>
          <w:b/>
          <w:bCs/>
          <w:u w:val="single"/>
        </w:rPr>
        <w:t>2.</w:t>
      </w:r>
      <w:r w:rsidR="00060903">
        <w:rPr>
          <w:b/>
          <w:bCs/>
          <w:u w:val="single"/>
        </w:rPr>
        <w:t>3</w:t>
      </w:r>
      <w:r w:rsidRPr="007A4768">
        <w:rPr>
          <w:b/>
          <w:bCs/>
          <w:u w:val="single"/>
        </w:rPr>
        <w:t>. Comparative Analysis</w:t>
      </w:r>
    </w:p>
    <w:p w14:paraId="19880A03" w14:textId="77777777" w:rsidR="007A4768" w:rsidRDefault="007A4768" w:rsidP="007A4768">
      <w:pPr>
        <w:spacing w:line="360" w:lineRule="auto"/>
        <w:ind w:firstLine="720"/>
        <w:jc w:val="both"/>
      </w:pPr>
      <w:r>
        <w:t>Netflix demonstrates greater resilience due to its first-mover advantage, global scale, and strategic flexibility. In contrast, Disney+ is more vulnerable to economic changes due to its reliance on growth strategies and sensitivity to pricing.</w:t>
      </w:r>
    </w:p>
    <w:p w14:paraId="41F58F67" w14:textId="6D48AF15" w:rsidR="007A4768" w:rsidRDefault="007A4768" w:rsidP="00060903">
      <w:pPr>
        <w:spacing w:line="360" w:lineRule="auto"/>
        <w:ind w:firstLine="720"/>
        <w:jc w:val="both"/>
      </w:pPr>
      <w:r>
        <w:t>Overall, economic factors are reshaping the industry, shifting focus from expansion to profitability. Netflix is better positioned to adapt, while Disney+ must continue evolving to remain competitive</w:t>
      </w:r>
      <w:r w:rsidR="00060903">
        <w:t>.</w:t>
      </w:r>
    </w:p>
    <w:p w14:paraId="1636DA58" w14:textId="77777777" w:rsidR="007A4768" w:rsidRDefault="007A4768" w:rsidP="007A4768">
      <w:pPr>
        <w:spacing w:line="360" w:lineRule="auto"/>
        <w:ind w:firstLine="720"/>
        <w:jc w:val="both"/>
      </w:pPr>
    </w:p>
    <w:p w14:paraId="346371F2" w14:textId="12BB8A89" w:rsidR="00762389" w:rsidRPr="00D64538" w:rsidRDefault="007A4768" w:rsidP="00D64538">
      <w:pPr>
        <w:pStyle w:val="ListParagraph"/>
        <w:numPr>
          <w:ilvl w:val="0"/>
          <w:numId w:val="2"/>
        </w:numPr>
        <w:spacing w:line="360" w:lineRule="auto"/>
        <w:jc w:val="both"/>
        <w:rPr>
          <w:b/>
          <w:bCs/>
          <w:sz w:val="28"/>
          <w:szCs w:val="28"/>
          <w:u w:val="single"/>
        </w:rPr>
      </w:pPr>
      <w:r w:rsidRPr="00D64538">
        <w:rPr>
          <w:b/>
          <w:bCs/>
          <w:sz w:val="28"/>
          <w:szCs w:val="28"/>
          <w:u w:val="single"/>
        </w:rPr>
        <w:t xml:space="preserve">Task 2: </w:t>
      </w:r>
      <w:r w:rsidR="00762389" w:rsidRPr="00D64538">
        <w:rPr>
          <w:b/>
          <w:bCs/>
          <w:sz w:val="28"/>
          <w:szCs w:val="28"/>
          <w:u w:val="single"/>
        </w:rPr>
        <w:t xml:space="preserve"> </w:t>
      </w:r>
      <w:r w:rsidRPr="00D64538">
        <w:rPr>
          <w:b/>
          <w:bCs/>
          <w:sz w:val="28"/>
          <w:szCs w:val="28"/>
          <w:u w:val="single"/>
        </w:rPr>
        <w:t>Strategic Responses</w:t>
      </w:r>
      <w:r w:rsidR="00762389" w:rsidRPr="00D64538">
        <w:rPr>
          <w:b/>
          <w:bCs/>
          <w:sz w:val="28"/>
          <w:szCs w:val="28"/>
          <w:u w:val="single"/>
        </w:rPr>
        <w:t xml:space="preserve"> of Pioneering/Netflix and Follower Disney+ Organisations.</w:t>
      </w:r>
    </w:p>
    <w:p w14:paraId="21E7A41F" w14:textId="3A21A3EA" w:rsidR="00D64538" w:rsidRDefault="00D64538" w:rsidP="00D64538">
      <w:pPr>
        <w:pStyle w:val="NormalWeb"/>
        <w:spacing w:line="360" w:lineRule="auto"/>
        <w:ind w:firstLine="720"/>
        <w:jc w:val="both"/>
        <w:rPr>
          <w:rFonts w:ascii="Arial" w:hAnsi="Arial" w:cs="Arial"/>
        </w:rPr>
      </w:pPr>
      <w:r>
        <w:rPr>
          <w:rFonts w:ascii="Arial" w:hAnsi="Arial" w:cs="Arial"/>
        </w:rPr>
        <w:t>3.1</w:t>
      </w:r>
      <w:r w:rsidRPr="00D64538">
        <w:rPr>
          <w:rFonts w:ascii="Arial" w:hAnsi="Arial" w:cs="Arial"/>
          <w:b/>
          <w:bCs/>
          <w:u w:val="single"/>
        </w:rPr>
        <w:t>. Ansoff’s Growth Matrix</w:t>
      </w:r>
      <w:r>
        <w:rPr>
          <w:rFonts w:ascii="Arial" w:hAnsi="Arial" w:cs="Arial"/>
        </w:rPr>
        <w:t xml:space="preserve"> </w:t>
      </w:r>
    </w:p>
    <w:p w14:paraId="419DA92B" w14:textId="77777777" w:rsidR="00D64538" w:rsidRDefault="00D64538" w:rsidP="00D64538">
      <w:pPr>
        <w:pStyle w:val="NormalWeb"/>
        <w:spacing w:line="360" w:lineRule="auto"/>
        <w:ind w:firstLine="720"/>
        <w:jc w:val="both"/>
        <w:rPr>
          <w:rFonts w:ascii="Arial" w:hAnsi="Arial" w:cs="Arial"/>
        </w:rPr>
      </w:pPr>
      <w:r w:rsidRPr="00D64538">
        <w:rPr>
          <w:rFonts w:ascii="Arial" w:hAnsi="Arial" w:cs="Arial"/>
        </w:rPr>
        <w:t>Ansoff’s Growth Matrix is a strategic planning tool used to identify and evaluate growth opportunities based on products and markets (Ansoff, 1957). It consists of four strategic options.</w:t>
      </w:r>
      <w:r w:rsidRPr="00D64538">
        <w:rPr>
          <w:rStyle w:val="apple-converted-space"/>
          <w:rFonts w:ascii="Arial" w:eastAsiaTheme="majorEastAsia" w:hAnsi="Arial" w:cs="Arial"/>
        </w:rPr>
        <w:t> </w:t>
      </w:r>
      <w:r w:rsidRPr="00D64538">
        <w:rPr>
          <w:rStyle w:val="Strong"/>
          <w:rFonts w:ascii="Arial" w:eastAsiaTheme="majorEastAsia" w:hAnsi="Arial" w:cs="Arial"/>
        </w:rPr>
        <w:t>Market penetration</w:t>
      </w:r>
      <w:r w:rsidRPr="00D64538">
        <w:rPr>
          <w:rStyle w:val="apple-converted-space"/>
          <w:rFonts w:ascii="Arial" w:eastAsiaTheme="majorEastAsia" w:hAnsi="Arial" w:cs="Arial"/>
        </w:rPr>
        <w:t> </w:t>
      </w:r>
      <w:r w:rsidRPr="00D64538">
        <w:rPr>
          <w:rFonts w:ascii="Arial" w:hAnsi="Arial" w:cs="Arial"/>
        </w:rPr>
        <w:t>focuses on increasing sales of existing products in existing markets, often through pricing or promotion.</w:t>
      </w:r>
      <w:r w:rsidRPr="00D64538">
        <w:rPr>
          <w:rStyle w:val="apple-converted-space"/>
          <w:rFonts w:ascii="Arial" w:eastAsiaTheme="majorEastAsia" w:hAnsi="Arial" w:cs="Arial"/>
        </w:rPr>
        <w:t> </w:t>
      </w:r>
      <w:r w:rsidRPr="00D64538">
        <w:rPr>
          <w:rStyle w:val="Strong"/>
          <w:rFonts w:ascii="Arial" w:eastAsiaTheme="majorEastAsia" w:hAnsi="Arial" w:cs="Arial"/>
        </w:rPr>
        <w:t xml:space="preserve">Market </w:t>
      </w:r>
      <w:r w:rsidRPr="00D64538">
        <w:rPr>
          <w:rStyle w:val="Strong"/>
          <w:rFonts w:ascii="Arial" w:eastAsiaTheme="majorEastAsia" w:hAnsi="Arial" w:cs="Arial"/>
        </w:rPr>
        <w:lastRenderedPageBreak/>
        <w:t>development</w:t>
      </w:r>
      <w:r w:rsidRPr="00D64538">
        <w:rPr>
          <w:rStyle w:val="apple-converted-space"/>
          <w:rFonts w:ascii="Arial" w:eastAsiaTheme="majorEastAsia" w:hAnsi="Arial" w:cs="Arial"/>
        </w:rPr>
        <w:t> </w:t>
      </w:r>
      <w:r w:rsidRPr="00D64538">
        <w:rPr>
          <w:rFonts w:ascii="Arial" w:hAnsi="Arial" w:cs="Arial"/>
        </w:rPr>
        <w:t>involves entering new markets with existing products, such as geographic expansion.</w:t>
      </w:r>
      <w:r w:rsidRPr="00D64538">
        <w:rPr>
          <w:rStyle w:val="apple-converted-space"/>
          <w:rFonts w:ascii="Arial" w:eastAsiaTheme="majorEastAsia" w:hAnsi="Arial" w:cs="Arial"/>
        </w:rPr>
        <w:t> </w:t>
      </w:r>
      <w:r w:rsidRPr="00D64538">
        <w:rPr>
          <w:rStyle w:val="Strong"/>
          <w:rFonts w:ascii="Arial" w:eastAsiaTheme="majorEastAsia" w:hAnsi="Arial" w:cs="Arial"/>
        </w:rPr>
        <w:t>Product development</w:t>
      </w:r>
      <w:r w:rsidRPr="00D64538">
        <w:rPr>
          <w:rStyle w:val="apple-converted-space"/>
          <w:rFonts w:ascii="Arial" w:eastAsiaTheme="majorEastAsia" w:hAnsi="Arial" w:cs="Arial"/>
        </w:rPr>
        <w:t> </w:t>
      </w:r>
      <w:r w:rsidRPr="00D64538">
        <w:rPr>
          <w:rFonts w:ascii="Arial" w:hAnsi="Arial" w:cs="Arial"/>
        </w:rPr>
        <w:t>refers to creating new products for existing markets to meet evolving customer needs. Finally,</w:t>
      </w:r>
      <w:r w:rsidRPr="00D64538">
        <w:rPr>
          <w:rStyle w:val="apple-converted-space"/>
          <w:rFonts w:ascii="Arial" w:eastAsiaTheme="majorEastAsia" w:hAnsi="Arial" w:cs="Arial"/>
        </w:rPr>
        <w:t> </w:t>
      </w:r>
      <w:r w:rsidRPr="00D64538">
        <w:rPr>
          <w:rStyle w:val="Strong"/>
          <w:rFonts w:ascii="Arial" w:eastAsiaTheme="majorEastAsia" w:hAnsi="Arial" w:cs="Arial"/>
        </w:rPr>
        <w:t>diversification</w:t>
      </w:r>
      <w:r w:rsidRPr="00D64538">
        <w:rPr>
          <w:rStyle w:val="apple-converted-space"/>
          <w:rFonts w:ascii="Arial" w:eastAsiaTheme="majorEastAsia" w:hAnsi="Arial" w:cs="Arial"/>
        </w:rPr>
        <w:t> </w:t>
      </w:r>
      <w:r w:rsidRPr="00D64538">
        <w:rPr>
          <w:rFonts w:ascii="Arial" w:hAnsi="Arial" w:cs="Arial"/>
        </w:rPr>
        <w:t xml:space="preserve">involves introducing new products into new markets, representing the highest level of risk due to unfamiliarity. </w:t>
      </w:r>
    </w:p>
    <w:p w14:paraId="223F81E2" w14:textId="68FCB44C" w:rsidR="00D64538" w:rsidRPr="00D64538" w:rsidRDefault="00D64538" w:rsidP="00D64538">
      <w:pPr>
        <w:pStyle w:val="NormalWeb"/>
        <w:spacing w:line="360" w:lineRule="auto"/>
        <w:ind w:firstLine="720"/>
        <w:jc w:val="both"/>
      </w:pPr>
      <w:r w:rsidRPr="00D64538">
        <w:rPr>
          <w:rFonts w:ascii="Arial" w:hAnsi="Arial" w:cs="Arial"/>
        </w:rPr>
        <w:t>The matrix is widely used in strategic marketing management because it helps organisations assess risk levels associated with growth strategies and align them with organisational capabilities. For companies like Netflix and Disney+, it supports decisions such as global expansion, original content creation, and entry into new entertainment segments, ensuring structured and strategic growth (Johnson et al., 2020).</w:t>
      </w:r>
    </w:p>
    <w:p w14:paraId="1B37DCE9" w14:textId="030A3036" w:rsidR="00762389" w:rsidRPr="007A4768" w:rsidRDefault="007A4768" w:rsidP="00762389">
      <w:pPr>
        <w:spacing w:line="360" w:lineRule="auto"/>
        <w:ind w:firstLine="720"/>
        <w:jc w:val="both"/>
        <w:rPr>
          <w:b/>
          <w:bCs/>
          <w:sz w:val="28"/>
          <w:szCs w:val="28"/>
          <w:u w:val="single"/>
        </w:rPr>
      </w:pPr>
      <w:r w:rsidRPr="007A4768">
        <w:rPr>
          <w:b/>
          <w:bCs/>
          <w:sz w:val="28"/>
          <w:szCs w:val="28"/>
          <w:u w:val="single"/>
        </w:rPr>
        <w:t>3.</w:t>
      </w:r>
      <w:r w:rsidR="00060903">
        <w:rPr>
          <w:b/>
          <w:bCs/>
          <w:sz w:val="28"/>
          <w:szCs w:val="28"/>
          <w:u w:val="single"/>
        </w:rPr>
        <w:t>2.</w:t>
      </w:r>
      <w:r w:rsidRPr="007A4768">
        <w:rPr>
          <w:b/>
          <w:bCs/>
          <w:sz w:val="28"/>
          <w:szCs w:val="28"/>
          <w:u w:val="single"/>
        </w:rPr>
        <w:t xml:space="preserve"> </w:t>
      </w:r>
      <w:r w:rsidR="00762389">
        <w:rPr>
          <w:b/>
          <w:bCs/>
          <w:sz w:val="28"/>
          <w:szCs w:val="28"/>
          <w:u w:val="single"/>
        </w:rPr>
        <w:t>Pioneer/</w:t>
      </w:r>
      <w:r w:rsidRPr="007A4768">
        <w:rPr>
          <w:b/>
          <w:bCs/>
          <w:sz w:val="28"/>
          <w:szCs w:val="28"/>
          <w:u w:val="single"/>
        </w:rPr>
        <w:t xml:space="preserve">Netflix </w:t>
      </w:r>
      <w:r w:rsidR="00762389">
        <w:rPr>
          <w:b/>
          <w:bCs/>
          <w:sz w:val="28"/>
          <w:szCs w:val="28"/>
          <w:u w:val="single"/>
        </w:rPr>
        <w:t xml:space="preserve">Organisation </w:t>
      </w:r>
      <w:r w:rsidRPr="007A4768">
        <w:rPr>
          <w:b/>
          <w:bCs/>
          <w:sz w:val="28"/>
          <w:szCs w:val="28"/>
          <w:u w:val="single"/>
        </w:rPr>
        <w:t>Strategic Responses</w:t>
      </w:r>
      <w:r w:rsidR="00762389">
        <w:rPr>
          <w:b/>
          <w:bCs/>
          <w:sz w:val="28"/>
          <w:szCs w:val="28"/>
          <w:u w:val="single"/>
        </w:rPr>
        <w:t>.</w:t>
      </w:r>
    </w:p>
    <w:p w14:paraId="3C52CE47" w14:textId="77777777" w:rsidR="007A4768" w:rsidRDefault="007A4768" w:rsidP="007A4768">
      <w:pPr>
        <w:spacing w:line="360" w:lineRule="auto"/>
        <w:ind w:firstLine="720"/>
        <w:jc w:val="both"/>
      </w:pPr>
      <w:r>
        <w:t>Netflix’s strategic responses can be analysed using Ansoff’s Growth Matrix (Ansoff, 1957).</w:t>
      </w:r>
    </w:p>
    <w:p w14:paraId="4FC04A1E" w14:textId="77777777" w:rsidR="007A4768" w:rsidRDefault="007A4768" w:rsidP="007A4768">
      <w:pPr>
        <w:spacing w:line="360" w:lineRule="auto"/>
        <w:ind w:firstLine="720"/>
        <w:jc w:val="both"/>
      </w:pPr>
      <w:r w:rsidRPr="007A4768">
        <w:rPr>
          <w:b/>
          <w:bCs/>
          <w:u w:val="single"/>
        </w:rPr>
        <w:t>Market Penetration</w:t>
      </w:r>
      <w:r>
        <w:t>: Introduction of flexible pricing models, including ad-supported tiers, enhances customer retention but may reduce profitability.</w:t>
      </w:r>
    </w:p>
    <w:p w14:paraId="1EE82FF3" w14:textId="77777777" w:rsidR="007A4768" w:rsidRDefault="007A4768" w:rsidP="007A4768">
      <w:pPr>
        <w:spacing w:line="360" w:lineRule="auto"/>
        <w:ind w:firstLine="720"/>
        <w:jc w:val="both"/>
      </w:pPr>
      <w:r w:rsidRPr="007A4768">
        <w:rPr>
          <w:b/>
          <w:bCs/>
          <w:u w:val="single"/>
        </w:rPr>
        <w:t>Market Development</w:t>
      </w:r>
      <w:r>
        <w:t>: Expansion into emerging markets and investment in localised content strengthens global reach but exposes the company to economic volatility.</w:t>
      </w:r>
    </w:p>
    <w:p w14:paraId="4C8448F4" w14:textId="77777777" w:rsidR="007A4768" w:rsidRDefault="007A4768" w:rsidP="007A4768">
      <w:pPr>
        <w:spacing w:line="360" w:lineRule="auto"/>
        <w:ind w:firstLine="720"/>
        <w:jc w:val="both"/>
      </w:pPr>
      <w:r w:rsidRPr="007A4768">
        <w:rPr>
          <w:b/>
          <w:bCs/>
          <w:u w:val="single"/>
        </w:rPr>
        <w:t>Product Development</w:t>
      </w:r>
      <w:r>
        <w:t>: Continuous investment in original content and data-driven personalisation enhances differentiation and customer loyalty but increases costs.</w:t>
      </w:r>
    </w:p>
    <w:p w14:paraId="09EFA404" w14:textId="77777777" w:rsidR="007A4768" w:rsidRDefault="007A4768" w:rsidP="007A4768">
      <w:pPr>
        <w:spacing w:line="360" w:lineRule="auto"/>
        <w:ind w:firstLine="720"/>
        <w:jc w:val="both"/>
      </w:pPr>
      <w:r w:rsidRPr="007A4768">
        <w:rPr>
          <w:b/>
          <w:bCs/>
          <w:u w:val="single"/>
        </w:rPr>
        <w:t>Diversification</w:t>
      </w:r>
      <w:r>
        <w:t>: Expansion into gaming and advertising creates new revenue streams but involves strategic risk.</w:t>
      </w:r>
    </w:p>
    <w:p w14:paraId="647662D7" w14:textId="51A5C48E" w:rsidR="007A4768" w:rsidRDefault="007A4768" w:rsidP="007A4768">
      <w:pPr>
        <w:spacing w:line="360" w:lineRule="auto"/>
        <w:ind w:firstLine="720"/>
        <w:jc w:val="both"/>
      </w:pPr>
      <w:r>
        <w:t>Overall, Netflix demonstrates proactive and adaptive strategies aligned with external environmental changes, reinforcing its competitive leadership</w:t>
      </w:r>
      <w:r w:rsidR="00762389">
        <w:t>.</w:t>
      </w:r>
    </w:p>
    <w:p w14:paraId="430A0853" w14:textId="77777777" w:rsidR="00762389" w:rsidRDefault="00762389" w:rsidP="007A4768">
      <w:pPr>
        <w:spacing w:line="360" w:lineRule="auto"/>
        <w:ind w:firstLine="720"/>
        <w:jc w:val="both"/>
      </w:pPr>
    </w:p>
    <w:p w14:paraId="36F312F5" w14:textId="3D333BCB" w:rsidR="0002550A" w:rsidRDefault="007A4768" w:rsidP="0002550A">
      <w:pPr>
        <w:spacing w:line="360" w:lineRule="auto"/>
        <w:jc w:val="both"/>
        <w:rPr>
          <w:b/>
          <w:bCs/>
          <w:u w:val="single"/>
        </w:rPr>
      </w:pPr>
      <w:r>
        <w:tab/>
      </w:r>
      <w:r w:rsidR="0002550A" w:rsidRPr="0002550A">
        <w:rPr>
          <w:b/>
          <w:bCs/>
          <w:u w:val="single"/>
        </w:rPr>
        <w:t>3.</w:t>
      </w:r>
      <w:r w:rsidR="00060903">
        <w:rPr>
          <w:b/>
          <w:bCs/>
          <w:u w:val="single"/>
        </w:rPr>
        <w:t>3</w:t>
      </w:r>
      <w:r w:rsidR="00762389">
        <w:rPr>
          <w:b/>
          <w:bCs/>
          <w:u w:val="single"/>
        </w:rPr>
        <w:t>.</w:t>
      </w:r>
      <w:r w:rsidR="0002550A" w:rsidRPr="0002550A">
        <w:rPr>
          <w:b/>
          <w:bCs/>
          <w:u w:val="single"/>
        </w:rPr>
        <w:t xml:space="preserve"> </w:t>
      </w:r>
      <w:r w:rsidR="00762389">
        <w:rPr>
          <w:b/>
          <w:bCs/>
          <w:u w:val="single"/>
        </w:rPr>
        <w:t>Follower/</w:t>
      </w:r>
      <w:r w:rsidR="00762389" w:rsidRPr="0002550A">
        <w:rPr>
          <w:b/>
          <w:bCs/>
          <w:u w:val="single"/>
        </w:rPr>
        <w:t xml:space="preserve">Disney </w:t>
      </w:r>
      <w:r w:rsidR="00762389">
        <w:rPr>
          <w:b/>
          <w:bCs/>
          <w:u w:val="single"/>
        </w:rPr>
        <w:t>Organisation</w:t>
      </w:r>
      <w:r w:rsidR="0002550A" w:rsidRPr="0002550A">
        <w:rPr>
          <w:b/>
          <w:bCs/>
          <w:u w:val="single"/>
        </w:rPr>
        <w:t xml:space="preserve"> Strategic Responses</w:t>
      </w:r>
      <w:r w:rsidR="00762389">
        <w:rPr>
          <w:b/>
          <w:bCs/>
          <w:u w:val="single"/>
        </w:rPr>
        <w:t>.</w:t>
      </w:r>
    </w:p>
    <w:p w14:paraId="46056056" w14:textId="77777777" w:rsidR="00762389" w:rsidRPr="0002550A" w:rsidRDefault="00762389" w:rsidP="0002550A">
      <w:pPr>
        <w:spacing w:line="360" w:lineRule="auto"/>
        <w:jc w:val="both"/>
        <w:rPr>
          <w:b/>
          <w:bCs/>
          <w:u w:val="single"/>
        </w:rPr>
      </w:pPr>
    </w:p>
    <w:p w14:paraId="262B1659" w14:textId="77777777" w:rsidR="0002550A" w:rsidRDefault="0002550A" w:rsidP="0002550A">
      <w:pPr>
        <w:spacing w:line="360" w:lineRule="auto"/>
        <w:ind w:firstLine="720"/>
        <w:jc w:val="both"/>
      </w:pPr>
      <w:r>
        <w:t>Disney+ adopts similar strategies but with key differences:</w:t>
      </w:r>
    </w:p>
    <w:p w14:paraId="5E0529E6" w14:textId="77777777" w:rsidR="0002550A" w:rsidRDefault="0002550A" w:rsidP="0002550A">
      <w:pPr>
        <w:spacing w:line="360" w:lineRule="auto"/>
        <w:ind w:firstLine="720"/>
        <w:jc w:val="both"/>
      </w:pPr>
      <w:r w:rsidRPr="0002550A">
        <w:rPr>
          <w:b/>
          <w:bCs/>
          <w:u w:val="single"/>
        </w:rPr>
        <w:lastRenderedPageBreak/>
        <w:t>Market Penetration</w:t>
      </w:r>
      <w:r>
        <w:t>: Competitive pricing and bundling (Hulu, ESPN+) provide value but price increases risk subscriber loss.</w:t>
      </w:r>
    </w:p>
    <w:p w14:paraId="07254708" w14:textId="77777777" w:rsidR="0002550A" w:rsidRDefault="0002550A" w:rsidP="0002550A">
      <w:pPr>
        <w:spacing w:line="360" w:lineRule="auto"/>
        <w:ind w:firstLine="720"/>
        <w:jc w:val="both"/>
      </w:pPr>
      <w:r w:rsidRPr="0002550A">
        <w:rPr>
          <w:b/>
          <w:bCs/>
          <w:u w:val="single"/>
        </w:rPr>
        <w:t>Market Development</w:t>
      </w:r>
      <w:r>
        <w:t>: Slower global expansion and reliance on established franchises may limit growth in diverse markets.</w:t>
      </w:r>
    </w:p>
    <w:p w14:paraId="3C22B5A7" w14:textId="77777777" w:rsidR="0002550A" w:rsidRDefault="0002550A" w:rsidP="0002550A">
      <w:pPr>
        <w:spacing w:line="360" w:lineRule="auto"/>
        <w:ind w:firstLine="720"/>
        <w:jc w:val="both"/>
      </w:pPr>
      <w:r w:rsidRPr="0002550A">
        <w:rPr>
          <w:b/>
          <w:bCs/>
          <w:u w:val="single"/>
        </w:rPr>
        <w:t>Product Development:</w:t>
      </w:r>
      <w:r>
        <w:t xml:space="preserve"> Strong content portfolio provides competitive advantage but may reduce diversity and flexibility.</w:t>
      </w:r>
    </w:p>
    <w:p w14:paraId="1A9FA6E8" w14:textId="77777777" w:rsidR="0002550A" w:rsidRDefault="0002550A" w:rsidP="0002550A">
      <w:pPr>
        <w:spacing w:line="360" w:lineRule="auto"/>
        <w:ind w:firstLine="720"/>
        <w:jc w:val="both"/>
      </w:pPr>
      <w:r w:rsidRPr="0002550A">
        <w:rPr>
          <w:b/>
          <w:bCs/>
          <w:u w:val="single"/>
        </w:rPr>
        <w:t>Diversification</w:t>
      </w:r>
      <w:r>
        <w:t>: Benefits from Disney’s broader ecosystem, reducing risk but diluting focus on streaming.</w:t>
      </w:r>
    </w:p>
    <w:p w14:paraId="11A2D7A6" w14:textId="79D2C095" w:rsidR="007A4768" w:rsidRDefault="0002550A" w:rsidP="0002550A">
      <w:pPr>
        <w:spacing w:line="360" w:lineRule="auto"/>
        <w:ind w:firstLine="720"/>
        <w:jc w:val="both"/>
      </w:pPr>
      <w:r>
        <w:t>Disney+ demonstrates a more reactive strategy, relying on existing strengths rather than innovation. This limits its adaptability compared to Netflix.</w:t>
      </w:r>
    </w:p>
    <w:p w14:paraId="20484212" w14:textId="4BD0456E" w:rsidR="007A4768" w:rsidRDefault="007A4768" w:rsidP="00F43601">
      <w:pPr>
        <w:spacing w:line="360" w:lineRule="auto"/>
        <w:jc w:val="both"/>
      </w:pPr>
      <w:r>
        <w:tab/>
      </w:r>
      <w:r w:rsidR="00CC3F03">
        <w:tab/>
      </w:r>
      <w:r w:rsidR="00CC3F03" w:rsidRPr="00CC3F03">
        <w:rPr>
          <w:b/>
          <w:bCs/>
          <w:u w:val="single"/>
        </w:rPr>
        <w:t>3.</w:t>
      </w:r>
      <w:r w:rsidR="00060903">
        <w:rPr>
          <w:b/>
          <w:bCs/>
          <w:u w:val="single"/>
        </w:rPr>
        <w:t>4</w:t>
      </w:r>
      <w:r w:rsidR="00CC3F03" w:rsidRPr="00CC3F03">
        <w:rPr>
          <w:b/>
          <w:bCs/>
          <w:u w:val="single"/>
        </w:rPr>
        <w:t>. Comparative Evaluation</w:t>
      </w:r>
      <w:r w:rsidR="00CC3F03">
        <w:t>.</w:t>
      </w:r>
    </w:p>
    <w:p w14:paraId="089CB448" w14:textId="54E38F54" w:rsidR="00CC3F03" w:rsidRPr="00CC3F03" w:rsidRDefault="00CC3F03" w:rsidP="00F43601">
      <w:pPr>
        <w:spacing w:line="360" w:lineRule="auto"/>
        <w:jc w:val="both"/>
        <w:rPr>
          <w:rFonts w:ascii="Arial" w:hAnsi="Arial" w:cs="Arial"/>
        </w:rPr>
      </w:pPr>
      <w:r>
        <w:tab/>
      </w:r>
      <w:r w:rsidRPr="00CC3F03">
        <w:rPr>
          <w:rFonts w:ascii="Arial" w:hAnsi="Arial" w:cs="Arial"/>
        </w:rPr>
        <w:t>Netflix exhibits a proactive, innovation-driven strategy supported by data analytics and global expansion. Disney+, while benefiting from strong brand assets, adopts a more reactive approach.</w:t>
      </w:r>
    </w:p>
    <w:p w14:paraId="74B508A1" w14:textId="1D3B6A97" w:rsidR="00CC3F03" w:rsidRDefault="00CC3F03" w:rsidP="00CC3F03">
      <w:pPr>
        <w:spacing w:line="360" w:lineRule="auto"/>
        <w:jc w:val="both"/>
        <w:rPr>
          <w:rFonts w:ascii="Arial" w:hAnsi="Arial" w:cs="Arial"/>
        </w:rPr>
      </w:pPr>
      <w:r w:rsidRPr="00CC3F03">
        <w:rPr>
          <w:rFonts w:ascii="Arial" w:hAnsi="Arial" w:cs="Arial"/>
        </w:rPr>
        <w:tab/>
        <w:t>Consequently, Netflix maintains a stronger competitive position, while Disney + faces challenges in sustaining growth and profitability in a dynamic marke</w:t>
      </w:r>
      <w:r w:rsidR="00EF39BF">
        <w:rPr>
          <w:rFonts w:ascii="Arial" w:hAnsi="Arial" w:cs="Arial"/>
        </w:rPr>
        <w:t>t.</w:t>
      </w:r>
    </w:p>
    <w:p w14:paraId="1455D33C" w14:textId="77777777" w:rsidR="00060903" w:rsidRPr="00EF39BF" w:rsidRDefault="00060903" w:rsidP="00CC3F03">
      <w:pPr>
        <w:spacing w:line="360" w:lineRule="auto"/>
        <w:jc w:val="both"/>
        <w:rPr>
          <w:rFonts w:ascii="Arial" w:hAnsi="Arial" w:cs="Arial"/>
        </w:rPr>
      </w:pPr>
    </w:p>
    <w:p w14:paraId="57B8D72B" w14:textId="765B6828" w:rsidR="00CC3F03" w:rsidRDefault="00A86250" w:rsidP="00A86250">
      <w:pPr>
        <w:pStyle w:val="ListParagraph"/>
        <w:spacing w:line="360" w:lineRule="auto"/>
        <w:ind w:left="1120"/>
        <w:jc w:val="both"/>
        <w:rPr>
          <w:b/>
          <w:bCs/>
          <w:u w:val="single"/>
        </w:rPr>
      </w:pPr>
      <w:r>
        <w:rPr>
          <w:b/>
          <w:bCs/>
          <w:u w:val="single"/>
        </w:rPr>
        <w:t>4.</w:t>
      </w:r>
      <w:r w:rsidR="00CC3F03">
        <w:rPr>
          <w:b/>
          <w:bCs/>
          <w:u w:val="single"/>
        </w:rPr>
        <w:t xml:space="preserve">Conclusion. </w:t>
      </w:r>
    </w:p>
    <w:p w14:paraId="572B6363" w14:textId="77777777" w:rsidR="00A25BAC" w:rsidRPr="00A25BAC" w:rsidRDefault="00A25BAC" w:rsidP="00A25BAC">
      <w:pPr>
        <w:pStyle w:val="NormalWeb"/>
        <w:spacing w:line="360" w:lineRule="auto"/>
        <w:ind w:firstLine="720"/>
        <w:jc w:val="both"/>
        <w:rPr>
          <w:rFonts w:ascii="Arial" w:hAnsi="Arial" w:cs="Arial"/>
          <w:color w:val="000000"/>
        </w:rPr>
      </w:pPr>
      <w:r w:rsidRPr="00A25BAC">
        <w:rPr>
          <w:rFonts w:ascii="Arial" w:hAnsi="Arial" w:cs="Arial"/>
          <w:color w:val="000000"/>
        </w:rPr>
        <w:t>This report has critically examined how political and economic macro-environmental factors shape the strategic positioning of Netflix as a pioneering organisation and Disney+ as a follower within the global video streaming industry. The analysis demonstrates that while both firms are subject to similar external pressures, their responses and resulting competitive advantages differ significantly due to timing of market entry, organisational capabilities, and strategic orientation.</w:t>
      </w:r>
    </w:p>
    <w:p w14:paraId="506BC953" w14:textId="77777777" w:rsidR="00A25BAC" w:rsidRDefault="00A25BAC" w:rsidP="00A25BAC">
      <w:pPr>
        <w:pStyle w:val="NormalWeb"/>
        <w:spacing w:line="360" w:lineRule="auto"/>
        <w:ind w:firstLine="720"/>
        <w:jc w:val="both"/>
        <w:rPr>
          <w:rFonts w:ascii="Arial" w:hAnsi="Arial" w:cs="Arial"/>
          <w:color w:val="000000"/>
        </w:rPr>
      </w:pPr>
      <w:r w:rsidRPr="00A25BAC">
        <w:rPr>
          <w:rFonts w:ascii="Arial" w:hAnsi="Arial" w:cs="Arial"/>
          <w:color w:val="000000"/>
        </w:rPr>
        <w:t xml:space="preserve">From a political perspective, regulatory frameworks such as content quotas, censorship laws, and digital taxation policies present both opportunities and threats. Netflix, as an early entrant, has demonstrated greater strategic adaptability by embedding itself within local markets through sustained investment in regional content production. This proactive response not only ensures regulatory compliance but also enhances customer engagement and differentiation, reinforcing its competitive advantage (Lobato, 2019). In contrast, Disney+, as a later entrant, faces higher initial </w:t>
      </w:r>
      <w:r w:rsidRPr="00A25BAC">
        <w:rPr>
          <w:rFonts w:ascii="Arial" w:hAnsi="Arial" w:cs="Arial"/>
          <w:color w:val="000000"/>
        </w:rPr>
        <w:lastRenderedPageBreak/>
        <w:t>compliance costs and must rapidly scale its local content capabilities to meet regulatory demands. Although its strong intellectual property portfolio provides some strategic leverage, it remains comparatively less embedded in international markets, limiting its short-term responsiveness to political pressures (Doyle, 2021).</w:t>
      </w:r>
    </w:p>
    <w:p w14:paraId="689DC483" w14:textId="4EE8B4C5" w:rsidR="00A25BAC" w:rsidRPr="00A25BAC" w:rsidRDefault="00A25BAC" w:rsidP="00A25BAC">
      <w:pPr>
        <w:pStyle w:val="NormalWeb"/>
        <w:spacing w:line="360" w:lineRule="auto"/>
        <w:ind w:firstLine="720"/>
        <w:jc w:val="both"/>
        <w:rPr>
          <w:rFonts w:ascii="Arial" w:hAnsi="Arial" w:cs="Arial"/>
          <w:color w:val="000000"/>
        </w:rPr>
      </w:pPr>
      <w:r w:rsidRPr="00A25BAC">
        <w:rPr>
          <w:rFonts w:ascii="Arial" w:hAnsi="Arial" w:cs="Arial"/>
          <w:color w:val="000000"/>
        </w:rPr>
        <w:t>Economically, both organisations operate within a highly volatile environment characterised by fluctuating consumer spending, rising production costs, and increasing competition. Netflix’s subscription-based model, combined with its global diversification, allows it to spread economic risk across multiple markets, enhancing resilience during periods of economic instability (Kotler et al., 2019). However, its high content investment strategy exposes it to cost pressures, particularly during economic downturns. Disney+, while benefiting from the financial strength and diversified revenue streams of The Walt Disney Company, remains in a growth phase where profitability is secondary to market expansion. This makes it more vulnerable to economic constraints, especially as it balances competitive pricing with rising content and operational costs.</w:t>
      </w:r>
    </w:p>
    <w:p w14:paraId="0788BEA5" w14:textId="77777777" w:rsidR="00A25BAC" w:rsidRPr="00A25BAC" w:rsidRDefault="00A25BAC" w:rsidP="00A25BAC">
      <w:pPr>
        <w:pStyle w:val="NormalWeb"/>
        <w:spacing w:line="360" w:lineRule="auto"/>
        <w:ind w:firstLine="720"/>
        <w:jc w:val="both"/>
        <w:rPr>
          <w:rFonts w:ascii="Arial" w:hAnsi="Arial" w:cs="Arial"/>
          <w:color w:val="000000"/>
        </w:rPr>
      </w:pPr>
      <w:r w:rsidRPr="00A25BAC">
        <w:rPr>
          <w:rFonts w:ascii="Arial" w:hAnsi="Arial" w:cs="Arial"/>
          <w:color w:val="000000"/>
        </w:rPr>
        <w:t>Strategically, Netflix’s first-mover advantage has enabled it to develop a highly adaptive, data-driven approach to content and market expansion, positioning it as a global leader. Disney+, on the other hand, adopts a follower strategy that leverages brand equity and franchise-based content but requires continuous investment to close the competitive gap.</w:t>
      </w:r>
    </w:p>
    <w:p w14:paraId="24066662" w14:textId="2E1E7EB0" w:rsidR="00A25BAC" w:rsidRPr="00A25BAC" w:rsidRDefault="00A25BAC" w:rsidP="00A25BAC">
      <w:pPr>
        <w:pStyle w:val="NormalWeb"/>
        <w:spacing w:line="360" w:lineRule="auto"/>
        <w:ind w:firstLine="720"/>
        <w:jc w:val="both"/>
        <w:rPr>
          <w:rFonts w:ascii="Arial" w:hAnsi="Arial" w:cs="Arial"/>
          <w:color w:val="000000"/>
        </w:rPr>
      </w:pPr>
      <w:r w:rsidRPr="00A25BAC">
        <w:rPr>
          <w:rFonts w:ascii="Arial" w:hAnsi="Arial" w:cs="Arial"/>
          <w:color w:val="000000"/>
        </w:rPr>
        <w:t>In conclusion, political and economic macro-environmental forces reinforce Netflix’s position as a strategically agile and globally integrated pioneer, while Disney+ remains in a transitional phase of adaptation. Although both firms face similar external challenges, Netflix’s early internationalisation and flexible strategic responses provide a more sustainable competitive advantage, whereas Disney’s long-term success will depend on its ability to enhance adaptability and global market integration.</w:t>
      </w:r>
    </w:p>
    <w:p w14:paraId="45B4F53D" w14:textId="77777777" w:rsidR="007A4768" w:rsidRPr="00A25BAC" w:rsidRDefault="007A4768" w:rsidP="00A25BAC">
      <w:pPr>
        <w:spacing w:line="360" w:lineRule="auto"/>
        <w:jc w:val="both"/>
        <w:rPr>
          <w:rFonts w:ascii="Arial" w:hAnsi="Arial" w:cs="Arial"/>
        </w:rPr>
      </w:pPr>
    </w:p>
    <w:p w14:paraId="570959C5" w14:textId="77777777" w:rsidR="007A4768" w:rsidRPr="00A25BAC" w:rsidRDefault="007A4768" w:rsidP="00A25BAC">
      <w:pPr>
        <w:spacing w:line="360" w:lineRule="auto"/>
        <w:jc w:val="both"/>
        <w:rPr>
          <w:rFonts w:ascii="Arial" w:hAnsi="Arial" w:cs="Arial"/>
        </w:rPr>
      </w:pPr>
    </w:p>
    <w:p w14:paraId="6B5B60C6" w14:textId="77777777" w:rsidR="007A4768" w:rsidRDefault="007A4768" w:rsidP="00F43601">
      <w:pPr>
        <w:spacing w:line="360" w:lineRule="auto"/>
        <w:jc w:val="both"/>
      </w:pPr>
    </w:p>
    <w:p w14:paraId="3842A086" w14:textId="77777777" w:rsidR="004D5589" w:rsidRDefault="004D5589" w:rsidP="00F43601">
      <w:pPr>
        <w:spacing w:line="360" w:lineRule="auto"/>
        <w:jc w:val="both"/>
      </w:pPr>
    </w:p>
    <w:p w14:paraId="15D23661" w14:textId="77777777" w:rsidR="004D5589" w:rsidRDefault="004D5589" w:rsidP="00F43601">
      <w:pPr>
        <w:spacing w:line="360" w:lineRule="auto"/>
        <w:jc w:val="both"/>
      </w:pPr>
    </w:p>
    <w:p w14:paraId="1EAB5B76" w14:textId="77777777" w:rsidR="004D5589" w:rsidRDefault="004D5589" w:rsidP="004D5589">
      <w:pPr>
        <w:spacing w:line="360" w:lineRule="auto"/>
        <w:ind w:firstLine="720"/>
        <w:jc w:val="both"/>
        <w:rPr>
          <w:b/>
          <w:bCs/>
          <w:u w:val="single"/>
        </w:rPr>
      </w:pPr>
    </w:p>
    <w:p w14:paraId="2D12649F" w14:textId="3C7CE6B4" w:rsidR="007A4768" w:rsidRDefault="004D5589" w:rsidP="004D5589">
      <w:pPr>
        <w:spacing w:line="360" w:lineRule="auto"/>
        <w:ind w:firstLine="720"/>
        <w:jc w:val="both"/>
        <w:rPr>
          <w:b/>
          <w:bCs/>
          <w:u w:val="single"/>
        </w:rPr>
      </w:pPr>
      <w:r w:rsidRPr="004D5589">
        <w:rPr>
          <w:b/>
          <w:bCs/>
          <w:u w:val="single"/>
        </w:rPr>
        <w:t xml:space="preserve">5.References </w:t>
      </w:r>
    </w:p>
    <w:p w14:paraId="7693EDF8" w14:textId="77777777" w:rsidR="00EE0EE7" w:rsidRPr="004D5589" w:rsidRDefault="00EE0EE7" w:rsidP="004D5589">
      <w:pPr>
        <w:spacing w:line="360" w:lineRule="auto"/>
        <w:ind w:firstLine="720"/>
        <w:jc w:val="both"/>
        <w:rPr>
          <w:b/>
          <w:bCs/>
          <w:u w:val="single"/>
        </w:rPr>
      </w:pPr>
    </w:p>
    <w:sdt>
      <w:sdtPr>
        <w:id w:val="-1785261091"/>
        <w:docPartObj>
          <w:docPartGallery w:val="Bibliographies"/>
          <w:docPartUnique/>
        </w:docPartObj>
      </w:sdtPr>
      <w:sdtContent>
        <w:sdt>
          <w:sdtPr>
            <w:id w:val="111145805"/>
            <w:bibliography/>
          </w:sdtPr>
          <w:sdtContent>
            <w:p w14:paraId="12F33D9E" w14:textId="77777777" w:rsidR="00EE0EE7" w:rsidRDefault="00EE0EE7" w:rsidP="00647994">
              <w:pPr>
                <w:pStyle w:val="Bibliography"/>
              </w:pPr>
            </w:p>
            <w:p w14:paraId="75A9D172" w14:textId="77777777" w:rsidR="00EE0EE7" w:rsidRDefault="007D0E6E" w:rsidP="00EE0EE7">
              <w:pPr>
                <w:pStyle w:val="Bibliography"/>
                <w:rPr>
                  <w:noProof/>
                  <w:kern w:val="0"/>
                  <w14:ligatures w14:val="none"/>
                </w:rPr>
              </w:pPr>
              <w:r>
                <w:fldChar w:fldCharType="begin"/>
              </w:r>
              <w:r>
                <w:instrText xml:space="preserve"> BIBLIOGRAPHY </w:instrText>
              </w:r>
              <w:r>
                <w:fldChar w:fldCharType="separate"/>
              </w:r>
              <w:r w:rsidR="00EE0EE7">
                <w:rPr>
                  <w:noProof/>
                </w:rPr>
                <w:t xml:space="preserve">Doyle, G., 20. </w:t>
              </w:r>
              <w:r w:rsidR="00EE0EE7">
                <w:rPr>
                  <w:i/>
                  <w:iCs/>
                  <w:noProof/>
                </w:rPr>
                <w:t xml:space="preserve">Television production: configuring for sustainability in the digital era. </w:t>
              </w:r>
              <w:r w:rsidR="00EE0EE7">
                <w:rPr>
                  <w:noProof/>
                </w:rPr>
                <w:t>[Art] (University of Glasglow).</w:t>
              </w:r>
            </w:p>
            <w:p w14:paraId="0ED4FD26" w14:textId="77777777" w:rsidR="00EE0EE7" w:rsidRDefault="00EE0EE7" w:rsidP="00EE0EE7">
              <w:pPr>
                <w:pStyle w:val="Bibliography"/>
                <w:rPr>
                  <w:noProof/>
                </w:rPr>
              </w:pPr>
              <w:r>
                <w:rPr>
                  <w:noProof/>
                </w:rPr>
                <w:t xml:space="preserve">Peterdy, K., 2022. </w:t>
              </w:r>
              <w:r>
                <w:rPr>
                  <w:i/>
                  <w:iCs/>
                  <w:noProof/>
                </w:rPr>
                <w:t xml:space="preserve">CFI. </w:t>
              </w:r>
              <w:r>
                <w:rPr>
                  <w:noProof/>
                </w:rPr>
                <w:t xml:space="preserve">[Online] </w:t>
              </w:r>
              <w:r>
                <w:rPr>
                  <w:noProof/>
                </w:rPr>
                <w:br/>
                <w:t xml:space="preserve">Available at: </w:t>
              </w:r>
              <w:r>
                <w:rPr>
                  <w:noProof/>
                  <w:u w:val="single"/>
                </w:rPr>
                <w:t>https://corporatefinanceinstitute.com/resources/management/ansoff-matrix/</w:t>
              </w:r>
              <w:r>
                <w:rPr>
                  <w:noProof/>
                </w:rPr>
                <w:br/>
                <w:t>[Accessed 20 03 2026].</w:t>
              </w:r>
            </w:p>
            <w:p w14:paraId="1C006283" w14:textId="77777777" w:rsidR="00EE0EE7" w:rsidRDefault="00EE0EE7" w:rsidP="00EE0EE7">
              <w:pPr>
                <w:pStyle w:val="Bibliography"/>
                <w:rPr>
                  <w:noProof/>
                </w:rPr>
              </w:pPr>
              <w:r>
                <w:rPr>
                  <w:noProof/>
                </w:rPr>
                <w:t xml:space="preserve">Song, J., 2024. the evolution and impact of streaming services changing the media landscape. </w:t>
              </w:r>
              <w:r>
                <w:rPr>
                  <w:i/>
                  <w:iCs/>
                  <w:noProof/>
                </w:rPr>
                <w:t xml:space="preserve">Global Media Journal, </w:t>
              </w:r>
              <w:r>
                <w:rPr>
                  <w:noProof/>
                </w:rPr>
                <w:t>22(School of Management Science and Engineering, University of Information Science and Technology, China), p. 72420.</w:t>
              </w:r>
            </w:p>
            <w:p w14:paraId="55D00EE9" w14:textId="77777777" w:rsidR="00EE0EE7" w:rsidRDefault="00EE0EE7" w:rsidP="00EE0EE7">
              <w:pPr>
                <w:pStyle w:val="Bibliography"/>
                <w:rPr>
                  <w:noProof/>
                </w:rPr>
              </w:pPr>
              <w:r>
                <w:rPr>
                  <w:noProof/>
                </w:rPr>
                <w:t xml:space="preserve">Song, J., 2024. </w:t>
              </w:r>
              <w:r>
                <w:rPr>
                  <w:i/>
                  <w:iCs/>
                  <w:noProof/>
                </w:rPr>
                <w:t xml:space="preserve">The Evolution and Impact of Streaming Services: Changing the Media Landscape. </w:t>
              </w:r>
              <w:r>
                <w:rPr>
                  <w:noProof/>
                </w:rPr>
                <w:t>[Art] ( School of Management Science and Engineering, University of Information Science and Technology, China).</w:t>
              </w:r>
            </w:p>
            <w:p w14:paraId="19478970" w14:textId="1ABFCC98" w:rsidR="008004B7" w:rsidRPr="00CC64FD" w:rsidRDefault="007D0E6E" w:rsidP="00EE0EE7">
              <w:pPr>
                <w:pStyle w:val="Bibliography"/>
                <w:rPr>
                  <w:b/>
                  <w:bCs/>
                  <w:noProof/>
                </w:rPr>
              </w:pPr>
              <w:r>
                <w:rPr>
                  <w:b/>
                  <w:bCs/>
                  <w:noProof/>
                </w:rPr>
                <w:fldChar w:fldCharType="end"/>
              </w:r>
              <w:r w:rsidR="008004B7" w:rsidRPr="008004B7">
                <w:rPr>
                  <w:rFonts w:ascii="Arial" w:hAnsi="Arial" w:cs="Arial"/>
                  <w:noProof/>
                </w:rPr>
                <w:t>Whittington, R., Regnér, P., &amp; Angwin, D. (2023). Fundamentals of strategy (Sixth edition.). Pearson.</w:t>
              </w:r>
            </w:p>
            <w:p w14:paraId="5EB94E3B" w14:textId="0BB46A33" w:rsidR="00BC182D" w:rsidRDefault="00BC182D" w:rsidP="00BC182D">
              <w:hyperlink r:id="rId9" w:history="1">
                <w:r w:rsidRPr="00B36B60">
                  <w:rPr>
                    <w:rStyle w:val="Hyperlink"/>
                  </w:rPr>
                  <w:t>https://librarysearch.uwtsd.ac.uk/permalink/44WHELF_UWTSD/1gapa6h/alma99100595302302421</w:t>
                </w:r>
              </w:hyperlink>
            </w:p>
            <w:p w14:paraId="4D39E33B" w14:textId="3D15948F" w:rsidR="00BC182D" w:rsidRDefault="00BC182D" w:rsidP="008004B7">
              <w:r>
                <w:t xml:space="preserve">  Kotler, P., Keller, K. L., Brady, M., Goodman, M., &amp; Hansen, T. (2025). Marketing management (5th European edition.). Pearson. </w:t>
              </w:r>
              <w:hyperlink r:id="rId10" w:history="1">
                <w:r w:rsidRPr="00B36B60">
                  <w:rPr>
                    <w:rStyle w:val="Hyperlink"/>
                  </w:rPr>
                  <w:t>https://ezproxy.uwtsd.ac.uk/login?url=https://www.vlebooks.com/product/openreader?id=TrinityStD&amp;accId=8886856&amp;isbn=9781292458786&amp;uid=^u</w:t>
                </w:r>
              </w:hyperlink>
            </w:p>
            <w:p w14:paraId="4DFD8924" w14:textId="619BD571" w:rsidR="002A4EB2" w:rsidRDefault="00BC182D" w:rsidP="002A4EB2">
              <w:r w:rsidRPr="00BC182D">
                <w:t>https://librarysearch.uwtsd.ac.uk/permalink/44WHELF_UWTSD/1gapa6h/alma99100708100902421</w:t>
              </w:r>
            </w:p>
          </w:sdtContent>
        </w:sdt>
        <w:p w14:paraId="7F0076D2" w14:textId="77777777" w:rsidR="002A4EB2" w:rsidRDefault="002A4EB2" w:rsidP="002A4EB2">
          <w:r>
            <w:t xml:space="preserve">  Bartlett, C. A., &amp; Ghoshal, S. (1987). Managing Across Borders: New Organizational Responses. MIT Sloan Management Review, 29(1), 43.</w:t>
          </w:r>
        </w:p>
        <w:p w14:paraId="26DEBFE4" w14:textId="6CDF9221" w:rsidR="002A4EB2" w:rsidRDefault="002A4EB2" w:rsidP="002A4EB2">
          <w:r w:rsidRPr="002A4EB2">
            <w:t>https://librarysearch.uwtsd.ac.uk/permalink/44WHELF_UWTSD/1bmis16/cdi_proquest_journals_224963244</w:t>
          </w:r>
        </w:p>
        <w:p w14:paraId="6EEEB919" w14:textId="4A745B4E" w:rsidR="002A4EB2" w:rsidRDefault="002A4EB2" w:rsidP="002A4EB2">
          <w:r>
            <w:t xml:space="preserve">  D. Cole, M., </w:t>
          </w:r>
          <w:proofErr w:type="spellStart"/>
          <w:r>
            <w:t>Etteldorf</w:t>
          </w:r>
          <w:proofErr w:type="spellEnd"/>
          <w:r>
            <w:t>, C., &amp; Ullrich, C. (2021). Updating the Rules for Online Content Dissemination: Legislative Options of the European Union and the Digital Services Act Proposal.</w:t>
          </w:r>
        </w:p>
        <w:p w14:paraId="1132287D" w14:textId="6DA14D57" w:rsidR="002A4EB2" w:rsidRDefault="002A4EB2" w:rsidP="002A4EB2">
          <w:hyperlink r:id="rId11" w:history="1">
            <w:r w:rsidRPr="00B36B60">
              <w:rPr>
                <w:rStyle w:val="Hyperlink"/>
              </w:rPr>
              <w:t>https://librarysearch.uwtsd.ac.uk/permalink/44WHELF_UWTSD/1bmis16/cdi_proquest_journals_224963244</w:t>
            </w:r>
          </w:hyperlink>
        </w:p>
        <w:p w14:paraId="044B2254" w14:textId="6F7A6647" w:rsidR="002A4EB2" w:rsidRDefault="002A4EB2" w:rsidP="002A4EB2">
          <w:r>
            <w:t>Lobato, R. (2019). Netflix Nations: The Geography of Digital Distribution (1st ed., Vol. 28). NYU Press. https://doi.org/10.18574/9781479882281</w:t>
          </w:r>
        </w:p>
        <w:p w14:paraId="47B3B26F" w14:textId="1B97B513" w:rsidR="00834E7C" w:rsidRDefault="002A4EB2" w:rsidP="00834E7C">
          <w:hyperlink r:id="rId12" w:history="1">
            <w:r w:rsidRPr="00B36B60">
              <w:rPr>
                <w:rStyle w:val="Hyperlink"/>
              </w:rPr>
              <w:t>https://librarysearch.uwtsd.ac.uk/permalink/44WHELF_UWTSD/1bmis16/cdi_jstor_books_j_ctv12pnnk3</w:t>
            </w:r>
          </w:hyperlink>
        </w:p>
        <w:p w14:paraId="169FF249" w14:textId="53D132D3" w:rsidR="002A4EB2" w:rsidRDefault="00834E7C" w:rsidP="00834E7C">
          <w:r>
            <w:t xml:space="preserve">  Global Media Streaming Market Report 2020-2025: Growth, Trends and Forecasts - ResearchAndMarkets.com. (2021). In Investment Weekly News (p. 1563). </w:t>
          </w:r>
          <w:proofErr w:type="spellStart"/>
          <w:r>
            <w:t>NewsRX</w:t>
          </w:r>
          <w:proofErr w:type="spellEnd"/>
          <w:r>
            <w:t xml:space="preserve"> LLC.</w:t>
          </w:r>
        </w:p>
        <w:p w14:paraId="464DD808" w14:textId="41F37497" w:rsidR="002A4EB2" w:rsidRDefault="00EE0EE7" w:rsidP="002A4EB2">
          <w:hyperlink r:id="rId13" w:history="1">
            <w:r w:rsidRPr="00B36B60">
              <w:rPr>
                <w:rStyle w:val="Hyperlink"/>
              </w:rPr>
              <w:t>https://librarysearch.uwtsd.ac.uk/permalink/44WHELF_UWTSD/1bmis16/cdi_gale_businessinsightsgauss_A650271877</w:t>
            </w:r>
          </w:hyperlink>
        </w:p>
        <w:p w14:paraId="3470105F" w14:textId="77777777" w:rsidR="00EE0EE7" w:rsidRDefault="00EE0EE7" w:rsidP="002A4EB2"/>
        <w:p w14:paraId="71D19FB8" w14:textId="77777777" w:rsidR="00EE0EE7" w:rsidRDefault="00EE0EE7" w:rsidP="002A4EB2"/>
        <w:p w14:paraId="3BBA0898" w14:textId="77777777" w:rsidR="00EE0EE7" w:rsidRDefault="00EE0EE7" w:rsidP="002A4EB2"/>
        <w:p w14:paraId="3342DEBE" w14:textId="4DD4855B" w:rsidR="002A4EB2" w:rsidRDefault="00834E7C" w:rsidP="002A4EB2">
          <w:r w:rsidRPr="00834E7C">
            <w:lastRenderedPageBreak/>
            <w:t>https://www.globalmediajournal.com/open-access/the-evolution-and-impact-of-streaming-services-changing-the-media-landscape.php?aid=95170</w:t>
          </w:r>
        </w:p>
        <w:p w14:paraId="78454612" w14:textId="51B8C3D6" w:rsidR="007D0E6E" w:rsidRDefault="006E1B6C" w:rsidP="002A4EB2">
          <w:r>
            <w:rPr>
              <w:rFonts w:ascii="Source Sans Pro" w:hAnsi="Source Sans Pro"/>
              <w:color w:val="2A2A2A"/>
              <w:sz w:val="23"/>
              <w:szCs w:val="23"/>
              <w:shd w:val="clear" w:color="auto" w:fill="FFFFFF"/>
            </w:rPr>
            <w:t xml:space="preserve">Jean K </w:t>
          </w:r>
          <w:proofErr w:type="spellStart"/>
          <w:r>
            <w:rPr>
              <w:rFonts w:ascii="Source Sans Pro" w:hAnsi="Source Sans Pro"/>
              <w:color w:val="2A2A2A"/>
              <w:sz w:val="23"/>
              <w:szCs w:val="23"/>
              <w:shd w:val="clear" w:color="auto" w:fill="FFFFFF"/>
            </w:rPr>
            <w:t>Chalaby</w:t>
          </w:r>
          <w:proofErr w:type="spellEnd"/>
          <w:r>
            <w:rPr>
              <w:rFonts w:ascii="Source Sans Pro" w:hAnsi="Source Sans Pro"/>
              <w:color w:val="2A2A2A"/>
              <w:sz w:val="23"/>
              <w:szCs w:val="23"/>
              <w:shd w:val="clear" w:color="auto" w:fill="FFFFFF"/>
            </w:rPr>
            <w:t>, Streaming giants and the global shift: building value chains and remapping trade flows,</w:t>
          </w:r>
          <w:r>
            <w:rPr>
              <w:rStyle w:val="apple-converted-space"/>
              <w:rFonts w:ascii="Source Sans Pro" w:hAnsi="Source Sans Pro"/>
              <w:color w:val="2A2A2A"/>
              <w:sz w:val="23"/>
              <w:szCs w:val="23"/>
              <w:shd w:val="clear" w:color="auto" w:fill="FFFFFF"/>
            </w:rPr>
            <w:t> </w:t>
          </w:r>
          <w:r>
            <w:rPr>
              <w:rStyle w:val="Emphasis"/>
              <w:rFonts w:ascii="Source Sans Pro" w:hAnsi="Source Sans Pro"/>
              <w:color w:val="2A2A2A"/>
              <w:sz w:val="23"/>
              <w:szCs w:val="23"/>
              <w:bdr w:val="none" w:sz="0" w:space="0" w:color="auto" w:frame="1"/>
            </w:rPr>
            <w:t>Journal of Communication</w:t>
          </w:r>
          <w:r>
            <w:rPr>
              <w:rFonts w:ascii="Source Sans Pro" w:hAnsi="Source Sans Pro"/>
              <w:color w:val="2A2A2A"/>
              <w:sz w:val="23"/>
              <w:szCs w:val="23"/>
              <w:shd w:val="clear" w:color="auto" w:fill="FFFFFF"/>
            </w:rPr>
            <w:t>, Volume 75, Issue 2, April 2025, Pages 112–124,</w:t>
          </w:r>
          <w:r>
            <w:rPr>
              <w:rStyle w:val="apple-converted-space"/>
              <w:rFonts w:ascii="Source Sans Pro" w:hAnsi="Source Sans Pro"/>
              <w:color w:val="2A2A2A"/>
              <w:sz w:val="23"/>
              <w:szCs w:val="23"/>
              <w:shd w:val="clear" w:color="auto" w:fill="FFFFFF"/>
            </w:rPr>
            <w:t> </w:t>
          </w:r>
          <w:hyperlink r:id="rId14" w:history="1">
            <w:r>
              <w:rPr>
                <w:rStyle w:val="Hyperlink"/>
                <w:rFonts w:ascii="Source Sans Pro" w:hAnsi="Source Sans Pro"/>
                <w:color w:val="006FB7"/>
                <w:sz w:val="23"/>
                <w:szCs w:val="23"/>
                <w:bdr w:val="none" w:sz="0" w:space="0" w:color="auto" w:frame="1"/>
              </w:rPr>
              <w:t>https://doi.org/10.1093/joc/jqae040</w:t>
            </w:r>
          </w:hyperlink>
        </w:p>
      </w:sdtContent>
    </w:sdt>
    <w:p w14:paraId="79A9024C" w14:textId="77777777" w:rsidR="007A4768" w:rsidRDefault="007A4768" w:rsidP="00F43601">
      <w:pPr>
        <w:spacing w:line="360" w:lineRule="auto"/>
        <w:jc w:val="both"/>
      </w:pPr>
    </w:p>
    <w:p w14:paraId="5AD7481E" w14:textId="77777777" w:rsidR="007A4768" w:rsidRDefault="007A4768" w:rsidP="00F43601">
      <w:pPr>
        <w:spacing w:line="360" w:lineRule="auto"/>
        <w:jc w:val="both"/>
      </w:pPr>
    </w:p>
    <w:p w14:paraId="035E8EAA" w14:textId="77777777" w:rsidR="007A4768" w:rsidRDefault="007A4768" w:rsidP="00F43601">
      <w:pPr>
        <w:spacing w:line="360" w:lineRule="auto"/>
        <w:jc w:val="both"/>
      </w:pPr>
    </w:p>
    <w:p w14:paraId="0B0E6B71" w14:textId="77777777" w:rsidR="007A4768" w:rsidRDefault="007A4768" w:rsidP="00F43601">
      <w:pPr>
        <w:spacing w:line="360" w:lineRule="auto"/>
        <w:jc w:val="both"/>
      </w:pPr>
    </w:p>
    <w:p w14:paraId="06586627" w14:textId="77777777" w:rsidR="007A4768" w:rsidRDefault="007A4768" w:rsidP="00F43601">
      <w:pPr>
        <w:spacing w:line="360" w:lineRule="auto"/>
        <w:jc w:val="both"/>
      </w:pPr>
    </w:p>
    <w:p w14:paraId="0CCC6300" w14:textId="77777777" w:rsidR="007A4768" w:rsidRDefault="007A4768" w:rsidP="00F43601">
      <w:pPr>
        <w:spacing w:line="360" w:lineRule="auto"/>
        <w:jc w:val="both"/>
      </w:pPr>
    </w:p>
    <w:p w14:paraId="221AE242" w14:textId="77777777" w:rsidR="007A4768" w:rsidRDefault="007A4768" w:rsidP="00F43601">
      <w:pPr>
        <w:spacing w:line="360" w:lineRule="auto"/>
        <w:jc w:val="both"/>
      </w:pPr>
    </w:p>
    <w:p w14:paraId="0E363856" w14:textId="77777777" w:rsidR="007A4768" w:rsidRDefault="007A4768" w:rsidP="00F43601">
      <w:pPr>
        <w:spacing w:line="360" w:lineRule="auto"/>
        <w:jc w:val="both"/>
      </w:pPr>
    </w:p>
    <w:p w14:paraId="39BE4234" w14:textId="77777777" w:rsidR="007A4768" w:rsidRDefault="007A4768" w:rsidP="00F43601">
      <w:pPr>
        <w:spacing w:line="360" w:lineRule="auto"/>
        <w:jc w:val="both"/>
      </w:pPr>
    </w:p>
    <w:p w14:paraId="0BEB8B51" w14:textId="77777777" w:rsidR="007A4768" w:rsidRDefault="007A4768" w:rsidP="00F43601">
      <w:pPr>
        <w:spacing w:line="360" w:lineRule="auto"/>
        <w:jc w:val="both"/>
      </w:pPr>
    </w:p>
    <w:p w14:paraId="1BB037C3" w14:textId="77777777" w:rsidR="007A4768" w:rsidRDefault="007A4768" w:rsidP="00F43601">
      <w:pPr>
        <w:spacing w:line="360" w:lineRule="auto"/>
        <w:jc w:val="both"/>
      </w:pPr>
    </w:p>
    <w:p w14:paraId="1D96FDCF" w14:textId="77777777" w:rsidR="00EF39BF" w:rsidRDefault="00EF39BF" w:rsidP="00F43601">
      <w:pPr>
        <w:spacing w:line="360" w:lineRule="auto"/>
        <w:jc w:val="both"/>
      </w:pPr>
    </w:p>
    <w:p w14:paraId="72F28A5F" w14:textId="77777777" w:rsidR="00EF39BF" w:rsidRDefault="00EF39BF" w:rsidP="00F43601">
      <w:pPr>
        <w:spacing w:line="360" w:lineRule="auto"/>
        <w:jc w:val="both"/>
      </w:pPr>
    </w:p>
    <w:p w14:paraId="463C991B" w14:textId="77777777" w:rsidR="00EF39BF" w:rsidRDefault="00EF39BF" w:rsidP="00F43601">
      <w:pPr>
        <w:spacing w:line="360" w:lineRule="auto"/>
        <w:jc w:val="both"/>
      </w:pPr>
    </w:p>
    <w:p w14:paraId="7B6B6880" w14:textId="77777777" w:rsidR="00EF39BF" w:rsidRDefault="00EF39BF" w:rsidP="00F43601">
      <w:pPr>
        <w:spacing w:line="360" w:lineRule="auto"/>
        <w:jc w:val="both"/>
      </w:pPr>
    </w:p>
    <w:p w14:paraId="065659C0" w14:textId="77777777" w:rsidR="00EF39BF" w:rsidRDefault="00EF39BF" w:rsidP="00F43601">
      <w:pPr>
        <w:spacing w:line="360" w:lineRule="auto"/>
        <w:jc w:val="both"/>
      </w:pPr>
    </w:p>
    <w:p w14:paraId="40BA42F6" w14:textId="77777777" w:rsidR="00EF39BF" w:rsidRDefault="00EF39BF" w:rsidP="00F43601">
      <w:pPr>
        <w:spacing w:line="360" w:lineRule="auto"/>
        <w:jc w:val="both"/>
      </w:pPr>
    </w:p>
    <w:p w14:paraId="6D40D2B6" w14:textId="77777777" w:rsidR="00EF39BF" w:rsidRDefault="00EF39BF" w:rsidP="00F43601">
      <w:pPr>
        <w:spacing w:line="360" w:lineRule="auto"/>
        <w:jc w:val="both"/>
      </w:pPr>
    </w:p>
    <w:p w14:paraId="4363D317" w14:textId="77777777" w:rsidR="00EF39BF" w:rsidRDefault="00EF39BF" w:rsidP="00F43601">
      <w:pPr>
        <w:spacing w:line="360" w:lineRule="auto"/>
        <w:jc w:val="both"/>
      </w:pPr>
    </w:p>
    <w:p w14:paraId="6652811B" w14:textId="77777777" w:rsidR="00EF39BF" w:rsidRDefault="00EF39BF" w:rsidP="00F43601">
      <w:pPr>
        <w:spacing w:line="360" w:lineRule="auto"/>
        <w:jc w:val="both"/>
      </w:pPr>
    </w:p>
    <w:p w14:paraId="76B4ADA3" w14:textId="77777777" w:rsidR="00EF39BF" w:rsidRDefault="00EF39BF" w:rsidP="00F43601">
      <w:pPr>
        <w:spacing w:line="360" w:lineRule="auto"/>
        <w:jc w:val="both"/>
      </w:pPr>
    </w:p>
    <w:sectPr w:rsidR="00EF39BF">
      <w:footerReference w:type="even" r:id="rId15"/>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809EF7A" w14:textId="77777777" w:rsidR="005742BE" w:rsidRDefault="005742BE" w:rsidP="00EB6AC2">
      <w:r>
        <w:separator/>
      </w:r>
    </w:p>
  </w:endnote>
  <w:endnote w:type="continuationSeparator" w:id="0">
    <w:p w14:paraId="370D8157" w14:textId="77777777" w:rsidR="005742BE" w:rsidRDefault="005742BE" w:rsidP="00EB6AC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ource Sans Pro">
    <w:panose1 w:val="020B0503030403020204"/>
    <w:charset w:val="00"/>
    <w:family w:val="swiss"/>
    <w:pitch w:val="variable"/>
    <w:sig w:usb0="600002F7" w:usb1="02000001"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774065915"/>
      <w:docPartObj>
        <w:docPartGallery w:val="Page Numbers (Bottom of Page)"/>
        <w:docPartUnique/>
      </w:docPartObj>
    </w:sdtPr>
    <w:sdtContent>
      <w:p w14:paraId="2E2559DD" w14:textId="02A535EA" w:rsidR="00EB6AC2" w:rsidRDefault="00EB6AC2" w:rsidP="004F051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46971C4C" w14:textId="77777777" w:rsidR="00EB6AC2" w:rsidRDefault="00EB6AC2" w:rsidP="00EB6AC2">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896485061"/>
      <w:docPartObj>
        <w:docPartGallery w:val="Page Numbers (Bottom of Page)"/>
        <w:docPartUnique/>
      </w:docPartObj>
    </w:sdtPr>
    <w:sdtContent>
      <w:p w14:paraId="14C0CD45" w14:textId="1F027A71" w:rsidR="00EB6AC2" w:rsidRDefault="00EB6AC2" w:rsidP="004F051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27D1CA6" w14:textId="77777777" w:rsidR="00EB6AC2" w:rsidRDefault="00EB6AC2" w:rsidP="00EB6AC2">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DB1D835" w14:textId="77777777" w:rsidR="005742BE" w:rsidRDefault="005742BE" w:rsidP="00EB6AC2">
      <w:r>
        <w:separator/>
      </w:r>
    </w:p>
  </w:footnote>
  <w:footnote w:type="continuationSeparator" w:id="0">
    <w:p w14:paraId="5A70BD32" w14:textId="77777777" w:rsidR="005742BE" w:rsidRDefault="005742BE" w:rsidP="00EB6AC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B003384"/>
    <w:multiLevelType w:val="multilevel"/>
    <w:tmpl w:val="0D72480E"/>
    <w:lvl w:ilvl="0">
      <w:start w:val="1"/>
      <w:numFmt w:val="decimal"/>
      <w:lvlText w:val="%1."/>
      <w:lvlJc w:val="left"/>
      <w:pPr>
        <w:ind w:left="1120" w:hanging="400"/>
      </w:pPr>
      <w:rPr>
        <w:rFonts w:hint="default"/>
      </w:rPr>
    </w:lvl>
    <w:lvl w:ilvl="1">
      <w:start w:val="1"/>
      <w:numFmt w:val="decimal"/>
      <w:lvlText w:val="%1.%2."/>
      <w:lvlJc w:val="left"/>
      <w:pPr>
        <w:ind w:left="2160" w:hanging="72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960" w:hanging="1080"/>
      </w:pPr>
      <w:rPr>
        <w:rFonts w:hint="default"/>
      </w:rPr>
    </w:lvl>
    <w:lvl w:ilvl="4">
      <w:start w:val="1"/>
      <w:numFmt w:val="decimal"/>
      <w:lvlText w:val="%1.%2.%3.%4.%5."/>
      <w:lvlJc w:val="left"/>
      <w:pPr>
        <w:ind w:left="4680" w:hanging="1080"/>
      </w:pPr>
      <w:rPr>
        <w:rFonts w:hint="default"/>
      </w:rPr>
    </w:lvl>
    <w:lvl w:ilvl="5">
      <w:start w:val="1"/>
      <w:numFmt w:val="decimal"/>
      <w:lvlText w:val="%1.%2.%3.%4.%5.%6."/>
      <w:lvlJc w:val="left"/>
      <w:pPr>
        <w:ind w:left="5760" w:hanging="1440"/>
      </w:pPr>
      <w:rPr>
        <w:rFonts w:hint="default"/>
      </w:rPr>
    </w:lvl>
    <w:lvl w:ilvl="6">
      <w:start w:val="1"/>
      <w:numFmt w:val="decimal"/>
      <w:lvlText w:val="%1.%2.%3.%4.%5.%6.%7."/>
      <w:lvlJc w:val="left"/>
      <w:pPr>
        <w:ind w:left="6480" w:hanging="1440"/>
      </w:pPr>
      <w:rPr>
        <w:rFonts w:hint="default"/>
      </w:rPr>
    </w:lvl>
    <w:lvl w:ilvl="7">
      <w:start w:val="1"/>
      <w:numFmt w:val="decimal"/>
      <w:lvlText w:val="%1.%2.%3.%4.%5.%6.%7.%8."/>
      <w:lvlJc w:val="left"/>
      <w:pPr>
        <w:ind w:left="7560" w:hanging="1800"/>
      </w:pPr>
      <w:rPr>
        <w:rFonts w:hint="default"/>
      </w:rPr>
    </w:lvl>
    <w:lvl w:ilvl="8">
      <w:start w:val="1"/>
      <w:numFmt w:val="decimal"/>
      <w:lvlText w:val="%1.%2.%3.%4.%5.%6.%7.%8.%9."/>
      <w:lvlJc w:val="left"/>
      <w:pPr>
        <w:ind w:left="8640" w:hanging="2160"/>
      </w:pPr>
      <w:rPr>
        <w:rFonts w:hint="default"/>
      </w:rPr>
    </w:lvl>
  </w:abstractNum>
  <w:abstractNum w:abstractNumId="1" w15:restartNumberingAfterBreak="0">
    <w:nsid w:val="3B06090A"/>
    <w:multiLevelType w:val="multilevel"/>
    <w:tmpl w:val="C2C212D0"/>
    <w:lvl w:ilvl="0">
      <w:start w:val="1"/>
      <w:numFmt w:val="decimal"/>
      <w:lvlText w:val="%1."/>
      <w:lvlJc w:val="left"/>
      <w:pPr>
        <w:ind w:left="720" w:hanging="360"/>
      </w:pPr>
      <w:rPr>
        <w:rFonts w:hint="default"/>
      </w:rPr>
    </w:lvl>
    <w:lvl w:ilvl="1">
      <w:start w:val="2"/>
      <w:numFmt w:val="decimal"/>
      <w:isLgl/>
      <w:lvlText w:val="%1.%2."/>
      <w:lvlJc w:val="left"/>
      <w:pPr>
        <w:ind w:left="1440" w:hanging="7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400" w:hanging="2160"/>
      </w:pPr>
      <w:rPr>
        <w:rFonts w:hint="default"/>
      </w:rPr>
    </w:lvl>
  </w:abstractNum>
  <w:abstractNum w:abstractNumId="2" w15:restartNumberingAfterBreak="0">
    <w:nsid w:val="40071E40"/>
    <w:multiLevelType w:val="multilevel"/>
    <w:tmpl w:val="7F1CC9E0"/>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3" w15:restartNumberingAfterBreak="0">
    <w:nsid w:val="41AD4BF8"/>
    <w:multiLevelType w:val="multilevel"/>
    <w:tmpl w:val="7E6EABD8"/>
    <w:lvl w:ilvl="0">
      <w:start w:val="2"/>
      <w:numFmt w:val="decimal"/>
      <w:lvlText w:val="%1"/>
      <w:lvlJc w:val="left"/>
      <w:pPr>
        <w:ind w:left="380" w:hanging="380"/>
      </w:pPr>
      <w:rPr>
        <w:rFonts w:hint="default"/>
      </w:rPr>
    </w:lvl>
    <w:lvl w:ilvl="1">
      <w:start w:val="2"/>
      <w:numFmt w:val="decimal"/>
      <w:lvlText w:val="%1.%2"/>
      <w:lvlJc w:val="left"/>
      <w:pPr>
        <w:ind w:left="1100" w:hanging="3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4" w15:restartNumberingAfterBreak="0">
    <w:nsid w:val="42C36BFB"/>
    <w:multiLevelType w:val="multilevel"/>
    <w:tmpl w:val="95125D18"/>
    <w:lvl w:ilvl="0">
      <w:start w:val="3"/>
      <w:numFmt w:val="decimal"/>
      <w:lvlText w:val="%1"/>
      <w:lvlJc w:val="left"/>
      <w:pPr>
        <w:ind w:left="360" w:hanging="360"/>
      </w:pPr>
      <w:rPr>
        <w:rFonts w:hint="default"/>
      </w:rPr>
    </w:lvl>
    <w:lvl w:ilvl="1">
      <w:start w:val="3"/>
      <w:numFmt w:val="decimal"/>
      <w:lvlText w:val="%1.%2"/>
      <w:lvlJc w:val="left"/>
      <w:pPr>
        <w:ind w:left="1800" w:hanging="360"/>
      </w:pPr>
      <w:rPr>
        <w:rFonts w:hint="default"/>
      </w:rPr>
    </w:lvl>
    <w:lvl w:ilvl="2">
      <w:start w:val="1"/>
      <w:numFmt w:val="decimal"/>
      <w:lvlText w:val="%1.%2.%3"/>
      <w:lvlJc w:val="left"/>
      <w:pPr>
        <w:ind w:left="3600" w:hanging="720"/>
      </w:pPr>
      <w:rPr>
        <w:rFonts w:hint="default"/>
      </w:rPr>
    </w:lvl>
    <w:lvl w:ilvl="3">
      <w:start w:val="1"/>
      <w:numFmt w:val="decimal"/>
      <w:lvlText w:val="%1.%2.%3.%4"/>
      <w:lvlJc w:val="left"/>
      <w:pPr>
        <w:ind w:left="5400" w:hanging="1080"/>
      </w:pPr>
      <w:rPr>
        <w:rFonts w:hint="default"/>
      </w:rPr>
    </w:lvl>
    <w:lvl w:ilvl="4">
      <w:start w:val="1"/>
      <w:numFmt w:val="decimal"/>
      <w:lvlText w:val="%1.%2.%3.%4.%5"/>
      <w:lvlJc w:val="left"/>
      <w:pPr>
        <w:ind w:left="6840" w:hanging="1080"/>
      </w:pPr>
      <w:rPr>
        <w:rFonts w:hint="default"/>
      </w:rPr>
    </w:lvl>
    <w:lvl w:ilvl="5">
      <w:start w:val="1"/>
      <w:numFmt w:val="decimal"/>
      <w:lvlText w:val="%1.%2.%3.%4.%5.%6"/>
      <w:lvlJc w:val="left"/>
      <w:pPr>
        <w:ind w:left="8640" w:hanging="1440"/>
      </w:pPr>
      <w:rPr>
        <w:rFonts w:hint="default"/>
      </w:rPr>
    </w:lvl>
    <w:lvl w:ilvl="6">
      <w:start w:val="1"/>
      <w:numFmt w:val="decimal"/>
      <w:lvlText w:val="%1.%2.%3.%4.%5.%6.%7"/>
      <w:lvlJc w:val="left"/>
      <w:pPr>
        <w:ind w:left="10080" w:hanging="1440"/>
      </w:pPr>
      <w:rPr>
        <w:rFonts w:hint="default"/>
      </w:rPr>
    </w:lvl>
    <w:lvl w:ilvl="7">
      <w:start w:val="1"/>
      <w:numFmt w:val="decimal"/>
      <w:lvlText w:val="%1.%2.%3.%4.%5.%6.%7.%8"/>
      <w:lvlJc w:val="left"/>
      <w:pPr>
        <w:ind w:left="11880" w:hanging="1800"/>
      </w:pPr>
      <w:rPr>
        <w:rFonts w:hint="default"/>
      </w:rPr>
    </w:lvl>
    <w:lvl w:ilvl="8">
      <w:start w:val="1"/>
      <w:numFmt w:val="decimal"/>
      <w:lvlText w:val="%1.%2.%3.%4.%5.%6.%7.%8.%9"/>
      <w:lvlJc w:val="left"/>
      <w:pPr>
        <w:ind w:left="13320" w:hanging="1800"/>
      </w:pPr>
      <w:rPr>
        <w:rFonts w:hint="default"/>
      </w:rPr>
    </w:lvl>
  </w:abstractNum>
  <w:abstractNum w:abstractNumId="5" w15:restartNumberingAfterBreak="0">
    <w:nsid w:val="73281DE6"/>
    <w:multiLevelType w:val="hybridMultilevel"/>
    <w:tmpl w:val="989051BC"/>
    <w:lvl w:ilvl="0" w:tplc="B8A05C34">
      <w:start w:val="2"/>
      <w:numFmt w:val="decimal"/>
      <w:lvlText w:val="%1."/>
      <w:lvlJc w:val="left"/>
      <w:pPr>
        <w:ind w:left="1080" w:hanging="360"/>
      </w:pPr>
      <w:rPr>
        <w:rFonts w:hint="default"/>
      </w:r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1414202169">
    <w:abstractNumId w:val="2"/>
  </w:num>
  <w:num w:numId="2" w16cid:durableId="851145543">
    <w:abstractNumId w:val="1"/>
  </w:num>
  <w:num w:numId="3" w16cid:durableId="129056898">
    <w:abstractNumId w:val="3"/>
  </w:num>
  <w:num w:numId="4" w16cid:durableId="1588421888">
    <w:abstractNumId w:val="4"/>
  </w:num>
  <w:num w:numId="5" w16cid:durableId="293560298">
    <w:abstractNumId w:val="5"/>
  </w:num>
  <w:num w:numId="6" w16cid:durableId="177262330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0A3E"/>
    <w:rsid w:val="0000469A"/>
    <w:rsid w:val="0002550A"/>
    <w:rsid w:val="00027F30"/>
    <w:rsid w:val="0005005C"/>
    <w:rsid w:val="00060903"/>
    <w:rsid w:val="000628F1"/>
    <w:rsid w:val="000755F1"/>
    <w:rsid w:val="00090F3D"/>
    <w:rsid w:val="000922D5"/>
    <w:rsid w:val="000B0131"/>
    <w:rsid w:val="000B641D"/>
    <w:rsid w:val="000C420C"/>
    <w:rsid w:val="000E7F07"/>
    <w:rsid w:val="000F14AB"/>
    <w:rsid w:val="00102406"/>
    <w:rsid w:val="0017522C"/>
    <w:rsid w:val="0018758A"/>
    <w:rsid w:val="001A1AB4"/>
    <w:rsid w:val="001A320C"/>
    <w:rsid w:val="001B45A8"/>
    <w:rsid w:val="0020574D"/>
    <w:rsid w:val="002262E4"/>
    <w:rsid w:val="00230ACC"/>
    <w:rsid w:val="002348D2"/>
    <w:rsid w:val="002367CF"/>
    <w:rsid w:val="00260639"/>
    <w:rsid w:val="002636B3"/>
    <w:rsid w:val="00273D21"/>
    <w:rsid w:val="00276470"/>
    <w:rsid w:val="00285ABE"/>
    <w:rsid w:val="002A4EB2"/>
    <w:rsid w:val="002B5486"/>
    <w:rsid w:val="002D1341"/>
    <w:rsid w:val="00332242"/>
    <w:rsid w:val="003566CC"/>
    <w:rsid w:val="003704C0"/>
    <w:rsid w:val="0038519B"/>
    <w:rsid w:val="0039437E"/>
    <w:rsid w:val="003B1721"/>
    <w:rsid w:val="003E44B0"/>
    <w:rsid w:val="003E461D"/>
    <w:rsid w:val="003F6850"/>
    <w:rsid w:val="00427ACB"/>
    <w:rsid w:val="004506A0"/>
    <w:rsid w:val="00465D0B"/>
    <w:rsid w:val="004A09D7"/>
    <w:rsid w:val="004A4AF3"/>
    <w:rsid w:val="004D30D5"/>
    <w:rsid w:val="004D5589"/>
    <w:rsid w:val="00520994"/>
    <w:rsid w:val="00526DDD"/>
    <w:rsid w:val="00570A26"/>
    <w:rsid w:val="005742BE"/>
    <w:rsid w:val="005E6D17"/>
    <w:rsid w:val="005F4CA5"/>
    <w:rsid w:val="005F557F"/>
    <w:rsid w:val="005F7941"/>
    <w:rsid w:val="00602A7B"/>
    <w:rsid w:val="00605B77"/>
    <w:rsid w:val="006128EE"/>
    <w:rsid w:val="0061683A"/>
    <w:rsid w:val="00647994"/>
    <w:rsid w:val="00647C30"/>
    <w:rsid w:val="00682065"/>
    <w:rsid w:val="00682BF4"/>
    <w:rsid w:val="006A5D8F"/>
    <w:rsid w:val="006A66F6"/>
    <w:rsid w:val="006B6B89"/>
    <w:rsid w:val="006D1304"/>
    <w:rsid w:val="006E1B6C"/>
    <w:rsid w:val="0070054F"/>
    <w:rsid w:val="00733CE3"/>
    <w:rsid w:val="00762389"/>
    <w:rsid w:val="00781197"/>
    <w:rsid w:val="007A2AEC"/>
    <w:rsid w:val="007A4768"/>
    <w:rsid w:val="007A4F73"/>
    <w:rsid w:val="007B6C52"/>
    <w:rsid w:val="007C6EE4"/>
    <w:rsid w:val="007D0E6E"/>
    <w:rsid w:val="008004B7"/>
    <w:rsid w:val="00816326"/>
    <w:rsid w:val="0083427B"/>
    <w:rsid w:val="00834E7C"/>
    <w:rsid w:val="008550B1"/>
    <w:rsid w:val="008802B1"/>
    <w:rsid w:val="00882ACC"/>
    <w:rsid w:val="008A3F9E"/>
    <w:rsid w:val="008D433B"/>
    <w:rsid w:val="0090562E"/>
    <w:rsid w:val="00947633"/>
    <w:rsid w:val="00956F5D"/>
    <w:rsid w:val="0097043D"/>
    <w:rsid w:val="0098716E"/>
    <w:rsid w:val="0099550A"/>
    <w:rsid w:val="009A78BA"/>
    <w:rsid w:val="009B7130"/>
    <w:rsid w:val="009C369D"/>
    <w:rsid w:val="009D2D4D"/>
    <w:rsid w:val="009E7BA2"/>
    <w:rsid w:val="009F7BAF"/>
    <w:rsid w:val="00A07F19"/>
    <w:rsid w:val="00A2063A"/>
    <w:rsid w:val="00A25BAC"/>
    <w:rsid w:val="00A32717"/>
    <w:rsid w:val="00A351A3"/>
    <w:rsid w:val="00A67394"/>
    <w:rsid w:val="00A86250"/>
    <w:rsid w:val="00AA32D2"/>
    <w:rsid w:val="00AB42E8"/>
    <w:rsid w:val="00AB756B"/>
    <w:rsid w:val="00AD70B7"/>
    <w:rsid w:val="00AF6149"/>
    <w:rsid w:val="00B03B29"/>
    <w:rsid w:val="00B12A6D"/>
    <w:rsid w:val="00B2719E"/>
    <w:rsid w:val="00B75CF8"/>
    <w:rsid w:val="00B81550"/>
    <w:rsid w:val="00BC182D"/>
    <w:rsid w:val="00BE553B"/>
    <w:rsid w:val="00BF2FA8"/>
    <w:rsid w:val="00C01DB7"/>
    <w:rsid w:val="00C1655B"/>
    <w:rsid w:val="00C524DF"/>
    <w:rsid w:val="00C52A90"/>
    <w:rsid w:val="00C539E8"/>
    <w:rsid w:val="00C81B81"/>
    <w:rsid w:val="00C83696"/>
    <w:rsid w:val="00CB2A3F"/>
    <w:rsid w:val="00CC3F03"/>
    <w:rsid w:val="00CC64FD"/>
    <w:rsid w:val="00CF5BC3"/>
    <w:rsid w:val="00D21CD6"/>
    <w:rsid w:val="00D2751F"/>
    <w:rsid w:val="00D5555A"/>
    <w:rsid w:val="00D613EF"/>
    <w:rsid w:val="00D64538"/>
    <w:rsid w:val="00DA6719"/>
    <w:rsid w:val="00DC4C85"/>
    <w:rsid w:val="00E10F1C"/>
    <w:rsid w:val="00E32409"/>
    <w:rsid w:val="00E60040"/>
    <w:rsid w:val="00E60B53"/>
    <w:rsid w:val="00E82C4B"/>
    <w:rsid w:val="00EA1EBC"/>
    <w:rsid w:val="00EB6AC2"/>
    <w:rsid w:val="00EC0A3E"/>
    <w:rsid w:val="00EE0EE7"/>
    <w:rsid w:val="00EF32BA"/>
    <w:rsid w:val="00EF39BF"/>
    <w:rsid w:val="00F11D06"/>
    <w:rsid w:val="00F43601"/>
    <w:rsid w:val="00F51257"/>
    <w:rsid w:val="00F9502B"/>
    <w:rsid w:val="00FB0626"/>
    <w:rsid w:val="00FB20F3"/>
    <w:rsid w:val="00FD4A0E"/>
    <w:rsid w:val="00FF27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CD87F7"/>
  <w15:chartTrackingRefBased/>
  <w15:docId w15:val="{E1858AF6-74AD-6A42-A25E-3EEFA6B794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05B77"/>
  </w:style>
  <w:style w:type="paragraph" w:styleId="Heading1">
    <w:name w:val="heading 1"/>
    <w:basedOn w:val="Normal"/>
    <w:next w:val="Normal"/>
    <w:link w:val="Heading1Char"/>
    <w:uiPriority w:val="9"/>
    <w:qFormat/>
    <w:rsid w:val="00EC0A3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C0A3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C0A3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C0A3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C0A3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C0A3E"/>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C0A3E"/>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C0A3E"/>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C0A3E"/>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C0A3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C0A3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C0A3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C0A3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C0A3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C0A3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C0A3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C0A3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C0A3E"/>
    <w:rPr>
      <w:rFonts w:eastAsiaTheme="majorEastAsia" w:cstheme="majorBidi"/>
      <w:color w:val="272727" w:themeColor="text1" w:themeTint="D8"/>
    </w:rPr>
  </w:style>
  <w:style w:type="paragraph" w:styleId="Title">
    <w:name w:val="Title"/>
    <w:basedOn w:val="Normal"/>
    <w:next w:val="Normal"/>
    <w:link w:val="TitleChar"/>
    <w:uiPriority w:val="10"/>
    <w:qFormat/>
    <w:rsid w:val="00EC0A3E"/>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C0A3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C0A3E"/>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C0A3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C0A3E"/>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EC0A3E"/>
    <w:rPr>
      <w:i/>
      <w:iCs/>
      <w:color w:val="404040" w:themeColor="text1" w:themeTint="BF"/>
    </w:rPr>
  </w:style>
  <w:style w:type="paragraph" w:styleId="ListParagraph">
    <w:name w:val="List Paragraph"/>
    <w:basedOn w:val="Normal"/>
    <w:uiPriority w:val="34"/>
    <w:qFormat/>
    <w:rsid w:val="00EC0A3E"/>
    <w:pPr>
      <w:ind w:left="720"/>
      <w:contextualSpacing/>
    </w:pPr>
  </w:style>
  <w:style w:type="character" w:styleId="IntenseEmphasis">
    <w:name w:val="Intense Emphasis"/>
    <w:basedOn w:val="DefaultParagraphFont"/>
    <w:uiPriority w:val="21"/>
    <w:qFormat/>
    <w:rsid w:val="00EC0A3E"/>
    <w:rPr>
      <w:i/>
      <w:iCs/>
      <w:color w:val="0F4761" w:themeColor="accent1" w:themeShade="BF"/>
    </w:rPr>
  </w:style>
  <w:style w:type="paragraph" w:styleId="IntenseQuote">
    <w:name w:val="Intense Quote"/>
    <w:basedOn w:val="Normal"/>
    <w:next w:val="Normal"/>
    <w:link w:val="IntenseQuoteChar"/>
    <w:uiPriority w:val="30"/>
    <w:qFormat/>
    <w:rsid w:val="00EC0A3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C0A3E"/>
    <w:rPr>
      <w:i/>
      <w:iCs/>
      <w:color w:val="0F4761" w:themeColor="accent1" w:themeShade="BF"/>
    </w:rPr>
  </w:style>
  <w:style w:type="character" w:styleId="IntenseReference">
    <w:name w:val="Intense Reference"/>
    <w:basedOn w:val="DefaultParagraphFont"/>
    <w:uiPriority w:val="32"/>
    <w:qFormat/>
    <w:rsid w:val="00EC0A3E"/>
    <w:rPr>
      <w:b/>
      <w:bCs/>
      <w:smallCaps/>
      <w:color w:val="0F4761" w:themeColor="accent1" w:themeShade="BF"/>
      <w:spacing w:val="5"/>
    </w:rPr>
  </w:style>
  <w:style w:type="paragraph" w:styleId="TOCHeading">
    <w:name w:val="TOC Heading"/>
    <w:basedOn w:val="Heading1"/>
    <w:next w:val="Normal"/>
    <w:uiPriority w:val="39"/>
    <w:unhideWhenUsed/>
    <w:qFormat/>
    <w:rsid w:val="004D30D5"/>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4D30D5"/>
    <w:pPr>
      <w:spacing w:before="120"/>
    </w:pPr>
    <w:rPr>
      <w:b/>
      <w:bCs/>
      <w:i/>
      <w:iCs/>
    </w:rPr>
  </w:style>
  <w:style w:type="character" w:styleId="Hyperlink">
    <w:name w:val="Hyperlink"/>
    <w:basedOn w:val="DefaultParagraphFont"/>
    <w:uiPriority w:val="99"/>
    <w:unhideWhenUsed/>
    <w:rsid w:val="004D30D5"/>
    <w:rPr>
      <w:color w:val="467886" w:themeColor="hyperlink"/>
      <w:u w:val="single"/>
    </w:rPr>
  </w:style>
  <w:style w:type="paragraph" w:styleId="TOC2">
    <w:name w:val="toc 2"/>
    <w:basedOn w:val="Normal"/>
    <w:next w:val="Normal"/>
    <w:autoRedefine/>
    <w:uiPriority w:val="39"/>
    <w:unhideWhenUsed/>
    <w:rsid w:val="004D30D5"/>
    <w:pPr>
      <w:spacing w:before="120"/>
      <w:ind w:left="240"/>
    </w:pPr>
    <w:rPr>
      <w:b/>
      <w:bCs/>
      <w:sz w:val="22"/>
      <w:szCs w:val="22"/>
    </w:rPr>
  </w:style>
  <w:style w:type="paragraph" w:styleId="TOC3">
    <w:name w:val="toc 3"/>
    <w:basedOn w:val="Normal"/>
    <w:next w:val="Normal"/>
    <w:autoRedefine/>
    <w:uiPriority w:val="39"/>
    <w:unhideWhenUsed/>
    <w:rsid w:val="004D30D5"/>
    <w:pPr>
      <w:ind w:left="480"/>
    </w:pPr>
    <w:rPr>
      <w:sz w:val="20"/>
      <w:szCs w:val="20"/>
    </w:rPr>
  </w:style>
  <w:style w:type="paragraph" w:styleId="Footer">
    <w:name w:val="footer"/>
    <w:basedOn w:val="Normal"/>
    <w:link w:val="FooterChar"/>
    <w:uiPriority w:val="99"/>
    <w:unhideWhenUsed/>
    <w:rsid w:val="00EB6AC2"/>
    <w:pPr>
      <w:tabs>
        <w:tab w:val="center" w:pos="4513"/>
        <w:tab w:val="right" w:pos="9026"/>
      </w:tabs>
    </w:pPr>
  </w:style>
  <w:style w:type="character" w:customStyle="1" w:styleId="FooterChar">
    <w:name w:val="Footer Char"/>
    <w:basedOn w:val="DefaultParagraphFont"/>
    <w:link w:val="Footer"/>
    <w:uiPriority w:val="99"/>
    <w:rsid w:val="00EB6AC2"/>
  </w:style>
  <w:style w:type="character" w:styleId="PageNumber">
    <w:name w:val="page number"/>
    <w:basedOn w:val="DefaultParagraphFont"/>
    <w:uiPriority w:val="99"/>
    <w:semiHidden/>
    <w:unhideWhenUsed/>
    <w:rsid w:val="00EB6AC2"/>
  </w:style>
  <w:style w:type="paragraph" w:styleId="TOC4">
    <w:name w:val="toc 4"/>
    <w:basedOn w:val="Normal"/>
    <w:next w:val="Normal"/>
    <w:autoRedefine/>
    <w:uiPriority w:val="39"/>
    <w:semiHidden/>
    <w:unhideWhenUsed/>
    <w:rsid w:val="008802B1"/>
    <w:pPr>
      <w:ind w:left="720"/>
    </w:pPr>
    <w:rPr>
      <w:sz w:val="20"/>
      <w:szCs w:val="20"/>
    </w:rPr>
  </w:style>
  <w:style w:type="paragraph" w:styleId="TOC5">
    <w:name w:val="toc 5"/>
    <w:basedOn w:val="Normal"/>
    <w:next w:val="Normal"/>
    <w:autoRedefine/>
    <w:uiPriority w:val="39"/>
    <w:semiHidden/>
    <w:unhideWhenUsed/>
    <w:rsid w:val="008802B1"/>
    <w:pPr>
      <w:ind w:left="960"/>
    </w:pPr>
    <w:rPr>
      <w:sz w:val="20"/>
      <w:szCs w:val="20"/>
    </w:rPr>
  </w:style>
  <w:style w:type="paragraph" w:styleId="TOC6">
    <w:name w:val="toc 6"/>
    <w:basedOn w:val="Normal"/>
    <w:next w:val="Normal"/>
    <w:autoRedefine/>
    <w:uiPriority w:val="39"/>
    <w:semiHidden/>
    <w:unhideWhenUsed/>
    <w:rsid w:val="008802B1"/>
    <w:pPr>
      <w:ind w:left="1200"/>
    </w:pPr>
    <w:rPr>
      <w:sz w:val="20"/>
      <w:szCs w:val="20"/>
    </w:rPr>
  </w:style>
  <w:style w:type="paragraph" w:styleId="TOC7">
    <w:name w:val="toc 7"/>
    <w:basedOn w:val="Normal"/>
    <w:next w:val="Normal"/>
    <w:autoRedefine/>
    <w:uiPriority w:val="39"/>
    <w:semiHidden/>
    <w:unhideWhenUsed/>
    <w:rsid w:val="008802B1"/>
    <w:pPr>
      <w:ind w:left="1440"/>
    </w:pPr>
    <w:rPr>
      <w:sz w:val="20"/>
      <w:szCs w:val="20"/>
    </w:rPr>
  </w:style>
  <w:style w:type="paragraph" w:styleId="TOC8">
    <w:name w:val="toc 8"/>
    <w:basedOn w:val="Normal"/>
    <w:next w:val="Normal"/>
    <w:autoRedefine/>
    <w:uiPriority w:val="39"/>
    <w:semiHidden/>
    <w:unhideWhenUsed/>
    <w:rsid w:val="008802B1"/>
    <w:pPr>
      <w:ind w:left="1680"/>
    </w:pPr>
    <w:rPr>
      <w:sz w:val="20"/>
      <w:szCs w:val="20"/>
    </w:rPr>
  </w:style>
  <w:style w:type="paragraph" w:styleId="TOC9">
    <w:name w:val="toc 9"/>
    <w:basedOn w:val="Normal"/>
    <w:next w:val="Normal"/>
    <w:autoRedefine/>
    <w:uiPriority w:val="39"/>
    <w:semiHidden/>
    <w:unhideWhenUsed/>
    <w:rsid w:val="008802B1"/>
    <w:pPr>
      <w:ind w:left="1920"/>
    </w:pPr>
    <w:rPr>
      <w:sz w:val="20"/>
      <w:szCs w:val="20"/>
    </w:rPr>
  </w:style>
  <w:style w:type="character" w:styleId="UnresolvedMention">
    <w:name w:val="Unresolved Mention"/>
    <w:basedOn w:val="DefaultParagraphFont"/>
    <w:uiPriority w:val="99"/>
    <w:semiHidden/>
    <w:unhideWhenUsed/>
    <w:rsid w:val="00090F3D"/>
    <w:rPr>
      <w:color w:val="605E5C"/>
      <w:shd w:val="clear" w:color="auto" w:fill="E1DFDD"/>
    </w:rPr>
  </w:style>
  <w:style w:type="character" w:styleId="PlaceholderText">
    <w:name w:val="Placeholder Text"/>
    <w:basedOn w:val="DefaultParagraphFont"/>
    <w:uiPriority w:val="99"/>
    <w:semiHidden/>
    <w:rsid w:val="00102406"/>
    <w:rPr>
      <w:color w:val="666666"/>
    </w:rPr>
  </w:style>
  <w:style w:type="paragraph" w:styleId="NormalWeb">
    <w:name w:val="Normal (Web)"/>
    <w:basedOn w:val="Normal"/>
    <w:uiPriority w:val="99"/>
    <w:unhideWhenUsed/>
    <w:rsid w:val="00A25BAC"/>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D64538"/>
  </w:style>
  <w:style w:type="character" w:styleId="Strong">
    <w:name w:val="Strong"/>
    <w:basedOn w:val="DefaultParagraphFont"/>
    <w:uiPriority w:val="22"/>
    <w:qFormat/>
    <w:rsid w:val="00D64538"/>
    <w:rPr>
      <w:b/>
      <w:bCs/>
    </w:rPr>
  </w:style>
  <w:style w:type="paragraph" w:styleId="NoSpacing">
    <w:name w:val="No Spacing"/>
    <w:uiPriority w:val="1"/>
    <w:qFormat/>
    <w:rsid w:val="004D5589"/>
  </w:style>
  <w:style w:type="paragraph" w:styleId="Bibliography">
    <w:name w:val="Bibliography"/>
    <w:basedOn w:val="Normal"/>
    <w:next w:val="Normal"/>
    <w:uiPriority w:val="37"/>
    <w:unhideWhenUsed/>
    <w:rsid w:val="007D0E6E"/>
  </w:style>
  <w:style w:type="character" w:styleId="Emphasis">
    <w:name w:val="Emphasis"/>
    <w:basedOn w:val="DefaultParagraphFont"/>
    <w:uiPriority w:val="20"/>
    <w:qFormat/>
    <w:rsid w:val="006E1B6C"/>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6216882">
      <w:bodyDiv w:val="1"/>
      <w:marLeft w:val="0"/>
      <w:marRight w:val="0"/>
      <w:marTop w:val="0"/>
      <w:marBottom w:val="0"/>
      <w:divBdr>
        <w:top w:val="none" w:sz="0" w:space="0" w:color="auto"/>
        <w:left w:val="none" w:sz="0" w:space="0" w:color="auto"/>
        <w:bottom w:val="none" w:sz="0" w:space="0" w:color="auto"/>
        <w:right w:val="none" w:sz="0" w:space="0" w:color="auto"/>
      </w:divBdr>
    </w:div>
    <w:div w:id="247926287">
      <w:bodyDiv w:val="1"/>
      <w:marLeft w:val="0"/>
      <w:marRight w:val="0"/>
      <w:marTop w:val="0"/>
      <w:marBottom w:val="0"/>
      <w:divBdr>
        <w:top w:val="none" w:sz="0" w:space="0" w:color="auto"/>
        <w:left w:val="none" w:sz="0" w:space="0" w:color="auto"/>
        <w:bottom w:val="none" w:sz="0" w:space="0" w:color="auto"/>
        <w:right w:val="none" w:sz="0" w:space="0" w:color="auto"/>
      </w:divBdr>
    </w:div>
    <w:div w:id="283656070">
      <w:bodyDiv w:val="1"/>
      <w:marLeft w:val="0"/>
      <w:marRight w:val="0"/>
      <w:marTop w:val="0"/>
      <w:marBottom w:val="0"/>
      <w:divBdr>
        <w:top w:val="none" w:sz="0" w:space="0" w:color="auto"/>
        <w:left w:val="none" w:sz="0" w:space="0" w:color="auto"/>
        <w:bottom w:val="none" w:sz="0" w:space="0" w:color="auto"/>
        <w:right w:val="none" w:sz="0" w:space="0" w:color="auto"/>
      </w:divBdr>
    </w:div>
    <w:div w:id="316030203">
      <w:bodyDiv w:val="1"/>
      <w:marLeft w:val="0"/>
      <w:marRight w:val="0"/>
      <w:marTop w:val="0"/>
      <w:marBottom w:val="0"/>
      <w:divBdr>
        <w:top w:val="none" w:sz="0" w:space="0" w:color="auto"/>
        <w:left w:val="none" w:sz="0" w:space="0" w:color="auto"/>
        <w:bottom w:val="none" w:sz="0" w:space="0" w:color="auto"/>
        <w:right w:val="none" w:sz="0" w:space="0" w:color="auto"/>
      </w:divBdr>
    </w:div>
    <w:div w:id="852844540">
      <w:bodyDiv w:val="1"/>
      <w:marLeft w:val="0"/>
      <w:marRight w:val="0"/>
      <w:marTop w:val="0"/>
      <w:marBottom w:val="0"/>
      <w:divBdr>
        <w:top w:val="none" w:sz="0" w:space="0" w:color="auto"/>
        <w:left w:val="none" w:sz="0" w:space="0" w:color="auto"/>
        <w:bottom w:val="none" w:sz="0" w:space="0" w:color="auto"/>
        <w:right w:val="none" w:sz="0" w:space="0" w:color="auto"/>
      </w:divBdr>
    </w:div>
    <w:div w:id="1188105851">
      <w:bodyDiv w:val="1"/>
      <w:marLeft w:val="0"/>
      <w:marRight w:val="0"/>
      <w:marTop w:val="0"/>
      <w:marBottom w:val="0"/>
      <w:divBdr>
        <w:top w:val="none" w:sz="0" w:space="0" w:color="auto"/>
        <w:left w:val="none" w:sz="0" w:space="0" w:color="auto"/>
        <w:bottom w:val="none" w:sz="0" w:space="0" w:color="auto"/>
        <w:right w:val="none" w:sz="0" w:space="0" w:color="auto"/>
      </w:divBdr>
    </w:div>
    <w:div w:id="1249265531">
      <w:bodyDiv w:val="1"/>
      <w:marLeft w:val="0"/>
      <w:marRight w:val="0"/>
      <w:marTop w:val="0"/>
      <w:marBottom w:val="0"/>
      <w:divBdr>
        <w:top w:val="none" w:sz="0" w:space="0" w:color="auto"/>
        <w:left w:val="none" w:sz="0" w:space="0" w:color="auto"/>
        <w:bottom w:val="none" w:sz="0" w:space="0" w:color="auto"/>
        <w:right w:val="none" w:sz="0" w:space="0" w:color="auto"/>
      </w:divBdr>
    </w:div>
    <w:div w:id="1311717366">
      <w:bodyDiv w:val="1"/>
      <w:marLeft w:val="0"/>
      <w:marRight w:val="0"/>
      <w:marTop w:val="0"/>
      <w:marBottom w:val="0"/>
      <w:divBdr>
        <w:top w:val="none" w:sz="0" w:space="0" w:color="auto"/>
        <w:left w:val="none" w:sz="0" w:space="0" w:color="auto"/>
        <w:bottom w:val="none" w:sz="0" w:space="0" w:color="auto"/>
        <w:right w:val="none" w:sz="0" w:space="0" w:color="auto"/>
      </w:divBdr>
    </w:div>
    <w:div w:id="1609848033">
      <w:bodyDiv w:val="1"/>
      <w:marLeft w:val="0"/>
      <w:marRight w:val="0"/>
      <w:marTop w:val="0"/>
      <w:marBottom w:val="0"/>
      <w:divBdr>
        <w:top w:val="none" w:sz="0" w:space="0" w:color="auto"/>
        <w:left w:val="none" w:sz="0" w:space="0" w:color="auto"/>
        <w:bottom w:val="none" w:sz="0" w:space="0" w:color="auto"/>
        <w:right w:val="none" w:sz="0" w:space="0" w:color="auto"/>
      </w:divBdr>
    </w:div>
    <w:div w:id="20412744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librarysearch.uwtsd.ac.uk/permalink/44WHELF_UWTSD/1bmis16/cdi_gale_businessinsightsgauss_A650271877"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librarysearch.uwtsd.ac.uk/permalink/44WHELF_UWTSD/1bmis16/cdi_jstor_books_j_ctv12pnnk3"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librarysearch.uwtsd.ac.uk/permalink/44WHELF_UWTSD/1bmis16/cdi_proquest_journals_224963244"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ezproxy.uwtsd.ac.uk/login?url=https://www.vlebooks.com/product/openreader?id=TrinityStD&amp;accId=8886856&amp;isbn=9781292458786&amp;uid=%5eu" TargetMode="External"/><Relationship Id="rId4" Type="http://schemas.openxmlformats.org/officeDocument/2006/relationships/settings" Target="settings.xml"/><Relationship Id="rId9" Type="http://schemas.openxmlformats.org/officeDocument/2006/relationships/hyperlink" Target="https://librarysearch.uwtsd.ac.uk/permalink/44WHELF_UWTSD/1gapa6h/alma99100595302302421" TargetMode="External"/><Relationship Id="rId14" Type="http://schemas.openxmlformats.org/officeDocument/2006/relationships/hyperlink" Target="https://doi.org/10.1093/joc/jqae04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Kyl22</b:Tag>
    <b:SourceType>DocumentFromInternetSite</b:SourceType>
    <b:Guid>{6BF49A1C-34D1-8E47-B730-3CF2C7250E1E}</b:Guid>
    <b:LCID>en-GB</b:LCID>
    <b:Author>
      <b:Author>
        <b:NameList>
          <b:Person>
            <b:Last>Peterdy</b:Last>
            <b:First>Kyle</b:First>
          </b:Person>
        </b:NameList>
      </b:Author>
    </b:Author>
    <b:Title>CFI</b:Title>
    <b:URL>https://corporatefinanceinstitute.com/resources/management/ansoff-matrix/</b:URL>
    <b:Year>2022</b:Year>
    <b:Month>05</b:Month>
    <b:Day>8</b:Day>
    <b:YearAccessed>2026</b:YearAccessed>
    <b:MonthAccessed>03</b:MonthAccessed>
    <b:DayAccessed>20</b:DayAccessed>
    <b:RefOrder>1</b:RefOrder>
  </b:Source>
  <b:Source>
    <b:Tag>Gil20</b:Tag>
    <b:SourceType>Art</b:SourceType>
    <b:Guid>{4ECD70CB-17EC-FB48-B02C-6FF29E016884}</b:Guid>
    <b:Title>Television production: configuring for sustainability in the digital era</b:Title>
    <b:Year>20</b:Year>
    <b:LCID>en-GB</b:LCID>
    <b:Author>
      <b:Artist>
        <b:NameList>
          <b:Person>
            <b:Last>Doyle</b:Last>
            <b:First>Gillian</b:First>
          </b:Person>
        </b:NameList>
      </b:Artist>
    </b:Author>
    <b:Institution>University of Glasglow</b:Institution>
    <b:RefOrder>2</b:RefOrder>
  </b:Source>
  <b:Source>
    <b:Tag>Jon24</b:Tag>
    <b:SourceType>JournalArticle</b:SourceType>
    <b:Guid>{FFEA89DA-9EEE-554B-A622-029D5D369965}</b:Guid>
    <b:Title>the evolution and impact of streaming services changing the media landscape</b:Title>
    <b:Year>2024</b:Year>
    <b:LCID>en-GB</b:LCID>
    <b:Author>
      <b:Author>
        <b:NameList>
          <b:Person>
            <b:Last>Song</b:Last>
            <b:First>Jonah</b:First>
          </b:Person>
        </b:NameList>
      </b:Author>
    </b:Author>
    <b:JournalName>Global Media Journal</b:JournalName>
    <b:Volume>22</b:Volume>
    <b:Issue>School of Management Science and Engineering, University of Information Science and Technology, China</b:Issue>
    <b:Pages>72420</b:Pages>
    <b:RefOrder>3</b:RefOrder>
  </b:Source>
  <b:Source>
    <b:Tag>Jon241</b:Tag>
    <b:SourceType>Art</b:SourceType>
    <b:Guid>{8512C778-BD37-7F40-A4DC-F079E18AE87D}</b:Guid>
    <b:Title>The Evolution and Impact of Streaming Services: Changing the Media Landscape</b:Title>
    <b:Year>2024</b:Year>
    <b:LCID>en-GB</b:LCID>
    <b:Author>
      <b:Artist>
        <b:NameList>
          <b:Person>
            <b:Last>Song</b:Last>
            <b:First>Jonah</b:First>
          </b:Person>
        </b:NameList>
      </b:Artist>
    </b:Author>
    <b:Institution> School of Management Science and Engineering, University of Information Science and Technology, China</b:Institution>
    <b:RefOrder>4</b:RefOrder>
  </b:Source>
</b:Sources>
</file>

<file path=customXml/itemProps1.xml><?xml version="1.0" encoding="utf-8"?>
<ds:datastoreItem xmlns:ds="http://schemas.openxmlformats.org/officeDocument/2006/customXml" ds:itemID="{AA8C95C6-D48D-F64C-BC97-12CB1C050B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13</Pages>
  <Words>3097</Words>
  <Characters>21000</Characters>
  <Application>Microsoft Office Word</Application>
  <DocSecurity>0</DocSecurity>
  <Lines>456</Lines>
  <Paragraphs>125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23972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Georgiana Chirita</dc:creator>
  <cp:keywords/>
  <dc:description/>
  <cp:lastModifiedBy>Georgiana Chirita</cp:lastModifiedBy>
  <cp:revision>2</cp:revision>
  <cp:lastPrinted>2026-03-23T19:22:00Z</cp:lastPrinted>
  <dcterms:created xsi:type="dcterms:W3CDTF">2026-03-27T11:16:00Z</dcterms:created>
  <dcterms:modified xsi:type="dcterms:W3CDTF">2026-03-27T11:16:00Z</dcterms:modified>
</cp:coreProperties>
</file>