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32F09" w14:textId="77777777" w:rsidR="00D52387" w:rsidRDefault="00D52387" w:rsidP="005418B1"/>
    <w:p w14:paraId="3F12C997" w14:textId="2DEDF23F" w:rsidR="005418B1" w:rsidRDefault="005418B1" w:rsidP="005418B1">
      <w:r>
        <w:t xml:space="preserve">The scholarly viewpoint that the repatriation of culturally significant museum displays is subjective to every different case, considering the </w:t>
      </w:r>
      <w:r w:rsidR="00CF6025">
        <w:t>records and discussions</w:t>
      </w:r>
      <w:r>
        <w:t xml:space="preserve"> given for each one, is explored in </w:t>
      </w:r>
      <w:r w:rsidRPr="00CF6025">
        <w:rPr>
          <w:i/>
          <w:iCs/>
        </w:rPr>
        <w:t xml:space="preserve">Human </w:t>
      </w:r>
      <w:r w:rsidR="002E0840" w:rsidRPr="00CF6025">
        <w:rPr>
          <w:i/>
          <w:iCs/>
        </w:rPr>
        <w:t>remains:</w:t>
      </w:r>
      <w:r w:rsidRPr="00CF6025">
        <w:rPr>
          <w:i/>
          <w:iCs/>
        </w:rPr>
        <w:t xml:space="preserve"> guide for museums and academic institutions</w:t>
      </w:r>
      <w:r w:rsidR="00CF6025" w:rsidRPr="00CF6025">
        <w:t xml:space="preserve">. </w:t>
      </w:r>
      <w:r w:rsidRPr="00CF6025">
        <w:t>For</w:t>
      </w:r>
      <w:r>
        <w:t xml:space="preserve"> my essay, I will look at chapter</w:t>
      </w:r>
      <w:r>
        <w:t>s</w:t>
      </w:r>
      <w:r>
        <w:t xml:space="preserve"> 2 &amp; 3, which discuss the guidelines and rules that should be in place for museums in cases </w:t>
      </w:r>
      <w:r w:rsidR="00CF6025">
        <w:t xml:space="preserve">where </w:t>
      </w:r>
      <w:r>
        <w:t>they display the artifacts, or they return the artifacts.</w:t>
      </w:r>
    </w:p>
    <w:p w14:paraId="18680906" w14:textId="27984877" w:rsidR="005418B1" w:rsidRDefault="005418B1" w:rsidP="005418B1">
      <w:r>
        <w:t xml:space="preserve">This source explains how </w:t>
      </w:r>
      <w:r w:rsidR="00CF6025">
        <w:t>regulations</w:t>
      </w:r>
      <w:r>
        <w:t xml:space="preserve"> are needed for museums to handle, in whatever way, (meaning </w:t>
      </w:r>
      <w:r w:rsidR="00CF6025">
        <w:t xml:space="preserve">either </w:t>
      </w:r>
      <w:r>
        <w:t>to display or return) their exhibits. This will help in my essay as these are specifically laid</w:t>
      </w:r>
      <w:r w:rsidR="00CF6025">
        <w:t>-</w:t>
      </w:r>
      <w:r>
        <w:t xml:space="preserve">out boundaries that I can </w:t>
      </w:r>
      <w:r w:rsidR="002E0840">
        <w:t>reference and</w:t>
      </w:r>
      <w:r>
        <w:t xml:space="preserve"> say they have been crossed in relation to the </w:t>
      </w:r>
      <w:r w:rsidR="002E0840">
        <w:t>Benin</w:t>
      </w:r>
      <w:r>
        <w:t xml:space="preserve"> bronzes.</w:t>
      </w:r>
    </w:p>
    <w:p w14:paraId="1A075664" w14:textId="0247973F" w:rsidR="005418B1" w:rsidRDefault="002E0840" w:rsidP="005418B1">
      <w:r>
        <w:t>However, this source does not completely equate to</w:t>
      </w:r>
      <w:r w:rsidR="005418B1">
        <w:t xml:space="preserve"> my essay</w:t>
      </w:r>
      <w:r>
        <w:t xml:space="preserve"> topic,</w:t>
      </w:r>
      <w:r w:rsidR="005418B1">
        <w:t xml:space="preserve"> as </w:t>
      </w:r>
      <w:r w:rsidR="00FB46EC">
        <w:t>the focus is mostly on</w:t>
      </w:r>
      <w:r w:rsidR="005418B1">
        <w:t xml:space="preserve"> the ethics of </w:t>
      </w:r>
      <w:r>
        <w:t>human</w:t>
      </w:r>
      <w:r w:rsidR="005418B1">
        <w:t xml:space="preserve"> remains on display in museums, whereas my essay </w:t>
      </w:r>
      <w:r>
        <w:t>focuses</w:t>
      </w:r>
      <w:r w:rsidR="005418B1">
        <w:t xml:space="preserve"> on artifacts on </w:t>
      </w:r>
      <w:r>
        <w:t>display</w:t>
      </w:r>
      <w:r w:rsidR="005418B1">
        <w:t xml:space="preserve"> in museums. This means that I will have to use other sources more </w:t>
      </w:r>
      <w:r>
        <w:t>specifically</w:t>
      </w:r>
      <w:r w:rsidR="005418B1">
        <w:t xml:space="preserve"> relevant to artifact exhibitions. An article on </w:t>
      </w:r>
      <w:r>
        <w:t>the</w:t>
      </w:r>
      <w:r w:rsidR="005418B1">
        <w:t xml:space="preserve"> museums association website gives more information on the specific artifact collection I will be using as an example, however this source focuses more on the </w:t>
      </w:r>
      <w:r>
        <w:t>ethics</w:t>
      </w:r>
      <w:r w:rsidR="005418B1">
        <w:t xml:space="preserve"> of museum displays. </w:t>
      </w:r>
    </w:p>
    <w:p w14:paraId="2DDCBE79" w14:textId="10EACD6C" w:rsidR="005418B1" w:rsidRDefault="005418B1">
      <w:r>
        <w:t>I will still use this source as a reference in my essay as it uses very specific</w:t>
      </w:r>
      <w:r w:rsidR="00FB46EC">
        <w:t>, limiting</w:t>
      </w:r>
      <w:r w:rsidR="002E0840">
        <w:t xml:space="preserve"> </w:t>
      </w:r>
      <w:r>
        <w:t xml:space="preserve">terms to describe the actions that should be taken by museums in </w:t>
      </w:r>
      <w:r w:rsidR="002E0840">
        <w:t>displaying</w:t>
      </w:r>
      <w:r>
        <w:t xml:space="preserve"> or returning artifacts. I can use these in my essay as guidelines the British museum should follow </w:t>
      </w:r>
      <w:r w:rsidR="002E0840">
        <w:t xml:space="preserve">concerning </w:t>
      </w:r>
      <w:r>
        <w:t xml:space="preserve">the </w:t>
      </w:r>
      <w:r w:rsidR="002E0840">
        <w:t>Benin</w:t>
      </w:r>
      <w:r>
        <w:t xml:space="preserve"> </w:t>
      </w:r>
      <w:r w:rsidR="002E0840">
        <w:t>bronzes</w:t>
      </w:r>
      <w:r>
        <w:t xml:space="preserve"> to further my argument.</w:t>
      </w:r>
    </w:p>
    <w:p w14:paraId="0BB8931A" w14:textId="174E3257" w:rsidR="002E0840" w:rsidRPr="00D52387" w:rsidRDefault="00D52387">
      <w:pPr>
        <w:rPr>
          <w:b/>
          <w:bCs/>
        </w:rPr>
      </w:pPr>
      <w:r w:rsidRPr="00D52387">
        <w:rPr>
          <w:b/>
          <w:bCs/>
        </w:rPr>
        <w:t xml:space="preserve">References </w:t>
      </w:r>
    </w:p>
    <w:p w14:paraId="78006CE6" w14:textId="77777777" w:rsidR="00FB46EC" w:rsidRPr="00FB46EC" w:rsidRDefault="00FB46EC" w:rsidP="00FB46EC">
      <w:r w:rsidRPr="00FB46EC">
        <w:t xml:space="preserve">Lister-Fell, F., Alexander </w:t>
      </w:r>
      <w:proofErr w:type="spellStart"/>
      <w:r w:rsidRPr="00FB46EC">
        <w:t>Goodger</w:t>
      </w:r>
      <w:proofErr w:type="spellEnd"/>
      <w:r w:rsidRPr="00FB46EC">
        <w:t xml:space="preserve"> says: 27 April 2021 at 5:44 am Sounds like the Barber Institute wants to hold onto their Benin bronze until the government legislates that they must give it up and </w:t>
      </w:r>
      <w:proofErr w:type="gramStart"/>
      <w:r w:rsidRPr="00FB46EC">
        <w:t>says:,</w:t>
      </w:r>
      <w:proofErr w:type="gramEnd"/>
      <w:r w:rsidRPr="00FB46EC">
        <w:t xml:space="preserve"> A.G. (2021) </w:t>
      </w:r>
      <w:r w:rsidRPr="00FB46EC">
        <w:rPr>
          <w:i/>
          <w:iCs/>
        </w:rPr>
        <w:t>More museums take steps to return Benin Bronzes to Nigeria</w:t>
      </w:r>
      <w:r w:rsidRPr="00FB46EC">
        <w:t xml:space="preserve">, </w:t>
      </w:r>
      <w:r w:rsidRPr="00FB46EC">
        <w:rPr>
          <w:i/>
          <w:iCs/>
        </w:rPr>
        <w:t>Museums Association</w:t>
      </w:r>
      <w:r w:rsidRPr="00FB46EC">
        <w:t xml:space="preserve">. Available at: https://www.museumsassociation.org/museums-journal/news/2021/04/more-museums-take-steps-to-return-benin-bronzes-to-nigeria/# (Accessed: November 8, 2022). </w:t>
      </w:r>
    </w:p>
    <w:p w14:paraId="121F7A03" w14:textId="77777777" w:rsidR="00D52387" w:rsidRPr="00D52387" w:rsidRDefault="00D52387" w:rsidP="00D52387">
      <w:r w:rsidRPr="00D52387">
        <w:t xml:space="preserve">Alfonso, M.P. and Powell, J. (2008) “Ethics of Flesh and Bone, or Ethics in the Practice of Paleopathology, Osteology, and Bioarchaeology,” in V. </w:t>
      </w:r>
      <w:proofErr w:type="spellStart"/>
      <w:r w:rsidRPr="00D52387">
        <w:t>Cassman</w:t>
      </w:r>
      <w:proofErr w:type="spellEnd"/>
      <w:r w:rsidRPr="00D52387">
        <w:t xml:space="preserve">, N. </w:t>
      </w:r>
      <w:proofErr w:type="spellStart"/>
      <w:r w:rsidRPr="00D52387">
        <w:t>Odegaard</w:t>
      </w:r>
      <w:proofErr w:type="spellEnd"/>
      <w:r w:rsidRPr="00D52387">
        <w:t xml:space="preserve">, and J.F. Powell (eds) </w:t>
      </w:r>
      <w:r w:rsidRPr="00D52387">
        <w:rPr>
          <w:i/>
          <w:iCs/>
        </w:rPr>
        <w:t>Human remains: Guide for museums and academic institutions</w:t>
      </w:r>
      <w:r w:rsidRPr="00D52387">
        <w:t xml:space="preserve">. Lanham, MD: </w:t>
      </w:r>
      <w:proofErr w:type="spellStart"/>
      <w:r w:rsidRPr="00D52387">
        <w:t>AltaMira</w:t>
      </w:r>
      <w:proofErr w:type="spellEnd"/>
      <w:r w:rsidRPr="00D52387">
        <w:t xml:space="preserve"> Press, a division of Rowman &amp; Littlefield Publishers. </w:t>
      </w:r>
    </w:p>
    <w:p w14:paraId="180A3FD5" w14:textId="77777777" w:rsidR="00D52387" w:rsidRPr="00D52387" w:rsidRDefault="00D52387" w:rsidP="00D52387">
      <w:proofErr w:type="spellStart"/>
      <w:r w:rsidRPr="00D52387">
        <w:t>Cassman</w:t>
      </w:r>
      <w:proofErr w:type="spellEnd"/>
      <w:r w:rsidRPr="00D52387">
        <w:t xml:space="preserve">, V., </w:t>
      </w:r>
      <w:proofErr w:type="spellStart"/>
      <w:r w:rsidRPr="00D52387">
        <w:t>Odegaard</w:t>
      </w:r>
      <w:proofErr w:type="spellEnd"/>
      <w:r w:rsidRPr="00D52387">
        <w:t xml:space="preserve">, N. and Powell, J.F. (eds) (2008) “Policy,” in </w:t>
      </w:r>
      <w:r w:rsidRPr="00D52387">
        <w:rPr>
          <w:i/>
          <w:iCs/>
        </w:rPr>
        <w:t>Human remains: Guide for museums and academic institutions</w:t>
      </w:r>
      <w:r w:rsidRPr="00D52387">
        <w:t xml:space="preserve">. Lanham, MD: </w:t>
      </w:r>
      <w:proofErr w:type="spellStart"/>
      <w:r w:rsidRPr="00D52387">
        <w:t>AltaMira</w:t>
      </w:r>
      <w:proofErr w:type="spellEnd"/>
      <w:r w:rsidRPr="00D52387">
        <w:t xml:space="preserve"> Press, a division of Rowman &amp; Littlefield Publishers. </w:t>
      </w:r>
    </w:p>
    <w:p w14:paraId="0D8FE305" w14:textId="58F83463" w:rsidR="002E0840" w:rsidRDefault="002E0840"/>
    <w:sectPr w:rsidR="002E08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B1"/>
    <w:rsid w:val="002E0840"/>
    <w:rsid w:val="005418B1"/>
    <w:rsid w:val="00CF6025"/>
    <w:rsid w:val="00D52387"/>
    <w:rsid w:val="00FB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373FF"/>
  <w15:chartTrackingRefBased/>
  <w15:docId w15:val="{A693FC62-DEE8-46CD-AD46-1366FAD7E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B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Nomi Pein</dc:creator>
  <cp:keywords/>
  <dc:description/>
  <cp:lastModifiedBy>Nomi Pein</cp:lastModifiedBy>
  <cp:revision>1</cp:revision>
  <dcterms:created xsi:type="dcterms:W3CDTF">2022-11-08T17:28:00Z</dcterms:created>
  <dcterms:modified xsi:type="dcterms:W3CDTF">2022-11-08T18:23:00Z</dcterms:modified>
</cp:coreProperties>
</file>