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312FE1" w14:textId="20DD9530" w:rsidR="00230F35" w:rsidRDefault="00A5782C" w:rsidP="00230F35">
      <w:pPr>
        <w:pStyle w:val="NormalWeb"/>
        <w:spacing w:before="0" w:beforeAutospacing="0" w:after="0" w:afterAutospacing="0"/>
        <w:ind w:left="-180" w:right="-334"/>
      </w:pPr>
      <w:bookmarkStart w:id="0" w:name="_Hlk526433641"/>
      <w:r>
        <w:rPr>
          <w:noProof/>
        </w:rPr>
        <w:drawing>
          <wp:inline distT="0" distB="0" distL="0" distR="0" wp14:anchorId="32640830" wp14:editId="7AE0E5D2">
            <wp:extent cx="1905000" cy="635000"/>
            <wp:effectExtent l="19050" t="1905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5806BC1B" w14:textId="77777777" w:rsidR="00230F35" w:rsidRDefault="00230F35" w:rsidP="00230F35">
      <w:pPr>
        <w:pStyle w:val="NormalWeb"/>
        <w:spacing w:before="0" w:beforeAutospacing="0" w:after="0" w:afterAutospacing="0"/>
        <w:ind w:left="-180" w:right="-334"/>
      </w:pPr>
    </w:p>
    <w:p w14:paraId="156B2AE8" w14:textId="77777777" w:rsidR="00A745B6" w:rsidRDefault="00A745B6" w:rsidP="00230F35">
      <w:pPr>
        <w:pStyle w:val="NormalWeb"/>
        <w:spacing w:before="0" w:beforeAutospacing="0" w:after="0" w:afterAutospacing="0"/>
        <w:ind w:left="-180" w:right="-334"/>
      </w:pPr>
    </w:p>
    <w:p w14:paraId="4B59CA9E"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4EBEDC0D"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0B0CB199" w14:textId="77777777" w:rsidR="002E67CE" w:rsidRPr="00230F35" w:rsidRDefault="002E67CE" w:rsidP="002E67CE">
      <w:pPr>
        <w:rPr>
          <w:rFonts w:ascii="Arial" w:hAnsi="Arial" w:cs="Arial"/>
          <w:sz w:val="28"/>
          <w:szCs w:val="28"/>
          <w:lang w:val="cy-GB"/>
        </w:rPr>
      </w:pPr>
    </w:p>
    <w:p w14:paraId="0105EA04"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5AEF4E1A"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65"/>
        <w:gridCol w:w="417"/>
        <w:gridCol w:w="1496"/>
        <w:gridCol w:w="278"/>
        <w:gridCol w:w="1780"/>
      </w:tblGrid>
      <w:tr w:rsidR="00E57529" w:rsidRPr="00230F35" w14:paraId="358ABA69" w14:textId="77777777" w:rsidTr="00A745B6">
        <w:trPr>
          <w:trHeight w:val="614"/>
        </w:trPr>
        <w:tc>
          <w:tcPr>
            <w:tcW w:w="8856" w:type="dxa"/>
            <w:gridSpan w:val="5"/>
          </w:tcPr>
          <w:p w14:paraId="2994338F"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5335933F" w14:textId="77777777" w:rsidTr="00A745B6">
        <w:trPr>
          <w:trHeight w:val="718"/>
        </w:trPr>
        <w:tc>
          <w:tcPr>
            <w:tcW w:w="8856" w:type="dxa"/>
            <w:gridSpan w:val="5"/>
          </w:tcPr>
          <w:p w14:paraId="261E103C" w14:textId="77777777" w:rsidR="0065654E" w:rsidRPr="0063343F" w:rsidRDefault="0065654E"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Student Na</w:t>
            </w:r>
            <w:r w:rsidR="00CE3B79" w:rsidRPr="00230F35">
              <w:rPr>
                <w:rFonts w:ascii="Arial" w:hAnsi="Arial" w:cs="Arial"/>
                <w:sz w:val="22"/>
                <w:szCs w:val="22"/>
              </w:rPr>
              <w:t>me:</w:t>
            </w:r>
            <w:r w:rsidR="0063343F">
              <w:rPr>
                <w:rFonts w:ascii="Arial" w:hAnsi="Arial" w:cs="Arial"/>
                <w:sz w:val="22"/>
                <w:szCs w:val="22"/>
              </w:rPr>
              <w:t xml:space="preserve"> </w:t>
            </w:r>
            <w:r w:rsidR="0063343F">
              <w:rPr>
                <w:rFonts w:ascii="Arial" w:hAnsi="Arial" w:cs="Arial"/>
                <w:b/>
                <w:sz w:val="22"/>
                <w:szCs w:val="22"/>
              </w:rPr>
              <w:t>Elizabeth Flynn</w:t>
            </w:r>
          </w:p>
          <w:p w14:paraId="6A618936"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3AD9DE65" w14:textId="77777777" w:rsidR="00FA2A4C" w:rsidRPr="0063343F" w:rsidRDefault="00FA2A4C"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63343F">
              <w:rPr>
                <w:rFonts w:ascii="Arial" w:hAnsi="Arial" w:cs="Arial"/>
                <w:b/>
                <w:sz w:val="22"/>
                <w:szCs w:val="22"/>
              </w:rPr>
              <w:t>1805402@student.uwtsd.ac.uk</w:t>
            </w:r>
          </w:p>
        </w:tc>
      </w:tr>
      <w:tr w:rsidR="00CE3B79" w:rsidRPr="00230F35" w14:paraId="4769862D" w14:textId="77777777" w:rsidTr="00A745B6">
        <w:trPr>
          <w:trHeight w:val="849"/>
        </w:trPr>
        <w:tc>
          <w:tcPr>
            <w:tcW w:w="4788" w:type="dxa"/>
          </w:tcPr>
          <w:p w14:paraId="495EA776" w14:textId="77777777" w:rsidR="00D67BF8" w:rsidRPr="0063343F" w:rsidRDefault="00CE3B79"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Module code:</w:t>
            </w:r>
            <w:r w:rsidR="0063343F">
              <w:rPr>
                <w:rFonts w:ascii="Arial" w:hAnsi="Arial" w:cs="Arial"/>
                <w:sz w:val="22"/>
                <w:szCs w:val="22"/>
              </w:rPr>
              <w:t xml:space="preserve"> </w:t>
            </w:r>
            <w:r w:rsidR="0063343F">
              <w:rPr>
                <w:rFonts w:ascii="Arial" w:hAnsi="Arial" w:cs="Arial"/>
                <w:b/>
                <w:sz w:val="22"/>
                <w:szCs w:val="22"/>
              </w:rPr>
              <w:t>HPCA7001</w:t>
            </w:r>
          </w:p>
          <w:p w14:paraId="4F4B2FF6"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27BBEE5" w14:textId="77777777" w:rsidR="00CE3B79" w:rsidRPr="0063343F" w:rsidRDefault="00CE3B79"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Module title:</w:t>
            </w:r>
            <w:r w:rsidR="0063343F">
              <w:rPr>
                <w:rFonts w:ascii="Arial" w:hAnsi="Arial" w:cs="Arial"/>
                <w:sz w:val="22"/>
                <w:szCs w:val="22"/>
              </w:rPr>
              <w:t xml:space="preserve"> </w:t>
            </w:r>
            <w:r w:rsidR="0063343F">
              <w:rPr>
                <w:rFonts w:ascii="Arial" w:hAnsi="Arial" w:cs="Arial"/>
                <w:b/>
                <w:sz w:val="22"/>
                <w:szCs w:val="22"/>
              </w:rPr>
              <w:t>Foundations in Cultural</w:t>
            </w:r>
          </w:p>
          <w:p w14:paraId="30571875" w14:textId="77777777" w:rsidR="00A745B6" w:rsidRPr="0063343F" w:rsidRDefault="0063343F" w:rsidP="0063343F">
            <w:pPr>
              <w:pStyle w:val="NormalWeb"/>
              <w:tabs>
                <w:tab w:val="left" w:pos="1290"/>
              </w:tabs>
              <w:spacing w:before="0" w:beforeAutospacing="0" w:after="0" w:afterAutospacing="0"/>
              <w:ind w:right="34"/>
              <w:rPr>
                <w:rFonts w:ascii="Arial" w:hAnsi="Arial" w:cs="Arial"/>
                <w:b/>
                <w:sz w:val="22"/>
                <w:szCs w:val="22"/>
              </w:rPr>
            </w:pPr>
            <w:r>
              <w:rPr>
                <w:rFonts w:ascii="Arial" w:hAnsi="Arial" w:cs="Arial"/>
                <w:sz w:val="22"/>
                <w:szCs w:val="22"/>
              </w:rPr>
              <w:tab/>
            </w:r>
            <w:r>
              <w:rPr>
                <w:rFonts w:ascii="Arial" w:hAnsi="Arial" w:cs="Arial"/>
                <w:b/>
                <w:sz w:val="22"/>
                <w:szCs w:val="22"/>
              </w:rPr>
              <w:t>Astronomy and Astrology</w:t>
            </w:r>
          </w:p>
          <w:p w14:paraId="1851FC00"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1C3D4805" w14:textId="77777777" w:rsidR="0063343F"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600AE3F" w14:textId="77777777" w:rsidR="0063343F" w:rsidRDefault="0063343F" w:rsidP="0063343F"/>
          <w:p w14:paraId="13299D34" w14:textId="77777777" w:rsidR="00CE3B79" w:rsidRPr="0063343F" w:rsidRDefault="0063343F" w:rsidP="0063343F">
            <w:pPr>
              <w:rPr>
                <w:rFonts w:ascii="Arial" w:hAnsi="Arial" w:cs="Arial"/>
                <w:b/>
                <w:sz w:val="22"/>
                <w:szCs w:val="22"/>
              </w:rPr>
            </w:pPr>
            <w:r>
              <w:rPr>
                <w:rFonts w:ascii="Arial" w:hAnsi="Arial" w:cs="Arial"/>
                <w:b/>
                <w:sz w:val="22"/>
                <w:szCs w:val="22"/>
              </w:rPr>
              <w:t>1805402</w:t>
            </w:r>
          </w:p>
        </w:tc>
        <w:tc>
          <w:tcPr>
            <w:tcW w:w="1802" w:type="dxa"/>
          </w:tcPr>
          <w:p w14:paraId="3E80802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2C1FF3C" w14:textId="77777777" w:rsidR="00CE3B79" w:rsidRPr="0063343F" w:rsidRDefault="00CE3B79" w:rsidP="002F467C">
            <w:pPr>
              <w:pStyle w:val="NormalWeb"/>
              <w:spacing w:before="0" w:beforeAutospacing="0" w:after="0" w:afterAutospacing="0"/>
              <w:ind w:right="34"/>
              <w:rPr>
                <w:rFonts w:ascii="Arial" w:hAnsi="Arial" w:cs="Arial"/>
                <w:b/>
                <w:sz w:val="22"/>
                <w:szCs w:val="22"/>
              </w:rPr>
            </w:pPr>
            <w:r w:rsidRPr="0063343F">
              <w:rPr>
                <w:rFonts w:ascii="Arial" w:hAnsi="Arial" w:cs="Arial"/>
                <w:b/>
                <w:sz w:val="22"/>
                <w:szCs w:val="22"/>
              </w:rPr>
              <w:t>No</w:t>
            </w:r>
          </w:p>
        </w:tc>
      </w:tr>
      <w:tr w:rsidR="00CE3B79" w:rsidRPr="00230F35" w14:paraId="3B607180" w14:textId="77777777" w:rsidTr="00A745B6">
        <w:trPr>
          <w:trHeight w:val="1139"/>
        </w:trPr>
        <w:tc>
          <w:tcPr>
            <w:tcW w:w="8856" w:type="dxa"/>
            <w:gridSpan w:val="5"/>
          </w:tcPr>
          <w:p w14:paraId="364D3CF9" w14:textId="77777777" w:rsidR="00CE3B79" w:rsidRPr="0063343F" w:rsidRDefault="00CE3B79"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Assignment title:</w:t>
            </w:r>
            <w:r w:rsidR="0063343F">
              <w:rPr>
                <w:rFonts w:ascii="Arial" w:hAnsi="Arial" w:cs="Arial"/>
                <w:sz w:val="22"/>
                <w:szCs w:val="22"/>
              </w:rPr>
              <w:t xml:space="preserve"> </w:t>
            </w:r>
            <w:r w:rsidR="0063343F">
              <w:rPr>
                <w:rFonts w:ascii="Arial" w:hAnsi="Arial" w:cs="Arial"/>
                <w:b/>
                <w:sz w:val="22"/>
                <w:szCs w:val="22"/>
              </w:rPr>
              <w:t>A Critical Comparison of Two JSTOR Papers</w:t>
            </w:r>
          </w:p>
          <w:p w14:paraId="4C28E104"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574D3802" w14:textId="77777777" w:rsidR="00230F35" w:rsidRDefault="00230F35" w:rsidP="002F467C">
            <w:pPr>
              <w:pStyle w:val="NormalWeb"/>
              <w:spacing w:before="0" w:beforeAutospacing="0" w:after="0" w:afterAutospacing="0"/>
              <w:ind w:right="34"/>
              <w:rPr>
                <w:rFonts w:ascii="Arial" w:hAnsi="Arial" w:cs="Arial"/>
                <w:sz w:val="22"/>
                <w:szCs w:val="22"/>
              </w:rPr>
            </w:pPr>
          </w:p>
          <w:p w14:paraId="486A9199" w14:textId="77777777" w:rsidR="00D67BF8" w:rsidRPr="0063343F" w:rsidRDefault="00B42501"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Assignment due date:</w:t>
            </w:r>
            <w:r w:rsidR="0063343F">
              <w:rPr>
                <w:rFonts w:ascii="Arial" w:hAnsi="Arial" w:cs="Arial"/>
                <w:sz w:val="22"/>
                <w:szCs w:val="22"/>
              </w:rPr>
              <w:t xml:space="preserve"> </w:t>
            </w:r>
            <w:r w:rsidR="0063343F">
              <w:rPr>
                <w:rFonts w:ascii="Arial" w:hAnsi="Arial" w:cs="Arial"/>
                <w:b/>
                <w:sz w:val="22"/>
                <w:szCs w:val="22"/>
              </w:rPr>
              <w:t>12</w:t>
            </w:r>
            <w:r w:rsidR="0063343F" w:rsidRPr="0063343F">
              <w:rPr>
                <w:rFonts w:ascii="Arial" w:hAnsi="Arial" w:cs="Arial"/>
                <w:b/>
                <w:sz w:val="22"/>
                <w:szCs w:val="22"/>
                <w:vertAlign w:val="superscript"/>
              </w:rPr>
              <w:t>th</w:t>
            </w:r>
            <w:r w:rsidR="0063343F">
              <w:rPr>
                <w:rFonts w:ascii="Arial" w:hAnsi="Arial" w:cs="Arial"/>
                <w:b/>
                <w:sz w:val="22"/>
                <w:szCs w:val="22"/>
              </w:rPr>
              <w:t xml:space="preserve"> November 2018</w:t>
            </w:r>
          </w:p>
        </w:tc>
      </w:tr>
      <w:tr w:rsidR="00230F35" w:rsidRPr="00230F35" w14:paraId="565D8FEF" w14:textId="77777777" w:rsidTr="00A745B6">
        <w:trPr>
          <w:trHeight w:val="978"/>
        </w:trPr>
        <w:tc>
          <w:tcPr>
            <w:tcW w:w="8856" w:type="dxa"/>
            <w:gridSpan w:val="5"/>
            <w:tcBorders>
              <w:bottom w:val="single" w:sz="4" w:space="0" w:color="000000"/>
            </w:tcBorders>
          </w:tcPr>
          <w:p w14:paraId="7DEF09F2"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2156F3">
              <w:rPr>
                <w:rFonts w:ascii="Arial" w:hAnsi="Arial" w:cs="Arial"/>
                <w:sz w:val="22"/>
                <w:szCs w:val="22"/>
              </w:rPr>
              <w:fldChar w:fldCharType="begin">
                <w:ffData>
                  <w:name w:val="Check13"/>
                  <w:enabled/>
                  <w:calcOnExit w:val="0"/>
                  <w:checkBox>
                    <w:sizeAuto/>
                    <w:default w:val="1"/>
                  </w:checkBox>
                </w:ffData>
              </w:fldChar>
            </w:r>
            <w:bookmarkStart w:id="1" w:name="Check13"/>
            <w:r w:rsidR="002156F3">
              <w:rPr>
                <w:rFonts w:ascii="Arial" w:hAnsi="Arial" w:cs="Arial"/>
                <w:sz w:val="22"/>
                <w:szCs w:val="22"/>
              </w:rPr>
              <w:instrText xml:space="preserve"> FORMCHECKBOX </w:instrText>
            </w:r>
            <w:r w:rsidR="00A175E1">
              <w:rPr>
                <w:rFonts w:ascii="Arial" w:hAnsi="Arial" w:cs="Arial"/>
                <w:sz w:val="22"/>
                <w:szCs w:val="22"/>
              </w:rPr>
            </w:r>
            <w:r w:rsidR="00A175E1">
              <w:rPr>
                <w:rFonts w:ascii="Arial" w:hAnsi="Arial" w:cs="Arial"/>
                <w:sz w:val="22"/>
                <w:szCs w:val="22"/>
              </w:rPr>
              <w:fldChar w:fldCharType="separate"/>
            </w:r>
            <w:r w:rsidR="002156F3">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00A175E1">
              <w:rPr>
                <w:rFonts w:ascii="Arial" w:hAnsi="Arial" w:cs="Arial"/>
                <w:sz w:val="22"/>
                <w:szCs w:val="22"/>
              </w:rPr>
            </w:r>
            <w:r w:rsidR="00A175E1">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00A175E1">
              <w:rPr>
                <w:rFonts w:ascii="Arial" w:hAnsi="Arial" w:cs="Arial"/>
                <w:sz w:val="22"/>
                <w:szCs w:val="22"/>
              </w:rPr>
            </w:r>
            <w:r w:rsidR="00A175E1">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00A175E1">
              <w:rPr>
                <w:rFonts w:ascii="Arial" w:hAnsi="Arial" w:cs="Arial"/>
                <w:sz w:val="22"/>
                <w:szCs w:val="22"/>
              </w:rPr>
            </w:r>
            <w:r w:rsidR="00A175E1">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00A175E1">
              <w:rPr>
                <w:rFonts w:ascii="Arial" w:hAnsi="Arial" w:cs="Arial"/>
                <w:sz w:val="22"/>
                <w:szCs w:val="22"/>
              </w:rPr>
            </w:r>
            <w:r w:rsidR="00A175E1">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00A175E1">
              <w:rPr>
                <w:rFonts w:ascii="Arial" w:hAnsi="Arial" w:cs="Arial"/>
                <w:sz w:val="22"/>
                <w:szCs w:val="22"/>
              </w:rPr>
            </w:r>
            <w:r w:rsidR="00A175E1">
              <w:rPr>
                <w:rFonts w:ascii="Arial" w:hAnsi="Arial" w:cs="Arial"/>
                <w:sz w:val="22"/>
                <w:szCs w:val="22"/>
              </w:rPr>
              <w:fldChar w:fldCharType="separate"/>
            </w:r>
            <w:r w:rsidRPr="00230F35">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1CA56501" w14:textId="77777777" w:rsidTr="00A745B6">
        <w:trPr>
          <w:trHeight w:val="978"/>
        </w:trPr>
        <w:tc>
          <w:tcPr>
            <w:tcW w:w="8856" w:type="dxa"/>
            <w:gridSpan w:val="5"/>
            <w:shd w:val="clear" w:color="auto" w:fill="D9D9D9"/>
          </w:tcPr>
          <w:p w14:paraId="5E67A9F3"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9EFBF38"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0D87AF6C"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002156F3">
              <w:rPr>
                <w:rFonts w:ascii="Arial" w:hAnsi="Arial" w:cs="Arial"/>
                <w:sz w:val="22"/>
                <w:szCs w:val="22"/>
              </w:rPr>
              <w:fldChar w:fldCharType="begin">
                <w:ffData>
                  <w:name w:val=""/>
                  <w:enabled/>
                  <w:calcOnExit w:val="0"/>
                  <w:checkBox>
                    <w:sizeAuto/>
                    <w:default w:val="1"/>
                  </w:checkBox>
                </w:ffData>
              </w:fldChar>
            </w:r>
            <w:r w:rsidR="002156F3">
              <w:rPr>
                <w:rFonts w:ascii="Arial" w:hAnsi="Arial" w:cs="Arial"/>
                <w:sz w:val="22"/>
                <w:szCs w:val="22"/>
              </w:rPr>
              <w:instrText xml:space="preserve"> FORMCHECKBOX </w:instrText>
            </w:r>
            <w:r w:rsidR="00A175E1">
              <w:rPr>
                <w:rFonts w:ascii="Arial" w:hAnsi="Arial" w:cs="Arial"/>
                <w:sz w:val="22"/>
                <w:szCs w:val="22"/>
              </w:rPr>
            </w:r>
            <w:r w:rsidR="00A175E1">
              <w:rPr>
                <w:rFonts w:ascii="Arial" w:hAnsi="Arial" w:cs="Arial"/>
                <w:sz w:val="22"/>
                <w:szCs w:val="22"/>
              </w:rPr>
              <w:fldChar w:fldCharType="separate"/>
            </w:r>
            <w:r w:rsidR="002156F3">
              <w:rPr>
                <w:rFonts w:ascii="Arial" w:hAnsi="Arial" w:cs="Arial"/>
                <w:sz w:val="22"/>
                <w:szCs w:val="22"/>
              </w:rPr>
              <w:fldChar w:fldCharType="end"/>
            </w:r>
          </w:p>
          <w:p w14:paraId="2961812D"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69980BBC" w14:textId="77777777" w:rsidTr="00A745B6">
        <w:trPr>
          <w:trHeight w:val="3972"/>
        </w:trPr>
        <w:tc>
          <w:tcPr>
            <w:tcW w:w="8856" w:type="dxa"/>
            <w:gridSpan w:val="5"/>
          </w:tcPr>
          <w:p w14:paraId="1020A00C" w14:textId="77777777" w:rsidR="00A745B6" w:rsidRDefault="00A745B6" w:rsidP="00A745B6">
            <w:pPr>
              <w:rPr>
                <w:rFonts w:ascii="Arial" w:hAnsi="Arial"/>
                <w:b/>
              </w:rPr>
            </w:pPr>
          </w:p>
          <w:p w14:paraId="4EA8A72D"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2FA05892" w14:textId="77777777" w:rsidTr="00022345">
              <w:tc>
                <w:tcPr>
                  <w:tcW w:w="6970" w:type="dxa"/>
                </w:tcPr>
                <w:p w14:paraId="372259BE" w14:textId="77777777" w:rsidR="00A745B6" w:rsidRPr="00116CE6" w:rsidRDefault="00A745B6" w:rsidP="009C1A08">
                  <w:pPr>
                    <w:rPr>
                      <w:rFonts w:ascii="Arial" w:hAnsi="Arial"/>
                      <w:sz w:val="20"/>
                      <w:szCs w:val="20"/>
                    </w:rPr>
                  </w:pPr>
                </w:p>
                <w:p w14:paraId="3BD9932F"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4F03EA7" w14:textId="77777777" w:rsidR="00A745B6" w:rsidRPr="00116CE6" w:rsidRDefault="00A745B6" w:rsidP="009C1A08">
                  <w:pPr>
                    <w:rPr>
                      <w:rFonts w:ascii="Arial" w:hAnsi="Arial"/>
                      <w:sz w:val="20"/>
                      <w:szCs w:val="20"/>
                    </w:rPr>
                  </w:pPr>
                </w:p>
              </w:tc>
            </w:tr>
            <w:tr w:rsidR="00A745B6" w:rsidRPr="00116CE6" w14:paraId="7BE9D232" w14:textId="77777777" w:rsidTr="00022345">
              <w:tc>
                <w:tcPr>
                  <w:tcW w:w="6970" w:type="dxa"/>
                </w:tcPr>
                <w:p w14:paraId="3572B2F4" w14:textId="77777777" w:rsidR="00A745B6" w:rsidRPr="00116CE6" w:rsidRDefault="00A745B6" w:rsidP="009C1A08">
                  <w:pPr>
                    <w:rPr>
                      <w:rFonts w:ascii="Arial" w:hAnsi="Arial"/>
                      <w:sz w:val="20"/>
                      <w:szCs w:val="20"/>
                    </w:rPr>
                  </w:pPr>
                </w:p>
                <w:p w14:paraId="0C481349"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418866D" w14:textId="77777777" w:rsidR="00A745B6" w:rsidRPr="00116CE6" w:rsidRDefault="00A745B6" w:rsidP="009C1A08">
                  <w:pPr>
                    <w:rPr>
                      <w:rFonts w:ascii="Arial" w:hAnsi="Arial"/>
                      <w:sz w:val="20"/>
                      <w:szCs w:val="20"/>
                    </w:rPr>
                  </w:pPr>
                </w:p>
              </w:tc>
            </w:tr>
            <w:tr w:rsidR="00A745B6" w:rsidRPr="00116CE6" w14:paraId="661BF5C9" w14:textId="77777777" w:rsidTr="00022345">
              <w:tc>
                <w:tcPr>
                  <w:tcW w:w="6970" w:type="dxa"/>
                </w:tcPr>
                <w:p w14:paraId="5431B6C2" w14:textId="77777777" w:rsidR="00A745B6" w:rsidRPr="00116CE6" w:rsidRDefault="00A745B6" w:rsidP="009C1A08">
                  <w:pPr>
                    <w:rPr>
                      <w:rFonts w:ascii="Arial" w:hAnsi="Arial"/>
                      <w:sz w:val="20"/>
                      <w:szCs w:val="20"/>
                    </w:rPr>
                  </w:pPr>
                </w:p>
                <w:p w14:paraId="123D0E37"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B57105F" w14:textId="77777777" w:rsidR="00A745B6" w:rsidRPr="00116CE6" w:rsidRDefault="00A745B6" w:rsidP="009C1A08">
                  <w:pPr>
                    <w:rPr>
                      <w:rFonts w:ascii="Arial" w:hAnsi="Arial"/>
                      <w:sz w:val="20"/>
                      <w:szCs w:val="20"/>
                    </w:rPr>
                  </w:pPr>
                </w:p>
              </w:tc>
            </w:tr>
            <w:tr w:rsidR="00A745B6" w:rsidRPr="00116CE6" w14:paraId="0FD5E4CC" w14:textId="77777777" w:rsidTr="00022345">
              <w:tc>
                <w:tcPr>
                  <w:tcW w:w="6970" w:type="dxa"/>
                </w:tcPr>
                <w:p w14:paraId="59B101BA" w14:textId="77777777" w:rsidR="00A745B6" w:rsidRDefault="00A745B6" w:rsidP="009C1A08">
                  <w:pPr>
                    <w:rPr>
                      <w:rFonts w:ascii="Arial" w:hAnsi="Arial"/>
                      <w:sz w:val="20"/>
                      <w:szCs w:val="20"/>
                    </w:rPr>
                  </w:pPr>
                </w:p>
                <w:p w14:paraId="769C1103"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5C459520" w14:textId="77777777" w:rsidR="00A745B6" w:rsidRPr="00116CE6" w:rsidRDefault="00A745B6" w:rsidP="009C1A08">
                  <w:pPr>
                    <w:rPr>
                      <w:rFonts w:ascii="Arial" w:hAnsi="Arial"/>
                      <w:sz w:val="20"/>
                      <w:szCs w:val="20"/>
                    </w:rPr>
                  </w:pPr>
                </w:p>
              </w:tc>
              <w:tc>
                <w:tcPr>
                  <w:tcW w:w="1660" w:type="dxa"/>
                </w:tcPr>
                <w:p w14:paraId="7476E256" w14:textId="77777777" w:rsidR="00A745B6" w:rsidRPr="00116CE6" w:rsidRDefault="00A745B6" w:rsidP="009C1A08">
                  <w:pPr>
                    <w:rPr>
                      <w:rFonts w:ascii="Arial" w:hAnsi="Arial"/>
                      <w:sz w:val="20"/>
                      <w:szCs w:val="20"/>
                    </w:rPr>
                  </w:pPr>
                </w:p>
              </w:tc>
            </w:tr>
          </w:tbl>
          <w:p w14:paraId="1BB71AC9"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5A8B5F18"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FCBFFE6" w14:textId="77777777" w:rsidR="00A745B6" w:rsidRDefault="00A745B6" w:rsidP="002F467C">
            <w:pPr>
              <w:pStyle w:val="NormalWeb"/>
              <w:spacing w:before="0" w:beforeAutospacing="0" w:after="0" w:afterAutospacing="0"/>
              <w:rPr>
                <w:rFonts w:ascii="Arial" w:hAnsi="Arial" w:cs="Arial"/>
                <w:b/>
                <w:sz w:val="22"/>
                <w:szCs w:val="22"/>
              </w:rPr>
            </w:pPr>
          </w:p>
          <w:p w14:paraId="4024EEC6" w14:textId="77777777" w:rsidR="00B462B1" w:rsidRDefault="00B462B1" w:rsidP="002F467C">
            <w:pPr>
              <w:pStyle w:val="NormalWeb"/>
              <w:spacing w:before="0" w:beforeAutospacing="0" w:after="0" w:afterAutospacing="0"/>
              <w:rPr>
                <w:rFonts w:ascii="Arial" w:hAnsi="Arial" w:cs="Arial"/>
                <w:b/>
                <w:sz w:val="22"/>
                <w:szCs w:val="22"/>
              </w:rPr>
            </w:pPr>
          </w:p>
          <w:p w14:paraId="63E90210" w14:textId="77777777" w:rsidR="00B462B1" w:rsidRDefault="00B462B1" w:rsidP="002F467C">
            <w:pPr>
              <w:pStyle w:val="NormalWeb"/>
              <w:spacing w:before="0" w:beforeAutospacing="0" w:after="0" w:afterAutospacing="0"/>
              <w:rPr>
                <w:rFonts w:ascii="Arial" w:hAnsi="Arial" w:cs="Arial"/>
                <w:b/>
                <w:sz w:val="22"/>
                <w:szCs w:val="22"/>
              </w:rPr>
            </w:pPr>
          </w:p>
          <w:p w14:paraId="7D00FB5F" w14:textId="77777777" w:rsidR="00B462B1" w:rsidRDefault="00B462B1" w:rsidP="002F467C">
            <w:pPr>
              <w:pStyle w:val="NormalWeb"/>
              <w:spacing w:before="0" w:beforeAutospacing="0" w:after="0" w:afterAutospacing="0"/>
              <w:rPr>
                <w:rFonts w:ascii="Arial" w:hAnsi="Arial" w:cs="Arial"/>
                <w:b/>
                <w:sz w:val="22"/>
                <w:szCs w:val="22"/>
              </w:rPr>
            </w:pPr>
          </w:p>
          <w:p w14:paraId="29B86A5E" w14:textId="77777777" w:rsidR="00B462B1" w:rsidRDefault="00B462B1" w:rsidP="002F467C">
            <w:pPr>
              <w:pStyle w:val="NormalWeb"/>
              <w:spacing w:before="0" w:beforeAutospacing="0" w:after="0" w:afterAutospacing="0"/>
              <w:rPr>
                <w:rFonts w:ascii="Arial" w:hAnsi="Arial" w:cs="Arial"/>
                <w:b/>
                <w:sz w:val="22"/>
                <w:szCs w:val="22"/>
              </w:rPr>
            </w:pPr>
          </w:p>
          <w:p w14:paraId="22D55F8F"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w:t>
            </w:r>
            <w:r w:rsidR="00590E9A" w:rsidRPr="00230F35">
              <w:rPr>
                <w:rFonts w:ascii="Arial" w:hAnsi="Arial" w:cs="Arial"/>
                <w:b/>
                <w:sz w:val="22"/>
                <w:szCs w:val="22"/>
              </w:rPr>
              <w:t>:</w:t>
            </w:r>
          </w:p>
          <w:p w14:paraId="6EBFA865"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49AC146A" w14:textId="77777777" w:rsidR="00B56E7B" w:rsidRPr="00001C3B" w:rsidRDefault="00B56E7B" w:rsidP="00043549">
            <w:pPr>
              <w:pStyle w:val="NormalWeb"/>
              <w:rPr>
                <w:rFonts w:ascii="Arial" w:hAnsi="Arial" w:cs="Arial"/>
                <w:sz w:val="22"/>
                <w:szCs w:val="22"/>
              </w:rPr>
            </w:pPr>
          </w:p>
        </w:tc>
      </w:tr>
      <w:tr w:rsidR="00EC7546" w:rsidRPr="00230F35" w14:paraId="11156429" w14:textId="77777777" w:rsidTr="00A745B6">
        <w:trPr>
          <w:trHeight w:val="492"/>
        </w:trPr>
        <w:tc>
          <w:tcPr>
            <w:tcW w:w="6768" w:type="dxa"/>
            <w:gridSpan w:val="3"/>
          </w:tcPr>
          <w:p w14:paraId="0907145A"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6FA46722"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0F8D431B" w14:textId="77777777" w:rsidTr="002F467C">
        <w:tc>
          <w:tcPr>
            <w:tcW w:w="8856" w:type="dxa"/>
            <w:gridSpan w:val="5"/>
          </w:tcPr>
          <w:p w14:paraId="7CB04671"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118B5D2E"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2A827891"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A5817C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094597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63860C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BE6720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2B0B94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0BFB62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5BAB66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6F5546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CB3F2C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E764DDB" w14:textId="77777777" w:rsidR="00D67BF8" w:rsidRDefault="00D67BF8" w:rsidP="002F467C">
            <w:pPr>
              <w:pStyle w:val="NormalWeb"/>
              <w:spacing w:before="0" w:beforeAutospacing="0" w:after="0" w:afterAutospacing="0"/>
              <w:ind w:right="-334"/>
              <w:rPr>
                <w:rFonts w:ascii="Arial" w:hAnsi="Arial" w:cs="Arial"/>
                <w:bCs/>
                <w:sz w:val="22"/>
                <w:szCs w:val="22"/>
              </w:rPr>
            </w:pPr>
          </w:p>
          <w:p w14:paraId="7B95AAEA"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37CAC37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8B9EB8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5EAF1B03" w14:textId="77777777" w:rsidTr="008D674F">
        <w:trPr>
          <w:trHeight w:val="720"/>
        </w:trPr>
        <w:tc>
          <w:tcPr>
            <w:tcW w:w="5211" w:type="dxa"/>
            <w:gridSpan w:val="2"/>
          </w:tcPr>
          <w:p w14:paraId="39542AF7"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6D011C7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55CD0938" w14:textId="77777777" w:rsidTr="009C1A08">
        <w:trPr>
          <w:trHeight w:val="720"/>
        </w:trPr>
        <w:tc>
          <w:tcPr>
            <w:tcW w:w="8856" w:type="dxa"/>
            <w:gridSpan w:val="5"/>
          </w:tcPr>
          <w:p w14:paraId="7EAC2B1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DFCF10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BB6BEA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CBD003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9BDCE8A"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1A9637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A58C1B1"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A0B5C6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0E4784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7E69FEC" w14:textId="77777777" w:rsidR="00230F35" w:rsidRDefault="00230F35" w:rsidP="002F467C">
            <w:pPr>
              <w:pStyle w:val="NormalWeb"/>
              <w:spacing w:before="0" w:beforeAutospacing="0" w:after="0" w:afterAutospacing="0"/>
              <w:ind w:right="-334"/>
              <w:rPr>
                <w:rFonts w:ascii="Arial" w:hAnsi="Arial" w:cs="Arial"/>
                <w:bCs/>
                <w:sz w:val="22"/>
                <w:szCs w:val="22"/>
              </w:rPr>
            </w:pPr>
          </w:p>
          <w:p w14:paraId="5591E4B1"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8FF50D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57CA926A" w14:textId="77777777" w:rsidTr="00230F35">
        <w:trPr>
          <w:trHeight w:val="720"/>
        </w:trPr>
        <w:tc>
          <w:tcPr>
            <w:tcW w:w="5211" w:type="dxa"/>
            <w:gridSpan w:val="2"/>
          </w:tcPr>
          <w:p w14:paraId="35E77D44"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CBD5DF7"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115FC381"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21DBDAEC" w14:textId="77777777" w:rsidR="00D54C45" w:rsidRDefault="00D54C45" w:rsidP="00FA07E9">
      <w:pPr>
        <w:pStyle w:val="NormalWeb"/>
        <w:spacing w:before="0" w:beforeAutospacing="0" w:after="0" w:afterAutospacing="0"/>
        <w:ind w:right="-334"/>
        <w:rPr>
          <w:rFonts w:ascii="Trebuchet MS" w:hAnsi="Trebuchet MS" w:cs="Tahoma"/>
          <w:bCs/>
          <w:sz w:val="24"/>
          <w:szCs w:val="24"/>
        </w:rPr>
      </w:pPr>
    </w:p>
    <w:p w14:paraId="0A6A45E9" w14:textId="77777777" w:rsidR="00D54C45" w:rsidRDefault="00D54C45" w:rsidP="00FA07E9">
      <w:pPr>
        <w:pStyle w:val="NormalWeb"/>
        <w:spacing w:before="0" w:beforeAutospacing="0" w:after="0" w:afterAutospacing="0"/>
        <w:ind w:right="-334"/>
        <w:rPr>
          <w:rFonts w:ascii="Trebuchet MS" w:hAnsi="Trebuchet MS" w:cs="Tahoma"/>
          <w:bCs/>
          <w:sz w:val="24"/>
          <w:szCs w:val="24"/>
        </w:rPr>
        <w:sectPr w:rsidR="00D54C45" w:rsidSect="00B462B1">
          <w:headerReference w:type="even" r:id="rId9"/>
          <w:headerReference w:type="default" r:id="rId10"/>
          <w:footerReference w:type="even" r:id="rId11"/>
          <w:footerReference w:type="default" r:id="rId12"/>
          <w:headerReference w:type="first" r:id="rId13"/>
          <w:footerReference w:type="first" r:id="rId14"/>
          <w:pgSz w:w="12240" w:h="15840"/>
          <w:pgMar w:top="567" w:right="1797" w:bottom="567" w:left="1797" w:header="567" w:footer="720" w:gutter="0"/>
          <w:pgNumType w:start="1"/>
          <w:cols w:space="720"/>
        </w:sectPr>
      </w:pPr>
    </w:p>
    <w:bookmarkEnd w:id="0"/>
    <w:p w14:paraId="544BE122" w14:textId="34163DE6" w:rsidR="00DA3073" w:rsidRDefault="00DA3073" w:rsidP="004528A6">
      <w:pPr>
        <w:pStyle w:val="NormalWeb"/>
        <w:spacing w:before="0" w:beforeAutospacing="0" w:after="0" w:afterAutospacing="0"/>
        <w:ind w:right="-334"/>
        <w:rPr>
          <w:rFonts w:ascii="Times New Roman" w:hAnsi="Times New Roman"/>
          <w:b/>
          <w:sz w:val="24"/>
        </w:rPr>
      </w:pPr>
      <w:r w:rsidRPr="007C14E9">
        <w:rPr>
          <w:rFonts w:ascii="Times New Roman" w:hAnsi="Times New Roman"/>
          <w:b/>
          <w:sz w:val="24"/>
        </w:rPr>
        <w:lastRenderedPageBreak/>
        <w:t>A Critical Comparison of Two JSTOR Papers</w:t>
      </w:r>
    </w:p>
    <w:p w14:paraId="5451730D" w14:textId="6F610533" w:rsidR="00DA3073" w:rsidRDefault="00DA3073" w:rsidP="004528A6">
      <w:pPr>
        <w:pStyle w:val="NormalWeb"/>
        <w:spacing w:before="0" w:beforeAutospacing="0" w:after="0" w:afterAutospacing="0"/>
        <w:ind w:right="-334"/>
        <w:rPr>
          <w:rFonts w:ascii="Times New Roman" w:hAnsi="Times New Roman"/>
          <w:bCs/>
          <w:sz w:val="24"/>
          <w:szCs w:val="24"/>
        </w:rPr>
      </w:pPr>
      <w:r>
        <w:rPr>
          <w:rFonts w:ascii="Times New Roman" w:hAnsi="Times New Roman"/>
          <w:bCs/>
          <w:sz w:val="24"/>
          <w:szCs w:val="24"/>
        </w:rPr>
        <w:t>Word count: 157</w:t>
      </w:r>
      <w:r w:rsidR="00071592">
        <w:rPr>
          <w:rFonts w:ascii="Times New Roman" w:hAnsi="Times New Roman"/>
          <w:bCs/>
          <w:sz w:val="24"/>
          <w:szCs w:val="24"/>
        </w:rPr>
        <w:t>4</w:t>
      </w:r>
    </w:p>
    <w:p w14:paraId="2F04B32A" w14:textId="77777777" w:rsidR="00DA3073" w:rsidRDefault="00DA3073" w:rsidP="004528A6">
      <w:pPr>
        <w:pStyle w:val="NormalWeb"/>
        <w:spacing w:before="0" w:beforeAutospacing="0" w:after="0" w:afterAutospacing="0"/>
        <w:ind w:right="-334"/>
        <w:rPr>
          <w:rFonts w:ascii="Times New Roman" w:hAnsi="Times New Roman"/>
          <w:bCs/>
          <w:sz w:val="24"/>
          <w:szCs w:val="24"/>
        </w:rPr>
      </w:pPr>
    </w:p>
    <w:p w14:paraId="7E7D01CD" w14:textId="517E151D" w:rsidR="00D7360E" w:rsidRDefault="00A5782C" w:rsidP="00C0098D">
      <w:pPr>
        <w:pStyle w:val="NormalWeb"/>
        <w:spacing w:before="0" w:beforeAutospacing="0" w:after="0" w:afterAutospacing="0"/>
        <w:ind w:right="-334"/>
        <w:jc w:val="both"/>
        <w:rPr>
          <w:rFonts w:ascii="Times New Roman" w:hAnsi="Times New Roman"/>
          <w:bCs/>
          <w:sz w:val="24"/>
          <w:szCs w:val="24"/>
        </w:rPr>
      </w:pPr>
      <w:r w:rsidRPr="007C14E9">
        <w:rPr>
          <w:rFonts w:ascii="Times New Roman" w:hAnsi="Times New Roman"/>
          <w:bCs/>
          <w:sz w:val="24"/>
          <w:szCs w:val="24"/>
        </w:rPr>
        <w:t xml:space="preserve">This essay will critically compare and contrast two JSTOR papers, chosen from the results offered </w:t>
      </w:r>
      <w:r w:rsidR="009510C6">
        <w:rPr>
          <w:rFonts w:ascii="Times New Roman" w:hAnsi="Times New Roman"/>
          <w:bCs/>
          <w:sz w:val="24"/>
          <w:szCs w:val="24"/>
        </w:rPr>
        <w:t>by</w:t>
      </w:r>
      <w:r w:rsidRPr="007C14E9">
        <w:rPr>
          <w:rFonts w:ascii="Times New Roman" w:hAnsi="Times New Roman"/>
          <w:bCs/>
          <w:sz w:val="24"/>
          <w:szCs w:val="24"/>
        </w:rPr>
        <w:t xml:space="preserve"> the search terms ‘cosmology’ and ‘culture’. The two papers to be analysed are Deborah Kaspin’s ‘A Chewa Cosmology of the Body</w:t>
      </w:r>
      <w:r w:rsidR="005216A1">
        <w:rPr>
          <w:rFonts w:ascii="Times New Roman" w:hAnsi="Times New Roman"/>
          <w:bCs/>
          <w:sz w:val="24"/>
          <w:szCs w:val="24"/>
        </w:rPr>
        <w:t>’</w:t>
      </w:r>
      <w:r w:rsidRPr="007C14E9">
        <w:rPr>
          <w:rFonts w:ascii="Times New Roman" w:hAnsi="Times New Roman"/>
          <w:bCs/>
          <w:sz w:val="24"/>
          <w:szCs w:val="24"/>
        </w:rPr>
        <w:t xml:space="preserve"> and Sohini Ray’s ‘Writing the Body: Cosmology, Orthography, and Fragments of Modernity in Northeastern India’</w:t>
      </w:r>
      <w:r w:rsidR="00E52BFB">
        <w:rPr>
          <w:rFonts w:ascii="Times New Roman" w:hAnsi="Times New Roman"/>
          <w:bCs/>
          <w:sz w:val="24"/>
          <w:szCs w:val="24"/>
        </w:rPr>
        <w:t>.</w:t>
      </w:r>
      <w:r w:rsidRPr="007C14E9">
        <w:rPr>
          <w:rStyle w:val="FootnoteReference"/>
          <w:rFonts w:ascii="Times New Roman" w:hAnsi="Times New Roman"/>
          <w:bCs/>
          <w:sz w:val="24"/>
          <w:szCs w:val="24"/>
        </w:rPr>
        <w:footnoteReference w:id="1"/>
      </w:r>
      <w:r w:rsidR="007C14E9">
        <w:rPr>
          <w:rFonts w:ascii="Times New Roman" w:hAnsi="Times New Roman"/>
          <w:bCs/>
          <w:sz w:val="24"/>
          <w:szCs w:val="24"/>
        </w:rPr>
        <w:t xml:space="preserve"> </w:t>
      </w:r>
      <w:r w:rsidR="00FF5C5D" w:rsidRPr="00FF5C5D">
        <w:rPr>
          <w:rFonts w:ascii="Times New Roman" w:hAnsi="Times New Roman"/>
          <w:bCs/>
          <w:sz w:val="24"/>
          <w:szCs w:val="24"/>
        </w:rPr>
        <w:t>Kaspin and Ray</w:t>
      </w:r>
      <w:r w:rsidR="007268C1">
        <w:rPr>
          <w:rFonts w:ascii="Times New Roman" w:hAnsi="Times New Roman"/>
          <w:bCs/>
          <w:sz w:val="24"/>
          <w:szCs w:val="24"/>
        </w:rPr>
        <w:t xml:space="preserve"> are </w:t>
      </w:r>
      <w:r w:rsidR="00FF5C5D">
        <w:rPr>
          <w:rFonts w:ascii="Times New Roman" w:hAnsi="Times New Roman"/>
          <w:bCs/>
          <w:sz w:val="24"/>
          <w:szCs w:val="24"/>
        </w:rPr>
        <w:t xml:space="preserve">both female anthropologists </w:t>
      </w:r>
      <w:r w:rsidR="007268C1">
        <w:rPr>
          <w:rFonts w:ascii="Times New Roman" w:hAnsi="Times New Roman"/>
          <w:bCs/>
          <w:sz w:val="24"/>
          <w:szCs w:val="24"/>
        </w:rPr>
        <w:t>who carried</w:t>
      </w:r>
      <w:r w:rsidR="00FF5C5D">
        <w:rPr>
          <w:rFonts w:ascii="Times New Roman" w:hAnsi="Times New Roman"/>
          <w:bCs/>
          <w:sz w:val="24"/>
          <w:szCs w:val="24"/>
        </w:rPr>
        <w:t xml:space="preserve"> out the</w:t>
      </w:r>
      <w:r w:rsidR="00684288">
        <w:rPr>
          <w:rFonts w:ascii="Times New Roman" w:hAnsi="Times New Roman"/>
          <w:bCs/>
          <w:sz w:val="24"/>
          <w:szCs w:val="24"/>
        </w:rPr>
        <w:t>ir</w:t>
      </w:r>
      <w:r w:rsidR="00FF5C5D">
        <w:rPr>
          <w:rFonts w:ascii="Times New Roman" w:hAnsi="Times New Roman"/>
          <w:bCs/>
          <w:sz w:val="24"/>
          <w:szCs w:val="24"/>
        </w:rPr>
        <w:t xml:space="preserve"> ethnographical research </w:t>
      </w:r>
      <w:r w:rsidR="007268C1">
        <w:rPr>
          <w:rFonts w:ascii="Times New Roman" w:hAnsi="Times New Roman"/>
          <w:bCs/>
          <w:sz w:val="24"/>
          <w:szCs w:val="24"/>
        </w:rPr>
        <w:t>within fifteen years of each other.</w:t>
      </w:r>
      <w:r w:rsidR="009B0DCB">
        <w:rPr>
          <w:rFonts w:ascii="Times New Roman" w:hAnsi="Times New Roman"/>
          <w:bCs/>
          <w:sz w:val="24"/>
          <w:szCs w:val="24"/>
        </w:rPr>
        <w:t xml:space="preserve"> </w:t>
      </w:r>
      <w:r w:rsidR="007268C1">
        <w:rPr>
          <w:rFonts w:ascii="Times New Roman" w:hAnsi="Times New Roman"/>
          <w:bCs/>
          <w:sz w:val="24"/>
          <w:szCs w:val="24"/>
        </w:rPr>
        <w:t xml:space="preserve">Their articles both consider how and why the concept of the body as a cosmological schema has been culturally constructed by the Chewa </w:t>
      </w:r>
      <w:r w:rsidR="009B0DCB">
        <w:rPr>
          <w:rFonts w:ascii="Times New Roman" w:hAnsi="Times New Roman"/>
          <w:bCs/>
          <w:sz w:val="24"/>
          <w:szCs w:val="24"/>
        </w:rPr>
        <w:t xml:space="preserve">tribe </w:t>
      </w:r>
      <w:r w:rsidR="00FC2094">
        <w:rPr>
          <w:rFonts w:ascii="Times New Roman" w:hAnsi="Times New Roman"/>
          <w:bCs/>
          <w:sz w:val="24"/>
          <w:szCs w:val="24"/>
        </w:rPr>
        <w:t xml:space="preserve">(under Chief </w:t>
      </w:r>
      <w:proofErr w:type="spellStart"/>
      <w:r w:rsidR="00FC2094">
        <w:rPr>
          <w:rFonts w:ascii="Times New Roman" w:hAnsi="Times New Roman"/>
          <w:bCs/>
          <w:sz w:val="24"/>
          <w:szCs w:val="24"/>
        </w:rPr>
        <w:t>Chadza</w:t>
      </w:r>
      <w:proofErr w:type="spellEnd"/>
      <w:r w:rsidR="00FC2094">
        <w:rPr>
          <w:rFonts w:ascii="Times New Roman" w:hAnsi="Times New Roman"/>
          <w:bCs/>
          <w:sz w:val="24"/>
          <w:szCs w:val="24"/>
        </w:rPr>
        <w:t xml:space="preserve"> </w:t>
      </w:r>
      <w:proofErr w:type="spellStart"/>
      <w:r w:rsidR="00FC2094">
        <w:rPr>
          <w:rFonts w:ascii="Times New Roman" w:hAnsi="Times New Roman"/>
          <w:bCs/>
          <w:sz w:val="24"/>
          <w:szCs w:val="24"/>
        </w:rPr>
        <w:t>Kwenda</w:t>
      </w:r>
      <w:proofErr w:type="spellEnd"/>
      <w:r w:rsidR="00FC2094">
        <w:rPr>
          <w:rFonts w:ascii="Times New Roman" w:hAnsi="Times New Roman"/>
          <w:bCs/>
          <w:sz w:val="24"/>
          <w:szCs w:val="24"/>
        </w:rPr>
        <w:t xml:space="preserve">) </w:t>
      </w:r>
      <w:r w:rsidR="007268C1">
        <w:rPr>
          <w:rFonts w:ascii="Times New Roman" w:hAnsi="Times New Roman"/>
          <w:bCs/>
          <w:sz w:val="24"/>
          <w:szCs w:val="24"/>
        </w:rPr>
        <w:t>and the M</w:t>
      </w:r>
      <w:r w:rsidR="009B0DCB">
        <w:rPr>
          <w:rFonts w:ascii="Times New Roman" w:hAnsi="Times New Roman"/>
          <w:bCs/>
          <w:sz w:val="24"/>
          <w:szCs w:val="24"/>
        </w:rPr>
        <w:t>anipuri people</w:t>
      </w:r>
      <w:r w:rsidR="007268C1">
        <w:rPr>
          <w:rFonts w:ascii="Times New Roman" w:hAnsi="Times New Roman"/>
          <w:bCs/>
          <w:sz w:val="24"/>
          <w:szCs w:val="24"/>
        </w:rPr>
        <w:t>, respectively, and what importance these cultures place on the</w:t>
      </w:r>
      <w:r w:rsidR="009A62DA">
        <w:rPr>
          <w:rFonts w:ascii="Times New Roman" w:hAnsi="Times New Roman"/>
          <w:bCs/>
          <w:sz w:val="24"/>
          <w:szCs w:val="24"/>
        </w:rPr>
        <w:t>ir</w:t>
      </w:r>
      <w:r w:rsidR="007268C1">
        <w:rPr>
          <w:rFonts w:ascii="Times New Roman" w:hAnsi="Times New Roman"/>
          <w:bCs/>
          <w:sz w:val="24"/>
          <w:szCs w:val="24"/>
        </w:rPr>
        <w:t xml:space="preserve"> cosmologies.</w:t>
      </w:r>
      <w:r w:rsidR="00FC2094">
        <w:rPr>
          <w:rStyle w:val="FootnoteReference"/>
          <w:rFonts w:ascii="Times New Roman" w:hAnsi="Times New Roman"/>
          <w:bCs/>
          <w:sz w:val="24"/>
          <w:szCs w:val="24"/>
        </w:rPr>
        <w:footnoteReference w:id="2"/>
      </w:r>
      <w:r w:rsidR="00F0754F">
        <w:rPr>
          <w:rFonts w:ascii="Times New Roman" w:hAnsi="Times New Roman"/>
          <w:bCs/>
          <w:sz w:val="24"/>
          <w:szCs w:val="24"/>
        </w:rPr>
        <w:t xml:space="preserve"> </w:t>
      </w:r>
      <w:r w:rsidR="007C14E9">
        <w:rPr>
          <w:rFonts w:ascii="Times New Roman" w:hAnsi="Times New Roman"/>
          <w:bCs/>
          <w:sz w:val="24"/>
          <w:szCs w:val="24"/>
        </w:rPr>
        <w:t xml:space="preserve">Nicholas </w:t>
      </w:r>
      <w:r w:rsidR="00D7360E" w:rsidRPr="007C14E9">
        <w:rPr>
          <w:rFonts w:ascii="Times New Roman" w:hAnsi="Times New Roman"/>
          <w:bCs/>
          <w:sz w:val="24"/>
          <w:szCs w:val="24"/>
        </w:rPr>
        <w:t>Campion defines cosmology in two strokes</w:t>
      </w:r>
      <w:r w:rsidR="006A7F9F" w:rsidRPr="007C14E9">
        <w:rPr>
          <w:rFonts w:ascii="Times New Roman" w:hAnsi="Times New Roman"/>
          <w:bCs/>
          <w:sz w:val="24"/>
          <w:szCs w:val="24"/>
        </w:rPr>
        <w:t>, it is both</w:t>
      </w:r>
      <w:r w:rsidR="00D7360E" w:rsidRPr="007C14E9">
        <w:rPr>
          <w:rFonts w:ascii="Times New Roman" w:hAnsi="Times New Roman"/>
          <w:bCs/>
          <w:sz w:val="24"/>
          <w:szCs w:val="24"/>
        </w:rPr>
        <w:t xml:space="preserve"> </w:t>
      </w:r>
      <w:r w:rsidR="0005044E">
        <w:rPr>
          <w:rFonts w:ascii="Times New Roman" w:hAnsi="Times New Roman"/>
          <w:bCs/>
          <w:sz w:val="24"/>
          <w:szCs w:val="24"/>
        </w:rPr>
        <w:t>‘</w:t>
      </w:r>
      <w:r w:rsidR="00D7360E" w:rsidRPr="007C14E9">
        <w:rPr>
          <w:rFonts w:ascii="Times New Roman" w:hAnsi="Times New Roman"/>
          <w:bCs/>
          <w:sz w:val="24"/>
          <w:szCs w:val="24"/>
        </w:rPr>
        <w:t>the scientific study of outer space</w:t>
      </w:r>
      <w:r w:rsidR="0005044E">
        <w:rPr>
          <w:rFonts w:ascii="Times New Roman" w:hAnsi="Times New Roman"/>
          <w:bCs/>
          <w:sz w:val="24"/>
          <w:szCs w:val="24"/>
        </w:rPr>
        <w:t>’</w:t>
      </w:r>
      <w:r w:rsidR="006A7F9F" w:rsidRPr="007C14E9">
        <w:rPr>
          <w:rFonts w:ascii="Times New Roman" w:hAnsi="Times New Roman"/>
          <w:bCs/>
          <w:sz w:val="24"/>
          <w:szCs w:val="24"/>
        </w:rPr>
        <w:t xml:space="preserve"> as well as dealing </w:t>
      </w:r>
      <w:r w:rsidR="0005044E">
        <w:rPr>
          <w:rFonts w:ascii="Times New Roman" w:hAnsi="Times New Roman"/>
          <w:bCs/>
          <w:sz w:val="24"/>
          <w:szCs w:val="24"/>
        </w:rPr>
        <w:t>‘</w:t>
      </w:r>
      <w:r w:rsidR="00D7360E" w:rsidRPr="007C14E9">
        <w:rPr>
          <w:rFonts w:ascii="Times New Roman" w:hAnsi="Times New Roman"/>
          <w:bCs/>
          <w:sz w:val="24"/>
          <w:szCs w:val="24"/>
        </w:rPr>
        <w:t>with the ways in which human beings locate themselves in relation to the cosmos, seen as the totality of everything</w:t>
      </w:r>
      <w:r w:rsidR="0005044E">
        <w:rPr>
          <w:rFonts w:ascii="Times New Roman" w:hAnsi="Times New Roman"/>
          <w:bCs/>
          <w:sz w:val="24"/>
          <w:szCs w:val="24"/>
        </w:rPr>
        <w:t>’</w:t>
      </w:r>
      <w:r w:rsidR="006A7F9F" w:rsidRPr="007C14E9">
        <w:rPr>
          <w:rFonts w:ascii="Times New Roman" w:hAnsi="Times New Roman"/>
          <w:bCs/>
          <w:sz w:val="24"/>
          <w:szCs w:val="24"/>
        </w:rPr>
        <w:t>.</w:t>
      </w:r>
      <w:r w:rsidR="006A7F9F" w:rsidRPr="007C14E9">
        <w:rPr>
          <w:rStyle w:val="FootnoteReference"/>
          <w:rFonts w:ascii="Times New Roman" w:hAnsi="Times New Roman"/>
          <w:bCs/>
          <w:sz w:val="24"/>
          <w:szCs w:val="24"/>
        </w:rPr>
        <w:footnoteReference w:id="3"/>
      </w:r>
      <w:r w:rsidR="007C14E9">
        <w:rPr>
          <w:rFonts w:ascii="Times New Roman" w:hAnsi="Times New Roman"/>
          <w:bCs/>
          <w:sz w:val="24"/>
          <w:szCs w:val="24"/>
        </w:rPr>
        <w:t xml:space="preserve"> </w:t>
      </w:r>
      <w:r w:rsidR="007C14E9" w:rsidRPr="00F0754F">
        <w:rPr>
          <w:rFonts w:ascii="Times New Roman" w:hAnsi="Times New Roman"/>
          <w:bCs/>
          <w:sz w:val="24"/>
          <w:szCs w:val="24"/>
        </w:rPr>
        <w:t xml:space="preserve">This dualistic meaning showcases the power </w:t>
      </w:r>
      <w:r w:rsidR="00906AEC" w:rsidRPr="00F0754F">
        <w:rPr>
          <w:rFonts w:ascii="Times New Roman" w:hAnsi="Times New Roman"/>
          <w:bCs/>
          <w:sz w:val="24"/>
          <w:szCs w:val="24"/>
        </w:rPr>
        <w:t xml:space="preserve">found in defining a word </w:t>
      </w:r>
      <w:r w:rsidR="007C14E9" w:rsidRPr="00F0754F">
        <w:rPr>
          <w:rFonts w:ascii="Times New Roman" w:hAnsi="Times New Roman"/>
          <w:bCs/>
          <w:sz w:val="24"/>
          <w:szCs w:val="24"/>
        </w:rPr>
        <w:t xml:space="preserve">and leaves open the possibility for </w:t>
      </w:r>
      <w:r w:rsidR="00906AEC" w:rsidRPr="00F0754F">
        <w:rPr>
          <w:rFonts w:ascii="Times New Roman" w:hAnsi="Times New Roman"/>
          <w:bCs/>
          <w:sz w:val="24"/>
          <w:szCs w:val="24"/>
        </w:rPr>
        <w:t>culture to shape those definitions</w:t>
      </w:r>
      <w:r w:rsidR="007C14E9">
        <w:rPr>
          <w:rFonts w:ascii="Times New Roman" w:hAnsi="Times New Roman"/>
          <w:bCs/>
          <w:sz w:val="24"/>
          <w:szCs w:val="24"/>
        </w:rPr>
        <w:t xml:space="preserve">. Culture is no easier to pin a single meaning on than cosmology, with Terry Eagleton </w:t>
      </w:r>
      <w:r w:rsidR="00B06029">
        <w:rPr>
          <w:rFonts w:ascii="Times New Roman" w:hAnsi="Times New Roman"/>
          <w:bCs/>
          <w:sz w:val="24"/>
          <w:szCs w:val="24"/>
        </w:rPr>
        <w:t xml:space="preserve">and Raymond Williams </w:t>
      </w:r>
      <w:r w:rsidR="007C14E9">
        <w:rPr>
          <w:rFonts w:ascii="Times New Roman" w:hAnsi="Times New Roman"/>
          <w:bCs/>
          <w:sz w:val="24"/>
          <w:szCs w:val="24"/>
        </w:rPr>
        <w:t xml:space="preserve">both </w:t>
      </w:r>
      <w:r w:rsidR="007268C1">
        <w:rPr>
          <w:rFonts w:ascii="Times New Roman" w:hAnsi="Times New Roman"/>
          <w:bCs/>
          <w:sz w:val="24"/>
          <w:szCs w:val="24"/>
        </w:rPr>
        <w:t>exploring</w:t>
      </w:r>
      <w:r w:rsidR="007C14E9">
        <w:rPr>
          <w:rFonts w:ascii="Times New Roman" w:hAnsi="Times New Roman"/>
          <w:bCs/>
          <w:sz w:val="24"/>
          <w:szCs w:val="24"/>
        </w:rPr>
        <w:t xml:space="preserve"> the history and implications of the term</w:t>
      </w:r>
      <w:r w:rsidR="00225EE9">
        <w:rPr>
          <w:rFonts w:ascii="Times New Roman" w:hAnsi="Times New Roman"/>
          <w:bCs/>
          <w:sz w:val="24"/>
          <w:szCs w:val="24"/>
        </w:rPr>
        <w:t xml:space="preserve"> whilst examining many possible </w:t>
      </w:r>
      <w:r w:rsidR="009A62DA">
        <w:rPr>
          <w:rFonts w:ascii="Times New Roman" w:hAnsi="Times New Roman"/>
          <w:bCs/>
          <w:sz w:val="24"/>
          <w:szCs w:val="24"/>
        </w:rPr>
        <w:t>definition</w:t>
      </w:r>
      <w:r w:rsidR="00225EE9">
        <w:rPr>
          <w:rFonts w:ascii="Times New Roman" w:hAnsi="Times New Roman"/>
          <w:bCs/>
          <w:sz w:val="24"/>
          <w:szCs w:val="24"/>
        </w:rPr>
        <w:t>s.</w:t>
      </w:r>
      <w:r w:rsidR="005307DC">
        <w:rPr>
          <w:rStyle w:val="FootnoteReference"/>
          <w:rFonts w:ascii="Times New Roman" w:hAnsi="Times New Roman"/>
          <w:bCs/>
          <w:sz w:val="24"/>
          <w:szCs w:val="24"/>
        </w:rPr>
        <w:footnoteReference w:id="4"/>
      </w:r>
      <w:r w:rsidR="00225EE9">
        <w:rPr>
          <w:rFonts w:ascii="Times New Roman" w:hAnsi="Times New Roman"/>
          <w:bCs/>
          <w:sz w:val="24"/>
          <w:szCs w:val="24"/>
        </w:rPr>
        <w:t xml:space="preserve"> </w:t>
      </w:r>
      <w:r w:rsidR="003B76A0">
        <w:rPr>
          <w:rFonts w:ascii="Times New Roman" w:hAnsi="Times New Roman"/>
          <w:bCs/>
          <w:sz w:val="24"/>
          <w:szCs w:val="24"/>
        </w:rPr>
        <w:t>Eagleton</w:t>
      </w:r>
      <w:r w:rsidR="00B11315">
        <w:rPr>
          <w:rFonts w:ascii="Times New Roman" w:hAnsi="Times New Roman"/>
          <w:bCs/>
          <w:sz w:val="24"/>
          <w:szCs w:val="24"/>
        </w:rPr>
        <w:t xml:space="preserve"> summarizes</w:t>
      </w:r>
      <w:r w:rsidR="003B76A0">
        <w:rPr>
          <w:rFonts w:ascii="Times New Roman" w:hAnsi="Times New Roman"/>
          <w:bCs/>
          <w:sz w:val="24"/>
          <w:szCs w:val="24"/>
        </w:rPr>
        <w:t xml:space="preserve"> culture ‘as the complex of values</w:t>
      </w:r>
      <w:r w:rsidR="00B11315">
        <w:rPr>
          <w:rFonts w:ascii="Times New Roman" w:hAnsi="Times New Roman"/>
          <w:bCs/>
          <w:sz w:val="24"/>
          <w:szCs w:val="24"/>
        </w:rPr>
        <w:t>, customs, beliefs and practices which constitute the way of life of a specific group’</w:t>
      </w:r>
      <w:r w:rsidR="00B06029">
        <w:rPr>
          <w:rFonts w:ascii="Times New Roman" w:hAnsi="Times New Roman"/>
          <w:bCs/>
          <w:sz w:val="24"/>
          <w:szCs w:val="24"/>
        </w:rPr>
        <w:t>, at once echoing and streamlining a definition by Edward Burnett Tylor</w:t>
      </w:r>
      <w:r w:rsidR="00E52BFB">
        <w:rPr>
          <w:rFonts w:ascii="Times New Roman" w:hAnsi="Times New Roman"/>
          <w:bCs/>
          <w:sz w:val="24"/>
          <w:szCs w:val="24"/>
        </w:rPr>
        <w:t>.</w:t>
      </w:r>
      <w:r w:rsidR="00225EE9">
        <w:rPr>
          <w:rStyle w:val="FootnoteReference"/>
          <w:rFonts w:ascii="Times New Roman" w:hAnsi="Times New Roman"/>
          <w:bCs/>
          <w:sz w:val="24"/>
          <w:szCs w:val="24"/>
        </w:rPr>
        <w:footnoteReference w:id="5"/>
      </w:r>
      <w:r w:rsidR="007C14E9">
        <w:rPr>
          <w:rFonts w:ascii="Times New Roman" w:hAnsi="Times New Roman"/>
          <w:bCs/>
          <w:sz w:val="24"/>
          <w:szCs w:val="24"/>
        </w:rPr>
        <w:t xml:space="preserve"> </w:t>
      </w:r>
      <w:r w:rsidR="005216A1" w:rsidRPr="00F0754F">
        <w:rPr>
          <w:rFonts w:ascii="Times New Roman" w:hAnsi="Times New Roman"/>
          <w:bCs/>
          <w:sz w:val="24"/>
          <w:szCs w:val="24"/>
        </w:rPr>
        <w:t>This essay will consider these two areas, culture and cosmology, through the themes of</w:t>
      </w:r>
      <w:r w:rsidR="00C576A2">
        <w:rPr>
          <w:rFonts w:ascii="Times New Roman" w:hAnsi="Times New Roman"/>
          <w:bCs/>
          <w:sz w:val="24"/>
          <w:szCs w:val="24"/>
        </w:rPr>
        <w:t>:</w:t>
      </w:r>
      <w:r w:rsidR="005216A1" w:rsidRPr="00F0754F">
        <w:rPr>
          <w:rFonts w:ascii="Times New Roman" w:hAnsi="Times New Roman"/>
          <w:bCs/>
          <w:sz w:val="24"/>
          <w:szCs w:val="24"/>
        </w:rPr>
        <w:t xml:space="preserve"> </w:t>
      </w:r>
      <w:r w:rsidR="00B0047B" w:rsidRPr="00F0754F">
        <w:rPr>
          <w:rFonts w:ascii="Times New Roman" w:hAnsi="Times New Roman"/>
          <w:bCs/>
          <w:sz w:val="24"/>
          <w:szCs w:val="24"/>
        </w:rPr>
        <w:t>defining the cosmological body</w:t>
      </w:r>
      <w:bookmarkStart w:id="7" w:name="_GoBack"/>
      <w:bookmarkEnd w:id="7"/>
      <w:r w:rsidR="00814C68" w:rsidRPr="00F0754F">
        <w:rPr>
          <w:rFonts w:ascii="Times New Roman" w:hAnsi="Times New Roman"/>
          <w:bCs/>
          <w:sz w:val="24"/>
          <w:szCs w:val="24"/>
        </w:rPr>
        <w:t xml:space="preserve"> </w:t>
      </w:r>
      <w:r w:rsidR="00DE09B8" w:rsidRPr="00F0754F">
        <w:rPr>
          <w:rFonts w:ascii="Times New Roman" w:hAnsi="Times New Roman"/>
          <w:bCs/>
          <w:sz w:val="24"/>
          <w:szCs w:val="24"/>
        </w:rPr>
        <w:t xml:space="preserve">and </w:t>
      </w:r>
      <w:r w:rsidR="00D172A6">
        <w:rPr>
          <w:rFonts w:ascii="Times New Roman" w:hAnsi="Times New Roman"/>
          <w:bCs/>
          <w:sz w:val="24"/>
          <w:szCs w:val="24"/>
        </w:rPr>
        <w:t>placing the</w:t>
      </w:r>
      <w:r w:rsidR="00DE09B8" w:rsidRPr="00F0754F">
        <w:rPr>
          <w:rFonts w:ascii="Times New Roman" w:hAnsi="Times New Roman"/>
          <w:bCs/>
          <w:sz w:val="24"/>
          <w:szCs w:val="24"/>
        </w:rPr>
        <w:t xml:space="preserve"> gendered body in </w:t>
      </w:r>
      <w:r w:rsidR="002F661A" w:rsidRPr="00F0754F">
        <w:rPr>
          <w:rFonts w:ascii="Times New Roman" w:hAnsi="Times New Roman"/>
          <w:bCs/>
          <w:sz w:val="24"/>
          <w:szCs w:val="24"/>
        </w:rPr>
        <w:t xml:space="preserve">performative </w:t>
      </w:r>
      <w:r w:rsidR="00B0047B" w:rsidRPr="00F0754F">
        <w:rPr>
          <w:rFonts w:ascii="Times New Roman" w:hAnsi="Times New Roman"/>
          <w:bCs/>
          <w:sz w:val="24"/>
          <w:szCs w:val="24"/>
        </w:rPr>
        <w:t>festivals and rituals</w:t>
      </w:r>
      <w:r w:rsidR="00DE09B8" w:rsidRPr="00F0754F">
        <w:rPr>
          <w:rFonts w:ascii="Times New Roman" w:hAnsi="Times New Roman"/>
          <w:bCs/>
          <w:sz w:val="24"/>
          <w:szCs w:val="24"/>
        </w:rPr>
        <w:t>.</w:t>
      </w:r>
    </w:p>
    <w:p w14:paraId="10E12D99" w14:textId="299EFAE2" w:rsidR="005216A1" w:rsidRDefault="005216A1" w:rsidP="00C0098D">
      <w:pPr>
        <w:pStyle w:val="NormalWeb"/>
        <w:spacing w:before="0" w:beforeAutospacing="0" w:after="0" w:afterAutospacing="0"/>
        <w:ind w:right="-334"/>
        <w:jc w:val="both"/>
        <w:rPr>
          <w:rFonts w:ascii="Times New Roman" w:hAnsi="Times New Roman"/>
          <w:bCs/>
          <w:sz w:val="24"/>
          <w:szCs w:val="24"/>
        </w:rPr>
      </w:pPr>
    </w:p>
    <w:p w14:paraId="67221A00" w14:textId="77777777" w:rsidR="000E208E" w:rsidRDefault="00E15E40" w:rsidP="00C0098D">
      <w:pPr>
        <w:pStyle w:val="NormalWeb"/>
        <w:spacing w:before="0" w:beforeAutospacing="0" w:after="0" w:afterAutospacing="0"/>
        <w:ind w:right="-334"/>
        <w:jc w:val="both"/>
        <w:rPr>
          <w:rFonts w:ascii="Times New Roman" w:hAnsi="Times New Roman"/>
          <w:bCs/>
          <w:color w:val="auto"/>
          <w:sz w:val="24"/>
          <w:szCs w:val="24"/>
        </w:rPr>
      </w:pPr>
      <w:r>
        <w:rPr>
          <w:rFonts w:ascii="Times New Roman" w:hAnsi="Times New Roman"/>
          <w:bCs/>
          <w:color w:val="auto"/>
          <w:sz w:val="24"/>
          <w:szCs w:val="24"/>
        </w:rPr>
        <w:t>Alex Wayman points out that ‘the analogy of the human body with the cosmos overlaps a number of cultures, older and newer’, situating both Kaspin and Ray’s research as links in a chronological and geographical chain.</w:t>
      </w:r>
      <w:r>
        <w:rPr>
          <w:rStyle w:val="FootnoteReference"/>
          <w:rFonts w:ascii="Times New Roman" w:hAnsi="Times New Roman"/>
          <w:bCs/>
          <w:color w:val="auto"/>
          <w:sz w:val="24"/>
          <w:szCs w:val="24"/>
        </w:rPr>
        <w:footnoteReference w:id="6"/>
      </w:r>
      <w:r>
        <w:rPr>
          <w:rFonts w:ascii="Times New Roman" w:hAnsi="Times New Roman"/>
          <w:bCs/>
          <w:color w:val="auto"/>
          <w:sz w:val="24"/>
          <w:szCs w:val="24"/>
        </w:rPr>
        <w:t xml:space="preserve"> </w:t>
      </w:r>
      <w:r w:rsidR="00551D98">
        <w:rPr>
          <w:rFonts w:ascii="Times New Roman" w:hAnsi="Times New Roman"/>
          <w:bCs/>
          <w:color w:val="auto"/>
          <w:sz w:val="24"/>
          <w:szCs w:val="24"/>
        </w:rPr>
        <w:t xml:space="preserve">Whilst the two articles </w:t>
      </w:r>
      <w:r w:rsidR="002768C4">
        <w:rPr>
          <w:rFonts w:ascii="Times New Roman" w:hAnsi="Times New Roman"/>
          <w:bCs/>
          <w:color w:val="auto"/>
          <w:sz w:val="24"/>
          <w:szCs w:val="24"/>
        </w:rPr>
        <w:t xml:space="preserve">both </w:t>
      </w:r>
      <w:r w:rsidR="00551D98">
        <w:rPr>
          <w:rFonts w:ascii="Times New Roman" w:hAnsi="Times New Roman"/>
          <w:bCs/>
          <w:color w:val="auto"/>
          <w:sz w:val="24"/>
          <w:szCs w:val="24"/>
        </w:rPr>
        <w:t>detail the fact that the Chewa and the Manipuri view the body as a cosmological schema,</w:t>
      </w:r>
      <w:r w:rsidR="00F16C03">
        <w:rPr>
          <w:rFonts w:ascii="Times New Roman" w:hAnsi="Times New Roman"/>
          <w:bCs/>
          <w:color w:val="auto"/>
          <w:sz w:val="24"/>
          <w:szCs w:val="24"/>
        </w:rPr>
        <w:t xml:space="preserve"> </w:t>
      </w:r>
      <w:r w:rsidR="00551D98">
        <w:rPr>
          <w:rFonts w:ascii="Times New Roman" w:hAnsi="Times New Roman"/>
          <w:bCs/>
          <w:color w:val="auto"/>
          <w:sz w:val="24"/>
          <w:szCs w:val="24"/>
        </w:rPr>
        <w:t xml:space="preserve">the definitions </w:t>
      </w:r>
      <w:r w:rsidR="00F16C03">
        <w:rPr>
          <w:rFonts w:ascii="Times New Roman" w:hAnsi="Times New Roman"/>
          <w:bCs/>
          <w:color w:val="auto"/>
          <w:sz w:val="24"/>
          <w:szCs w:val="24"/>
        </w:rPr>
        <w:t xml:space="preserve">and limits </w:t>
      </w:r>
      <w:r w:rsidR="00551D98">
        <w:rPr>
          <w:rFonts w:ascii="Times New Roman" w:hAnsi="Times New Roman"/>
          <w:bCs/>
          <w:color w:val="auto"/>
          <w:sz w:val="24"/>
          <w:szCs w:val="24"/>
        </w:rPr>
        <w:t>which each author appl</w:t>
      </w:r>
      <w:r w:rsidR="00015B8E">
        <w:rPr>
          <w:rFonts w:ascii="Times New Roman" w:hAnsi="Times New Roman"/>
          <w:bCs/>
          <w:color w:val="auto"/>
          <w:sz w:val="24"/>
          <w:szCs w:val="24"/>
        </w:rPr>
        <w:t>ies</w:t>
      </w:r>
      <w:r w:rsidR="00551D98">
        <w:rPr>
          <w:rFonts w:ascii="Times New Roman" w:hAnsi="Times New Roman"/>
          <w:bCs/>
          <w:color w:val="auto"/>
          <w:sz w:val="24"/>
          <w:szCs w:val="24"/>
        </w:rPr>
        <w:t xml:space="preserve"> to </w:t>
      </w:r>
      <w:r w:rsidR="002F661A">
        <w:rPr>
          <w:rFonts w:ascii="Times New Roman" w:hAnsi="Times New Roman"/>
          <w:bCs/>
          <w:color w:val="auto"/>
          <w:sz w:val="24"/>
          <w:szCs w:val="24"/>
        </w:rPr>
        <w:t>that cosmological body</w:t>
      </w:r>
      <w:r w:rsidR="00551D98">
        <w:rPr>
          <w:rFonts w:ascii="Times New Roman" w:hAnsi="Times New Roman"/>
          <w:bCs/>
          <w:color w:val="auto"/>
          <w:sz w:val="24"/>
          <w:szCs w:val="24"/>
        </w:rPr>
        <w:t xml:space="preserve"> appear </w:t>
      </w:r>
      <w:r w:rsidR="00015B8E">
        <w:rPr>
          <w:rFonts w:ascii="Times New Roman" w:hAnsi="Times New Roman"/>
          <w:bCs/>
          <w:color w:val="auto"/>
          <w:sz w:val="24"/>
          <w:szCs w:val="24"/>
        </w:rPr>
        <w:t xml:space="preserve">to be </w:t>
      </w:r>
      <w:r w:rsidR="00551D98">
        <w:rPr>
          <w:rFonts w:ascii="Times New Roman" w:hAnsi="Times New Roman"/>
          <w:bCs/>
          <w:color w:val="auto"/>
          <w:sz w:val="24"/>
          <w:szCs w:val="24"/>
        </w:rPr>
        <w:t xml:space="preserve">quite different. </w:t>
      </w:r>
      <w:r w:rsidR="005F5534">
        <w:rPr>
          <w:rFonts w:ascii="Times New Roman" w:hAnsi="Times New Roman"/>
          <w:bCs/>
          <w:color w:val="auto"/>
          <w:sz w:val="24"/>
          <w:szCs w:val="24"/>
        </w:rPr>
        <w:t xml:space="preserve">For Ray, the cosmology of the body in Manipuri culture is evident </w:t>
      </w:r>
      <w:r w:rsidR="00F16C03">
        <w:rPr>
          <w:rFonts w:ascii="Times New Roman" w:hAnsi="Times New Roman"/>
          <w:bCs/>
          <w:color w:val="auto"/>
          <w:sz w:val="24"/>
          <w:szCs w:val="24"/>
        </w:rPr>
        <w:t xml:space="preserve">both </w:t>
      </w:r>
      <w:r w:rsidR="005F5534">
        <w:rPr>
          <w:rFonts w:ascii="Times New Roman" w:hAnsi="Times New Roman"/>
          <w:bCs/>
          <w:color w:val="auto"/>
          <w:sz w:val="24"/>
          <w:szCs w:val="24"/>
        </w:rPr>
        <w:t xml:space="preserve">due to the reconstructed alphabet of the Meitei language being the same as the names of the various body parts of the god </w:t>
      </w:r>
      <w:proofErr w:type="spellStart"/>
      <w:r w:rsidR="005F5534">
        <w:rPr>
          <w:rFonts w:ascii="Times New Roman" w:hAnsi="Times New Roman"/>
          <w:bCs/>
          <w:color w:val="auto"/>
          <w:sz w:val="24"/>
          <w:szCs w:val="24"/>
        </w:rPr>
        <w:t>Taibangpanba</w:t>
      </w:r>
      <w:proofErr w:type="spellEnd"/>
      <w:r w:rsidR="005F5534">
        <w:rPr>
          <w:rFonts w:ascii="Times New Roman" w:hAnsi="Times New Roman"/>
          <w:bCs/>
          <w:color w:val="auto"/>
          <w:sz w:val="24"/>
          <w:szCs w:val="24"/>
        </w:rPr>
        <w:t xml:space="preserve"> </w:t>
      </w:r>
      <w:proofErr w:type="spellStart"/>
      <w:r w:rsidR="005F5534">
        <w:rPr>
          <w:rFonts w:ascii="Times New Roman" w:hAnsi="Times New Roman"/>
          <w:bCs/>
          <w:color w:val="auto"/>
          <w:sz w:val="24"/>
          <w:szCs w:val="24"/>
        </w:rPr>
        <w:t>mapu</w:t>
      </w:r>
      <w:proofErr w:type="spellEnd"/>
      <w:r w:rsidR="005F5534">
        <w:rPr>
          <w:rFonts w:ascii="Times New Roman" w:hAnsi="Times New Roman"/>
          <w:bCs/>
          <w:color w:val="auto"/>
          <w:sz w:val="24"/>
          <w:szCs w:val="24"/>
        </w:rPr>
        <w:t>, and by these same names/body parts being used to define the landscape of the Manipur region</w:t>
      </w:r>
      <w:r w:rsidR="00F16C03">
        <w:rPr>
          <w:rFonts w:ascii="Times New Roman" w:hAnsi="Times New Roman"/>
          <w:bCs/>
          <w:color w:val="auto"/>
          <w:sz w:val="24"/>
          <w:szCs w:val="24"/>
        </w:rPr>
        <w:t>.</w:t>
      </w:r>
      <w:r w:rsidR="00F16C03">
        <w:rPr>
          <w:rStyle w:val="FootnoteReference"/>
          <w:rFonts w:ascii="Times New Roman" w:hAnsi="Times New Roman"/>
          <w:bCs/>
          <w:color w:val="auto"/>
          <w:sz w:val="24"/>
          <w:szCs w:val="24"/>
        </w:rPr>
        <w:footnoteReference w:id="7"/>
      </w:r>
      <w:r w:rsidR="00F16C03">
        <w:rPr>
          <w:rFonts w:ascii="Times New Roman" w:hAnsi="Times New Roman"/>
          <w:bCs/>
          <w:color w:val="auto"/>
          <w:sz w:val="24"/>
          <w:szCs w:val="24"/>
        </w:rPr>
        <w:t xml:space="preserve"> This specificity of geographic location invokes territorial lines to </w:t>
      </w:r>
      <w:r w:rsidR="00C25C48">
        <w:rPr>
          <w:rFonts w:ascii="Times New Roman" w:hAnsi="Times New Roman"/>
          <w:bCs/>
          <w:color w:val="auto"/>
          <w:sz w:val="24"/>
          <w:szCs w:val="24"/>
        </w:rPr>
        <w:t>Ray’s Manipuri definition of</w:t>
      </w:r>
      <w:r w:rsidR="00F16C03">
        <w:rPr>
          <w:rFonts w:ascii="Times New Roman" w:hAnsi="Times New Roman"/>
          <w:bCs/>
          <w:color w:val="auto"/>
          <w:sz w:val="24"/>
          <w:szCs w:val="24"/>
        </w:rPr>
        <w:t xml:space="preserve"> body-as-cosmology</w:t>
      </w:r>
      <w:r w:rsidR="005F5534">
        <w:rPr>
          <w:rFonts w:ascii="Times New Roman" w:hAnsi="Times New Roman"/>
          <w:bCs/>
          <w:color w:val="auto"/>
          <w:sz w:val="24"/>
          <w:szCs w:val="24"/>
        </w:rPr>
        <w:t>.</w:t>
      </w:r>
      <w:r w:rsidR="00F16C03">
        <w:rPr>
          <w:rFonts w:ascii="Times New Roman" w:hAnsi="Times New Roman"/>
          <w:bCs/>
          <w:color w:val="auto"/>
          <w:sz w:val="24"/>
          <w:szCs w:val="24"/>
        </w:rPr>
        <w:t xml:space="preserve"> </w:t>
      </w:r>
      <w:r w:rsidR="00E15A2D">
        <w:rPr>
          <w:rFonts w:ascii="Times New Roman" w:hAnsi="Times New Roman"/>
          <w:bCs/>
          <w:color w:val="auto"/>
          <w:sz w:val="24"/>
          <w:szCs w:val="24"/>
        </w:rPr>
        <w:t>Quoting the spiritual leader Ojha M., Ray recounts that this cosmological body is ‘beyond gender’ as it ‘belongs to the Supreme Being’.</w:t>
      </w:r>
      <w:r w:rsidR="00F16C03">
        <w:rPr>
          <w:rStyle w:val="FootnoteReference"/>
          <w:rFonts w:ascii="Times New Roman" w:hAnsi="Times New Roman"/>
          <w:bCs/>
          <w:color w:val="auto"/>
          <w:sz w:val="24"/>
          <w:szCs w:val="24"/>
        </w:rPr>
        <w:footnoteReference w:id="8"/>
      </w:r>
      <w:r w:rsidR="008D50C1">
        <w:rPr>
          <w:rFonts w:ascii="Times New Roman" w:hAnsi="Times New Roman"/>
          <w:bCs/>
          <w:color w:val="auto"/>
          <w:sz w:val="24"/>
          <w:szCs w:val="24"/>
        </w:rPr>
        <w:t xml:space="preserve"> </w:t>
      </w:r>
    </w:p>
    <w:p w14:paraId="5C6A313B" w14:textId="13F6337E" w:rsidR="00384886" w:rsidRDefault="008D50C1" w:rsidP="00C0098D">
      <w:pPr>
        <w:pStyle w:val="NormalWeb"/>
        <w:spacing w:before="0" w:beforeAutospacing="0" w:after="0" w:afterAutospacing="0"/>
        <w:ind w:right="-334"/>
        <w:jc w:val="both"/>
        <w:rPr>
          <w:rFonts w:ascii="Times New Roman" w:hAnsi="Times New Roman"/>
          <w:bCs/>
          <w:color w:val="auto"/>
          <w:sz w:val="24"/>
          <w:szCs w:val="24"/>
        </w:rPr>
      </w:pPr>
      <w:r>
        <w:rPr>
          <w:rFonts w:ascii="Times New Roman" w:hAnsi="Times New Roman"/>
          <w:bCs/>
          <w:color w:val="auto"/>
          <w:sz w:val="24"/>
          <w:szCs w:val="24"/>
        </w:rPr>
        <w:lastRenderedPageBreak/>
        <w:t>In contrast to this singular, sacred, gender-free cosmological body, Kaspin describes the Chewa’s cosmology as being both highly dependent upon gender and taking the bodies of the whole tribe into account</w:t>
      </w:r>
      <w:r w:rsidR="00B057D8">
        <w:rPr>
          <w:rFonts w:ascii="Times New Roman" w:hAnsi="Times New Roman"/>
          <w:bCs/>
          <w:color w:val="auto"/>
          <w:sz w:val="24"/>
          <w:szCs w:val="24"/>
        </w:rPr>
        <w:t>, albeit to varying extents</w:t>
      </w:r>
      <w:r>
        <w:rPr>
          <w:rFonts w:ascii="Times New Roman" w:hAnsi="Times New Roman"/>
          <w:bCs/>
          <w:color w:val="auto"/>
          <w:sz w:val="24"/>
          <w:szCs w:val="24"/>
        </w:rPr>
        <w:t>.</w:t>
      </w:r>
      <w:r w:rsidR="00842B82">
        <w:rPr>
          <w:rStyle w:val="FootnoteReference"/>
          <w:rFonts w:ascii="Times New Roman" w:hAnsi="Times New Roman"/>
          <w:bCs/>
          <w:color w:val="auto"/>
          <w:sz w:val="24"/>
          <w:szCs w:val="24"/>
        </w:rPr>
        <w:footnoteReference w:id="9"/>
      </w:r>
      <w:r w:rsidR="00173593">
        <w:rPr>
          <w:rFonts w:ascii="Times New Roman" w:hAnsi="Times New Roman"/>
          <w:bCs/>
          <w:color w:val="auto"/>
          <w:sz w:val="24"/>
          <w:szCs w:val="24"/>
        </w:rPr>
        <w:t xml:space="preserve"> </w:t>
      </w:r>
      <w:r w:rsidR="001E229A">
        <w:rPr>
          <w:rFonts w:ascii="Times New Roman" w:hAnsi="Times New Roman"/>
          <w:bCs/>
          <w:color w:val="auto"/>
          <w:sz w:val="24"/>
          <w:szCs w:val="24"/>
        </w:rPr>
        <w:t xml:space="preserve">The chief, </w:t>
      </w:r>
      <w:r w:rsidR="00C25C48">
        <w:rPr>
          <w:rFonts w:ascii="Times New Roman" w:hAnsi="Times New Roman"/>
          <w:bCs/>
          <w:color w:val="auto"/>
          <w:sz w:val="24"/>
          <w:szCs w:val="24"/>
        </w:rPr>
        <w:t xml:space="preserve">for example, </w:t>
      </w:r>
      <w:r w:rsidR="001E229A">
        <w:rPr>
          <w:rFonts w:ascii="Times New Roman" w:hAnsi="Times New Roman"/>
          <w:bCs/>
          <w:color w:val="auto"/>
          <w:sz w:val="24"/>
          <w:szCs w:val="24"/>
        </w:rPr>
        <w:t xml:space="preserve">whose body links the territorial landscape with the Chewa tribe and whose maleness is both necessary and explicitly referred to in songs of </w:t>
      </w:r>
      <w:r w:rsidR="002768C4">
        <w:rPr>
          <w:rFonts w:ascii="Times New Roman" w:hAnsi="Times New Roman"/>
          <w:bCs/>
          <w:color w:val="auto"/>
          <w:sz w:val="24"/>
          <w:szCs w:val="24"/>
        </w:rPr>
        <w:t xml:space="preserve">chiefly </w:t>
      </w:r>
      <w:r w:rsidR="001E229A">
        <w:rPr>
          <w:rFonts w:ascii="Times New Roman" w:hAnsi="Times New Roman"/>
          <w:bCs/>
          <w:color w:val="auto"/>
          <w:sz w:val="24"/>
          <w:szCs w:val="24"/>
        </w:rPr>
        <w:t xml:space="preserve">initiation, acts a geographically localised conduit through which the cosmos can be </w:t>
      </w:r>
      <w:r w:rsidR="002F661A">
        <w:rPr>
          <w:rFonts w:ascii="Times New Roman" w:hAnsi="Times New Roman"/>
          <w:bCs/>
          <w:color w:val="auto"/>
          <w:sz w:val="24"/>
          <w:szCs w:val="24"/>
        </w:rPr>
        <w:t xml:space="preserve">both imagined and </w:t>
      </w:r>
      <w:r w:rsidR="001E229A">
        <w:rPr>
          <w:rFonts w:ascii="Times New Roman" w:hAnsi="Times New Roman"/>
          <w:bCs/>
          <w:color w:val="auto"/>
          <w:sz w:val="24"/>
          <w:szCs w:val="24"/>
        </w:rPr>
        <w:t>managed.</w:t>
      </w:r>
      <w:r w:rsidR="001E229A">
        <w:rPr>
          <w:rStyle w:val="FootnoteReference"/>
          <w:rFonts w:ascii="Times New Roman" w:hAnsi="Times New Roman"/>
          <w:bCs/>
          <w:color w:val="auto"/>
          <w:sz w:val="24"/>
          <w:szCs w:val="24"/>
        </w:rPr>
        <w:footnoteReference w:id="10"/>
      </w:r>
      <w:r w:rsidR="001E229A">
        <w:rPr>
          <w:rFonts w:ascii="Times New Roman" w:hAnsi="Times New Roman"/>
          <w:bCs/>
          <w:color w:val="auto"/>
          <w:sz w:val="24"/>
          <w:szCs w:val="24"/>
        </w:rPr>
        <w:t xml:space="preserve"> That this particular location is linked with this particular body is parallel to the notion of the god </w:t>
      </w:r>
      <w:proofErr w:type="spellStart"/>
      <w:r w:rsidR="001E229A">
        <w:rPr>
          <w:rFonts w:ascii="Times New Roman" w:hAnsi="Times New Roman"/>
          <w:bCs/>
          <w:color w:val="auto"/>
          <w:sz w:val="24"/>
          <w:szCs w:val="24"/>
        </w:rPr>
        <w:t>Taibangpanba</w:t>
      </w:r>
      <w:proofErr w:type="spellEnd"/>
      <w:r w:rsidR="001E229A">
        <w:rPr>
          <w:rFonts w:ascii="Times New Roman" w:hAnsi="Times New Roman"/>
          <w:bCs/>
          <w:color w:val="auto"/>
          <w:sz w:val="24"/>
          <w:szCs w:val="24"/>
        </w:rPr>
        <w:t xml:space="preserve"> </w:t>
      </w:r>
      <w:proofErr w:type="spellStart"/>
      <w:r w:rsidR="001E229A">
        <w:rPr>
          <w:rFonts w:ascii="Times New Roman" w:hAnsi="Times New Roman"/>
          <w:bCs/>
          <w:color w:val="auto"/>
          <w:sz w:val="24"/>
          <w:szCs w:val="24"/>
        </w:rPr>
        <w:t>mapu’s</w:t>
      </w:r>
      <w:proofErr w:type="spellEnd"/>
      <w:r w:rsidR="001E229A">
        <w:rPr>
          <w:rFonts w:ascii="Times New Roman" w:hAnsi="Times New Roman"/>
          <w:bCs/>
          <w:color w:val="auto"/>
          <w:sz w:val="24"/>
          <w:szCs w:val="24"/>
        </w:rPr>
        <w:t xml:space="preserve"> body being found in the Manipuri landscape</w:t>
      </w:r>
      <w:r w:rsidR="00C25C48">
        <w:rPr>
          <w:rFonts w:ascii="Times New Roman" w:hAnsi="Times New Roman"/>
          <w:bCs/>
          <w:color w:val="auto"/>
          <w:sz w:val="24"/>
          <w:szCs w:val="24"/>
        </w:rPr>
        <w:t>:</w:t>
      </w:r>
      <w:r w:rsidR="001E229A">
        <w:rPr>
          <w:rFonts w:ascii="Times New Roman" w:hAnsi="Times New Roman"/>
          <w:bCs/>
          <w:color w:val="auto"/>
          <w:sz w:val="24"/>
          <w:szCs w:val="24"/>
        </w:rPr>
        <w:t xml:space="preserve"> yet that god’s body is a gender-free constant</w:t>
      </w:r>
      <w:r w:rsidR="00307C2B">
        <w:rPr>
          <w:rFonts w:ascii="Times New Roman" w:hAnsi="Times New Roman"/>
          <w:bCs/>
          <w:color w:val="auto"/>
          <w:sz w:val="24"/>
          <w:szCs w:val="24"/>
        </w:rPr>
        <w:t>.</w:t>
      </w:r>
      <w:r w:rsidR="001E229A">
        <w:rPr>
          <w:rFonts w:ascii="Times New Roman" w:hAnsi="Times New Roman"/>
          <w:bCs/>
          <w:color w:val="auto"/>
          <w:sz w:val="24"/>
          <w:szCs w:val="24"/>
        </w:rPr>
        <w:t xml:space="preserve"> </w:t>
      </w:r>
      <w:r w:rsidR="00C25C48">
        <w:rPr>
          <w:rFonts w:ascii="Times New Roman" w:hAnsi="Times New Roman"/>
          <w:bCs/>
          <w:color w:val="auto"/>
          <w:sz w:val="24"/>
          <w:szCs w:val="24"/>
        </w:rPr>
        <w:t xml:space="preserve">Contrastingly, the title of </w:t>
      </w:r>
      <w:r w:rsidR="001E229A">
        <w:rPr>
          <w:rFonts w:ascii="Times New Roman" w:hAnsi="Times New Roman"/>
          <w:bCs/>
          <w:color w:val="auto"/>
          <w:sz w:val="24"/>
          <w:szCs w:val="24"/>
        </w:rPr>
        <w:t>tribal chief</w:t>
      </w:r>
      <w:r w:rsidR="00C25C48">
        <w:rPr>
          <w:rFonts w:ascii="Times New Roman" w:hAnsi="Times New Roman"/>
          <w:bCs/>
          <w:color w:val="auto"/>
          <w:sz w:val="24"/>
          <w:szCs w:val="24"/>
        </w:rPr>
        <w:t xml:space="preserve"> </w:t>
      </w:r>
      <w:r w:rsidR="001E229A">
        <w:rPr>
          <w:rFonts w:ascii="Times New Roman" w:hAnsi="Times New Roman"/>
          <w:bCs/>
          <w:color w:val="auto"/>
          <w:sz w:val="24"/>
          <w:szCs w:val="24"/>
        </w:rPr>
        <w:t xml:space="preserve">necessarily changes due to his human mortality, and thus the </w:t>
      </w:r>
      <w:r w:rsidR="00307C2B" w:rsidRPr="0076289D">
        <w:rPr>
          <w:rFonts w:ascii="Times New Roman" w:hAnsi="Times New Roman"/>
          <w:bCs/>
          <w:color w:val="auto"/>
          <w:sz w:val="24"/>
          <w:szCs w:val="24"/>
        </w:rPr>
        <w:t>link between the land and the actual human body of the man who stands beneath that title must be re-established by the</w:t>
      </w:r>
      <w:r w:rsidR="0076289D">
        <w:rPr>
          <w:rFonts w:ascii="Times New Roman" w:hAnsi="Times New Roman"/>
          <w:bCs/>
          <w:color w:val="auto"/>
          <w:sz w:val="24"/>
          <w:szCs w:val="24"/>
        </w:rPr>
        <w:t xml:space="preserve"> </w:t>
      </w:r>
      <w:r w:rsidR="00C25C48">
        <w:rPr>
          <w:rFonts w:ascii="Times New Roman" w:hAnsi="Times New Roman"/>
          <w:bCs/>
          <w:color w:val="auto"/>
          <w:sz w:val="24"/>
          <w:szCs w:val="24"/>
        </w:rPr>
        <w:t>wise-</w:t>
      </w:r>
      <w:r w:rsidR="0076289D" w:rsidRPr="00064566">
        <w:rPr>
          <w:rFonts w:ascii="Times New Roman" w:hAnsi="Times New Roman"/>
          <w:bCs/>
          <w:color w:val="auto"/>
          <w:sz w:val="24"/>
          <w:szCs w:val="24"/>
        </w:rPr>
        <w:t xml:space="preserve">women </w:t>
      </w:r>
      <w:r w:rsidR="00C25C48">
        <w:rPr>
          <w:rFonts w:ascii="Times New Roman" w:hAnsi="Times New Roman"/>
          <w:bCs/>
          <w:color w:val="auto"/>
          <w:sz w:val="24"/>
          <w:szCs w:val="24"/>
        </w:rPr>
        <w:t>most closely related to the</w:t>
      </w:r>
      <w:r w:rsidR="0076289D" w:rsidRPr="00064566">
        <w:rPr>
          <w:rFonts w:ascii="Times New Roman" w:hAnsi="Times New Roman"/>
          <w:bCs/>
          <w:color w:val="auto"/>
          <w:sz w:val="24"/>
          <w:szCs w:val="24"/>
        </w:rPr>
        <w:t xml:space="preserve"> chief</w:t>
      </w:r>
      <w:r w:rsidR="0076289D">
        <w:rPr>
          <w:rFonts w:ascii="Times New Roman" w:hAnsi="Times New Roman"/>
          <w:bCs/>
          <w:color w:val="auto"/>
          <w:sz w:val="24"/>
          <w:szCs w:val="24"/>
        </w:rPr>
        <w:t xml:space="preserve"> (the </w:t>
      </w:r>
      <w:proofErr w:type="spellStart"/>
      <w:r w:rsidR="00307C2B" w:rsidRPr="00146DFD">
        <w:rPr>
          <w:rFonts w:ascii="Times New Roman" w:hAnsi="Times New Roman"/>
          <w:bCs/>
          <w:i/>
          <w:color w:val="auto"/>
          <w:sz w:val="24"/>
          <w:szCs w:val="24"/>
        </w:rPr>
        <w:t>anamkhungwi</w:t>
      </w:r>
      <w:proofErr w:type="spellEnd"/>
      <w:r w:rsidR="0076289D">
        <w:rPr>
          <w:rFonts w:ascii="Times New Roman" w:hAnsi="Times New Roman"/>
          <w:bCs/>
          <w:color w:val="auto"/>
          <w:sz w:val="24"/>
          <w:szCs w:val="24"/>
        </w:rPr>
        <w:t>)</w:t>
      </w:r>
      <w:r w:rsidR="00307C2B" w:rsidRPr="0076289D">
        <w:rPr>
          <w:rFonts w:ascii="Times New Roman" w:hAnsi="Times New Roman"/>
          <w:bCs/>
          <w:color w:val="auto"/>
          <w:sz w:val="24"/>
          <w:szCs w:val="24"/>
        </w:rPr>
        <w:t>.</w:t>
      </w:r>
      <w:r w:rsidR="0076289D">
        <w:rPr>
          <w:rStyle w:val="FootnoteReference"/>
          <w:rFonts w:ascii="Times New Roman" w:hAnsi="Times New Roman"/>
          <w:bCs/>
          <w:color w:val="auto"/>
          <w:sz w:val="24"/>
          <w:szCs w:val="24"/>
        </w:rPr>
        <w:footnoteReference w:id="11"/>
      </w:r>
      <w:r w:rsidR="00146DFD">
        <w:rPr>
          <w:rFonts w:ascii="Times New Roman" w:hAnsi="Times New Roman"/>
          <w:bCs/>
          <w:color w:val="auto"/>
          <w:sz w:val="24"/>
          <w:szCs w:val="24"/>
        </w:rPr>
        <w:t xml:space="preserve"> </w:t>
      </w:r>
      <w:r w:rsidR="00C25C48">
        <w:rPr>
          <w:rFonts w:ascii="Times New Roman" w:hAnsi="Times New Roman"/>
          <w:bCs/>
          <w:color w:val="auto"/>
          <w:sz w:val="24"/>
          <w:szCs w:val="24"/>
        </w:rPr>
        <w:t xml:space="preserve">Whilst Ray and Kaspin agree that the cultures they have studied apply the model of the body to understand the cosmos, their explanations </w:t>
      </w:r>
      <w:r w:rsidR="008D3747">
        <w:rPr>
          <w:rFonts w:ascii="Times New Roman" w:hAnsi="Times New Roman"/>
          <w:bCs/>
          <w:color w:val="auto"/>
          <w:sz w:val="24"/>
          <w:szCs w:val="24"/>
        </w:rPr>
        <w:t xml:space="preserve">highlight the power that culture holds over definition. Both the Chewa and the Manipuri see their cosmos as a body, yet the bodies that they imagine are distinct and culturally constructed. </w:t>
      </w:r>
      <w:r w:rsidR="00384886">
        <w:rPr>
          <w:rFonts w:ascii="Times New Roman" w:hAnsi="Times New Roman"/>
          <w:bCs/>
          <w:color w:val="auto"/>
          <w:sz w:val="24"/>
          <w:szCs w:val="24"/>
        </w:rPr>
        <w:t xml:space="preserve">The Supreme Being of the Manipuri people is sacred and Other, yet the “human” body shape is recognisable and thus universal, however for the Chewa the cosmologized bodies are not just recognisably human, but actually familiar (and, perhaps also, familial). </w:t>
      </w:r>
    </w:p>
    <w:p w14:paraId="3B46147C" w14:textId="30BD4D75" w:rsidR="00F0754F" w:rsidRDefault="000B6A3A" w:rsidP="006B75B0">
      <w:pPr>
        <w:pStyle w:val="NormalWeb"/>
        <w:ind w:right="-334"/>
        <w:jc w:val="both"/>
        <w:rPr>
          <w:rFonts w:ascii="Times New Roman" w:hAnsi="Times New Roman"/>
          <w:bCs/>
          <w:color w:val="auto"/>
          <w:sz w:val="24"/>
          <w:szCs w:val="24"/>
        </w:rPr>
      </w:pPr>
      <w:r w:rsidRPr="000B6A3A">
        <w:rPr>
          <w:rFonts w:ascii="Times New Roman" w:hAnsi="Times New Roman"/>
          <w:bCs/>
          <w:color w:val="auto"/>
          <w:sz w:val="24"/>
          <w:szCs w:val="24"/>
        </w:rPr>
        <w:t xml:space="preserve">Links between the sky and the body seem to be strengthened and renewed (if not initially created) by both cultures through participation in festivals and rituals. </w:t>
      </w:r>
      <w:r w:rsidR="00035BA8">
        <w:rPr>
          <w:rFonts w:ascii="Times New Roman" w:hAnsi="Times New Roman"/>
          <w:bCs/>
          <w:color w:val="auto"/>
          <w:sz w:val="24"/>
          <w:szCs w:val="24"/>
        </w:rPr>
        <w:t xml:space="preserve">Kaspin notes the relationship between the tribe’s rainmaker and the sky during the annual burning of </w:t>
      </w:r>
      <w:proofErr w:type="spellStart"/>
      <w:r w:rsidR="00035BA8">
        <w:rPr>
          <w:rFonts w:ascii="Times New Roman" w:hAnsi="Times New Roman"/>
          <w:bCs/>
          <w:color w:val="auto"/>
          <w:sz w:val="24"/>
          <w:szCs w:val="24"/>
        </w:rPr>
        <w:t>Bunda</w:t>
      </w:r>
      <w:proofErr w:type="spellEnd"/>
      <w:r w:rsidR="00035BA8">
        <w:rPr>
          <w:rFonts w:ascii="Times New Roman" w:hAnsi="Times New Roman"/>
          <w:bCs/>
          <w:color w:val="auto"/>
          <w:sz w:val="24"/>
          <w:szCs w:val="24"/>
        </w:rPr>
        <w:t xml:space="preserve"> Mountain, a ritual which performatively links the tribe </w:t>
      </w:r>
      <w:r w:rsidR="004B65C1">
        <w:rPr>
          <w:rFonts w:ascii="Times New Roman" w:hAnsi="Times New Roman"/>
          <w:bCs/>
          <w:color w:val="auto"/>
          <w:sz w:val="24"/>
          <w:szCs w:val="24"/>
        </w:rPr>
        <w:t>to the</w:t>
      </w:r>
      <w:r w:rsidR="00035BA8">
        <w:rPr>
          <w:rFonts w:ascii="Times New Roman" w:hAnsi="Times New Roman"/>
          <w:bCs/>
          <w:color w:val="auto"/>
          <w:sz w:val="24"/>
          <w:szCs w:val="24"/>
        </w:rPr>
        <w:t>ir creation myth</w:t>
      </w:r>
      <w:r w:rsidR="004B65C1">
        <w:rPr>
          <w:rFonts w:ascii="Times New Roman" w:hAnsi="Times New Roman"/>
          <w:bCs/>
          <w:color w:val="auto"/>
          <w:sz w:val="24"/>
          <w:szCs w:val="24"/>
        </w:rPr>
        <w:t xml:space="preserve"> and to the spirit </w:t>
      </w:r>
      <w:proofErr w:type="spellStart"/>
      <w:r w:rsidR="004B65C1">
        <w:rPr>
          <w:rFonts w:ascii="Times New Roman" w:hAnsi="Times New Roman"/>
          <w:bCs/>
          <w:color w:val="auto"/>
          <w:sz w:val="24"/>
          <w:szCs w:val="24"/>
        </w:rPr>
        <w:t>Chiuta</w:t>
      </w:r>
      <w:proofErr w:type="spellEnd"/>
      <w:r w:rsidR="00035BA8">
        <w:rPr>
          <w:rFonts w:ascii="Times New Roman" w:hAnsi="Times New Roman"/>
          <w:bCs/>
          <w:color w:val="auto"/>
          <w:sz w:val="24"/>
          <w:szCs w:val="24"/>
        </w:rPr>
        <w:t>, whilst simultaneously setting in motion the seasonal cycle upon which their economy depends.</w:t>
      </w:r>
      <w:r w:rsidR="00035BA8">
        <w:rPr>
          <w:rStyle w:val="FootnoteReference"/>
          <w:rFonts w:ascii="Times New Roman" w:hAnsi="Times New Roman"/>
          <w:bCs/>
          <w:color w:val="auto"/>
          <w:sz w:val="24"/>
          <w:szCs w:val="24"/>
        </w:rPr>
        <w:footnoteReference w:id="12"/>
      </w:r>
      <w:r w:rsidR="00035BA8">
        <w:rPr>
          <w:rFonts w:ascii="Times New Roman" w:hAnsi="Times New Roman"/>
          <w:bCs/>
          <w:color w:val="auto"/>
          <w:sz w:val="24"/>
          <w:szCs w:val="24"/>
        </w:rPr>
        <w:t xml:space="preserve"> The rainmaker’s body is key to this ritual: as the ‘most scrupulously cosmologized body’ of the Chewa, he</w:t>
      </w:r>
      <w:r w:rsidR="0041435D">
        <w:rPr>
          <w:rFonts w:ascii="Times New Roman" w:hAnsi="Times New Roman"/>
          <w:bCs/>
          <w:color w:val="auto"/>
          <w:sz w:val="24"/>
          <w:szCs w:val="24"/>
        </w:rPr>
        <w:t xml:space="preserve"> is constantly on duty</w:t>
      </w:r>
      <w:r w:rsidR="00035BA8">
        <w:rPr>
          <w:rFonts w:ascii="Times New Roman" w:hAnsi="Times New Roman"/>
          <w:bCs/>
          <w:color w:val="auto"/>
          <w:sz w:val="24"/>
          <w:szCs w:val="24"/>
        </w:rPr>
        <w:t xml:space="preserve"> </w:t>
      </w:r>
      <w:r w:rsidR="0041435D">
        <w:rPr>
          <w:rFonts w:ascii="Times New Roman" w:hAnsi="Times New Roman"/>
          <w:bCs/>
          <w:color w:val="auto"/>
          <w:sz w:val="24"/>
          <w:szCs w:val="24"/>
        </w:rPr>
        <w:t>mimicking the seasons in ‘painstaking detail’</w:t>
      </w:r>
      <w:r w:rsidR="00130325">
        <w:rPr>
          <w:rFonts w:ascii="Times New Roman" w:hAnsi="Times New Roman"/>
          <w:bCs/>
          <w:color w:val="auto"/>
          <w:sz w:val="24"/>
          <w:szCs w:val="24"/>
        </w:rPr>
        <w:t>.</w:t>
      </w:r>
      <w:r w:rsidR="00035BA8">
        <w:rPr>
          <w:rStyle w:val="FootnoteReference"/>
          <w:rFonts w:ascii="Times New Roman" w:hAnsi="Times New Roman"/>
          <w:bCs/>
          <w:color w:val="auto"/>
          <w:sz w:val="24"/>
          <w:szCs w:val="24"/>
        </w:rPr>
        <w:footnoteReference w:id="13"/>
      </w:r>
      <w:r w:rsidR="00130325">
        <w:rPr>
          <w:rFonts w:ascii="Times New Roman" w:hAnsi="Times New Roman"/>
          <w:bCs/>
          <w:color w:val="auto"/>
          <w:sz w:val="24"/>
          <w:szCs w:val="24"/>
        </w:rPr>
        <w:t xml:space="preserve"> </w:t>
      </w:r>
      <w:r w:rsidR="00B2364E">
        <w:rPr>
          <w:rFonts w:ascii="Times New Roman" w:hAnsi="Times New Roman"/>
          <w:bCs/>
          <w:color w:val="auto"/>
          <w:sz w:val="24"/>
          <w:szCs w:val="24"/>
        </w:rPr>
        <w:t xml:space="preserve">The rainmaker role, though currently fulfilled by males, was once </w:t>
      </w:r>
      <w:r w:rsidR="001A67B5">
        <w:rPr>
          <w:rFonts w:ascii="Times New Roman" w:hAnsi="Times New Roman"/>
          <w:bCs/>
          <w:color w:val="auto"/>
          <w:sz w:val="24"/>
          <w:szCs w:val="24"/>
        </w:rPr>
        <w:t>hel</w:t>
      </w:r>
      <w:r w:rsidR="00B2364E">
        <w:rPr>
          <w:rFonts w:ascii="Times New Roman" w:hAnsi="Times New Roman"/>
          <w:bCs/>
          <w:color w:val="auto"/>
          <w:sz w:val="24"/>
          <w:szCs w:val="24"/>
        </w:rPr>
        <w:t>d by women</w:t>
      </w:r>
      <w:r w:rsidR="00907B96">
        <w:rPr>
          <w:rFonts w:ascii="Times New Roman" w:hAnsi="Times New Roman"/>
          <w:bCs/>
          <w:color w:val="auto"/>
          <w:sz w:val="24"/>
          <w:szCs w:val="24"/>
        </w:rPr>
        <w:t xml:space="preserve"> and is</w:t>
      </w:r>
      <w:r w:rsidR="00813E7F">
        <w:rPr>
          <w:rFonts w:ascii="Times New Roman" w:hAnsi="Times New Roman"/>
          <w:bCs/>
          <w:color w:val="auto"/>
          <w:sz w:val="24"/>
          <w:szCs w:val="24"/>
        </w:rPr>
        <w:t xml:space="preserve"> apparently</w:t>
      </w:r>
      <w:r w:rsidR="00907B96">
        <w:rPr>
          <w:rFonts w:ascii="Times New Roman" w:hAnsi="Times New Roman"/>
          <w:bCs/>
          <w:color w:val="auto"/>
          <w:sz w:val="24"/>
          <w:szCs w:val="24"/>
        </w:rPr>
        <w:t xml:space="preserve"> still viewed as such by </w:t>
      </w:r>
      <w:proofErr w:type="spellStart"/>
      <w:r w:rsidR="00907B96">
        <w:rPr>
          <w:rFonts w:ascii="Times New Roman" w:hAnsi="Times New Roman"/>
          <w:bCs/>
          <w:color w:val="auto"/>
          <w:sz w:val="24"/>
          <w:szCs w:val="24"/>
        </w:rPr>
        <w:t>Chiuta</w:t>
      </w:r>
      <w:proofErr w:type="spellEnd"/>
      <w:r w:rsidR="00813E7F">
        <w:rPr>
          <w:rFonts w:ascii="Times New Roman" w:hAnsi="Times New Roman"/>
          <w:bCs/>
          <w:color w:val="auto"/>
          <w:sz w:val="24"/>
          <w:szCs w:val="24"/>
        </w:rPr>
        <w:t>,</w:t>
      </w:r>
      <w:r w:rsidR="00907B96">
        <w:rPr>
          <w:rFonts w:ascii="Times New Roman" w:hAnsi="Times New Roman"/>
          <w:bCs/>
          <w:color w:val="auto"/>
          <w:sz w:val="24"/>
          <w:szCs w:val="24"/>
        </w:rPr>
        <w:t xml:space="preserve"> who</w:t>
      </w:r>
      <w:r w:rsidR="004B65C1">
        <w:rPr>
          <w:rFonts w:ascii="Times New Roman" w:hAnsi="Times New Roman"/>
          <w:bCs/>
          <w:color w:val="auto"/>
          <w:sz w:val="24"/>
          <w:szCs w:val="24"/>
        </w:rPr>
        <w:t>se</w:t>
      </w:r>
      <w:r w:rsidR="00907B96">
        <w:rPr>
          <w:rFonts w:ascii="Times New Roman" w:hAnsi="Times New Roman"/>
          <w:bCs/>
          <w:color w:val="auto"/>
          <w:sz w:val="24"/>
          <w:szCs w:val="24"/>
        </w:rPr>
        <w:t xml:space="preserve"> cooperation is vital to the</w:t>
      </w:r>
      <w:r w:rsidR="00B65438">
        <w:rPr>
          <w:rFonts w:ascii="Times New Roman" w:hAnsi="Times New Roman"/>
          <w:bCs/>
          <w:color w:val="auto"/>
          <w:sz w:val="24"/>
          <w:szCs w:val="24"/>
        </w:rPr>
        <w:t xml:space="preserve"> success of the</w:t>
      </w:r>
      <w:r w:rsidR="00907B96">
        <w:rPr>
          <w:rFonts w:ascii="Times New Roman" w:hAnsi="Times New Roman"/>
          <w:bCs/>
          <w:color w:val="auto"/>
          <w:sz w:val="24"/>
          <w:szCs w:val="24"/>
        </w:rPr>
        <w:t xml:space="preserve"> ritual.</w:t>
      </w:r>
      <w:r w:rsidR="00907B96">
        <w:rPr>
          <w:rStyle w:val="FootnoteReference"/>
          <w:rFonts w:ascii="Times New Roman" w:hAnsi="Times New Roman"/>
          <w:bCs/>
          <w:color w:val="auto"/>
          <w:sz w:val="24"/>
          <w:szCs w:val="24"/>
        </w:rPr>
        <w:footnoteReference w:id="14"/>
      </w:r>
      <w:r w:rsidR="006A3234">
        <w:rPr>
          <w:rFonts w:ascii="Times New Roman" w:hAnsi="Times New Roman"/>
          <w:bCs/>
          <w:color w:val="auto"/>
          <w:sz w:val="24"/>
          <w:szCs w:val="24"/>
        </w:rPr>
        <w:t xml:space="preserve"> </w:t>
      </w:r>
      <w:r w:rsidR="00C65438">
        <w:rPr>
          <w:rFonts w:ascii="Times New Roman" w:hAnsi="Times New Roman"/>
          <w:bCs/>
          <w:color w:val="auto"/>
          <w:sz w:val="24"/>
          <w:szCs w:val="24"/>
        </w:rPr>
        <w:t xml:space="preserve">To solidify this masculine-to-feminine performative claim, Kaspin writes </w:t>
      </w:r>
      <w:r w:rsidR="00916DF4" w:rsidRPr="003C429B">
        <w:rPr>
          <w:rFonts w:ascii="Times New Roman" w:hAnsi="Times New Roman"/>
          <w:bCs/>
          <w:color w:val="auto"/>
          <w:sz w:val="24"/>
          <w:szCs w:val="24"/>
        </w:rPr>
        <w:t xml:space="preserve">a striking sentence </w:t>
      </w:r>
      <w:r w:rsidR="00D54679" w:rsidRPr="003C429B">
        <w:rPr>
          <w:rFonts w:ascii="Times New Roman" w:hAnsi="Times New Roman"/>
          <w:bCs/>
          <w:color w:val="auto"/>
          <w:sz w:val="24"/>
          <w:szCs w:val="24"/>
        </w:rPr>
        <w:t xml:space="preserve">describing </w:t>
      </w:r>
      <w:r w:rsidR="003C429B" w:rsidRPr="003C429B">
        <w:rPr>
          <w:rFonts w:ascii="Times New Roman" w:hAnsi="Times New Roman"/>
          <w:bCs/>
          <w:color w:val="auto"/>
          <w:sz w:val="24"/>
          <w:szCs w:val="24"/>
        </w:rPr>
        <w:t>the miraculous birth of twins via caesarean section to the male rainmaker</w:t>
      </w:r>
      <w:r w:rsidR="00587AD4">
        <w:rPr>
          <w:rFonts w:ascii="Times New Roman" w:hAnsi="Times New Roman"/>
          <w:bCs/>
          <w:color w:val="auto"/>
          <w:sz w:val="24"/>
          <w:szCs w:val="24"/>
        </w:rPr>
        <w:t>.</w:t>
      </w:r>
      <w:r w:rsidR="003C429B">
        <w:rPr>
          <w:rStyle w:val="FootnoteReference"/>
          <w:rFonts w:ascii="Times New Roman" w:hAnsi="Times New Roman"/>
          <w:bCs/>
          <w:color w:val="auto"/>
          <w:sz w:val="24"/>
          <w:szCs w:val="24"/>
        </w:rPr>
        <w:footnoteReference w:id="15"/>
      </w:r>
      <w:r w:rsidR="003C429B" w:rsidRPr="003C429B">
        <w:rPr>
          <w:rFonts w:ascii="Times New Roman" w:hAnsi="Times New Roman"/>
          <w:bCs/>
          <w:color w:val="auto"/>
          <w:sz w:val="24"/>
          <w:szCs w:val="24"/>
        </w:rPr>
        <w:t xml:space="preserve"> </w:t>
      </w:r>
      <w:r w:rsidR="00C65438">
        <w:rPr>
          <w:rFonts w:ascii="Times New Roman" w:hAnsi="Times New Roman"/>
          <w:bCs/>
          <w:color w:val="auto"/>
          <w:sz w:val="24"/>
          <w:szCs w:val="24"/>
        </w:rPr>
        <w:t>With</w:t>
      </w:r>
      <w:r w:rsidR="003C429B" w:rsidRPr="003C429B">
        <w:rPr>
          <w:rFonts w:ascii="Times New Roman" w:hAnsi="Times New Roman"/>
          <w:bCs/>
          <w:color w:val="auto"/>
          <w:sz w:val="24"/>
          <w:szCs w:val="24"/>
        </w:rPr>
        <w:t xml:space="preserve"> no reference</w:t>
      </w:r>
      <w:r w:rsidR="00E74C9F">
        <w:rPr>
          <w:rFonts w:ascii="Times New Roman" w:hAnsi="Times New Roman"/>
          <w:bCs/>
          <w:color w:val="auto"/>
          <w:sz w:val="24"/>
          <w:szCs w:val="24"/>
        </w:rPr>
        <w:t xml:space="preserve"> provided,</w:t>
      </w:r>
      <w:r w:rsidR="003C429B" w:rsidRPr="003C429B">
        <w:rPr>
          <w:rFonts w:ascii="Times New Roman" w:hAnsi="Times New Roman"/>
          <w:bCs/>
          <w:color w:val="auto"/>
          <w:sz w:val="24"/>
          <w:szCs w:val="24"/>
        </w:rPr>
        <w:t xml:space="preserve"> it is difficult to tell precisely how Kaspin came by this information: </w:t>
      </w:r>
      <w:r w:rsidR="003C5985">
        <w:rPr>
          <w:rFonts w:ascii="Times New Roman" w:hAnsi="Times New Roman"/>
          <w:bCs/>
          <w:color w:val="auto"/>
          <w:sz w:val="24"/>
          <w:szCs w:val="24"/>
        </w:rPr>
        <w:t xml:space="preserve">that </w:t>
      </w:r>
      <w:r w:rsidR="003C429B" w:rsidRPr="003C429B">
        <w:rPr>
          <w:rFonts w:ascii="Times New Roman" w:hAnsi="Times New Roman"/>
          <w:bCs/>
          <w:color w:val="auto"/>
          <w:sz w:val="24"/>
          <w:szCs w:val="24"/>
        </w:rPr>
        <w:t>it happened ‘purportedly’</w:t>
      </w:r>
      <w:r w:rsidR="003C5985">
        <w:rPr>
          <w:rFonts w:ascii="Times New Roman" w:hAnsi="Times New Roman"/>
          <w:bCs/>
          <w:color w:val="auto"/>
          <w:sz w:val="24"/>
          <w:szCs w:val="24"/>
        </w:rPr>
        <w:t xml:space="preserve"> is all</w:t>
      </w:r>
      <w:r w:rsidR="003C429B" w:rsidRPr="003C429B">
        <w:rPr>
          <w:rFonts w:ascii="Times New Roman" w:hAnsi="Times New Roman"/>
          <w:bCs/>
          <w:color w:val="auto"/>
          <w:sz w:val="24"/>
          <w:szCs w:val="24"/>
        </w:rPr>
        <w:t xml:space="preserve"> she writes, </w:t>
      </w:r>
      <w:r w:rsidR="003C429B">
        <w:rPr>
          <w:rFonts w:ascii="Times New Roman" w:hAnsi="Times New Roman"/>
          <w:bCs/>
          <w:color w:val="auto"/>
          <w:sz w:val="24"/>
          <w:szCs w:val="24"/>
        </w:rPr>
        <w:t>present</w:t>
      </w:r>
      <w:r w:rsidR="003C5985">
        <w:rPr>
          <w:rFonts w:ascii="Times New Roman" w:hAnsi="Times New Roman"/>
          <w:bCs/>
          <w:color w:val="auto"/>
          <w:sz w:val="24"/>
          <w:szCs w:val="24"/>
        </w:rPr>
        <w:t>ing</w:t>
      </w:r>
      <w:r w:rsidR="003C429B" w:rsidRPr="003C429B">
        <w:rPr>
          <w:rFonts w:ascii="Times New Roman" w:hAnsi="Times New Roman"/>
          <w:bCs/>
          <w:color w:val="auto"/>
          <w:sz w:val="24"/>
          <w:szCs w:val="24"/>
        </w:rPr>
        <w:t xml:space="preserve"> no background </w:t>
      </w:r>
      <w:r w:rsidR="003C429B">
        <w:rPr>
          <w:rFonts w:ascii="Times New Roman" w:hAnsi="Times New Roman"/>
          <w:bCs/>
          <w:color w:val="auto"/>
          <w:sz w:val="24"/>
          <w:szCs w:val="24"/>
        </w:rPr>
        <w:t>regarding</w:t>
      </w:r>
      <w:r w:rsidR="003C429B" w:rsidRPr="003C429B">
        <w:rPr>
          <w:rFonts w:ascii="Times New Roman" w:hAnsi="Times New Roman"/>
          <w:bCs/>
          <w:color w:val="auto"/>
          <w:sz w:val="24"/>
          <w:szCs w:val="24"/>
        </w:rPr>
        <w:t xml:space="preserve"> </w:t>
      </w:r>
      <w:r w:rsidR="003C5985">
        <w:rPr>
          <w:rFonts w:ascii="Times New Roman" w:hAnsi="Times New Roman"/>
          <w:bCs/>
          <w:color w:val="auto"/>
          <w:sz w:val="24"/>
          <w:szCs w:val="24"/>
        </w:rPr>
        <w:t>her source/s.</w:t>
      </w:r>
      <w:r w:rsidR="003C429B">
        <w:rPr>
          <w:rStyle w:val="FootnoteReference"/>
          <w:rFonts w:ascii="Times New Roman" w:hAnsi="Times New Roman"/>
          <w:bCs/>
          <w:color w:val="auto"/>
          <w:sz w:val="24"/>
          <w:szCs w:val="24"/>
        </w:rPr>
        <w:footnoteReference w:id="16"/>
      </w:r>
      <w:r w:rsidR="003C429B" w:rsidRPr="003C429B">
        <w:rPr>
          <w:rFonts w:ascii="Times New Roman" w:hAnsi="Times New Roman"/>
          <w:bCs/>
          <w:color w:val="auto"/>
          <w:sz w:val="24"/>
          <w:szCs w:val="24"/>
        </w:rPr>
        <w:t xml:space="preserve"> </w:t>
      </w:r>
      <w:r w:rsidR="00E74C9F">
        <w:rPr>
          <w:rFonts w:ascii="Times New Roman" w:hAnsi="Times New Roman"/>
          <w:bCs/>
          <w:color w:val="auto"/>
          <w:sz w:val="24"/>
          <w:szCs w:val="24"/>
        </w:rPr>
        <w:t>T</w:t>
      </w:r>
      <w:r w:rsidR="006A3234">
        <w:rPr>
          <w:rFonts w:ascii="Times New Roman" w:hAnsi="Times New Roman"/>
          <w:bCs/>
          <w:color w:val="auto"/>
          <w:sz w:val="24"/>
          <w:szCs w:val="24"/>
        </w:rPr>
        <w:t xml:space="preserve">his </w:t>
      </w:r>
      <w:r w:rsidR="00BB588D">
        <w:rPr>
          <w:rFonts w:ascii="Times New Roman" w:hAnsi="Times New Roman"/>
          <w:bCs/>
          <w:color w:val="auto"/>
          <w:sz w:val="24"/>
          <w:szCs w:val="24"/>
        </w:rPr>
        <w:t xml:space="preserve">strong </w:t>
      </w:r>
      <w:r w:rsidR="003C429B">
        <w:rPr>
          <w:rFonts w:ascii="Times New Roman" w:hAnsi="Times New Roman"/>
          <w:bCs/>
          <w:color w:val="auto"/>
          <w:sz w:val="24"/>
          <w:szCs w:val="24"/>
        </w:rPr>
        <w:t xml:space="preserve">belief of </w:t>
      </w:r>
      <w:r w:rsidR="006A3234">
        <w:rPr>
          <w:rFonts w:ascii="Times New Roman" w:hAnsi="Times New Roman"/>
          <w:bCs/>
          <w:color w:val="auto"/>
          <w:sz w:val="24"/>
          <w:szCs w:val="24"/>
        </w:rPr>
        <w:t xml:space="preserve">bodily refusal to abide by strict gender laws conforms to Claude Lévi-Strauss’s views </w:t>
      </w:r>
      <w:r w:rsidR="00813E7F">
        <w:rPr>
          <w:rFonts w:ascii="Times New Roman" w:hAnsi="Times New Roman"/>
          <w:bCs/>
          <w:color w:val="auto"/>
          <w:sz w:val="24"/>
          <w:szCs w:val="24"/>
        </w:rPr>
        <w:t>c</w:t>
      </w:r>
      <w:r w:rsidR="006A3234">
        <w:rPr>
          <w:rFonts w:ascii="Times New Roman" w:hAnsi="Times New Roman"/>
          <w:bCs/>
          <w:color w:val="auto"/>
          <w:sz w:val="24"/>
          <w:szCs w:val="24"/>
        </w:rPr>
        <w:t>on</w:t>
      </w:r>
      <w:r w:rsidR="00813E7F">
        <w:rPr>
          <w:rFonts w:ascii="Times New Roman" w:hAnsi="Times New Roman"/>
          <w:bCs/>
          <w:color w:val="auto"/>
          <w:sz w:val="24"/>
          <w:szCs w:val="24"/>
        </w:rPr>
        <w:t xml:space="preserve">cerning the </w:t>
      </w:r>
      <w:r w:rsidR="00BB588D">
        <w:rPr>
          <w:rFonts w:ascii="Times New Roman" w:hAnsi="Times New Roman"/>
          <w:bCs/>
          <w:color w:val="auto"/>
          <w:sz w:val="24"/>
          <w:szCs w:val="24"/>
        </w:rPr>
        <w:t>‘</w:t>
      </w:r>
      <w:r w:rsidR="00504A34">
        <w:rPr>
          <w:rFonts w:ascii="Times New Roman" w:hAnsi="Times New Roman"/>
          <w:bCs/>
          <w:color w:val="auto"/>
          <w:sz w:val="24"/>
          <w:szCs w:val="24"/>
        </w:rPr>
        <w:t xml:space="preserve">mingling of the sexes’ that can happen to the </w:t>
      </w:r>
      <w:r w:rsidR="00813E7F">
        <w:rPr>
          <w:rFonts w:ascii="Times New Roman" w:hAnsi="Times New Roman"/>
          <w:bCs/>
          <w:color w:val="auto"/>
          <w:sz w:val="24"/>
          <w:szCs w:val="24"/>
        </w:rPr>
        <w:t>bodies of</w:t>
      </w:r>
      <w:r w:rsidR="006A3234">
        <w:rPr>
          <w:rFonts w:ascii="Times New Roman" w:hAnsi="Times New Roman"/>
          <w:bCs/>
          <w:color w:val="auto"/>
          <w:sz w:val="24"/>
          <w:szCs w:val="24"/>
        </w:rPr>
        <w:t xml:space="preserve"> ritual leaders.</w:t>
      </w:r>
      <w:r w:rsidR="006A3234">
        <w:rPr>
          <w:rStyle w:val="FootnoteReference"/>
          <w:rFonts w:ascii="Times New Roman" w:hAnsi="Times New Roman"/>
          <w:bCs/>
          <w:color w:val="auto"/>
          <w:sz w:val="24"/>
          <w:szCs w:val="24"/>
        </w:rPr>
        <w:footnoteReference w:id="17"/>
      </w:r>
      <w:r w:rsidR="006A3234">
        <w:rPr>
          <w:rFonts w:ascii="Times New Roman" w:hAnsi="Times New Roman"/>
          <w:bCs/>
          <w:color w:val="auto"/>
          <w:sz w:val="24"/>
          <w:szCs w:val="24"/>
        </w:rPr>
        <w:t xml:space="preserve"> </w:t>
      </w:r>
      <w:r w:rsidR="00B65438">
        <w:rPr>
          <w:rFonts w:ascii="Times New Roman" w:hAnsi="Times New Roman"/>
          <w:bCs/>
          <w:color w:val="auto"/>
          <w:sz w:val="24"/>
          <w:szCs w:val="24"/>
        </w:rPr>
        <w:t>On a similarly performative note, Ray recounts a description of the intricate hand gestures during the dancing at the Lai-</w:t>
      </w:r>
      <w:proofErr w:type="spellStart"/>
      <w:r w:rsidR="00B65438">
        <w:rPr>
          <w:rFonts w:ascii="Times New Roman" w:hAnsi="Times New Roman"/>
          <w:bCs/>
          <w:color w:val="auto"/>
          <w:sz w:val="24"/>
          <w:szCs w:val="24"/>
        </w:rPr>
        <w:t>haraoba</w:t>
      </w:r>
      <w:proofErr w:type="spellEnd"/>
      <w:r w:rsidR="00B65438">
        <w:rPr>
          <w:rFonts w:ascii="Times New Roman" w:hAnsi="Times New Roman"/>
          <w:bCs/>
          <w:color w:val="auto"/>
          <w:sz w:val="24"/>
          <w:szCs w:val="24"/>
        </w:rPr>
        <w:t xml:space="preserve"> festival, which signify ‘the making of the first body in the universe…the Supreme Being’.</w:t>
      </w:r>
      <w:r w:rsidR="00B65438">
        <w:rPr>
          <w:rStyle w:val="FootnoteReference"/>
          <w:rFonts w:ascii="Times New Roman" w:hAnsi="Times New Roman"/>
          <w:bCs/>
          <w:color w:val="auto"/>
          <w:sz w:val="24"/>
          <w:szCs w:val="24"/>
        </w:rPr>
        <w:footnoteReference w:id="18"/>
      </w:r>
      <w:r w:rsidR="00813E7F">
        <w:rPr>
          <w:rFonts w:ascii="Times New Roman" w:hAnsi="Times New Roman"/>
          <w:bCs/>
          <w:color w:val="auto"/>
          <w:sz w:val="24"/>
          <w:szCs w:val="24"/>
        </w:rPr>
        <w:t xml:space="preserve"> </w:t>
      </w:r>
      <w:r w:rsidR="00DB3BDB" w:rsidRPr="00504A34">
        <w:rPr>
          <w:rFonts w:ascii="Times New Roman" w:hAnsi="Times New Roman"/>
          <w:bCs/>
          <w:color w:val="auto"/>
          <w:sz w:val="24"/>
          <w:szCs w:val="24"/>
        </w:rPr>
        <w:t>This</w:t>
      </w:r>
      <w:r w:rsidR="00813E7F" w:rsidRPr="00504A34">
        <w:rPr>
          <w:rFonts w:ascii="Times New Roman" w:hAnsi="Times New Roman"/>
          <w:bCs/>
          <w:color w:val="auto"/>
          <w:sz w:val="24"/>
          <w:szCs w:val="24"/>
        </w:rPr>
        <w:t xml:space="preserve"> body</w:t>
      </w:r>
      <w:r w:rsidR="00DB3BDB" w:rsidRPr="00504A34">
        <w:rPr>
          <w:rFonts w:ascii="Times New Roman" w:hAnsi="Times New Roman"/>
          <w:bCs/>
          <w:color w:val="auto"/>
          <w:sz w:val="24"/>
          <w:szCs w:val="24"/>
        </w:rPr>
        <w:t xml:space="preserve"> being celebrated and recreated through dance and the systematic use of hand gestures, then, is the </w:t>
      </w:r>
      <w:r w:rsidR="004F35A3">
        <w:rPr>
          <w:rFonts w:ascii="Times New Roman" w:hAnsi="Times New Roman"/>
          <w:bCs/>
          <w:color w:val="auto"/>
          <w:sz w:val="24"/>
          <w:szCs w:val="24"/>
        </w:rPr>
        <w:lastRenderedPageBreak/>
        <w:t xml:space="preserve">same </w:t>
      </w:r>
      <w:r w:rsidR="00DB3BDB" w:rsidRPr="00504A34">
        <w:rPr>
          <w:rFonts w:ascii="Times New Roman" w:hAnsi="Times New Roman"/>
          <w:bCs/>
          <w:color w:val="auto"/>
          <w:sz w:val="24"/>
          <w:szCs w:val="24"/>
        </w:rPr>
        <w:t>body being used to envision and understand the Manipuri cosmos</w:t>
      </w:r>
      <w:r w:rsidR="003C5985">
        <w:rPr>
          <w:rFonts w:ascii="Times New Roman" w:hAnsi="Times New Roman"/>
          <w:bCs/>
          <w:color w:val="auto"/>
          <w:sz w:val="24"/>
          <w:szCs w:val="24"/>
        </w:rPr>
        <w:t xml:space="preserve">. It is </w:t>
      </w:r>
      <w:r w:rsidR="004F35A3">
        <w:rPr>
          <w:rFonts w:ascii="Times New Roman" w:hAnsi="Times New Roman"/>
          <w:bCs/>
          <w:color w:val="auto"/>
          <w:sz w:val="24"/>
          <w:szCs w:val="24"/>
        </w:rPr>
        <w:t xml:space="preserve">also </w:t>
      </w:r>
      <w:r w:rsidR="00DB3BDB" w:rsidRPr="00504A34">
        <w:rPr>
          <w:rFonts w:ascii="Times New Roman" w:hAnsi="Times New Roman"/>
          <w:bCs/>
          <w:color w:val="auto"/>
          <w:sz w:val="24"/>
          <w:szCs w:val="24"/>
        </w:rPr>
        <w:t xml:space="preserve">the same body which Ray </w:t>
      </w:r>
      <w:r w:rsidR="003C5985">
        <w:rPr>
          <w:rFonts w:ascii="Times New Roman" w:hAnsi="Times New Roman"/>
          <w:bCs/>
          <w:color w:val="auto"/>
          <w:sz w:val="24"/>
          <w:szCs w:val="24"/>
        </w:rPr>
        <w:t>mentions</w:t>
      </w:r>
      <w:r w:rsidR="00DB3BDB" w:rsidRPr="00504A34">
        <w:rPr>
          <w:rFonts w:ascii="Times New Roman" w:hAnsi="Times New Roman"/>
          <w:bCs/>
          <w:color w:val="auto"/>
          <w:sz w:val="24"/>
          <w:szCs w:val="24"/>
        </w:rPr>
        <w:t xml:space="preserve"> as being shown through the seven stars of the ‘</w:t>
      </w:r>
      <w:proofErr w:type="spellStart"/>
      <w:r w:rsidR="00DB3BDB" w:rsidRPr="00504A34">
        <w:rPr>
          <w:rFonts w:ascii="Times New Roman" w:hAnsi="Times New Roman"/>
          <w:bCs/>
          <w:i/>
          <w:color w:val="auto"/>
          <w:sz w:val="24"/>
          <w:szCs w:val="24"/>
        </w:rPr>
        <w:t>Saptarishi</w:t>
      </w:r>
      <w:proofErr w:type="spellEnd"/>
      <w:r w:rsidR="00DB3BDB" w:rsidRPr="00504A34">
        <w:rPr>
          <w:rFonts w:ascii="Times New Roman" w:hAnsi="Times New Roman"/>
          <w:bCs/>
          <w:i/>
          <w:color w:val="auto"/>
          <w:sz w:val="24"/>
          <w:szCs w:val="24"/>
        </w:rPr>
        <w:t xml:space="preserve"> </w:t>
      </w:r>
      <w:proofErr w:type="spellStart"/>
      <w:r w:rsidR="00DB3BDB" w:rsidRPr="00504A34">
        <w:rPr>
          <w:rFonts w:ascii="Times New Roman" w:hAnsi="Times New Roman"/>
          <w:bCs/>
          <w:i/>
          <w:color w:val="auto"/>
          <w:sz w:val="24"/>
          <w:szCs w:val="24"/>
        </w:rPr>
        <w:t>mandal</w:t>
      </w:r>
      <w:proofErr w:type="spellEnd"/>
      <w:r w:rsidR="00DB3BDB" w:rsidRPr="00504A34">
        <w:rPr>
          <w:rFonts w:ascii="Times New Roman" w:hAnsi="Times New Roman"/>
          <w:bCs/>
          <w:color w:val="auto"/>
          <w:sz w:val="24"/>
          <w:szCs w:val="24"/>
        </w:rPr>
        <w:t>’ (representing both the Supreme God’s body as well as ‘the seven sages’)</w:t>
      </w:r>
      <w:r w:rsidR="00E74C9F" w:rsidRPr="00E74C9F">
        <w:rPr>
          <w:rFonts w:ascii="Times New Roman" w:hAnsi="Times New Roman"/>
          <w:bCs/>
          <w:color w:val="auto"/>
          <w:sz w:val="24"/>
          <w:szCs w:val="24"/>
        </w:rPr>
        <w:t>.</w:t>
      </w:r>
      <w:r w:rsidR="00DB3BDB" w:rsidRPr="00E74C9F">
        <w:rPr>
          <w:rStyle w:val="FootnoteReference"/>
          <w:rFonts w:ascii="Times New Roman" w:hAnsi="Times New Roman"/>
          <w:bCs/>
          <w:color w:val="auto"/>
          <w:sz w:val="24"/>
          <w:szCs w:val="24"/>
        </w:rPr>
        <w:footnoteReference w:id="19"/>
      </w:r>
      <w:r w:rsidR="00B26C5A" w:rsidRPr="00E74C9F">
        <w:rPr>
          <w:rFonts w:ascii="Times New Roman" w:hAnsi="Times New Roman"/>
          <w:bCs/>
          <w:color w:val="auto"/>
          <w:sz w:val="24"/>
          <w:szCs w:val="24"/>
        </w:rPr>
        <w:t xml:space="preserve"> </w:t>
      </w:r>
      <w:r w:rsidR="000861EF" w:rsidRPr="00E74C9F">
        <w:rPr>
          <w:rFonts w:ascii="Times New Roman" w:hAnsi="Times New Roman"/>
          <w:bCs/>
          <w:color w:val="auto"/>
          <w:sz w:val="24"/>
          <w:szCs w:val="24"/>
        </w:rPr>
        <w:t>Kaspin’s</w:t>
      </w:r>
      <w:r w:rsidR="000861EF">
        <w:rPr>
          <w:rFonts w:ascii="Times New Roman" w:hAnsi="Times New Roman"/>
          <w:bCs/>
          <w:color w:val="auto"/>
          <w:sz w:val="24"/>
          <w:szCs w:val="24"/>
        </w:rPr>
        <w:t xml:space="preserve"> </w:t>
      </w:r>
      <w:r w:rsidR="000861EF" w:rsidRPr="000861EF">
        <w:rPr>
          <w:rFonts w:ascii="Times New Roman" w:hAnsi="Times New Roman"/>
          <w:bCs/>
          <w:color w:val="auto"/>
          <w:sz w:val="24"/>
          <w:szCs w:val="24"/>
        </w:rPr>
        <w:t xml:space="preserve">account of a twin-birth to an otherwise male Chewa rainmaker finds parallel in </w:t>
      </w:r>
      <w:r w:rsidR="000861EF">
        <w:rPr>
          <w:rFonts w:ascii="Times New Roman" w:hAnsi="Times New Roman"/>
          <w:bCs/>
          <w:color w:val="auto"/>
          <w:sz w:val="24"/>
          <w:szCs w:val="24"/>
        </w:rPr>
        <w:t xml:space="preserve">Ray’s report of T. </w:t>
      </w:r>
      <w:proofErr w:type="spellStart"/>
      <w:r w:rsidR="000861EF">
        <w:rPr>
          <w:rFonts w:ascii="Times New Roman" w:hAnsi="Times New Roman"/>
          <w:bCs/>
          <w:color w:val="auto"/>
          <w:sz w:val="24"/>
          <w:szCs w:val="24"/>
        </w:rPr>
        <w:t>maibi</w:t>
      </w:r>
      <w:proofErr w:type="spellEnd"/>
      <w:r w:rsidR="000861EF">
        <w:rPr>
          <w:rFonts w:ascii="Times New Roman" w:hAnsi="Times New Roman"/>
          <w:bCs/>
          <w:color w:val="auto"/>
          <w:sz w:val="24"/>
          <w:szCs w:val="24"/>
        </w:rPr>
        <w:t xml:space="preserve">, a male, arriving at his post </w:t>
      </w:r>
      <w:r w:rsidR="00F0754F">
        <w:rPr>
          <w:rFonts w:ascii="Times New Roman" w:hAnsi="Times New Roman"/>
          <w:bCs/>
          <w:color w:val="auto"/>
          <w:sz w:val="24"/>
          <w:szCs w:val="24"/>
        </w:rPr>
        <w:t xml:space="preserve">of </w:t>
      </w:r>
      <w:proofErr w:type="spellStart"/>
      <w:r w:rsidR="00F0754F">
        <w:rPr>
          <w:rFonts w:ascii="Times New Roman" w:hAnsi="Times New Roman"/>
          <w:bCs/>
          <w:color w:val="auto"/>
          <w:sz w:val="24"/>
          <w:szCs w:val="24"/>
        </w:rPr>
        <w:t>maibi</w:t>
      </w:r>
      <w:proofErr w:type="spellEnd"/>
      <w:r w:rsidR="00F0754F">
        <w:rPr>
          <w:rFonts w:ascii="Times New Roman" w:hAnsi="Times New Roman"/>
          <w:bCs/>
          <w:color w:val="auto"/>
          <w:sz w:val="24"/>
          <w:szCs w:val="24"/>
        </w:rPr>
        <w:t xml:space="preserve"> </w:t>
      </w:r>
      <w:r w:rsidR="000861EF">
        <w:rPr>
          <w:rFonts w:ascii="Times New Roman" w:hAnsi="Times New Roman"/>
          <w:bCs/>
          <w:color w:val="auto"/>
          <w:sz w:val="24"/>
          <w:szCs w:val="24"/>
        </w:rPr>
        <w:t>due to ‘divine intervention’: he was, she states, ‘an exceptional case’.</w:t>
      </w:r>
      <w:r w:rsidR="000861EF">
        <w:rPr>
          <w:rStyle w:val="FootnoteReference"/>
          <w:rFonts w:ascii="Times New Roman" w:hAnsi="Times New Roman"/>
          <w:bCs/>
          <w:color w:val="auto"/>
          <w:sz w:val="24"/>
          <w:szCs w:val="24"/>
        </w:rPr>
        <w:footnoteReference w:id="20"/>
      </w:r>
      <w:r w:rsidR="000861EF">
        <w:rPr>
          <w:rFonts w:ascii="Times New Roman" w:hAnsi="Times New Roman"/>
          <w:bCs/>
          <w:color w:val="auto"/>
          <w:sz w:val="24"/>
          <w:szCs w:val="24"/>
        </w:rPr>
        <w:t xml:space="preserve"> </w:t>
      </w:r>
      <w:r w:rsidR="006B75B0">
        <w:rPr>
          <w:rFonts w:ascii="Times New Roman" w:hAnsi="Times New Roman"/>
          <w:bCs/>
          <w:color w:val="auto"/>
          <w:sz w:val="24"/>
          <w:szCs w:val="24"/>
        </w:rPr>
        <w:t xml:space="preserve">Saroj N. </w:t>
      </w:r>
      <w:proofErr w:type="spellStart"/>
      <w:r w:rsidR="006B75B0">
        <w:rPr>
          <w:rFonts w:ascii="Times New Roman" w:hAnsi="Times New Roman"/>
          <w:bCs/>
          <w:color w:val="auto"/>
          <w:sz w:val="24"/>
          <w:szCs w:val="24"/>
        </w:rPr>
        <w:t>Arambam</w:t>
      </w:r>
      <w:proofErr w:type="spellEnd"/>
      <w:r w:rsidR="006B75B0">
        <w:rPr>
          <w:rFonts w:ascii="Times New Roman" w:hAnsi="Times New Roman"/>
          <w:bCs/>
          <w:color w:val="auto"/>
          <w:sz w:val="24"/>
          <w:szCs w:val="24"/>
        </w:rPr>
        <w:t xml:space="preserve"> </w:t>
      </w:r>
      <w:proofErr w:type="spellStart"/>
      <w:r w:rsidR="006B75B0">
        <w:rPr>
          <w:rFonts w:ascii="Times New Roman" w:hAnsi="Times New Roman"/>
          <w:bCs/>
          <w:color w:val="auto"/>
          <w:sz w:val="24"/>
          <w:szCs w:val="24"/>
        </w:rPr>
        <w:t>Parrat</w:t>
      </w:r>
      <w:proofErr w:type="spellEnd"/>
      <w:r w:rsidR="006B75B0">
        <w:rPr>
          <w:rFonts w:ascii="Times New Roman" w:hAnsi="Times New Roman"/>
          <w:bCs/>
          <w:color w:val="auto"/>
          <w:sz w:val="24"/>
          <w:szCs w:val="24"/>
        </w:rPr>
        <w:t xml:space="preserve"> and John Parratt seem to disagree: finding indications of a more general ‘</w:t>
      </w:r>
      <w:r w:rsidR="006B75B0" w:rsidRPr="006B75B0">
        <w:rPr>
          <w:rFonts w:ascii="Times New Roman" w:hAnsi="Times New Roman"/>
          <w:bCs/>
          <w:color w:val="auto"/>
          <w:sz w:val="24"/>
          <w:szCs w:val="24"/>
        </w:rPr>
        <w:t>move towards male</w:t>
      </w:r>
      <w:r w:rsidR="006B75B0">
        <w:rPr>
          <w:rFonts w:ascii="Times New Roman" w:hAnsi="Times New Roman"/>
          <w:bCs/>
          <w:color w:val="auto"/>
          <w:sz w:val="24"/>
          <w:szCs w:val="24"/>
        </w:rPr>
        <w:t xml:space="preserve"> </w:t>
      </w:r>
      <w:r w:rsidR="006B75B0" w:rsidRPr="006B75B0">
        <w:rPr>
          <w:rFonts w:ascii="Times New Roman" w:hAnsi="Times New Roman"/>
          <w:bCs/>
          <w:color w:val="auto"/>
          <w:sz w:val="24"/>
          <w:szCs w:val="24"/>
        </w:rPr>
        <w:t>control of religious functions which traditionally belonged to women</w:t>
      </w:r>
      <w:r w:rsidR="006B75B0">
        <w:rPr>
          <w:rFonts w:ascii="Times New Roman" w:hAnsi="Times New Roman"/>
          <w:bCs/>
          <w:color w:val="auto"/>
          <w:sz w:val="24"/>
          <w:szCs w:val="24"/>
        </w:rPr>
        <w:t xml:space="preserve">’ specifically through appropriating the role of </w:t>
      </w:r>
      <w:proofErr w:type="spellStart"/>
      <w:r w:rsidR="006B75B0">
        <w:rPr>
          <w:rFonts w:ascii="Times New Roman" w:hAnsi="Times New Roman"/>
          <w:bCs/>
          <w:color w:val="auto"/>
          <w:sz w:val="24"/>
          <w:szCs w:val="24"/>
        </w:rPr>
        <w:t>maibis</w:t>
      </w:r>
      <w:proofErr w:type="spellEnd"/>
      <w:r w:rsidR="006B75B0">
        <w:rPr>
          <w:rFonts w:ascii="Times New Roman" w:hAnsi="Times New Roman"/>
          <w:bCs/>
          <w:color w:val="auto"/>
          <w:sz w:val="24"/>
          <w:szCs w:val="24"/>
        </w:rPr>
        <w:t>.</w:t>
      </w:r>
      <w:r w:rsidR="006B75B0">
        <w:rPr>
          <w:rStyle w:val="FootnoteReference"/>
          <w:rFonts w:ascii="Times New Roman" w:hAnsi="Times New Roman"/>
          <w:bCs/>
          <w:color w:val="auto"/>
          <w:sz w:val="24"/>
          <w:szCs w:val="24"/>
        </w:rPr>
        <w:footnoteReference w:id="21"/>
      </w:r>
      <w:r w:rsidR="006B75B0">
        <w:rPr>
          <w:rFonts w:ascii="Times New Roman" w:hAnsi="Times New Roman"/>
          <w:bCs/>
          <w:color w:val="auto"/>
          <w:sz w:val="24"/>
          <w:szCs w:val="24"/>
        </w:rPr>
        <w:t xml:space="preserve"> </w:t>
      </w:r>
      <w:r w:rsidR="000861EF">
        <w:rPr>
          <w:rFonts w:ascii="Times New Roman" w:hAnsi="Times New Roman"/>
          <w:bCs/>
          <w:color w:val="auto"/>
          <w:sz w:val="24"/>
          <w:szCs w:val="24"/>
        </w:rPr>
        <w:t>As in the case</w:t>
      </w:r>
      <w:r w:rsidR="00C65438">
        <w:rPr>
          <w:rFonts w:ascii="Times New Roman" w:hAnsi="Times New Roman"/>
          <w:bCs/>
          <w:color w:val="auto"/>
          <w:sz w:val="24"/>
          <w:szCs w:val="24"/>
        </w:rPr>
        <w:t xml:space="preserve"> of Kaspin’s rainmaker</w:t>
      </w:r>
      <w:r w:rsidR="000861EF">
        <w:rPr>
          <w:rFonts w:ascii="Times New Roman" w:hAnsi="Times New Roman"/>
          <w:bCs/>
          <w:color w:val="auto"/>
          <w:sz w:val="24"/>
          <w:szCs w:val="24"/>
        </w:rPr>
        <w:t xml:space="preserve">, the lack of referencing makes Ray’s sources </w:t>
      </w:r>
      <w:r w:rsidR="00175878">
        <w:rPr>
          <w:rFonts w:ascii="Times New Roman" w:hAnsi="Times New Roman"/>
          <w:bCs/>
          <w:color w:val="auto"/>
          <w:sz w:val="24"/>
          <w:szCs w:val="24"/>
        </w:rPr>
        <w:t xml:space="preserve">somewhat </w:t>
      </w:r>
      <w:r w:rsidR="000861EF">
        <w:rPr>
          <w:rFonts w:ascii="Times New Roman" w:hAnsi="Times New Roman"/>
          <w:bCs/>
          <w:color w:val="auto"/>
          <w:sz w:val="24"/>
          <w:szCs w:val="24"/>
        </w:rPr>
        <w:t>unclea</w:t>
      </w:r>
      <w:r w:rsidR="00175878">
        <w:rPr>
          <w:rFonts w:ascii="Times New Roman" w:hAnsi="Times New Roman"/>
          <w:bCs/>
          <w:color w:val="auto"/>
          <w:sz w:val="24"/>
          <w:szCs w:val="24"/>
        </w:rPr>
        <w:t>r</w:t>
      </w:r>
      <w:r w:rsidR="0084430A">
        <w:rPr>
          <w:rFonts w:ascii="Times New Roman" w:hAnsi="Times New Roman"/>
          <w:bCs/>
          <w:color w:val="auto"/>
          <w:sz w:val="24"/>
          <w:szCs w:val="24"/>
        </w:rPr>
        <w:t>: the one reference point offered change</w:t>
      </w:r>
      <w:r w:rsidR="003C5985">
        <w:rPr>
          <w:rFonts w:ascii="Times New Roman" w:hAnsi="Times New Roman"/>
          <w:bCs/>
          <w:color w:val="auto"/>
          <w:sz w:val="24"/>
          <w:szCs w:val="24"/>
        </w:rPr>
        <w:t>s</w:t>
      </w:r>
      <w:r w:rsidR="0084430A">
        <w:rPr>
          <w:rFonts w:ascii="Times New Roman" w:hAnsi="Times New Roman"/>
          <w:bCs/>
          <w:color w:val="auto"/>
          <w:sz w:val="24"/>
          <w:szCs w:val="24"/>
        </w:rPr>
        <w:t xml:space="preserve"> the tense of the sentence, as </w:t>
      </w:r>
      <w:r w:rsidR="00175878">
        <w:rPr>
          <w:rFonts w:ascii="Times New Roman" w:hAnsi="Times New Roman"/>
          <w:bCs/>
          <w:color w:val="auto"/>
          <w:sz w:val="24"/>
          <w:szCs w:val="24"/>
        </w:rPr>
        <w:t xml:space="preserve">T. </w:t>
      </w:r>
      <w:proofErr w:type="spellStart"/>
      <w:r w:rsidR="00175878">
        <w:rPr>
          <w:rFonts w:ascii="Times New Roman" w:hAnsi="Times New Roman"/>
          <w:bCs/>
          <w:color w:val="auto"/>
          <w:sz w:val="24"/>
          <w:szCs w:val="24"/>
        </w:rPr>
        <w:t>maibi</w:t>
      </w:r>
      <w:proofErr w:type="spellEnd"/>
      <w:r w:rsidR="0084430A">
        <w:rPr>
          <w:rFonts w:ascii="Times New Roman" w:hAnsi="Times New Roman"/>
          <w:bCs/>
          <w:color w:val="auto"/>
          <w:sz w:val="24"/>
          <w:szCs w:val="24"/>
        </w:rPr>
        <w:t xml:space="preserve"> had recently died</w:t>
      </w:r>
      <w:r w:rsidR="000861EF">
        <w:rPr>
          <w:rFonts w:ascii="Times New Roman" w:hAnsi="Times New Roman"/>
          <w:bCs/>
          <w:color w:val="auto"/>
          <w:sz w:val="24"/>
          <w:szCs w:val="24"/>
        </w:rPr>
        <w:t>.</w:t>
      </w:r>
      <w:r w:rsidR="0084430A">
        <w:rPr>
          <w:rStyle w:val="FootnoteReference"/>
          <w:rFonts w:ascii="Times New Roman" w:hAnsi="Times New Roman"/>
          <w:bCs/>
          <w:color w:val="auto"/>
          <w:sz w:val="24"/>
          <w:szCs w:val="24"/>
        </w:rPr>
        <w:footnoteReference w:id="22"/>
      </w:r>
      <w:r w:rsidR="000861EF">
        <w:rPr>
          <w:rFonts w:ascii="Times New Roman" w:hAnsi="Times New Roman"/>
          <w:bCs/>
          <w:color w:val="auto"/>
          <w:sz w:val="24"/>
          <w:szCs w:val="24"/>
        </w:rPr>
        <w:t xml:space="preserve"> </w:t>
      </w:r>
      <w:r w:rsidR="006B75B0">
        <w:rPr>
          <w:rFonts w:ascii="Times New Roman" w:hAnsi="Times New Roman"/>
          <w:bCs/>
          <w:color w:val="auto"/>
          <w:sz w:val="24"/>
          <w:szCs w:val="24"/>
        </w:rPr>
        <w:t xml:space="preserve">Both Ray and Kaspin otherwise reference </w:t>
      </w:r>
      <w:r w:rsidR="00071592">
        <w:rPr>
          <w:rFonts w:ascii="Times New Roman" w:hAnsi="Times New Roman"/>
          <w:bCs/>
          <w:color w:val="auto"/>
          <w:sz w:val="24"/>
          <w:szCs w:val="24"/>
        </w:rPr>
        <w:t>sparingly but sensibly, as appropriate for their oral sources</w:t>
      </w:r>
      <w:r w:rsidR="006B75B0">
        <w:rPr>
          <w:rFonts w:ascii="Times New Roman" w:hAnsi="Times New Roman"/>
          <w:bCs/>
          <w:color w:val="auto"/>
          <w:sz w:val="24"/>
          <w:szCs w:val="24"/>
        </w:rPr>
        <w:t xml:space="preserve">, </w:t>
      </w:r>
      <w:r w:rsidR="00071592">
        <w:rPr>
          <w:rFonts w:ascii="Times New Roman" w:hAnsi="Times New Roman"/>
          <w:bCs/>
          <w:color w:val="auto"/>
          <w:sz w:val="24"/>
          <w:szCs w:val="24"/>
        </w:rPr>
        <w:t>but authoritatively</w:t>
      </w:r>
      <w:r w:rsidR="006B75B0">
        <w:rPr>
          <w:rFonts w:ascii="Times New Roman" w:hAnsi="Times New Roman"/>
          <w:bCs/>
          <w:color w:val="auto"/>
          <w:sz w:val="24"/>
          <w:szCs w:val="24"/>
        </w:rPr>
        <w:t xml:space="preserve"> when setting their work within scholarly debate.</w:t>
      </w:r>
      <w:r w:rsidR="006B75B0">
        <w:rPr>
          <w:rStyle w:val="FootnoteReference"/>
          <w:rFonts w:ascii="Times New Roman" w:hAnsi="Times New Roman"/>
          <w:bCs/>
          <w:color w:val="auto"/>
          <w:sz w:val="24"/>
          <w:szCs w:val="24"/>
        </w:rPr>
        <w:footnoteReference w:id="23"/>
      </w:r>
    </w:p>
    <w:p w14:paraId="646358B2" w14:textId="06C3D06E" w:rsidR="00E937FC" w:rsidRDefault="00781339" w:rsidP="00C0098D">
      <w:pPr>
        <w:pStyle w:val="NormalWeb"/>
        <w:ind w:right="-334"/>
        <w:jc w:val="both"/>
        <w:rPr>
          <w:rFonts w:ascii="Times New Roman" w:hAnsi="Times New Roman"/>
          <w:bCs/>
          <w:color w:val="auto"/>
          <w:sz w:val="24"/>
          <w:szCs w:val="24"/>
        </w:rPr>
      </w:pPr>
      <w:r>
        <w:rPr>
          <w:rFonts w:ascii="Times New Roman" w:hAnsi="Times New Roman"/>
          <w:bCs/>
          <w:color w:val="auto"/>
          <w:sz w:val="24"/>
          <w:szCs w:val="24"/>
        </w:rPr>
        <w:t>Th</w:t>
      </w:r>
      <w:r w:rsidR="00E41BAD">
        <w:rPr>
          <w:rFonts w:ascii="Times New Roman" w:hAnsi="Times New Roman"/>
          <w:bCs/>
          <w:color w:val="auto"/>
          <w:sz w:val="24"/>
          <w:szCs w:val="24"/>
        </w:rPr>
        <w:t>e</w:t>
      </w:r>
      <w:r>
        <w:rPr>
          <w:rFonts w:ascii="Times New Roman" w:hAnsi="Times New Roman"/>
          <w:bCs/>
          <w:color w:val="auto"/>
          <w:sz w:val="24"/>
          <w:szCs w:val="24"/>
        </w:rPr>
        <w:t xml:space="preserve"> concept of cross-gender performance has been described in depth by Judith Butler as defining and strengthening the performance of gender as a whole.</w:t>
      </w:r>
      <w:r w:rsidRPr="006A3234">
        <w:rPr>
          <w:rStyle w:val="FootnoteReference"/>
          <w:rFonts w:ascii="Times New Roman" w:hAnsi="Times New Roman"/>
          <w:bCs/>
          <w:color w:val="auto"/>
          <w:sz w:val="24"/>
          <w:szCs w:val="24"/>
        </w:rPr>
        <w:t xml:space="preserve"> </w:t>
      </w:r>
      <w:r>
        <w:rPr>
          <w:rStyle w:val="FootnoteReference"/>
          <w:rFonts w:ascii="Times New Roman" w:hAnsi="Times New Roman"/>
          <w:bCs/>
          <w:color w:val="auto"/>
          <w:sz w:val="24"/>
          <w:szCs w:val="24"/>
        </w:rPr>
        <w:footnoteReference w:id="24"/>
      </w:r>
      <w:r w:rsidR="00C901F9">
        <w:rPr>
          <w:rFonts w:ascii="Times New Roman" w:hAnsi="Times New Roman"/>
          <w:bCs/>
          <w:color w:val="auto"/>
          <w:sz w:val="24"/>
          <w:szCs w:val="24"/>
        </w:rPr>
        <w:t xml:space="preserve"> </w:t>
      </w:r>
      <w:r w:rsidR="00B65438" w:rsidRPr="00781339">
        <w:rPr>
          <w:rFonts w:ascii="Times New Roman" w:hAnsi="Times New Roman"/>
          <w:bCs/>
          <w:color w:val="auto"/>
          <w:sz w:val="24"/>
          <w:szCs w:val="24"/>
        </w:rPr>
        <w:t>Both the continuous performance of the Chewa tribe’s rainmaker – one</w:t>
      </w:r>
      <w:r w:rsidR="00033349">
        <w:rPr>
          <w:rFonts w:ascii="Times New Roman" w:hAnsi="Times New Roman"/>
          <w:bCs/>
          <w:color w:val="auto"/>
          <w:sz w:val="24"/>
          <w:szCs w:val="24"/>
        </w:rPr>
        <w:t xml:space="preserve"> during</w:t>
      </w:r>
      <w:r w:rsidR="00B65438" w:rsidRPr="00781339">
        <w:rPr>
          <w:rFonts w:ascii="Times New Roman" w:hAnsi="Times New Roman"/>
          <w:bCs/>
          <w:color w:val="auto"/>
          <w:sz w:val="24"/>
          <w:szCs w:val="24"/>
        </w:rPr>
        <w:t xml:space="preserve"> their term acting in an unbroken chain of many – </w:t>
      </w:r>
      <w:r w:rsidR="00B65438" w:rsidRPr="005566F9">
        <w:rPr>
          <w:rFonts w:ascii="Times New Roman" w:hAnsi="Times New Roman"/>
          <w:bCs/>
          <w:color w:val="auto"/>
          <w:sz w:val="24"/>
          <w:szCs w:val="24"/>
        </w:rPr>
        <w:t xml:space="preserve">and the admission of </w:t>
      </w:r>
      <w:r w:rsidR="00925FD7" w:rsidRPr="005566F9">
        <w:rPr>
          <w:rFonts w:ascii="Times New Roman" w:hAnsi="Times New Roman"/>
          <w:bCs/>
          <w:color w:val="auto"/>
          <w:sz w:val="24"/>
          <w:szCs w:val="24"/>
        </w:rPr>
        <w:t xml:space="preserve">T. </w:t>
      </w:r>
      <w:proofErr w:type="spellStart"/>
      <w:r w:rsidR="00925FD7" w:rsidRPr="005566F9">
        <w:rPr>
          <w:rFonts w:ascii="Times New Roman" w:hAnsi="Times New Roman"/>
          <w:bCs/>
          <w:color w:val="auto"/>
          <w:sz w:val="24"/>
          <w:szCs w:val="24"/>
        </w:rPr>
        <w:t>m</w:t>
      </w:r>
      <w:r w:rsidR="00B65438" w:rsidRPr="005566F9">
        <w:rPr>
          <w:rFonts w:ascii="Times New Roman" w:hAnsi="Times New Roman"/>
          <w:bCs/>
          <w:color w:val="auto"/>
          <w:sz w:val="24"/>
          <w:szCs w:val="24"/>
        </w:rPr>
        <w:t>aibi</w:t>
      </w:r>
      <w:proofErr w:type="spellEnd"/>
      <w:r w:rsidR="00B65438" w:rsidRPr="005566F9">
        <w:rPr>
          <w:rFonts w:ascii="Times New Roman" w:hAnsi="Times New Roman"/>
          <w:bCs/>
          <w:color w:val="auto"/>
          <w:sz w:val="24"/>
          <w:szCs w:val="24"/>
        </w:rPr>
        <w:t xml:space="preserve"> to the role of </w:t>
      </w:r>
      <w:proofErr w:type="spellStart"/>
      <w:r w:rsidRPr="005566F9">
        <w:rPr>
          <w:rFonts w:ascii="Times New Roman" w:hAnsi="Times New Roman"/>
          <w:bCs/>
          <w:color w:val="auto"/>
          <w:sz w:val="24"/>
          <w:szCs w:val="24"/>
        </w:rPr>
        <w:t>maibi</w:t>
      </w:r>
      <w:proofErr w:type="spellEnd"/>
      <w:r w:rsidRPr="005566F9">
        <w:rPr>
          <w:rFonts w:ascii="Times New Roman" w:hAnsi="Times New Roman"/>
          <w:bCs/>
          <w:color w:val="auto"/>
          <w:sz w:val="24"/>
          <w:szCs w:val="24"/>
        </w:rPr>
        <w:t xml:space="preserve"> at all</w:t>
      </w:r>
      <w:r w:rsidRPr="00781339">
        <w:rPr>
          <w:rFonts w:ascii="Times New Roman" w:hAnsi="Times New Roman"/>
          <w:bCs/>
          <w:color w:val="auto"/>
          <w:sz w:val="24"/>
          <w:szCs w:val="24"/>
        </w:rPr>
        <w:t xml:space="preserve"> </w:t>
      </w:r>
      <w:r w:rsidR="00B65438" w:rsidRPr="00781339">
        <w:rPr>
          <w:rFonts w:ascii="Times New Roman" w:hAnsi="Times New Roman"/>
          <w:bCs/>
          <w:color w:val="auto"/>
          <w:sz w:val="24"/>
          <w:szCs w:val="24"/>
        </w:rPr>
        <w:t>echoes Friedrich Nietzsche’s position that ‘there is no “being” behind doing, acting, becoming; “the doer” is merely a fiction imposed on the doing – the doing itself is everything’.</w:t>
      </w:r>
      <w:r w:rsidR="00B65438" w:rsidRPr="00781339">
        <w:rPr>
          <w:rStyle w:val="FootnoteReference"/>
          <w:rFonts w:ascii="Times New Roman" w:hAnsi="Times New Roman"/>
          <w:bCs/>
          <w:color w:val="auto"/>
          <w:sz w:val="24"/>
          <w:szCs w:val="24"/>
        </w:rPr>
        <w:footnoteReference w:id="25"/>
      </w:r>
      <w:r w:rsidR="00033349">
        <w:rPr>
          <w:rFonts w:ascii="Times New Roman" w:hAnsi="Times New Roman"/>
          <w:bCs/>
          <w:color w:val="auto"/>
          <w:sz w:val="24"/>
          <w:szCs w:val="24"/>
        </w:rPr>
        <w:t xml:space="preserve"> </w:t>
      </w:r>
      <w:r w:rsidR="00B65438" w:rsidRPr="006B3DB0">
        <w:rPr>
          <w:rFonts w:ascii="Times New Roman" w:hAnsi="Times New Roman"/>
          <w:bCs/>
          <w:color w:val="auto"/>
          <w:sz w:val="24"/>
          <w:szCs w:val="24"/>
        </w:rPr>
        <w:t xml:space="preserve">The relationship between cosmos and body for the Chewa, then, appears to rely on the active engagement of entire tribe through the social rituals of day to day life, as well as </w:t>
      </w:r>
      <w:r w:rsidR="004B65C1">
        <w:rPr>
          <w:rFonts w:ascii="Times New Roman" w:hAnsi="Times New Roman"/>
          <w:bCs/>
          <w:color w:val="auto"/>
          <w:sz w:val="24"/>
          <w:szCs w:val="24"/>
        </w:rPr>
        <w:t xml:space="preserve">of specific bodies during </w:t>
      </w:r>
      <w:r w:rsidR="00B65438" w:rsidRPr="006B3DB0">
        <w:rPr>
          <w:rFonts w:ascii="Times New Roman" w:hAnsi="Times New Roman"/>
          <w:bCs/>
          <w:color w:val="auto"/>
          <w:sz w:val="24"/>
          <w:szCs w:val="24"/>
        </w:rPr>
        <w:t>specific rites</w:t>
      </w:r>
      <w:r>
        <w:rPr>
          <w:rFonts w:ascii="Times New Roman" w:hAnsi="Times New Roman"/>
          <w:bCs/>
          <w:color w:val="auto"/>
          <w:sz w:val="24"/>
          <w:szCs w:val="24"/>
        </w:rPr>
        <w:t>. Th</w:t>
      </w:r>
      <w:r w:rsidR="00B65438" w:rsidRPr="006B3DB0">
        <w:rPr>
          <w:rFonts w:ascii="Times New Roman" w:hAnsi="Times New Roman"/>
          <w:bCs/>
          <w:color w:val="auto"/>
          <w:sz w:val="24"/>
          <w:szCs w:val="24"/>
        </w:rPr>
        <w:t xml:space="preserve">is conforms to </w:t>
      </w:r>
      <w:r w:rsidR="00C65438">
        <w:rPr>
          <w:rFonts w:ascii="Times New Roman" w:hAnsi="Times New Roman"/>
          <w:bCs/>
          <w:color w:val="auto"/>
          <w:sz w:val="24"/>
          <w:szCs w:val="24"/>
        </w:rPr>
        <w:t xml:space="preserve">Lucien </w:t>
      </w:r>
      <w:r w:rsidR="00B65438" w:rsidRPr="006B3DB0">
        <w:rPr>
          <w:rFonts w:ascii="Times New Roman" w:hAnsi="Times New Roman"/>
          <w:bCs/>
          <w:color w:val="auto"/>
          <w:sz w:val="24"/>
          <w:szCs w:val="24"/>
        </w:rPr>
        <w:t>Lévy-Bruhl’s theory of the law of participation in a way that</w:t>
      </w:r>
      <w:r w:rsidR="00A12821">
        <w:rPr>
          <w:rFonts w:ascii="Times New Roman" w:hAnsi="Times New Roman"/>
          <w:bCs/>
          <w:color w:val="auto"/>
          <w:sz w:val="24"/>
          <w:szCs w:val="24"/>
        </w:rPr>
        <w:t>, whilst not as obvious, is also present</w:t>
      </w:r>
      <w:r w:rsidR="00B65438" w:rsidRPr="006B3DB0">
        <w:rPr>
          <w:rFonts w:ascii="Times New Roman" w:hAnsi="Times New Roman"/>
          <w:bCs/>
          <w:color w:val="auto"/>
          <w:sz w:val="24"/>
          <w:szCs w:val="24"/>
        </w:rPr>
        <w:t xml:space="preserve"> in Ray’s description of Manipuri culture.</w:t>
      </w:r>
      <w:r w:rsidR="00B65438">
        <w:rPr>
          <w:rStyle w:val="FootnoteReference"/>
          <w:rFonts w:ascii="Times New Roman" w:hAnsi="Times New Roman"/>
          <w:bCs/>
          <w:color w:val="auto"/>
          <w:sz w:val="24"/>
          <w:szCs w:val="24"/>
        </w:rPr>
        <w:footnoteReference w:id="26"/>
      </w:r>
      <w:r w:rsidR="00B65438">
        <w:rPr>
          <w:rFonts w:ascii="Times New Roman" w:hAnsi="Times New Roman"/>
          <w:bCs/>
          <w:color w:val="auto"/>
          <w:sz w:val="24"/>
          <w:szCs w:val="24"/>
        </w:rPr>
        <w:t xml:space="preserve"> The secular state of India has, according to Ray’s argument</w:t>
      </w:r>
      <w:r w:rsidR="00504A34">
        <w:rPr>
          <w:rFonts w:ascii="Times New Roman" w:hAnsi="Times New Roman"/>
          <w:bCs/>
          <w:color w:val="auto"/>
          <w:sz w:val="24"/>
          <w:szCs w:val="24"/>
        </w:rPr>
        <w:t>,</w:t>
      </w:r>
      <w:r w:rsidR="00B65438">
        <w:rPr>
          <w:rFonts w:ascii="Times New Roman" w:hAnsi="Times New Roman"/>
          <w:bCs/>
          <w:color w:val="auto"/>
          <w:sz w:val="24"/>
          <w:szCs w:val="24"/>
        </w:rPr>
        <w:t xml:space="preserve"> thrust the sacred associations of the Meitei alphabet – and thus </w:t>
      </w:r>
      <w:r w:rsidR="00BC14C1">
        <w:rPr>
          <w:rFonts w:ascii="Times New Roman" w:hAnsi="Times New Roman"/>
          <w:bCs/>
          <w:color w:val="auto"/>
          <w:sz w:val="24"/>
          <w:szCs w:val="24"/>
        </w:rPr>
        <w:t xml:space="preserve">both </w:t>
      </w:r>
      <w:r w:rsidR="00B65438">
        <w:rPr>
          <w:rFonts w:ascii="Times New Roman" w:hAnsi="Times New Roman"/>
          <w:bCs/>
          <w:color w:val="auto"/>
          <w:sz w:val="24"/>
          <w:szCs w:val="24"/>
        </w:rPr>
        <w:t>the everyday act</w:t>
      </w:r>
      <w:r w:rsidR="00BC14C1">
        <w:rPr>
          <w:rFonts w:ascii="Times New Roman" w:hAnsi="Times New Roman"/>
          <w:bCs/>
          <w:color w:val="auto"/>
          <w:sz w:val="24"/>
          <w:szCs w:val="24"/>
        </w:rPr>
        <w:t>s</w:t>
      </w:r>
      <w:r w:rsidR="00B65438">
        <w:rPr>
          <w:rFonts w:ascii="Times New Roman" w:hAnsi="Times New Roman"/>
          <w:bCs/>
          <w:color w:val="auto"/>
          <w:sz w:val="24"/>
          <w:szCs w:val="24"/>
        </w:rPr>
        <w:t xml:space="preserve"> of learning to write and writing itself – into a concealed area of day to day life: it is hidden in plain sight.</w:t>
      </w:r>
      <w:r w:rsidR="00B65438">
        <w:rPr>
          <w:rStyle w:val="FootnoteReference"/>
          <w:rFonts w:ascii="Times New Roman" w:hAnsi="Times New Roman"/>
          <w:bCs/>
          <w:color w:val="auto"/>
          <w:sz w:val="24"/>
          <w:szCs w:val="24"/>
        </w:rPr>
        <w:footnoteReference w:id="27"/>
      </w:r>
      <w:r w:rsidR="00B65438">
        <w:rPr>
          <w:rFonts w:ascii="Times New Roman" w:hAnsi="Times New Roman"/>
          <w:bCs/>
          <w:color w:val="auto"/>
          <w:sz w:val="24"/>
          <w:szCs w:val="24"/>
        </w:rPr>
        <w:t xml:space="preserve"> </w:t>
      </w:r>
      <w:r w:rsidRPr="001C3901">
        <w:rPr>
          <w:rFonts w:ascii="Times New Roman" w:hAnsi="Times New Roman"/>
          <w:bCs/>
          <w:color w:val="auto"/>
          <w:sz w:val="24"/>
          <w:szCs w:val="24"/>
        </w:rPr>
        <w:t xml:space="preserve">As the </w:t>
      </w:r>
      <w:r w:rsidR="00B65438" w:rsidRPr="001C3901">
        <w:rPr>
          <w:rFonts w:ascii="Times New Roman" w:hAnsi="Times New Roman"/>
          <w:bCs/>
          <w:color w:val="auto"/>
          <w:sz w:val="24"/>
          <w:szCs w:val="24"/>
        </w:rPr>
        <w:t>separation of the sacred and the secular is not evident in Kaspin’s account of the Chewa,</w:t>
      </w:r>
      <w:r w:rsidR="00B65438">
        <w:rPr>
          <w:rFonts w:ascii="Times New Roman" w:hAnsi="Times New Roman"/>
          <w:bCs/>
          <w:color w:val="auto"/>
          <w:sz w:val="24"/>
          <w:szCs w:val="24"/>
        </w:rPr>
        <w:t xml:space="preserve"> the application of Levy-Bruhl’s law of participation is easier to recognise.</w:t>
      </w:r>
      <w:r w:rsidR="00033349" w:rsidRPr="00033349">
        <w:rPr>
          <w:rFonts w:ascii="Times New Roman" w:hAnsi="Times New Roman"/>
          <w:bCs/>
          <w:color w:val="auto"/>
          <w:sz w:val="24"/>
          <w:szCs w:val="24"/>
        </w:rPr>
        <w:t xml:space="preserve"> </w:t>
      </w:r>
      <w:r w:rsidR="00033349">
        <w:rPr>
          <w:rFonts w:ascii="Times New Roman" w:hAnsi="Times New Roman"/>
          <w:bCs/>
          <w:color w:val="auto"/>
          <w:sz w:val="24"/>
          <w:szCs w:val="24"/>
        </w:rPr>
        <w:t>In the cases of both the Chewa and the Manipuri, cultural performance upon and within the cosmological stage appears</w:t>
      </w:r>
      <w:r w:rsidR="00504A34">
        <w:rPr>
          <w:rFonts w:ascii="Times New Roman" w:hAnsi="Times New Roman"/>
          <w:bCs/>
          <w:color w:val="auto"/>
          <w:sz w:val="24"/>
          <w:szCs w:val="24"/>
        </w:rPr>
        <w:t xml:space="preserve"> not only</w:t>
      </w:r>
      <w:r w:rsidR="00033349">
        <w:rPr>
          <w:rFonts w:ascii="Times New Roman" w:hAnsi="Times New Roman"/>
          <w:bCs/>
          <w:color w:val="auto"/>
          <w:sz w:val="24"/>
          <w:szCs w:val="24"/>
        </w:rPr>
        <w:t xml:space="preserve"> to have the power to change the very bodies of the performers</w:t>
      </w:r>
      <w:r w:rsidR="00504A34">
        <w:rPr>
          <w:rFonts w:ascii="Times New Roman" w:hAnsi="Times New Roman"/>
          <w:bCs/>
          <w:color w:val="auto"/>
          <w:sz w:val="24"/>
          <w:szCs w:val="24"/>
        </w:rPr>
        <w:t>, but perhaps to rely upon it for a meaningful conversation between the cosmological body and human bodies to take place</w:t>
      </w:r>
      <w:r w:rsidR="002E79B5">
        <w:rPr>
          <w:rFonts w:ascii="Times New Roman" w:hAnsi="Times New Roman"/>
          <w:bCs/>
          <w:color w:val="auto"/>
          <w:sz w:val="24"/>
          <w:szCs w:val="24"/>
        </w:rPr>
        <w:t>.</w:t>
      </w:r>
    </w:p>
    <w:p w14:paraId="06299F47" w14:textId="4910FBCD" w:rsidR="003529C0" w:rsidRDefault="00A43C5B" w:rsidP="00C0098D">
      <w:pPr>
        <w:pStyle w:val="NormalWeb"/>
        <w:spacing w:before="0" w:beforeAutospacing="0" w:after="0" w:afterAutospacing="0"/>
        <w:ind w:right="-334"/>
        <w:jc w:val="both"/>
        <w:rPr>
          <w:rFonts w:ascii="Times New Roman" w:hAnsi="Times New Roman"/>
          <w:bCs/>
          <w:sz w:val="24"/>
          <w:szCs w:val="24"/>
        </w:rPr>
      </w:pPr>
      <w:r>
        <w:rPr>
          <w:rFonts w:ascii="Times New Roman" w:hAnsi="Times New Roman"/>
          <w:bCs/>
          <w:color w:val="auto"/>
          <w:sz w:val="24"/>
          <w:szCs w:val="24"/>
        </w:rPr>
        <w:t xml:space="preserve">Even though </w:t>
      </w:r>
      <w:r w:rsidR="00C576A2">
        <w:rPr>
          <w:rFonts w:ascii="Times New Roman" w:hAnsi="Times New Roman"/>
          <w:bCs/>
          <w:sz w:val="24"/>
          <w:szCs w:val="24"/>
        </w:rPr>
        <w:t xml:space="preserve">Deborah Kaspin and Sohini Ray both made use of the cosmological body as a schema to describe their ethnographical data, the bodies in question were </w:t>
      </w:r>
      <w:r w:rsidR="00386890">
        <w:rPr>
          <w:rFonts w:ascii="Times New Roman" w:hAnsi="Times New Roman"/>
          <w:bCs/>
          <w:sz w:val="24"/>
          <w:szCs w:val="24"/>
        </w:rPr>
        <w:t>discrete</w:t>
      </w:r>
      <w:r w:rsidR="005E0066">
        <w:rPr>
          <w:rFonts w:ascii="Times New Roman" w:hAnsi="Times New Roman"/>
          <w:bCs/>
          <w:sz w:val="24"/>
          <w:szCs w:val="24"/>
        </w:rPr>
        <w:t xml:space="preserve">: singular, constant, and sacred for the Manipuri versus tangible, familiar, and mortal for the Chewa. This shows </w:t>
      </w:r>
      <w:r w:rsidR="00C576A2">
        <w:rPr>
          <w:rFonts w:ascii="Times New Roman" w:hAnsi="Times New Roman"/>
          <w:bCs/>
          <w:sz w:val="24"/>
          <w:szCs w:val="24"/>
        </w:rPr>
        <w:t xml:space="preserve">that culturally applied definitions are intrinsic to understanding the cultures, </w:t>
      </w:r>
      <w:r w:rsidR="00C576A2">
        <w:rPr>
          <w:rFonts w:ascii="Times New Roman" w:hAnsi="Times New Roman"/>
          <w:bCs/>
          <w:sz w:val="24"/>
          <w:szCs w:val="24"/>
        </w:rPr>
        <w:lastRenderedPageBreak/>
        <w:t xml:space="preserve">cosmologies, and bodies under scrutiny. </w:t>
      </w:r>
      <w:r w:rsidR="00386890">
        <w:rPr>
          <w:rFonts w:ascii="Times New Roman" w:hAnsi="Times New Roman"/>
          <w:bCs/>
          <w:sz w:val="24"/>
          <w:szCs w:val="24"/>
        </w:rPr>
        <w:t xml:space="preserve">In the case of both cultures, the relationships between these distinct bodies are described as being strengthened by the ritual acts led by human bodies whose gender – whilst important – is not always fixed. </w:t>
      </w:r>
      <w:r w:rsidR="004F639A">
        <w:rPr>
          <w:rFonts w:ascii="Times New Roman" w:hAnsi="Times New Roman"/>
          <w:bCs/>
          <w:sz w:val="24"/>
          <w:szCs w:val="24"/>
        </w:rPr>
        <w:t>As in the work of Lévy-Bruhl, p</w:t>
      </w:r>
      <w:r w:rsidR="00386890">
        <w:rPr>
          <w:rFonts w:ascii="Times New Roman" w:hAnsi="Times New Roman"/>
          <w:bCs/>
          <w:sz w:val="24"/>
          <w:szCs w:val="24"/>
        </w:rPr>
        <w:t xml:space="preserve">erformance and participation </w:t>
      </w:r>
      <w:r w:rsidR="00D717F5">
        <w:rPr>
          <w:rFonts w:ascii="Times New Roman" w:hAnsi="Times New Roman"/>
          <w:bCs/>
          <w:sz w:val="24"/>
          <w:szCs w:val="24"/>
        </w:rPr>
        <w:t>appear</w:t>
      </w:r>
      <w:r w:rsidR="00386890">
        <w:rPr>
          <w:rFonts w:ascii="Times New Roman" w:hAnsi="Times New Roman"/>
          <w:bCs/>
          <w:sz w:val="24"/>
          <w:szCs w:val="24"/>
        </w:rPr>
        <w:t xml:space="preserve"> paramount. </w:t>
      </w:r>
      <w:r w:rsidR="00287EE9">
        <w:rPr>
          <w:rFonts w:ascii="Times New Roman" w:hAnsi="Times New Roman"/>
          <w:bCs/>
          <w:sz w:val="24"/>
          <w:szCs w:val="24"/>
        </w:rPr>
        <w:t xml:space="preserve">That there are clear parallels between these two papers, sharing not only keywords but also the overarching theme of the cosmological body, is </w:t>
      </w:r>
      <w:r w:rsidR="000E07E0">
        <w:rPr>
          <w:rFonts w:ascii="Times New Roman" w:hAnsi="Times New Roman"/>
          <w:bCs/>
          <w:sz w:val="24"/>
          <w:szCs w:val="24"/>
        </w:rPr>
        <w:t xml:space="preserve">perhaps </w:t>
      </w:r>
      <w:r w:rsidR="00287EE9">
        <w:rPr>
          <w:rFonts w:ascii="Times New Roman" w:hAnsi="Times New Roman"/>
          <w:bCs/>
          <w:sz w:val="24"/>
          <w:szCs w:val="24"/>
        </w:rPr>
        <w:t>unsurprising</w:t>
      </w:r>
      <w:r w:rsidR="000E07E0">
        <w:rPr>
          <w:rFonts w:ascii="Times New Roman" w:hAnsi="Times New Roman"/>
          <w:bCs/>
          <w:sz w:val="24"/>
          <w:szCs w:val="24"/>
        </w:rPr>
        <w:t>. Yet the differences that appear due to application of cultural definitions to the same terminology, especially in the case of the cosmological body itself, are stark</w:t>
      </w:r>
      <w:r w:rsidR="002F57DD">
        <w:rPr>
          <w:rFonts w:ascii="Times New Roman" w:hAnsi="Times New Roman"/>
          <w:bCs/>
          <w:sz w:val="24"/>
          <w:szCs w:val="24"/>
        </w:rPr>
        <w:t xml:space="preserve"> and mirror the study of cultures as a whole</w:t>
      </w:r>
      <w:r w:rsidR="000E07E0">
        <w:rPr>
          <w:rFonts w:ascii="Times New Roman" w:hAnsi="Times New Roman"/>
          <w:bCs/>
          <w:sz w:val="24"/>
          <w:szCs w:val="24"/>
        </w:rPr>
        <w:t xml:space="preserve">. </w:t>
      </w:r>
    </w:p>
    <w:p w14:paraId="18C69AAF" w14:textId="5BE7E5F0" w:rsidR="003529C0" w:rsidRDefault="003529C0" w:rsidP="00384886">
      <w:pPr>
        <w:pStyle w:val="NormalWeb"/>
        <w:spacing w:before="0" w:beforeAutospacing="0" w:after="0" w:afterAutospacing="0"/>
        <w:ind w:right="-334"/>
        <w:rPr>
          <w:rFonts w:ascii="Times New Roman" w:hAnsi="Times New Roman"/>
          <w:bCs/>
          <w:color w:val="auto"/>
          <w:sz w:val="24"/>
          <w:szCs w:val="24"/>
        </w:rPr>
      </w:pPr>
    </w:p>
    <w:p w14:paraId="6A6D0FA9" w14:textId="77777777" w:rsidR="00EC60B9" w:rsidRDefault="00EC60B9" w:rsidP="00384886">
      <w:pPr>
        <w:pStyle w:val="NormalWeb"/>
        <w:spacing w:before="0" w:beforeAutospacing="0" w:after="0" w:afterAutospacing="0"/>
        <w:ind w:right="-334"/>
        <w:rPr>
          <w:rFonts w:ascii="Times New Roman" w:hAnsi="Times New Roman"/>
          <w:bCs/>
          <w:color w:val="auto"/>
          <w:sz w:val="24"/>
          <w:szCs w:val="24"/>
        </w:rPr>
      </w:pPr>
    </w:p>
    <w:p w14:paraId="58C2A365" w14:textId="07E3BD7D" w:rsidR="00E55692" w:rsidRDefault="00E55692" w:rsidP="006B3DB0">
      <w:pPr>
        <w:rPr>
          <w:b/>
        </w:rPr>
      </w:pPr>
      <w:r>
        <w:rPr>
          <w:b/>
        </w:rPr>
        <w:t>Bibliography</w:t>
      </w:r>
    </w:p>
    <w:p w14:paraId="46E9065A" w14:textId="74A58F65" w:rsidR="00E55692" w:rsidRDefault="00E55692" w:rsidP="006B3DB0">
      <w:pPr>
        <w:rPr>
          <w:b/>
        </w:rPr>
      </w:pPr>
    </w:p>
    <w:p w14:paraId="0E7B1AB1" w14:textId="0B5D8C7E" w:rsidR="00E55692" w:rsidRDefault="00E55692" w:rsidP="006B3DB0">
      <w:pPr>
        <w:rPr>
          <w:b/>
        </w:rPr>
      </w:pPr>
      <w:r>
        <w:rPr>
          <w:b/>
        </w:rPr>
        <w:t>Primary Sources</w:t>
      </w:r>
    </w:p>
    <w:p w14:paraId="354D6F15" w14:textId="77777777" w:rsidR="00AB717F" w:rsidRDefault="00AB717F" w:rsidP="006B3DB0">
      <w:pPr>
        <w:rPr>
          <w:bCs/>
          <w:color w:val="000000" w:themeColor="text1"/>
          <w:lang w:val="en-US"/>
        </w:rPr>
      </w:pPr>
    </w:p>
    <w:p w14:paraId="1EE38016" w14:textId="19524E2D" w:rsidR="00E55692" w:rsidRDefault="00E55692" w:rsidP="006B3DB0">
      <w:pPr>
        <w:rPr>
          <w:bCs/>
          <w:color w:val="000000" w:themeColor="text1"/>
          <w:lang w:val="en-US"/>
        </w:rPr>
      </w:pPr>
      <w:r w:rsidRPr="00FF1C67">
        <w:rPr>
          <w:bCs/>
          <w:color w:val="000000" w:themeColor="text1"/>
          <w:lang w:val="en-US"/>
        </w:rPr>
        <w:t>Kaspin,</w:t>
      </w:r>
      <w:r>
        <w:rPr>
          <w:bCs/>
          <w:color w:val="000000" w:themeColor="text1"/>
          <w:lang w:val="en-US"/>
        </w:rPr>
        <w:t xml:space="preserve"> </w:t>
      </w:r>
      <w:r w:rsidR="004304C7">
        <w:rPr>
          <w:bCs/>
          <w:color w:val="000000" w:themeColor="text1"/>
          <w:lang w:val="en-US"/>
        </w:rPr>
        <w:t>Deborah</w:t>
      </w:r>
      <w:r>
        <w:rPr>
          <w:bCs/>
          <w:color w:val="000000" w:themeColor="text1"/>
          <w:lang w:val="en-US"/>
        </w:rPr>
        <w:t>,</w:t>
      </w:r>
      <w:r w:rsidRPr="00FF1C67">
        <w:rPr>
          <w:bCs/>
          <w:color w:val="000000" w:themeColor="text1"/>
          <w:lang w:val="en-US"/>
        </w:rPr>
        <w:t xml:space="preserve"> 'A Chewa Cosmology of the Body', </w:t>
      </w:r>
      <w:r w:rsidRPr="00FF1C67">
        <w:rPr>
          <w:bCs/>
          <w:i/>
          <w:color w:val="000000" w:themeColor="text1"/>
          <w:lang w:val="en-US"/>
        </w:rPr>
        <w:t xml:space="preserve">American Ethnologist, </w:t>
      </w:r>
      <w:r w:rsidR="00151559">
        <w:rPr>
          <w:bCs/>
          <w:color w:val="000000" w:themeColor="text1"/>
          <w:lang w:val="en-US"/>
        </w:rPr>
        <w:t xml:space="preserve">Vol. </w:t>
      </w:r>
      <w:r w:rsidRPr="00FF1C67">
        <w:rPr>
          <w:bCs/>
          <w:color w:val="000000" w:themeColor="text1"/>
          <w:lang w:val="en-US"/>
        </w:rPr>
        <w:t xml:space="preserve">23, </w:t>
      </w:r>
      <w:r w:rsidR="00151559">
        <w:rPr>
          <w:bCs/>
          <w:color w:val="000000" w:themeColor="text1"/>
          <w:lang w:val="en-US"/>
        </w:rPr>
        <w:t xml:space="preserve">No. </w:t>
      </w:r>
      <w:r w:rsidRPr="00FF1C67">
        <w:rPr>
          <w:bCs/>
          <w:color w:val="000000" w:themeColor="text1"/>
          <w:lang w:val="en-US"/>
        </w:rPr>
        <w:t>3 (1996),</w:t>
      </w:r>
      <w:r>
        <w:rPr>
          <w:bCs/>
          <w:color w:val="000000" w:themeColor="text1"/>
          <w:lang w:val="en-US"/>
        </w:rPr>
        <w:t xml:space="preserve"> </w:t>
      </w:r>
      <w:r w:rsidRPr="00FF1C67">
        <w:rPr>
          <w:bCs/>
          <w:color w:val="000000" w:themeColor="text1"/>
          <w:lang w:val="en-US"/>
        </w:rPr>
        <w:t>561-578</w:t>
      </w:r>
    </w:p>
    <w:p w14:paraId="5EDC53F9" w14:textId="77777777" w:rsidR="00E55692" w:rsidRDefault="00E55692" w:rsidP="006B3DB0">
      <w:pPr>
        <w:rPr>
          <w:bCs/>
          <w:color w:val="000000" w:themeColor="text1"/>
          <w:lang w:val="en-US"/>
        </w:rPr>
      </w:pPr>
    </w:p>
    <w:p w14:paraId="6BE97E17" w14:textId="66FB0220" w:rsidR="00E55692" w:rsidRDefault="00E55692" w:rsidP="006B3DB0">
      <w:pPr>
        <w:rPr>
          <w:bCs/>
          <w:color w:val="000000" w:themeColor="text1"/>
          <w:lang w:val="en-US"/>
        </w:rPr>
      </w:pPr>
      <w:r w:rsidRPr="00FF1C67">
        <w:rPr>
          <w:bCs/>
          <w:color w:val="000000" w:themeColor="text1"/>
          <w:lang w:val="en-US"/>
        </w:rPr>
        <w:t>Ray, Sohini</w:t>
      </w:r>
      <w:r>
        <w:rPr>
          <w:bCs/>
          <w:color w:val="000000" w:themeColor="text1"/>
          <w:lang w:val="en-US"/>
        </w:rPr>
        <w:t xml:space="preserve">, </w:t>
      </w:r>
      <w:r w:rsidRPr="00FF1C67">
        <w:rPr>
          <w:bCs/>
          <w:color w:val="000000" w:themeColor="text1"/>
          <w:lang w:val="en-US"/>
        </w:rPr>
        <w:t xml:space="preserve">'Writing the Body: Cosmology, Orthography, and Fragments of Modernity in Northeastern India', Anthropological Quarterly, </w:t>
      </w:r>
      <w:r w:rsidR="00151559">
        <w:rPr>
          <w:bCs/>
          <w:color w:val="000000" w:themeColor="text1"/>
          <w:lang w:val="en-US"/>
        </w:rPr>
        <w:t xml:space="preserve">Vol. </w:t>
      </w:r>
      <w:r w:rsidRPr="00FF1C67">
        <w:rPr>
          <w:bCs/>
          <w:color w:val="000000" w:themeColor="text1"/>
          <w:lang w:val="en-US"/>
        </w:rPr>
        <w:t xml:space="preserve">82, </w:t>
      </w:r>
      <w:r w:rsidR="00151559">
        <w:rPr>
          <w:bCs/>
          <w:color w:val="000000" w:themeColor="text1"/>
          <w:lang w:val="en-US"/>
        </w:rPr>
        <w:t xml:space="preserve">No. </w:t>
      </w:r>
      <w:r w:rsidRPr="00FF1C67">
        <w:rPr>
          <w:bCs/>
          <w:color w:val="000000" w:themeColor="text1"/>
          <w:lang w:val="en-US"/>
        </w:rPr>
        <w:t>1 (2009),</w:t>
      </w:r>
      <w:r>
        <w:rPr>
          <w:bCs/>
          <w:color w:val="000000" w:themeColor="text1"/>
          <w:lang w:val="en-US"/>
        </w:rPr>
        <w:t xml:space="preserve"> </w:t>
      </w:r>
      <w:r w:rsidRPr="00FF1C67">
        <w:rPr>
          <w:bCs/>
          <w:color w:val="000000" w:themeColor="text1"/>
          <w:lang w:val="en-US"/>
        </w:rPr>
        <w:t>129-154</w:t>
      </w:r>
    </w:p>
    <w:p w14:paraId="6CC61DFA" w14:textId="69A8B20D" w:rsidR="001731DA" w:rsidRDefault="001731DA" w:rsidP="006B3DB0">
      <w:pPr>
        <w:rPr>
          <w:b/>
        </w:rPr>
      </w:pPr>
    </w:p>
    <w:p w14:paraId="07C38EC4" w14:textId="77777777" w:rsidR="00AB717F" w:rsidRDefault="00AB717F" w:rsidP="006B3DB0">
      <w:pPr>
        <w:rPr>
          <w:b/>
        </w:rPr>
      </w:pPr>
    </w:p>
    <w:p w14:paraId="46E9049A" w14:textId="1A31A5F0" w:rsidR="001731DA" w:rsidRDefault="001731DA" w:rsidP="006B3DB0">
      <w:pPr>
        <w:rPr>
          <w:b/>
        </w:rPr>
      </w:pPr>
      <w:r>
        <w:rPr>
          <w:b/>
        </w:rPr>
        <w:t>Secondary Sources</w:t>
      </w:r>
    </w:p>
    <w:p w14:paraId="25091CF5" w14:textId="77777777" w:rsidR="00AB717F" w:rsidRDefault="00AB717F" w:rsidP="006B3DB0">
      <w:pPr>
        <w:rPr>
          <w:bCs/>
          <w:lang w:val="en-US"/>
        </w:rPr>
      </w:pPr>
    </w:p>
    <w:p w14:paraId="02749E78" w14:textId="76AB4F2B" w:rsidR="00234ED3" w:rsidRDefault="00234ED3" w:rsidP="006B3DB0">
      <w:pPr>
        <w:rPr>
          <w:bCs/>
          <w:lang w:val="en-US"/>
        </w:rPr>
      </w:pPr>
      <w:r w:rsidRPr="000D61CA">
        <w:rPr>
          <w:bCs/>
          <w:lang w:val="en-US"/>
        </w:rPr>
        <w:t>Butler,</w:t>
      </w:r>
      <w:r>
        <w:rPr>
          <w:bCs/>
          <w:lang w:val="en-US"/>
        </w:rPr>
        <w:t xml:space="preserve"> Judith,</w:t>
      </w:r>
      <w:r w:rsidRPr="000D61CA">
        <w:rPr>
          <w:bCs/>
          <w:lang w:val="en-US"/>
        </w:rPr>
        <w:t xml:space="preserve"> </w:t>
      </w:r>
      <w:r w:rsidRPr="000D61CA">
        <w:rPr>
          <w:bCs/>
          <w:i/>
          <w:lang w:val="en-US"/>
        </w:rPr>
        <w:t>Gender Trouble</w:t>
      </w:r>
      <w:r w:rsidRPr="000D61CA">
        <w:rPr>
          <w:bCs/>
          <w:lang w:val="en-US"/>
        </w:rPr>
        <w:t xml:space="preserve"> (London: Routledge, 1990)</w:t>
      </w:r>
    </w:p>
    <w:p w14:paraId="64F4F493" w14:textId="2457A41D" w:rsidR="005D506A" w:rsidRDefault="005D506A" w:rsidP="006B3DB0">
      <w:pPr>
        <w:rPr>
          <w:bCs/>
          <w:lang w:val="en-US"/>
        </w:rPr>
      </w:pPr>
    </w:p>
    <w:p w14:paraId="513FB7EA" w14:textId="1FBCF3B4" w:rsidR="005D506A" w:rsidRDefault="005D506A" w:rsidP="006B3DB0">
      <w:pPr>
        <w:rPr>
          <w:bCs/>
          <w:lang w:val="en-US"/>
        </w:rPr>
      </w:pPr>
      <w:r w:rsidRPr="000D61CA">
        <w:rPr>
          <w:bCs/>
          <w:lang w:val="en-US"/>
        </w:rPr>
        <w:t>Campion, Nicholas</w:t>
      </w:r>
      <w:r>
        <w:rPr>
          <w:bCs/>
          <w:lang w:val="en-US"/>
        </w:rPr>
        <w:t>,</w:t>
      </w:r>
      <w:r w:rsidRPr="000D61CA">
        <w:rPr>
          <w:bCs/>
          <w:lang w:val="en-US"/>
        </w:rPr>
        <w:t xml:space="preserve"> </w:t>
      </w:r>
      <w:r w:rsidRPr="000D61CA">
        <w:rPr>
          <w:bCs/>
          <w:i/>
          <w:lang w:val="en-US"/>
        </w:rPr>
        <w:t>Astrology and Cosmology in the World's Religions</w:t>
      </w:r>
      <w:r w:rsidRPr="000D61CA">
        <w:rPr>
          <w:bCs/>
          <w:lang w:val="en-US"/>
        </w:rPr>
        <w:t xml:space="preserve"> (New York and London: New York University Press,</w:t>
      </w:r>
      <w:r>
        <w:rPr>
          <w:bCs/>
          <w:lang w:val="en-US"/>
        </w:rPr>
        <w:t xml:space="preserve"> 2012)</w:t>
      </w:r>
    </w:p>
    <w:p w14:paraId="07A3449F" w14:textId="1D8C3625" w:rsidR="005D506A" w:rsidRDefault="005D506A" w:rsidP="006B3DB0">
      <w:pPr>
        <w:rPr>
          <w:bCs/>
          <w:lang w:val="en-US"/>
        </w:rPr>
      </w:pPr>
    </w:p>
    <w:p w14:paraId="2705EDA1" w14:textId="4376F178" w:rsidR="005D506A" w:rsidRDefault="005D506A" w:rsidP="006B3DB0">
      <w:pPr>
        <w:rPr>
          <w:bCs/>
          <w:lang w:val="en-US"/>
        </w:rPr>
      </w:pPr>
      <w:r>
        <w:t xml:space="preserve">Eagleton, Terry, </w:t>
      </w:r>
      <w:r>
        <w:rPr>
          <w:i/>
        </w:rPr>
        <w:t xml:space="preserve">The Idea of Culture </w:t>
      </w:r>
      <w:r>
        <w:t>(Oxford: Blackwell, 2000)</w:t>
      </w:r>
    </w:p>
    <w:p w14:paraId="28A1B6BD" w14:textId="746262D7" w:rsidR="00234ED3" w:rsidRDefault="00234ED3" w:rsidP="006B3DB0">
      <w:pPr>
        <w:rPr>
          <w:bCs/>
          <w:lang w:val="en-US"/>
        </w:rPr>
      </w:pPr>
    </w:p>
    <w:p w14:paraId="7D76C831" w14:textId="7AF3DB5B" w:rsidR="001F49DB" w:rsidRDefault="001F49DB" w:rsidP="006B3DB0">
      <w:pPr>
        <w:rPr>
          <w:bCs/>
          <w:lang w:val="en-US"/>
        </w:rPr>
      </w:pPr>
      <w:r w:rsidRPr="000D61CA">
        <w:rPr>
          <w:bCs/>
          <w:lang w:val="en-US"/>
        </w:rPr>
        <w:t>Lévi-Strauss,</w:t>
      </w:r>
      <w:r>
        <w:rPr>
          <w:bCs/>
          <w:lang w:val="en-US"/>
        </w:rPr>
        <w:t xml:space="preserve"> Claude,</w:t>
      </w:r>
      <w:r w:rsidRPr="000D61CA">
        <w:rPr>
          <w:bCs/>
          <w:lang w:val="en-US"/>
        </w:rPr>
        <w:t xml:space="preserve"> </w:t>
      </w:r>
      <w:r w:rsidRPr="000D61CA">
        <w:rPr>
          <w:bCs/>
          <w:i/>
          <w:lang w:val="en-US"/>
        </w:rPr>
        <w:t>The Naked Man (Introduction to a Science of Mythology 4)</w:t>
      </w:r>
      <w:r w:rsidRPr="000D61CA">
        <w:rPr>
          <w:bCs/>
          <w:lang w:val="en-US"/>
        </w:rPr>
        <w:t xml:space="preserve"> (London: Cape, 1981</w:t>
      </w:r>
      <w:r>
        <w:rPr>
          <w:bCs/>
          <w:lang w:val="en-US"/>
        </w:rPr>
        <w:t>)</w:t>
      </w:r>
    </w:p>
    <w:p w14:paraId="420A56CD" w14:textId="77777777" w:rsidR="001F49DB" w:rsidRDefault="001F49DB" w:rsidP="006B3DB0">
      <w:pPr>
        <w:rPr>
          <w:bCs/>
          <w:lang w:val="en-US"/>
        </w:rPr>
      </w:pPr>
    </w:p>
    <w:p w14:paraId="7DB7AD7E" w14:textId="65FBA84E" w:rsidR="001731DA" w:rsidRDefault="001731DA" w:rsidP="006B3DB0">
      <w:pPr>
        <w:rPr>
          <w:bCs/>
          <w:lang w:val="en-US"/>
        </w:rPr>
      </w:pPr>
      <w:r w:rsidRPr="000D61CA">
        <w:rPr>
          <w:bCs/>
          <w:lang w:val="en-US"/>
        </w:rPr>
        <w:t xml:space="preserve">Lévy-Bruhl, </w:t>
      </w:r>
      <w:r w:rsidR="00497142" w:rsidRPr="000D61CA">
        <w:rPr>
          <w:bCs/>
          <w:lang w:val="en-US"/>
        </w:rPr>
        <w:t>Lucien</w:t>
      </w:r>
      <w:r w:rsidR="00497142">
        <w:rPr>
          <w:bCs/>
          <w:lang w:val="en-US"/>
        </w:rPr>
        <w:t>,</w:t>
      </w:r>
      <w:r w:rsidR="00497142" w:rsidRPr="000D61CA">
        <w:rPr>
          <w:bCs/>
          <w:lang w:val="en-US"/>
        </w:rPr>
        <w:t xml:space="preserve"> </w:t>
      </w:r>
      <w:r w:rsidRPr="000D61CA">
        <w:rPr>
          <w:bCs/>
          <w:i/>
          <w:lang w:val="en-US"/>
        </w:rPr>
        <w:t xml:space="preserve">How Natives Think: (Les </w:t>
      </w:r>
      <w:proofErr w:type="spellStart"/>
      <w:r w:rsidRPr="000D61CA">
        <w:rPr>
          <w:bCs/>
          <w:i/>
          <w:lang w:val="en-US"/>
        </w:rPr>
        <w:t>Fonctions</w:t>
      </w:r>
      <w:proofErr w:type="spellEnd"/>
      <w:r w:rsidRPr="000D61CA">
        <w:rPr>
          <w:bCs/>
          <w:i/>
          <w:lang w:val="en-US"/>
        </w:rPr>
        <w:t xml:space="preserve"> </w:t>
      </w:r>
      <w:proofErr w:type="spellStart"/>
      <w:r w:rsidRPr="000D61CA">
        <w:rPr>
          <w:bCs/>
          <w:i/>
          <w:lang w:val="en-US"/>
        </w:rPr>
        <w:t>Mentales</w:t>
      </w:r>
      <w:proofErr w:type="spellEnd"/>
      <w:r w:rsidRPr="000D61CA">
        <w:rPr>
          <w:bCs/>
          <w:i/>
          <w:lang w:val="en-US"/>
        </w:rPr>
        <w:t xml:space="preserve"> Dans Les </w:t>
      </w:r>
      <w:proofErr w:type="spellStart"/>
      <w:r w:rsidRPr="000D61CA">
        <w:rPr>
          <w:bCs/>
          <w:i/>
          <w:lang w:val="en-US"/>
        </w:rPr>
        <w:t>Sociétés</w:t>
      </w:r>
      <w:proofErr w:type="spellEnd"/>
      <w:r w:rsidRPr="000D61CA">
        <w:rPr>
          <w:bCs/>
          <w:i/>
          <w:lang w:val="en-US"/>
        </w:rPr>
        <w:t xml:space="preserve"> </w:t>
      </w:r>
      <w:proofErr w:type="spellStart"/>
      <w:r w:rsidRPr="000D61CA">
        <w:rPr>
          <w:bCs/>
          <w:i/>
          <w:lang w:val="en-US"/>
        </w:rPr>
        <w:t>Infétieures</w:t>
      </w:r>
      <w:proofErr w:type="spellEnd"/>
      <w:r w:rsidRPr="000D61CA">
        <w:rPr>
          <w:bCs/>
          <w:i/>
          <w:lang w:val="en-US"/>
        </w:rPr>
        <w:t>)</w:t>
      </w:r>
      <w:r w:rsidRPr="000D61CA">
        <w:rPr>
          <w:bCs/>
          <w:lang w:val="en-US"/>
        </w:rPr>
        <w:t>, trans. by Lilian A. Clare (London: Allen and Unwin, 1926)</w:t>
      </w:r>
    </w:p>
    <w:p w14:paraId="13713E33" w14:textId="7A6BF348" w:rsidR="00497142" w:rsidRDefault="00497142" w:rsidP="006B3DB0"/>
    <w:p w14:paraId="0871A95F" w14:textId="02DBE870" w:rsidR="00497142" w:rsidRDefault="00497142" w:rsidP="00497142">
      <w:pPr>
        <w:pStyle w:val="FootnoteText"/>
        <w:rPr>
          <w:bCs/>
          <w:sz w:val="24"/>
          <w:lang w:val="en-US"/>
        </w:rPr>
      </w:pPr>
      <w:r w:rsidRPr="00497142">
        <w:rPr>
          <w:bCs/>
          <w:sz w:val="24"/>
          <w:lang w:val="en-US"/>
        </w:rPr>
        <w:t xml:space="preserve">Nietzsche, Friedrich, </w:t>
      </w:r>
      <w:r w:rsidRPr="00497142">
        <w:rPr>
          <w:bCs/>
          <w:i/>
          <w:sz w:val="24"/>
          <w:lang w:val="en-US"/>
        </w:rPr>
        <w:t>On the Genealogy of Morals (</w:t>
      </w:r>
      <w:proofErr w:type="spellStart"/>
      <w:r w:rsidRPr="00497142">
        <w:rPr>
          <w:bCs/>
          <w:i/>
          <w:sz w:val="24"/>
          <w:lang w:val="en-US"/>
        </w:rPr>
        <w:t>Zur</w:t>
      </w:r>
      <w:proofErr w:type="spellEnd"/>
      <w:r w:rsidRPr="00497142">
        <w:rPr>
          <w:bCs/>
          <w:i/>
          <w:sz w:val="24"/>
          <w:lang w:val="en-US"/>
        </w:rPr>
        <w:t xml:space="preserve"> </w:t>
      </w:r>
      <w:proofErr w:type="spellStart"/>
      <w:r w:rsidRPr="00497142">
        <w:rPr>
          <w:bCs/>
          <w:i/>
          <w:sz w:val="24"/>
          <w:lang w:val="en-US"/>
        </w:rPr>
        <w:t>Genealogie</w:t>
      </w:r>
      <w:proofErr w:type="spellEnd"/>
      <w:r w:rsidRPr="00497142">
        <w:rPr>
          <w:bCs/>
          <w:i/>
          <w:sz w:val="24"/>
          <w:lang w:val="en-US"/>
        </w:rPr>
        <w:t xml:space="preserve"> Der Moral), </w:t>
      </w:r>
      <w:r w:rsidRPr="00497142">
        <w:rPr>
          <w:bCs/>
          <w:sz w:val="24"/>
          <w:lang w:val="en-US"/>
        </w:rPr>
        <w:t>trans. by Douglas Smith (Oxford: Oxford University Press, 1996)</w:t>
      </w:r>
    </w:p>
    <w:p w14:paraId="2112C5CF" w14:textId="683B6B17" w:rsidR="00E716A5" w:rsidRDefault="00E716A5" w:rsidP="00497142">
      <w:pPr>
        <w:pStyle w:val="FootnoteText"/>
        <w:rPr>
          <w:bCs/>
          <w:sz w:val="24"/>
          <w:lang w:val="en-US"/>
        </w:rPr>
      </w:pPr>
    </w:p>
    <w:p w14:paraId="4A8849D7" w14:textId="0DCD8C36" w:rsidR="00E716A5" w:rsidRDefault="00E716A5" w:rsidP="00497142">
      <w:pPr>
        <w:pStyle w:val="FootnoteText"/>
        <w:rPr>
          <w:bCs/>
          <w:sz w:val="24"/>
          <w:lang w:val="en-US"/>
        </w:rPr>
      </w:pPr>
      <w:r w:rsidRPr="00E716A5">
        <w:rPr>
          <w:bCs/>
          <w:sz w:val="24"/>
          <w:lang w:val="en-US"/>
        </w:rPr>
        <w:t>Parratt</w:t>
      </w:r>
      <w:r w:rsidR="000D5A95">
        <w:rPr>
          <w:bCs/>
          <w:sz w:val="24"/>
          <w:lang w:val="en-US"/>
        </w:rPr>
        <w:t>,</w:t>
      </w:r>
      <w:r w:rsidRPr="00E716A5">
        <w:rPr>
          <w:bCs/>
          <w:sz w:val="24"/>
          <w:lang w:val="en-US"/>
        </w:rPr>
        <w:t xml:space="preserve"> </w:t>
      </w:r>
      <w:r w:rsidR="000D5A95" w:rsidRPr="00E716A5">
        <w:rPr>
          <w:bCs/>
          <w:sz w:val="24"/>
          <w:lang w:val="en-US"/>
        </w:rPr>
        <w:t xml:space="preserve">Saroj N. </w:t>
      </w:r>
      <w:proofErr w:type="spellStart"/>
      <w:r w:rsidR="000D5A95" w:rsidRPr="00E716A5">
        <w:rPr>
          <w:bCs/>
          <w:sz w:val="24"/>
          <w:lang w:val="en-US"/>
        </w:rPr>
        <w:t>Arambam</w:t>
      </w:r>
      <w:proofErr w:type="spellEnd"/>
      <w:r w:rsidR="000D5A95" w:rsidRPr="00E716A5">
        <w:rPr>
          <w:bCs/>
          <w:sz w:val="24"/>
          <w:lang w:val="en-US"/>
        </w:rPr>
        <w:t xml:space="preserve"> </w:t>
      </w:r>
      <w:r w:rsidRPr="00E716A5">
        <w:rPr>
          <w:bCs/>
          <w:sz w:val="24"/>
          <w:lang w:val="en-US"/>
        </w:rPr>
        <w:t xml:space="preserve">and John Parratt, ‘Female Spirit-Possession Rituals among the </w:t>
      </w:r>
      <w:proofErr w:type="spellStart"/>
      <w:r w:rsidRPr="00E716A5">
        <w:rPr>
          <w:bCs/>
          <w:sz w:val="24"/>
          <w:lang w:val="en-US"/>
        </w:rPr>
        <w:t>Meiteis</w:t>
      </w:r>
      <w:proofErr w:type="spellEnd"/>
      <w:r w:rsidRPr="00E716A5">
        <w:rPr>
          <w:bCs/>
          <w:sz w:val="24"/>
          <w:lang w:val="en-US"/>
        </w:rPr>
        <w:t xml:space="preserve"> of Manipur’, </w:t>
      </w:r>
      <w:bookmarkStart w:id="10" w:name="_Hlk528833353"/>
      <w:r w:rsidRPr="00E716A5">
        <w:rPr>
          <w:bCs/>
          <w:i/>
          <w:sz w:val="24"/>
          <w:lang w:val="en-US"/>
        </w:rPr>
        <w:t>RERC Second Series Occasional Paper</w:t>
      </w:r>
      <w:r>
        <w:rPr>
          <w:bCs/>
          <w:sz w:val="24"/>
          <w:lang w:val="en-US"/>
        </w:rPr>
        <w:t>, 32, (</w:t>
      </w:r>
      <w:r w:rsidR="008D18A8">
        <w:rPr>
          <w:bCs/>
          <w:sz w:val="24"/>
          <w:lang w:val="en-US"/>
        </w:rPr>
        <w:t xml:space="preserve">Lampeter, Wales: </w:t>
      </w:r>
      <w:r>
        <w:rPr>
          <w:bCs/>
          <w:sz w:val="24"/>
          <w:lang w:val="en-US"/>
        </w:rPr>
        <w:t xml:space="preserve">Alister Hardy </w:t>
      </w:r>
      <w:r w:rsidRPr="00E716A5">
        <w:rPr>
          <w:bCs/>
          <w:sz w:val="24"/>
          <w:lang w:val="en-US"/>
        </w:rPr>
        <w:t>Religious Experience Research Centre</w:t>
      </w:r>
      <w:r>
        <w:rPr>
          <w:bCs/>
          <w:sz w:val="24"/>
          <w:lang w:val="en-US"/>
        </w:rPr>
        <w:t>)</w:t>
      </w:r>
      <w:bookmarkEnd w:id="10"/>
    </w:p>
    <w:p w14:paraId="1A60F94F" w14:textId="18BAA8FA" w:rsidR="00497142" w:rsidRDefault="00497142" w:rsidP="006B3DB0"/>
    <w:p w14:paraId="4BF1463A" w14:textId="4C9D73FB" w:rsidR="005D506A" w:rsidRDefault="005D506A" w:rsidP="006B3DB0">
      <w:pPr>
        <w:rPr>
          <w:bCs/>
          <w:lang w:val="en-US"/>
        </w:rPr>
      </w:pPr>
      <w:r>
        <w:t xml:space="preserve">Wayman, Alex, ‘The Human Body as Microcosm in India, Greek Cosmology, and Sixteenth-Century Europe’, </w:t>
      </w:r>
      <w:r>
        <w:rPr>
          <w:i/>
        </w:rPr>
        <w:t xml:space="preserve">History of Religions, </w:t>
      </w:r>
      <w:r>
        <w:t>22 (1982), 172-190</w:t>
      </w:r>
    </w:p>
    <w:p w14:paraId="41042169" w14:textId="5682856C" w:rsidR="005D506A" w:rsidRDefault="005D506A" w:rsidP="006B3DB0"/>
    <w:p w14:paraId="2F3F09DE" w14:textId="7448BA36" w:rsidR="002770DB" w:rsidRPr="001731DA" w:rsidRDefault="005D506A" w:rsidP="006B3DB0">
      <w:r>
        <w:t xml:space="preserve">Williams, Raymond, </w:t>
      </w:r>
      <w:r>
        <w:rPr>
          <w:i/>
        </w:rPr>
        <w:t xml:space="preserve">Keywords: A Vocabulary of Culture and Society </w:t>
      </w:r>
      <w:r>
        <w:t>(London: Fontana, 1976)</w:t>
      </w:r>
    </w:p>
    <w:sectPr w:rsidR="002770DB" w:rsidRPr="001731DA" w:rsidSect="00B462B1">
      <w:headerReference w:type="default" r:id="rId15"/>
      <w:footerReference w:type="default" r:id="rId16"/>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91457D" w14:textId="77777777" w:rsidR="00A175E1" w:rsidRDefault="00A175E1" w:rsidP="00AD5D5A">
      <w:r>
        <w:separator/>
      </w:r>
    </w:p>
  </w:endnote>
  <w:endnote w:type="continuationSeparator" w:id="0">
    <w:p w14:paraId="03098747" w14:textId="77777777" w:rsidR="00A175E1" w:rsidRDefault="00A175E1"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AA8357" w14:textId="77777777" w:rsidR="008C14D8" w:rsidRDefault="008C14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8C999C"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06A516" w14:textId="77777777" w:rsidR="008C14D8" w:rsidRDefault="008C14D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A4E858" w14:textId="14F7AC91" w:rsidR="008C14D8" w:rsidRDefault="008C14D8">
    <w:pPr>
      <w:pStyle w:val="Footer"/>
      <w:jc w:val="right"/>
    </w:pPr>
  </w:p>
  <w:p w14:paraId="5A7232F0" w14:textId="77777777" w:rsidR="008C14D8" w:rsidRPr="00337A70" w:rsidRDefault="008C14D8">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903140" w14:textId="77777777" w:rsidR="00A175E1" w:rsidRDefault="00A175E1" w:rsidP="00AD5D5A">
      <w:r>
        <w:separator/>
      </w:r>
    </w:p>
  </w:footnote>
  <w:footnote w:type="continuationSeparator" w:id="0">
    <w:p w14:paraId="42AA81AE" w14:textId="77777777" w:rsidR="00A175E1" w:rsidRDefault="00A175E1" w:rsidP="00AD5D5A">
      <w:r>
        <w:continuationSeparator/>
      </w:r>
    </w:p>
  </w:footnote>
  <w:footnote w:id="1">
    <w:p w14:paraId="29CC8E17" w14:textId="14F31103" w:rsidR="00A5782C" w:rsidRPr="00FF1C67" w:rsidRDefault="00A5782C">
      <w:pPr>
        <w:pStyle w:val="FootnoteText"/>
        <w:rPr>
          <w:bCs/>
          <w:lang w:val="en-US"/>
        </w:rPr>
      </w:pPr>
      <w:r>
        <w:rPr>
          <w:rStyle w:val="FootnoteReference"/>
        </w:rPr>
        <w:footnoteRef/>
      </w:r>
      <w:r w:rsidR="005216A1">
        <w:t xml:space="preserve"> </w:t>
      </w:r>
      <w:r w:rsidR="003B6C5F" w:rsidRPr="00FF1C67">
        <w:rPr>
          <w:bCs/>
          <w:color w:val="000000" w:themeColor="text1"/>
          <w:lang w:val="en-US"/>
        </w:rPr>
        <w:t xml:space="preserve">Deborah Kaspin, 'A Chewa Cosmology of the Body', </w:t>
      </w:r>
      <w:r w:rsidR="003B6C5F" w:rsidRPr="00FF1C67">
        <w:rPr>
          <w:bCs/>
          <w:i/>
          <w:color w:val="000000" w:themeColor="text1"/>
          <w:lang w:val="en-US"/>
        </w:rPr>
        <w:t xml:space="preserve">American Ethnologist, </w:t>
      </w:r>
      <w:r w:rsidR="00E83BBC">
        <w:rPr>
          <w:bCs/>
          <w:color w:val="000000" w:themeColor="text1"/>
          <w:lang w:val="en-US"/>
        </w:rPr>
        <w:t xml:space="preserve">Vol. </w:t>
      </w:r>
      <w:r w:rsidR="003B6C5F" w:rsidRPr="00FF1C67">
        <w:rPr>
          <w:bCs/>
          <w:color w:val="000000" w:themeColor="text1"/>
          <w:lang w:val="en-US"/>
        </w:rPr>
        <w:t xml:space="preserve">23, </w:t>
      </w:r>
      <w:r w:rsidR="00E83BBC">
        <w:rPr>
          <w:bCs/>
          <w:color w:val="000000" w:themeColor="text1"/>
          <w:lang w:val="en-US"/>
        </w:rPr>
        <w:t xml:space="preserve">No. </w:t>
      </w:r>
      <w:r w:rsidR="003B6C5F" w:rsidRPr="00FF1C67">
        <w:rPr>
          <w:bCs/>
          <w:color w:val="000000" w:themeColor="text1"/>
          <w:lang w:val="en-US"/>
        </w:rPr>
        <w:t>3 (1996),</w:t>
      </w:r>
      <w:r w:rsidR="00FF1C67">
        <w:rPr>
          <w:bCs/>
          <w:color w:val="000000" w:themeColor="text1"/>
          <w:lang w:val="en-US"/>
        </w:rPr>
        <w:t xml:space="preserve"> [hereafter Kaspin, ‘Chewa Cosmology’]</w:t>
      </w:r>
      <w:r w:rsidR="003B6C5F" w:rsidRPr="00FF1C67">
        <w:rPr>
          <w:bCs/>
          <w:color w:val="000000" w:themeColor="text1"/>
          <w:lang w:val="en-US"/>
        </w:rPr>
        <w:t xml:space="preserve"> 561-578</w:t>
      </w:r>
      <w:r w:rsidR="00FF1C67" w:rsidRPr="00FF1C67">
        <w:rPr>
          <w:bCs/>
          <w:color w:val="000000" w:themeColor="text1"/>
          <w:lang w:val="en-US"/>
        </w:rPr>
        <w:t xml:space="preserve">; Sohini Ray, 'Writing the Body: Cosmology, Orthography, and Fragments of Modernity in Northeastern India', Anthropological Quarterly, </w:t>
      </w:r>
      <w:r w:rsidR="00151559">
        <w:rPr>
          <w:bCs/>
          <w:color w:val="000000" w:themeColor="text1"/>
          <w:lang w:val="en-US"/>
        </w:rPr>
        <w:t xml:space="preserve">Vol. </w:t>
      </w:r>
      <w:r w:rsidR="00FF1C67" w:rsidRPr="00FF1C67">
        <w:rPr>
          <w:bCs/>
          <w:color w:val="000000" w:themeColor="text1"/>
          <w:lang w:val="en-US"/>
        </w:rPr>
        <w:t xml:space="preserve">82, </w:t>
      </w:r>
      <w:r w:rsidR="00151559">
        <w:rPr>
          <w:bCs/>
          <w:color w:val="000000" w:themeColor="text1"/>
          <w:lang w:val="en-US"/>
        </w:rPr>
        <w:t xml:space="preserve">No. </w:t>
      </w:r>
      <w:r w:rsidR="00FF1C67" w:rsidRPr="00FF1C67">
        <w:rPr>
          <w:bCs/>
          <w:color w:val="000000" w:themeColor="text1"/>
          <w:lang w:val="en-US"/>
        </w:rPr>
        <w:t>1 (2009),</w:t>
      </w:r>
      <w:r w:rsidR="00FF1C67">
        <w:rPr>
          <w:bCs/>
          <w:color w:val="000000" w:themeColor="text1"/>
          <w:lang w:val="en-US"/>
        </w:rPr>
        <w:t xml:space="preserve"> [hereafter Ray, ‘Writing the Body’]</w:t>
      </w:r>
      <w:r w:rsidR="00FF1C67" w:rsidRPr="00FF1C67">
        <w:rPr>
          <w:bCs/>
          <w:color w:val="000000" w:themeColor="text1"/>
          <w:lang w:val="en-US"/>
        </w:rPr>
        <w:t xml:space="preserve"> 129-154.</w:t>
      </w:r>
    </w:p>
  </w:footnote>
  <w:footnote w:id="2">
    <w:p w14:paraId="6CD04EB3" w14:textId="4D740E8B" w:rsidR="00FC2094" w:rsidRDefault="00FC2094">
      <w:pPr>
        <w:pStyle w:val="FootnoteText"/>
      </w:pPr>
      <w:r>
        <w:rPr>
          <w:rStyle w:val="FootnoteReference"/>
        </w:rPr>
        <w:footnoteRef/>
      </w:r>
      <w:r>
        <w:t xml:space="preserve"> </w:t>
      </w:r>
      <w:r>
        <w:rPr>
          <w:bCs/>
          <w:color w:val="000000" w:themeColor="text1"/>
          <w:lang w:val="en-US"/>
        </w:rPr>
        <w:t>Kaspin, ‘Chewa Cosmology’, p. 562.</w:t>
      </w:r>
    </w:p>
  </w:footnote>
  <w:footnote w:id="3">
    <w:p w14:paraId="5E37D45A" w14:textId="13F64962" w:rsidR="006A7F9F" w:rsidRDefault="006A7F9F">
      <w:pPr>
        <w:pStyle w:val="FootnoteText"/>
      </w:pPr>
      <w:r>
        <w:rPr>
          <w:rStyle w:val="FootnoteReference"/>
        </w:rPr>
        <w:footnoteRef/>
      </w:r>
      <w:r w:rsidR="00FF1C67">
        <w:t xml:space="preserve"> </w:t>
      </w:r>
      <w:r w:rsidR="00FF1C67" w:rsidRPr="000D61CA">
        <w:rPr>
          <w:bCs/>
          <w:lang w:val="en-US"/>
        </w:rPr>
        <w:t xml:space="preserve">Nicholas Campion, </w:t>
      </w:r>
      <w:r w:rsidR="00FF1C67" w:rsidRPr="000D61CA">
        <w:rPr>
          <w:bCs/>
          <w:i/>
          <w:lang w:val="en-US"/>
        </w:rPr>
        <w:t>Astrology and Cosmology in the World's Religions</w:t>
      </w:r>
      <w:r w:rsidR="00FF1C67" w:rsidRPr="000D61CA">
        <w:rPr>
          <w:bCs/>
          <w:lang w:val="en-US"/>
        </w:rPr>
        <w:t xml:space="preserve"> (New York and London: New York University Press,</w:t>
      </w:r>
      <w:r w:rsidR="00FF1C67">
        <w:rPr>
          <w:bCs/>
          <w:lang w:val="en-US"/>
        </w:rPr>
        <w:t xml:space="preserve"> 2012),</w:t>
      </w:r>
      <w:r w:rsidR="00FF1C67">
        <w:fldChar w:fldCharType="begin"/>
      </w:r>
      <w:r w:rsidR="00FF1C67">
        <w:instrText>ADDIN RW.CITE{{doc:5bacdb70e4b0a19b98185ece NicholasCampion 2012 ~f}}</w:instrText>
      </w:r>
      <w:r w:rsidR="00FF1C67">
        <w:fldChar w:fldCharType="end"/>
      </w:r>
      <w:r w:rsidR="00FF1C67">
        <w:t xml:space="preserve"> </w:t>
      </w:r>
      <w:r w:rsidR="003B76A0">
        <w:t>p.</w:t>
      </w:r>
      <w:r w:rsidR="005A13A4">
        <w:t xml:space="preserve"> </w:t>
      </w:r>
      <w:r w:rsidR="003B76A0">
        <w:t>10.</w:t>
      </w:r>
    </w:p>
  </w:footnote>
  <w:footnote w:id="4">
    <w:p w14:paraId="3523374C" w14:textId="0158B95B" w:rsidR="005307DC" w:rsidRDefault="005307DC">
      <w:pPr>
        <w:pStyle w:val="FootnoteText"/>
      </w:pPr>
      <w:r>
        <w:rPr>
          <w:rStyle w:val="FootnoteReference"/>
        </w:rPr>
        <w:footnoteRef/>
      </w:r>
      <w:r w:rsidR="00FF1C67">
        <w:t xml:space="preserve"> Terry Eagleton, </w:t>
      </w:r>
      <w:r w:rsidR="00FF1C67">
        <w:rPr>
          <w:i/>
        </w:rPr>
        <w:t xml:space="preserve">The Idea of Culture </w:t>
      </w:r>
      <w:r w:rsidR="00FF1C67">
        <w:t>(Oxford: Blackwell, 2000)</w:t>
      </w:r>
      <w:r w:rsidR="00DB77FF">
        <w:t xml:space="preserve"> [hereafter Eagleton, </w:t>
      </w:r>
      <w:r w:rsidR="00DB77FF">
        <w:rPr>
          <w:i/>
        </w:rPr>
        <w:t>Culture</w:t>
      </w:r>
      <w:r w:rsidR="00DB77FF">
        <w:t>]</w:t>
      </w:r>
      <w:r w:rsidR="00FF1C67">
        <w:t xml:space="preserve">; Raymond Williams, </w:t>
      </w:r>
      <w:r w:rsidR="00FF1C67">
        <w:rPr>
          <w:i/>
        </w:rPr>
        <w:t xml:space="preserve">Keywords: A Vocabulary of Culture and Society </w:t>
      </w:r>
      <w:r w:rsidR="00FF1C67">
        <w:t>(London: Fontana, 1976), pp. 87-93</w:t>
      </w:r>
      <w:r w:rsidR="00B06029">
        <w:t>.</w:t>
      </w:r>
    </w:p>
  </w:footnote>
  <w:footnote w:id="5">
    <w:p w14:paraId="7B0C12A4" w14:textId="53842151" w:rsidR="00225EE9" w:rsidRDefault="00225EE9">
      <w:pPr>
        <w:pStyle w:val="FootnoteText"/>
      </w:pPr>
      <w:r>
        <w:rPr>
          <w:rStyle w:val="FootnoteReference"/>
        </w:rPr>
        <w:footnoteRef/>
      </w:r>
      <w:r>
        <w:t xml:space="preserve"> </w:t>
      </w:r>
      <w:r w:rsidR="00DB77FF">
        <w:t xml:space="preserve">Eagleton, </w:t>
      </w:r>
      <w:r w:rsidR="00DB77FF" w:rsidRPr="00DB77FF">
        <w:rPr>
          <w:i/>
        </w:rPr>
        <w:t>Culture</w:t>
      </w:r>
      <w:r w:rsidR="00DB77FF" w:rsidRPr="00E55692">
        <w:t xml:space="preserve">, </w:t>
      </w:r>
      <w:r w:rsidR="00B11315" w:rsidRPr="00E55692">
        <w:t>p.</w:t>
      </w:r>
      <w:r w:rsidR="005A13A4">
        <w:t xml:space="preserve"> </w:t>
      </w:r>
      <w:r w:rsidR="00B11315">
        <w:t>35</w:t>
      </w:r>
      <w:r w:rsidR="00B06029">
        <w:t>;</w:t>
      </w:r>
      <w:r w:rsidR="00E55692">
        <w:t xml:space="preserve"> Edward Burnett Tylor, </w:t>
      </w:r>
      <w:r w:rsidR="00E55692">
        <w:rPr>
          <w:i/>
        </w:rPr>
        <w:t>Primitive Culture,</w:t>
      </w:r>
      <w:r w:rsidR="00E55692">
        <w:t xml:space="preserve"> 6</w:t>
      </w:r>
      <w:r w:rsidR="00E55692" w:rsidRPr="00E55692">
        <w:rPr>
          <w:vertAlign w:val="superscript"/>
        </w:rPr>
        <w:t>th</w:t>
      </w:r>
      <w:r w:rsidR="00E55692">
        <w:t xml:space="preserve"> edn, 2 vols (London: John Murray, 1920), p. 1.</w:t>
      </w:r>
    </w:p>
  </w:footnote>
  <w:footnote w:id="6">
    <w:p w14:paraId="232D1082" w14:textId="5194ACF6" w:rsidR="00E15E40" w:rsidRDefault="00E15E40">
      <w:pPr>
        <w:pStyle w:val="FootnoteText"/>
      </w:pPr>
      <w:r>
        <w:rPr>
          <w:rStyle w:val="FootnoteReference"/>
        </w:rPr>
        <w:footnoteRef/>
      </w:r>
      <w:r>
        <w:t xml:space="preserve"> </w:t>
      </w:r>
      <w:r w:rsidR="00E55692">
        <w:t xml:space="preserve">Alex Wayman, ‘The Human Body as Microcosm in India, Greek Cosmology, and Sixteenth-Century Europe’, </w:t>
      </w:r>
      <w:r w:rsidR="00E55692">
        <w:rPr>
          <w:i/>
        </w:rPr>
        <w:t xml:space="preserve">History of Religions, </w:t>
      </w:r>
      <w:r w:rsidR="00E55692">
        <w:t>22 (1982), 172-190</w:t>
      </w:r>
      <w:r w:rsidR="00E55692">
        <w:rPr>
          <w:bCs/>
          <w:lang w:val="en-US"/>
        </w:rPr>
        <w:t xml:space="preserve">, p. 172. </w:t>
      </w:r>
      <w:r w:rsidR="00E55692">
        <w:t xml:space="preserve"> </w:t>
      </w:r>
    </w:p>
  </w:footnote>
  <w:footnote w:id="7">
    <w:p w14:paraId="22A05CF9" w14:textId="7AE968F3" w:rsidR="00F16C03" w:rsidRDefault="00F16C03" w:rsidP="00F16C03">
      <w:pPr>
        <w:pStyle w:val="FootnoteText"/>
      </w:pPr>
      <w:r>
        <w:rPr>
          <w:rStyle w:val="FootnoteReference"/>
        </w:rPr>
        <w:footnoteRef/>
      </w:r>
      <w:r>
        <w:t xml:space="preserve"> </w:t>
      </w:r>
      <w:r w:rsidR="00E55692">
        <w:rPr>
          <w:bCs/>
          <w:color w:val="000000" w:themeColor="text1"/>
          <w:lang w:val="en-US"/>
        </w:rPr>
        <w:t>Ray, ‘Writing the Body’</w:t>
      </w:r>
      <w:r>
        <w:t>, pp. 133-137, 139.</w:t>
      </w:r>
    </w:p>
  </w:footnote>
  <w:footnote w:id="8">
    <w:p w14:paraId="2B7CFEE9" w14:textId="3DC51FD3" w:rsidR="00F16C03" w:rsidRDefault="00F16C03">
      <w:pPr>
        <w:pStyle w:val="FootnoteText"/>
      </w:pPr>
      <w:r>
        <w:rPr>
          <w:rStyle w:val="FootnoteReference"/>
        </w:rPr>
        <w:footnoteRef/>
      </w:r>
      <w:r>
        <w:t xml:space="preserve"> </w:t>
      </w:r>
      <w:r w:rsidR="00E55692">
        <w:rPr>
          <w:bCs/>
          <w:color w:val="000000" w:themeColor="text1"/>
          <w:lang w:val="en-US"/>
        </w:rPr>
        <w:t>Ray, ‘Writing the Body’</w:t>
      </w:r>
      <w:r>
        <w:t>, p</w:t>
      </w:r>
      <w:r w:rsidR="00E15A2D">
        <w:t>p</w:t>
      </w:r>
      <w:r>
        <w:t>. 142</w:t>
      </w:r>
      <w:r w:rsidR="00E15A2D">
        <w:t>-143</w:t>
      </w:r>
      <w:r>
        <w:t>.</w:t>
      </w:r>
    </w:p>
  </w:footnote>
  <w:footnote w:id="9">
    <w:p w14:paraId="3C0A8309" w14:textId="6B396783" w:rsidR="00842B82" w:rsidRDefault="00842B82">
      <w:pPr>
        <w:pStyle w:val="FootnoteText"/>
      </w:pPr>
      <w:r>
        <w:rPr>
          <w:rStyle w:val="FootnoteReference"/>
        </w:rPr>
        <w:footnoteRef/>
      </w:r>
      <w:r>
        <w:t xml:space="preserve"> </w:t>
      </w:r>
      <w:r w:rsidR="00E55692">
        <w:rPr>
          <w:bCs/>
          <w:color w:val="000000" w:themeColor="text1"/>
          <w:lang w:val="en-US"/>
        </w:rPr>
        <w:t>Kaspin, ‘Chewa Cosmology’</w:t>
      </w:r>
      <w:r w:rsidRPr="00842B82">
        <w:t>, p</w:t>
      </w:r>
      <w:r w:rsidR="00F809F4">
        <w:t>p</w:t>
      </w:r>
      <w:r w:rsidRPr="00842B82">
        <w:t>. 567</w:t>
      </w:r>
      <w:r w:rsidR="00F809F4">
        <w:t>, 573-574.</w:t>
      </w:r>
    </w:p>
  </w:footnote>
  <w:footnote w:id="10">
    <w:p w14:paraId="67E34470" w14:textId="38677527" w:rsidR="001E229A" w:rsidRDefault="001E229A">
      <w:pPr>
        <w:pStyle w:val="FootnoteText"/>
      </w:pPr>
      <w:r>
        <w:rPr>
          <w:rStyle w:val="FootnoteReference"/>
        </w:rPr>
        <w:footnoteRef/>
      </w:r>
      <w:r>
        <w:t xml:space="preserve"> </w:t>
      </w:r>
      <w:r w:rsidR="00E55692">
        <w:rPr>
          <w:bCs/>
          <w:color w:val="000000" w:themeColor="text1"/>
          <w:lang w:val="en-US"/>
        </w:rPr>
        <w:t>Kaspin, ‘Chewa Cosmology’</w:t>
      </w:r>
      <w:r>
        <w:t>, p</w:t>
      </w:r>
      <w:r w:rsidR="00146DFD">
        <w:t>. 561</w:t>
      </w:r>
      <w:r w:rsidR="00C25C48">
        <w:t xml:space="preserve">, </w:t>
      </w:r>
      <w:r w:rsidR="0035186F">
        <w:t xml:space="preserve">567, </w:t>
      </w:r>
      <w:r w:rsidR="00C25C48">
        <w:t>568</w:t>
      </w:r>
      <w:r w:rsidR="00146DFD">
        <w:t>.</w:t>
      </w:r>
    </w:p>
  </w:footnote>
  <w:footnote w:id="11">
    <w:p w14:paraId="7B6F6C09" w14:textId="29AC6A42" w:rsidR="0076289D" w:rsidRDefault="0076289D">
      <w:pPr>
        <w:pStyle w:val="FootnoteText"/>
      </w:pPr>
      <w:r>
        <w:rPr>
          <w:rStyle w:val="FootnoteReference"/>
        </w:rPr>
        <w:footnoteRef/>
      </w:r>
      <w:r>
        <w:t xml:space="preserve"> </w:t>
      </w:r>
      <w:r w:rsidR="00E55692">
        <w:rPr>
          <w:bCs/>
          <w:color w:val="000000" w:themeColor="text1"/>
          <w:lang w:val="en-US"/>
        </w:rPr>
        <w:t>Kaspin, ‘Chewa Cosmology’</w:t>
      </w:r>
      <w:r>
        <w:t>, p</w:t>
      </w:r>
      <w:r w:rsidR="00146DFD">
        <w:t>p</w:t>
      </w:r>
      <w:r>
        <w:t>.</w:t>
      </w:r>
      <w:r w:rsidR="00146DFD">
        <w:t xml:space="preserve"> 563, </w:t>
      </w:r>
      <w:r w:rsidR="00A74357">
        <w:t>567-</w:t>
      </w:r>
      <w:r w:rsidR="00146DFD">
        <w:t xml:space="preserve">568. </w:t>
      </w:r>
    </w:p>
  </w:footnote>
  <w:footnote w:id="12">
    <w:p w14:paraId="609C7959" w14:textId="68D960B8" w:rsidR="00035BA8" w:rsidRDefault="00035BA8" w:rsidP="00035BA8">
      <w:pPr>
        <w:pStyle w:val="FootnoteText"/>
      </w:pPr>
      <w:r>
        <w:rPr>
          <w:rStyle w:val="FootnoteReference"/>
        </w:rPr>
        <w:footnoteRef/>
      </w:r>
      <w:r>
        <w:t xml:space="preserve"> </w:t>
      </w:r>
      <w:r w:rsidR="00E55692">
        <w:rPr>
          <w:bCs/>
          <w:color w:val="000000" w:themeColor="text1"/>
          <w:lang w:val="en-US"/>
        </w:rPr>
        <w:t>Kaspin, ‘Chewa Cosmology’</w:t>
      </w:r>
      <w:r>
        <w:t>, pp. 565-566.</w:t>
      </w:r>
    </w:p>
  </w:footnote>
  <w:footnote w:id="13">
    <w:p w14:paraId="77DB2504" w14:textId="6B5E79B9" w:rsidR="00035BA8" w:rsidRDefault="00035BA8">
      <w:pPr>
        <w:pStyle w:val="FootnoteText"/>
      </w:pPr>
      <w:r>
        <w:rPr>
          <w:rStyle w:val="FootnoteReference"/>
        </w:rPr>
        <w:footnoteRef/>
      </w:r>
      <w:r>
        <w:t xml:space="preserve"> </w:t>
      </w:r>
      <w:r w:rsidR="00E55692">
        <w:rPr>
          <w:bCs/>
          <w:color w:val="000000" w:themeColor="text1"/>
          <w:lang w:val="en-US"/>
        </w:rPr>
        <w:t>Kaspin, ‘Chewa Cosmology’</w:t>
      </w:r>
      <w:r>
        <w:t>, p. 568.</w:t>
      </w:r>
    </w:p>
  </w:footnote>
  <w:footnote w:id="14">
    <w:p w14:paraId="27419963" w14:textId="53287A35" w:rsidR="00907B96" w:rsidRDefault="00907B96">
      <w:pPr>
        <w:pStyle w:val="FootnoteText"/>
      </w:pPr>
      <w:r>
        <w:rPr>
          <w:rStyle w:val="FootnoteReference"/>
        </w:rPr>
        <w:footnoteRef/>
      </w:r>
      <w:r>
        <w:t xml:space="preserve"> </w:t>
      </w:r>
      <w:r w:rsidR="00E55692">
        <w:rPr>
          <w:bCs/>
          <w:color w:val="000000" w:themeColor="text1"/>
          <w:lang w:val="en-US"/>
        </w:rPr>
        <w:t>Kaspin, ‘Chewa Cosmology’</w:t>
      </w:r>
      <w:r>
        <w:t>, p. 568.</w:t>
      </w:r>
    </w:p>
  </w:footnote>
  <w:footnote w:id="15">
    <w:p w14:paraId="02B970E5" w14:textId="4AFDE217" w:rsidR="003C429B" w:rsidRDefault="003C429B">
      <w:pPr>
        <w:pStyle w:val="FootnoteText"/>
      </w:pPr>
      <w:r>
        <w:rPr>
          <w:rStyle w:val="FootnoteReference"/>
        </w:rPr>
        <w:footnoteRef/>
      </w:r>
      <w:r>
        <w:t xml:space="preserve"> </w:t>
      </w:r>
      <w:r>
        <w:rPr>
          <w:bCs/>
          <w:color w:val="000000" w:themeColor="text1"/>
          <w:lang w:val="en-US"/>
        </w:rPr>
        <w:t>Kaspin, ‘Chewa Cosmology’</w:t>
      </w:r>
      <w:r>
        <w:t>, p. 568.</w:t>
      </w:r>
    </w:p>
  </w:footnote>
  <w:footnote w:id="16">
    <w:p w14:paraId="77C9CD93" w14:textId="08D76CDE" w:rsidR="003C429B" w:rsidRDefault="003C429B">
      <w:pPr>
        <w:pStyle w:val="FootnoteText"/>
      </w:pPr>
      <w:r>
        <w:rPr>
          <w:rStyle w:val="FootnoteReference"/>
        </w:rPr>
        <w:footnoteRef/>
      </w:r>
      <w:r>
        <w:t xml:space="preserve"> </w:t>
      </w:r>
      <w:r>
        <w:rPr>
          <w:bCs/>
          <w:color w:val="000000" w:themeColor="text1"/>
          <w:lang w:val="en-US"/>
        </w:rPr>
        <w:t>Kaspin, ‘Chewa Cosmology’</w:t>
      </w:r>
      <w:r>
        <w:t>, p. 568.</w:t>
      </w:r>
    </w:p>
  </w:footnote>
  <w:footnote w:id="17">
    <w:p w14:paraId="21718717" w14:textId="1B43260F" w:rsidR="006A3234" w:rsidRDefault="006A3234">
      <w:pPr>
        <w:pStyle w:val="FootnoteText"/>
      </w:pPr>
      <w:r>
        <w:rPr>
          <w:rStyle w:val="FootnoteReference"/>
        </w:rPr>
        <w:footnoteRef/>
      </w:r>
      <w:r>
        <w:t xml:space="preserve"> </w:t>
      </w:r>
      <w:r w:rsidR="001F49DB" w:rsidRPr="000D61CA">
        <w:rPr>
          <w:bCs/>
          <w:lang w:val="en-US"/>
        </w:rPr>
        <w:t xml:space="preserve">Claude Lévi-Strauss, </w:t>
      </w:r>
      <w:r w:rsidR="001F49DB" w:rsidRPr="000D61CA">
        <w:rPr>
          <w:bCs/>
          <w:i/>
          <w:lang w:val="en-US"/>
        </w:rPr>
        <w:t>The Naked Man (Introduction to a Science of Mythology 4)</w:t>
      </w:r>
      <w:r w:rsidR="001F49DB" w:rsidRPr="000D61CA">
        <w:rPr>
          <w:bCs/>
          <w:lang w:val="en-US"/>
        </w:rPr>
        <w:t xml:space="preserve"> (London: Cape, 1981</w:t>
      </w:r>
      <w:r w:rsidR="001F49DB">
        <w:rPr>
          <w:bCs/>
          <w:lang w:val="en-US"/>
        </w:rPr>
        <w:t>), p</w:t>
      </w:r>
      <w:r w:rsidR="000D61CA">
        <w:t>. 679.</w:t>
      </w:r>
    </w:p>
  </w:footnote>
  <w:footnote w:id="18">
    <w:p w14:paraId="679588F9" w14:textId="3ED36A85" w:rsidR="00B65438" w:rsidRDefault="00B65438" w:rsidP="00B65438">
      <w:pPr>
        <w:pStyle w:val="FootnoteText"/>
      </w:pPr>
      <w:r>
        <w:rPr>
          <w:rStyle w:val="FootnoteReference"/>
        </w:rPr>
        <w:footnoteRef/>
      </w:r>
      <w:r>
        <w:t xml:space="preserve"> </w:t>
      </w:r>
      <w:r w:rsidR="00E55692">
        <w:rPr>
          <w:bCs/>
          <w:color w:val="000000" w:themeColor="text1"/>
          <w:lang w:val="en-US"/>
        </w:rPr>
        <w:t>Ray, ‘Writing the Body’</w:t>
      </w:r>
      <w:r>
        <w:t>, pp. 143-144.</w:t>
      </w:r>
    </w:p>
  </w:footnote>
  <w:footnote w:id="19">
    <w:p w14:paraId="61FA9575" w14:textId="1FCB96B2" w:rsidR="00DB3BDB" w:rsidRDefault="00DB3BDB" w:rsidP="00DB3BDB">
      <w:pPr>
        <w:pStyle w:val="FootnoteText"/>
      </w:pPr>
      <w:r>
        <w:rPr>
          <w:rStyle w:val="FootnoteReference"/>
        </w:rPr>
        <w:footnoteRef/>
      </w:r>
      <w:r>
        <w:t xml:space="preserve"> Ray, ‘Writing the Body’, p. 139-140.</w:t>
      </w:r>
    </w:p>
  </w:footnote>
  <w:footnote w:id="20">
    <w:p w14:paraId="31DFCCBD" w14:textId="7B2B4115" w:rsidR="000861EF" w:rsidRDefault="000861EF">
      <w:pPr>
        <w:pStyle w:val="FootnoteText"/>
      </w:pPr>
      <w:r>
        <w:rPr>
          <w:rStyle w:val="FootnoteReference"/>
        </w:rPr>
        <w:footnoteRef/>
      </w:r>
      <w:r>
        <w:t xml:space="preserve"> </w:t>
      </w:r>
      <w:bookmarkStart w:id="8" w:name="_Hlk528832874"/>
      <w:r>
        <w:rPr>
          <w:bCs/>
          <w:color w:val="000000" w:themeColor="text1"/>
          <w:lang w:val="en-US"/>
        </w:rPr>
        <w:t>Ray, ‘Writing the Body’</w:t>
      </w:r>
      <w:r>
        <w:t>, p. 143.</w:t>
      </w:r>
      <w:bookmarkEnd w:id="8"/>
    </w:p>
  </w:footnote>
  <w:footnote w:id="21">
    <w:p w14:paraId="7929ED18" w14:textId="77777777" w:rsidR="006B75B0" w:rsidRPr="008D18A8" w:rsidRDefault="006B75B0" w:rsidP="006B75B0">
      <w:pPr>
        <w:pStyle w:val="FootnoteText"/>
      </w:pPr>
      <w:r>
        <w:rPr>
          <w:rStyle w:val="FootnoteReference"/>
        </w:rPr>
        <w:footnoteRef/>
      </w:r>
      <w:r>
        <w:t xml:space="preserve"> </w:t>
      </w:r>
      <w:bookmarkStart w:id="9" w:name="_Hlk528833135"/>
      <w:r w:rsidRPr="00E716A5">
        <w:t>Saroj N. Arambam Parratt and John Parratt</w:t>
      </w:r>
      <w:r>
        <w:t xml:space="preserve">, ‘Female Spirit-Possession Rituals among the Meiteis of Manipur’, </w:t>
      </w:r>
      <w:bookmarkEnd w:id="9"/>
      <w:r w:rsidRPr="008D18A8">
        <w:rPr>
          <w:i/>
        </w:rPr>
        <w:t xml:space="preserve">RERC Second Series Occasional Paper, </w:t>
      </w:r>
      <w:r w:rsidRPr="008D18A8">
        <w:t>32, (Lampeter, Wales: Alister Hardy Religious Experience Research Centre)</w:t>
      </w:r>
      <w:r>
        <w:t>, pp. 2, 9.</w:t>
      </w:r>
    </w:p>
  </w:footnote>
  <w:footnote w:id="22">
    <w:p w14:paraId="7FEA0C1E" w14:textId="6A13740F" w:rsidR="0084430A" w:rsidRDefault="0084430A">
      <w:pPr>
        <w:pStyle w:val="FootnoteText"/>
      </w:pPr>
      <w:r>
        <w:rPr>
          <w:rStyle w:val="FootnoteReference"/>
        </w:rPr>
        <w:footnoteRef/>
      </w:r>
      <w:r>
        <w:t xml:space="preserve"> </w:t>
      </w:r>
      <w:r>
        <w:rPr>
          <w:bCs/>
          <w:color w:val="000000" w:themeColor="text1"/>
          <w:lang w:val="en-US"/>
        </w:rPr>
        <w:t>Ray, ‘Writing the Body’</w:t>
      </w:r>
      <w:r>
        <w:t>, pp. 143, 153.</w:t>
      </w:r>
    </w:p>
  </w:footnote>
  <w:footnote w:id="23">
    <w:p w14:paraId="797B1252" w14:textId="23F81CA3" w:rsidR="006B75B0" w:rsidRDefault="006B75B0">
      <w:pPr>
        <w:pStyle w:val="FootnoteText"/>
      </w:pPr>
      <w:r>
        <w:rPr>
          <w:rStyle w:val="FootnoteReference"/>
        </w:rPr>
        <w:footnoteRef/>
      </w:r>
      <w:r>
        <w:t xml:space="preserve"> </w:t>
      </w:r>
      <w:r w:rsidR="00E429E4">
        <w:rPr>
          <w:bCs/>
          <w:color w:val="000000" w:themeColor="text1"/>
          <w:lang w:val="en-US"/>
        </w:rPr>
        <w:t>Ray, ‘Writing the Body’</w:t>
      </w:r>
      <w:r w:rsidR="00E429E4">
        <w:t>, p</w:t>
      </w:r>
      <w:r w:rsidR="000D690E">
        <w:t>p</w:t>
      </w:r>
      <w:r w:rsidR="00E429E4">
        <w:t>.</w:t>
      </w:r>
      <w:r w:rsidR="000D690E">
        <w:t xml:space="preserve"> 130-131</w:t>
      </w:r>
      <w:r w:rsidR="00E429E4">
        <w:t>;</w:t>
      </w:r>
      <w:r w:rsidR="00F1020A">
        <w:t xml:space="preserve"> </w:t>
      </w:r>
      <w:r w:rsidR="00F1020A">
        <w:rPr>
          <w:bCs/>
          <w:color w:val="000000" w:themeColor="text1"/>
          <w:lang w:val="en-US"/>
        </w:rPr>
        <w:t>Kaspin, ‘Chewa Cosmology’</w:t>
      </w:r>
      <w:r w:rsidR="00F1020A">
        <w:t>, p</w:t>
      </w:r>
      <w:r w:rsidR="00071592">
        <w:t>p</w:t>
      </w:r>
      <w:r w:rsidR="00F1020A">
        <w:t xml:space="preserve">. </w:t>
      </w:r>
      <w:r w:rsidR="00071592">
        <w:t>561-562</w:t>
      </w:r>
      <w:r w:rsidR="00F1020A">
        <w:t>.</w:t>
      </w:r>
    </w:p>
  </w:footnote>
  <w:footnote w:id="24">
    <w:p w14:paraId="16FEEDBE" w14:textId="24A81371" w:rsidR="00781339" w:rsidRDefault="00781339" w:rsidP="00781339">
      <w:pPr>
        <w:pStyle w:val="FootnoteText"/>
      </w:pPr>
      <w:r>
        <w:rPr>
          <w:rStyle w:val="FootnoteReference"/>
        </w:rPr>
        <w:footnoteRef/>
      </w:r>
      <w:r>
        <w:t xml:space="preserve"> </w:t>
      </w:r>
      <w:r w:rsidR="00234ED3" w:rsidRPr="000D61CA">
        <w:rPr>
          <w:bCs/>
          <w:lang w:val="en-US"/>
        </w:rPr>
        <w:t xml:space="preserve">Judith Butler, </w:t>
      </w:r>
      <w:r w:rsidR="00234ED3" w:rsidRPr="000D61CA">
        <w:rPr>
          <w:bCs/>
          <w:i/>
          <w:lang w:val="en-US"/>
        </w:rPr>
        <w:t>Gender Trouble</w:t>
      </w:r>
      <w:r w:rsidR="00234ED3" w:rsidRPr="000D61CA">
        <w:rPr>
          <w:bCs/>
          <w:lang w:val="en-US"/>
        </w:rPr>
        <w:t xml:space="preserve"> (London: Routledge, 1990)</w:t>
      </w:r>
      <w:r w:rsidR="00234ED3">
        <w:rPr>
          <w:bCs/>
          <w:lang w:val="en-US"/>
        </w:rPr>
        <w:t>, p. 25.</w:t>
      </w:r>
      <w:r>
        <w:t xml:space="preserve"> </w:t>
      </w:r>
    </w:p>
  </w:footnote>
  <w:footnote w:id="25">
    <w:p w14:paraId="47276104" w14:textId="227A0B03" w:rsidR="00B65438" w:rsidRPr="00497142" w:rsidRDefault="00B65438" w:rsidP="00B65438">
      <w:pPr>
        <w:pStyle w:val="FootnoteText"/>
        <w:rPr>
          <w:bCs/>
          <w:i/>
          <w:lang w:val="en-US"/>
        </w:rPr>
      </w:pPr>
      <w:r>
        <w:rPr>
          <w:rStyle w:val="FootnoteReference"/>
        </w:rPr>
        <w:footnoteRef/>
      </w:r>
      <w:r>
        <w:t xml:space="preserve"> </w:t>
      </w:r>
      <w:r w:rsidR="00497142" w:rsidRPr="000D61CA">
        <w:rPr>
          <w:bCs/>
          <w:lang w:val="en-US"/>
        </w:rPr>
        <w:t xml:space="preserve">Friedrich Nietzsche, </w:t>
      </w:r>
      <w:r w:rsidR="00497142" w:rsidRPr="000D61CA">
        <w:rPr>
          <w:bCs/>
          <w:i/>
          <w:lang w:val="en-US"/>
        </w:rPr>
        <w:t>On the Genealogy of</w:t>
      </w:r>
      <w:r w:rsidR="00497142">
        <w:rPr>
          <w:bCs/>
          <w:i/>
          <w:lang w:val="en-US"/>
        </w:rPr>
        <w:t xml:space="preserve"> </w:t>
      </w:r>
      <w:r w:rsidR="00497142" w:rsidRPr="000D61CA">
        <w:rPr>
          <w:bCs/>
          <w:i/>
          <w:lang w:val="en-US"/>
        </w:rPr>
        <w:t xml:space="preserve">Morals (Zur Genealogie Der Moral), </w:t>
      </w:r>
      <w:r w:rsidR="00497142" w:rsidRPr="00497142">
        <w:rPr>
          <w:bCs/>
          <w:lang w:val="en-US"/>
        </w:rPr>
        <w:t>tr</w:t>
      </w:r>
      <w:r w:rsidR="00497142" w:rsidRPr="000D61CA">
        <w:rPr>
          <w:bCs/>
          <w:lang w:val="en-US"/>
        </w:rPr>
        <w:t>ans. by Douglas Smith (Oxford: Oxford University Press, 1996)</w:t>
      </w:r>
      <w:r w:rsidR="00497142">
        <w:rPr>
          <w:bCs/>
          <w:lang w:val="en-US"/>
        </w:rPr>
        <w:t>, p. 29.</w:t>
      </w:r>
    </w:p>
  </w:footnote>
  <w:footnote w:id="26">
    <w:p w14:paraId="6EB49B0F" w14:textId="1C9352B5" w:rsidR="00B65438" w:rsidRDefault="00B65438" w:rsidP="00B65438">
      <w:pPr>
        <w:pStyle w:val="FootnoteText"/>
        <w:tabs>
          <w:tab w:val="left" w:pos="3720"/>
        </w:tabs>
      </w:pPr>
      <w:r>
        <w:rPr>
          <w:rStyle w:val="FootnoteReference"/>
        </w:rPr>
        <w:footnoteRef/>
      </w:r>
      <w:r>
        <w:t xml:space="preserve"> </w:t>
      </w:r>
      <w:r w:rsidR="0091010A" w:rsidRPr="000D61CA">
        <w:rPr>
          <w:bCs/>
          <w:lang w:val="en-US"/>
        </w:rPr>
        <w:t xml:space="preserve">Lucien Lévy-Bruhl, </w:t>
      </w:r>
      <w:r w:rsidR="0091010A" w:rsidRPr="000D61CA">
        <w:rPr>
          <w:bCs/>
          <w:i/>
          <w:lang w:val="en-US"/>
        </w:rPr>
        <w:t>How Natives Think: (Les Fonctions Mentales Dans Les Sociétés Infétieures)</w:t>
      </w:r>
      <w:r w:rsidR="0091010A" w:rsidRPr="000D61CA">
        <w:rPr>
          <w:bCs/>
          <w:lang w:val="en-US"/>
        </w:rPr>
        <w:t>, trans. by Lilian A. Clare (London: Allen and Unwin, 1926</w:t>
      </w:r>
      <w:r w:rsidR="0091010A">
        <w:rPr>
          <w:bCs/>
          <w:lang w:val="en-US"/>
        </w:rPr>
        <w:t>), pp. 76-78.</w:t>
      </w:r>
      <w:r>
        <w:tab/>
      </w:r>
    </w:p>
  </w:footnote>
  <w:footnote w:id="27">
    <w:p w14:paraId="21AD9027" w14:textId="53954A92" w:rsidR="00B65438" w:rsidRDefault="00B65438" w:rsidP="00B65438">
      <w:pPr>
        <w:pStyle w:val="FootnoteText"/>
      </w:pPr>
      <w:r>
        <w:rPr>
          <w:rStyle w:val="FootnoteReference"/>
        </w:rPr>
        <w:footnoteRef/>
      </w:r>
      <w:r>
        <w:t xml:space="preserve"> </w:t>
      </w:r>
      <w:r w:rsidR="00E55692">
        <w:rPr>
          <w:bCs/>
          <w:color w:val="000000" w:themeColor="text1"/>
          <w:lang w:val="en-US"/>
        </w:rPr>
        <w:t>Ray, ‘Writing the Body’</w:t>
      </w:r>
      <w:r>
        <w:t>, p.</w:t>
      </w:r>
      <w:r w:rsidR="007E5670">
        <w:t xml:space="preserve"> 148.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6C3B9B" w14:textId="77777777" w:rsidR="008C14D8" w:rsidRDefault="008C14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CF929B" w14:textId="77777777" w:rsidR="008C14D8" w:rsidRDefault="008C14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428B31" w14:textId="77777777" w:rsidR="008C14D8" w:rsidRDefault="008C14D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0CD806" w14:textId="0E06B9DF" w:rsidR="003B5720" w:rsidRPr="00DA3073" w:rsidRDefault="00DA3073" w:rsidP="00A5782C">
    <w:pPr>
      <w:pStyle w:val="Header"/>
      <w:tabs>
        <w:tab w:val="clear" w:pos="9026"/>
        <w:tab w:val="right" w:pos="8646"/>
      </w:tabs>
      <w:rPr>
        <w:rFonts w:ascii="Times New Roman" w:hAnsi="Times New Roman"/>
        <w:sz w:val="24"/>
        <w:lang w:val="en-GB"/>
      </w:rPr>
    </w:pPr>
    <w:r w:rsidRPr="00DA3073">
      <w:rPr>
        <w:rFonts w:ascii="Times New Roman" w:hAnsi="Times New Roman"/>
        <w:sz w:val="24"/>
        <w:lang w:val="en-GB"/>
      </w:rPr>
      <w:t>Elizabeth Flynn 1805402</w:t>
    </w:r>
    <w:r w:rsidR="003B5720" w:rsidRPr="00DA3073">
      <w:rPr>
        <w:rFonts w:ascii="Times New Roman" w:hAnsi="Times New Roman"/>
        <w:sz w:val="24"/>
        <w:lang w:val="en-GB"/>
      </w:rPr>
      <w:tab/>
    </w:r>
    <w:r w:rsidR="00A5782C" w:rsidRPr="00DA3073">
      <w:rPr>
        <w:rFonts w:ascii="Times New Roman" w:hAnsi="Times New Roman"/>
        <w:sz w:val="24"/>
        <w:lang w:val="en-GB"/>
      </w:rPr>
      <w:tab/>
    </w:r>
    <w:r w:rsidRPr="00DA3073">
      <w:rPr>
        <w:rFonts w:ascii="Times New Roman" w:hAnsi="Times New Roman"/>
        <w:sz w:val="24"/>
        <w:lang w:val="en-GB"/>
      </w:rPr>
      <w:t xml:space="preserve">Page </w:t>
    </w:r>
    <w:r w:rsidRPr="00DA3073">
      <w:rPr>
        <w:rFonts w:ascii="Times New Roman" w:hAnsi="Times New Roman"/>
        <w:b/>
        <w:bCs/>
        <w:sz w:val="24"/>
        <w:lang w:val="en-GB"/>
      </w:rPr>
      <w:fldChar w:fldCharType="begin"/>
    </w:r>
    <w:r w:rsidRPr="00DA3073">
      <w:rPr>
        <w:rFonts w:ascii="Times New Roman" w:hAnsi="Times New Roman"/>
        <w:b/>
        <w:bCs/>
        <w:sz w:val="24"/>
        <w:lang w:val="en-GB"/>
      </w:rPr>
      <w:instrText xml:space="preserve"> PAGE  \* Arabic  \* MERGEFORMAT </w:instrText>
    </w:r>
    <w:r w:rsidRPr="00DA3073">
      <w:rPr>
        <w:rFonts w:ascii="Times New Roman" w:hAnsi="Times New Roman"/>
        <w:b/>
        <w:bCs/>
        <w:sz w:val="24"/>
        <w:lang w:val="en-GB"/>
      </w:rPr>
      <w:fldChar w:fldCharType="separate"/>
    </w:r>
    <w:r w:rsidRPr="00DA3073">
      <w:rPr>
        <w:rFonts w:ascii="Times New Roman" w:hAnsi="Times New Roman"/>
        <w:b/>
        <w:bCs/>
        <w:noProof/>
        <w:sz w:val="24"/>
        <w:lang w:val="en-GB"/>
      </w:rPr>
      <w:t>1</w:t>
    </w:r>
    <w:r w:rsidRPr="00DA3073">
      <w:rPr>
        <w:rFonts w:ascii="Times New Roman" w:hAnsi="Times New Roman"/>
        <w:b/>
        <w:bCs/>
        <w:sz w:val="24"/>
        <w:lang w:val="en-GB"/>
      </w:rPr>
      <w:fldChar w:fldCharType="end"/>
    </w:r>
    <w:r w:rsidRPr="00DA3073">
      <w:rPr>
        <w:rFonts w:ascii="Times New Roman" w:hAnsi="Times New Roman"/>
        <w:sz w:val="24"/>
        <w:lang w:val="en-GB"/>
      </w:rPr>
      <w:t xml:space="preserve"> of </w:t>
    </w:r>
    <w:r w:rsidR="00B768FB">
      <w:rPr>
        <w:rFonts w:ascii="Times New Roman" w:hAnsi="Times New Roman"/>
        <w:b/>
        <w:bCs/>
        <w:sz w:val="24"/>
        <w:lang w:val="en-GB"/>
      </w:rPr>
      <w:t>4</w:t>
    </w:r>
  </w:p>
  <w:p w14:paraId="7C9A9C9E" w14:textId="77777777" w:rsidR="00A5782C" w:rsidRPr="007C14E9" w:rsidRDefault="00A5782C">
    <w:pPr>
      <w:pStyle w:val="Header"/>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057BC"/>
    <w:rsid w:val="00010C85"/>
    <w:rsid w:val="00013545"/>
    <w:rsid w:val="00015B8E"/>
    <w:rsid w:val="00022345"/>
    <w:rsid w:val="00026363"/>
    <w:rsid w:val="00033349"/>
    <w:rsid w:val="00035BA8"/>
    <w:rsid w:val="00043549"/>
    <w:rsid w:val="00046A16"/>
    <w:rsid w:val="00046DAE"/>
    <w:rsid w:val="00047074"/>
    <w:rsid w:val="0004713D"/>
    <w:rsid w:val="00047597"/>
    <w:rsid w:val="0005044E"/>
    <w:rsid w:val="00064566"/>
    <w:rsid w:val="0007052B"/>
    <w:rsid w:val="00071592"/>
    <w:rsid w:val="00075E61"/>
    <w:rsid w:val="00076A0B"/>
    <w:rsid w:val="00083CA2"/>
    <w:rsid w:val="000854DF"/>
    <w:rsid w:val="000861EF"/>
    <w:rsid w:val="000A6D49"/>
    <w:rsid w:val="000B6A3A"/>
    <w:rsid w:val="000C21B0"/>
    <w:rsid w:val="000D5A95"/>
    <w:rsid w:val="000D61CA"/>
    <w:rsid w:val="000D690E"/>
    <w:rsid w:val="000E07E0"/>
    <w:rsid w:val="000E208E"/>
    <w:rsid w:val="000E3682"/>
    <w:rsid w:val="000E3751"/>
    <w:rsid w:val="000E746A"/>
    <w:rsid w:val="0010199D"/>
    <w:rsid w:val="001070F2"/>
    <w:rsid w:val="001107F9"/>
    <w:rsid w:val="00111283"/>
    <w:rsid w:val="0011161A"/>
    <w:rsid w:val="00121D18"/>
    <w:rsid w:val="00130325"/>
    <w:rsid w:val="00146DFD"/>
    <w:rsid w:val="00151559"/>
    <w:rsid w:val="00165047"/>
    <w:rsid w:val="00172497"/>
    <w:rsid w:val="001731DA"/>
    <w:rsid w:val="00173593"/>
    <w:rsid w:val="00175878"/>
    <w:rsid w:val="0019184A"/>
    <w:rsid w:val="0019326E"/>
    <w:rsid w:val="001A67B5"/>
    <w:rsid w:val="001C0B52"/>
    <w:rsid w:val="001C3901"/>
    <w:rsid w:val="001C4B2D"/>
    <w:rsid w:val="001C4B53"/>
    <w:rsid w:val="001E0E06"/>
    <w:rsid w:val="001E229A"/>
    <w:rsid w:val="001E4204"/>
    <w:rsid w:val="001F49DB"/>
    <w:rsid w:val="001F4CE1"/>
    <w:rsid w:val="002132DC"/>
    <w:rsid w:val="002156F3"/>
    <w:rsid w:val="00216211"/>
    <w:rsid w:val="002179BD"/>
    <w:rsid w:val="002216C3"/>
    <w:rsid w:val="00224B95"/>
    <w:rsid w:val="00225EE9"/>
    <w:rsid w:val="00230F35"/>
    <w:rsid w:val="00233255"/>
    <w:rsid w:val="00234ED3"/>
    <w:rsid w:val="0025530E"/>
    <w:rsid w:val="00257D99"/>
    <w:rsid w:val="002653A0"/>
    <w:rsid w:val="002715FA"/>
    <w:rsid w:val="00276002"/>
    <w:rsid w:val="002768C4"/>
    <w:rsid w:val="002770DB"/>
    <w:rsid w:val="00277421"/>
    <w:rsid w:val="00287EE9"/>
    <w:rsid w:val="00290783"/>
    <w:rsid w:val="002A4038"/>
    <w:rsid w:val="002A4954"/>
    <w:rsid w:val="002C5167"/>
    <w:rsid w:val="002D2A04"/>
    <w:rsid w:val="002E2BA0"/>
    <w:rsid w:val="002E67CE"/>
    <w:rsid w:val="002E75EB"/>
    <w:rsid w:val="002E79B5"/>
    <w:rsid w:val="002F1475"/>
    <w:rsid w:val="002F467C"/>
    <w:rsid w:val="002F57DD"/>
    <w:rsid w:val="002F661A"/>
    <w:rsid w:val="00305185"/>
    <w:rsid w:val="00307B22"/>
    <w:rsid w:val="00307C2B"/>
    <w:rsid w:val="003264FC"/>
    <w:rsid w:val="00326631"/>
    <w:rsid w:val="00337A70"/>
    <w:rsid w:val="00341D2F"/>
    <w:rsid w:val="00350D26"/>
    <w:rsid w:val="0035186F"/>
    <w:rsid w:val="00351F4B"/>
    <w:rsid w:val="003529C0"/>
    <w:rsid w:val="003666B7"/>
    <w:rsid w:val="0038342D"/>
    <w:rsid w:val="00384886"/>
    <w:rsid w:val="00386890"/>
    <w:rsid w:val="003B4C4C"/>
    <w:rsid w:val="003B5720"/>
    <w:rsid w:val="003B6C5F"/>
    <w:rsid w:val="003B76A0"/>
    <w:rsid w:val="003C120F"/>
    <w:rsid w:val="003C37F9"/>
    <w:rsid w:val="003C3F4F"/>
    <w:rsid w:val="003C429B"/>
    <w:rsid w:val="003C5985"/>
    <w:rsid w:val="003C5B55"/>
    <w:rsid w:val="003C7F6F"/>
    <w:rsid w:val="003D18C6"/>
    <w:rsid w:val="003D6255"/>
    <w:rsid w:val="003E08F3"/>
    <w:rsid w:val="003F0AD2"/>
    <w:rsid w:val="003F0E76"/>
    <w:rsid w:val="003F737B"/>
    <w:rsid w:val="00402DB0"/>
    <w:rsid w:val="0040732D"/>
    <w:rsid w:val="0041435D"/>
    <w:rsid w:val="00422D27"/>
    <w:rsid w:val="004250DD"/>
    <w:rsid w:val="004304C7"/>
    <w:rsid w:val="0043204A"/>
    <w:rsid w:val="0043758C"/>
    <w:rsid w:val="0044129B"/>
    <w:rsid w:val="0044646D"/>
    <w:rsid w:val="00447497"/>
    <w:rsid w:val="004528A6"/>
    <w:rsid w:val="00455C8B"/>
    <w:rsid w:val="00460A5C"/>
    <w:rsid w:val="004627BA"/>
    <w:rsid w:val="00464F10"/>
    <w:rsid w:val="004724D6"/>
    <w:rsid w:val="00474B27"/>
    <w:rsid w:val="00475C78"/>
    <w:rsid w:val="00485016"/>
    <w:rsid w:val="00493841"/>
    <w:rsid w:val="00495246"/>
    <w:rsid w:val="00497142"/>
    <w:rsid w:val="004A024B"/>
    <w:rsid w:val="004A29B6"/>
    <w:rsid w:val="004B65C1"/>
    <w:rsid w:val="004B73BA"/>
    <w:rsid w:val="004C0717"/>
    <w:rsid w:val="004C79CE"/>
    <w:rsid w:val="004E59C7"/>
    <w:rsid w:val="004F2B31"/>
    <w:rsid w:val="004F35A3"/>
    <w:rsid w:val="004F639A"/>
    <w:rsid w:val="00504A34"/>
    <w:rsid w:val="00517036"/>
    <w:rsid w:val="005216A1"/>
    <w:rsid w:val="00521E0F"/>
    <w:rsid w:val="005307DC"/>
    <w:rsid w:val="00531109"/>
    <w:rsid w:val="00537B4C"/>
    <w:rsid w:val="005420F9"/>
    <w:rsid w:val="005429EF"/>
    <w:rsid w:val="00551D98"/>
    <w:rsid w:val="005566F9"/>
    <w:rsid w:val="005627D4"/>
    <w:rsid w:val="00570FDE"/>
    <w:rsid w:val="0057137A"/>
    <w:rsid w:val="00580EC1"/>
    <w:rsid w:val="00582E65"/>
    <w:rsid w:val="0058726A"/>
    <w:rsid w:val="00587AD4"/>
    <w:rsid w:val="0059031A"/>
    <w:rsid w:val="00590E9A"/>
    <w:rsid w:val="005942E9"/>
    <w:rsid w:val="00596A5E"/>
    <w:rsid w:val="005A13A4"/>
    <w:rsid w:val="005C6560"/>
    <w:rsid w:val="005D506A"/>
    <w:rsid w:val="005E0066"/>
    <w:rsid w:val="005F2F27"/>
    <w:rsid w:val="005F4AA2"/>
    <w:rsid w:val="005F5534"/>
    <w:rsid w:val="0060206D"/>
    <w:rsid w:val="00610318"/>
    <w:rsid w:val="006155F4"/>
    <w:rsid w:val="00627151"/>
    <w:rsid w:val="00632937"/>
    <w:rsid w:val="0063343F"/>
    <w:rsid w:val="00645B00"/>
    <w:rsid w:val="0065070D"/>
    <w:rsid w:val="0065654E"/>
    <w:rsid w:val="00662A40"/>
    <w:rsid w:val="006805EC"/>
    <w:rsid w:val="00684288"/>
    <w:rsid w:val="0068478B"/>
    <w:rsid w:val="00691819"/>
    <w:rsid w:val="00693C4D"/>
    <w:rsid w:val="006A205D"/>
    <w:rsid w:val="006A3234"/>
    <w:rsid w:val="006A65E9"/>
    <w:rsid w:val="006A7F9F"/>
    <w:rsid w:val="006B3DB0"/>
    <w:rsid w:val="006B75B0"/>
    <w:rsid w:val="006C0A3A"/>
    <w:rsid w:val="006C5B59"/>
    <w:rsid w:val="006C5E96"/>
    <w:rsid w:val="006E28ED"/>
    <w:rsid w:val="006E4F24"/>
    <w:rsid w:val="006F581D"/>
    <w:rsid w:val="00713A7A"/>
    <w:rsid w:val="007268C1"/>
    <w:rsid w:val="00751BE2"/>
    <w:rsid w:val="0076289D"/>
    <w:rsid w:val="00763258"/>
    <w:rsid w:val="00765417"/>
    <w:rsid w:val="00770733"/>
    <w:rsid w:val="00770D26"/>
    <w:rsid w:val="00773D0E"/>
    <w:rsid w:val="00781339"/>
    <w:rsid w:val="00790E2F"/>
    <w:rsid w:val="007A36F8"/>
    <w:rsid w:val="007A3EDC"/>
    <w:rsid w:val="007B721A"/>
    <w:rsid w:val="007C098A"/>
    <w:rsid w:val="007C14E9"/>
    <w:rsid w:val="007C6F33"/>
    <w:rsid w:val="007D4BE1"/>
    <w:rsid w:val="007D7715"/>
    <w:rsid w:val="007E5670"/>
    <w:rsid w:val="007F75B0"/>
    <w:rsid w:val="00804171"/>
    <w:rsid w:val="00813221"/>
    <w:rsid w:val="00813E7F"/>
    <w:rsid w:val="00814C68"/>
    <w:rsid w:val="00814FEE"/>
    <w:rsid w:val="00823895"/>
    <w:rsid w:val="0083442E"/>
    <w:rsid w:val="00840B95"/>
    <w:rsid w:val="0084272E"/>
    <w:rsid w:val="00842B82"/>
    <w:rsid w:val="00843DE9"/>
    <w:rsid w:val="0084430A"/>
    <w:rsid w:val="00860635"/>
    <w:rsid w:val="00860711"/>
    <w:rsid w:val="00880C84"/>
    <w:rsid w:val="0088185A"/>
    <w:rsid w:val="00890AAC"/>
    <w:rsid w:val="0089447F"/>
    <w:rsid w:val="008A1439"/>
    <w:rsid w:val="008A4DCC"/>
    <w:rsid w:val="008B3A97"/>
    <w:rsid w:val="008C14D8"/>
    <w:rsid w:val="008C3BA4"/>
    <w:rsid w:val="008D03F0"/>
    <w:rsid w:val="008D1553"/>
    <w:rsid w:val="008D18A8"/>
    <w:rsid w:val="008D3747"/>
    <w:rsid w:val="008D50C1"/>
    <w:rsid w:val="008D674F"/>
    <w:rsid w:val="008E525C"/>
    <w:rsid w:val="008F22FF"/>
    <w:rsid w:val="008F2761"/>
    <w:rsid w:val="00901157"/>
    <w:rsid w:val="009030B4"/>
    <w:rsid w:val="00906AEC"/>
    <w:rsid w:val="00907B96"/>
    <w:rsid w:val="0091010A"/>
    <w:rsid w:val="00914769"/>
    <w:rsid w:val="00916033"/>
    <w:rsid w:val="0091686B"/>
    <w:rsid w:val="00916DF4"/>
    <w:rsid w:val="00925FD7"/>
    <w:rsid w:val="00927F8D"/>
    <w:rsid w:val="00933003"/>
    <w:rsid w:val="009402DA"/>
    <w:rsid w:val="009510C6"/>
    <w:rsid w:val="00962C4E"/>
    <w:rsid w:val="00964B05"/>
    <w:rsid w:val="00973B44"/>
    <w:rsid w:val="009801D3"/>
    <w:rsid w:val="009A0989"/>
    <w:rsid w:val="009A3D0A"/>
    <w:rsid w:val="009A62DA"/>
    <w:rsid w:val="009B0DCB"/>
    <w:rsid w:val="009B2D10"/>
    <w:rsid w:val="009C01A3"/>
    <w:rsid w:val="009C1A08"/>
    <w:rsid w:val="009C396A"/>
    <w:rsid w:val="009C78AB"/>
    <w:rsid w:val="009E42CB"/>
    <w:rsid w:val="009F2623"/>
    <w:rsid w:val="00A02C62"/>
    <w:rsid w:val="00A06B94"/>
    <w:rsid w:val="00A12821"/>
    <w:rsid w:val="00A13159"/>
    <w:rsid w:val="00A175E1"/>
    <w:rsid w:val="00A2073F"/>
    <w:rsid w:val="00A303FE"/>
    <w:rsid w:val="00A41032"/>
    <w:rsid w:val="00A41AF9"/>
    <w:rsid w:val="00A43C5B"/>
    <w:rsid w:val="00A507E4"/>
    <w:rsid w:val="00A52D18"/>
    <w:rsid w:val="00A5782C"/>
    <w:rsid w:val="00A62E68"/>
    <w:rsid w:val="00A700E4"/>
    <w:rsid w:val="00A74357"/>
    <w:rsid w:val="00A745B6"/>
    <w:rsid w:val="00A972E4"/>
    <w:rsid w:val="00A9744A"/>
    <w:rsid w:val="00AB717F"/>
    <w:rsid w:val="00AC36E3"/>
    <w:rsid w:val="00AC6213"/>
    <w:rsid w:val="00AD2442"/>
    <w:rsid w:val="00AD5D5A"/>
    <w:rsid w:val="00AE3217"/>
    <w:rsid w:val="00B0047B"/>
    <w:rsid w:val="00B057D8"/>
    <w:rsid w:val="00B06029"/>
    <w:rsid w:val="00B11315"/>
    <w:rsid w:val="00B11E29"/>
    <w:rsid w:val="00B2364E"/>
    <w:rsid w:val="00B26C5A"/>
    <w:rsid w:val="00B34964"/>
    <w:rsid w:val="00B36F4A"/>
    <w:rsid w:val="00B370A4"/>
    <w:rsid w:val="00B42501"/>
    <w:rsid w:val="00B45FEF"/>
    <w:rsid w:val="00B462B1"/>
    <w:rsid w:val="00B56E7B"/>
    <w:rsid w:val="00B65438"/>
    <w:rsid w:val="00B71088"/>
    <w:rsid w:val="00B72612"/>
    <w:rsid w:val="00B72F46"/>
    <w:rsid w:val="00B768FB"/>
    <w:rsid w:val="00B81E5D"/>
    <w:rsid w:val="00B96983"/>
    <w:rsid w:val="00B9724B"/>
    <w:rsid w:val="00BA7B33"/>
    <w:rsid w:val="00BB588D"/>
    <w:rsid w:val="00BC14C1"/>
    <w:rsid w:val="00BC17F1"/>
    <w:rsid w:val="00BD1C15"/>
    <w:rsid w:val="00BE71D2"/>
    <w:rsid w:val="00BE7B7A"/>
    <w:rsid w:val="00BF22DC"/>
    <w:rsid w:val="00BF2A1D"/>
    <w:rsid w:val="00BF3D29"/>
    <w:rsid w:val="00BF6291"/>
    <w:rsid w:val="00C0098D"/>
    <w:rsid w:val="00C129C7"/>
    <w:rsid w:val="00C22A88"/>
    <w:rsid w:val="00C25C48"/>
    <w:rsid w:val="00C470D2"/>
    <w:rsid w:val="00C576A2"/>
    <w:rsid w:val="00C60F70"/>
    <w:rsid w:val="00C653A8"/>
    <w:rsid w:val="00C65438"/>
    <w:rsid w:val="00C65E7F"/>
    <w:rsid w:val="00C901F9"/>
    <w:rsid w:val="00C928C2"/>
    <w:rsid w:val="00C93CD4"/>
    <w:rsid w:val="00CA5986"/>
    <w:rsid w:val="00CB48F2"/>
    <w:rsid w:val="00CB5E37"/>
    <w:rsid w:val="00CC52A3"/>
    <w:rsid w:val="00CE3B79"/>
    <w:rsid w:val="00D0754F"/>
    <w:rsid w:val="00D172A6"/>
    <w:rsid w:val="00D328AB"/>
    <w:rsid w:val="00D429CC"/>
    <w:rsid w:val="00D459DC"/>
    <w:rsid w:val="00D54679"/>
    <w:rsid w:val="00D54C45"/>
    <w:rsid w:val="00D56EFA"/>
    <w:rsid w:val="00D62588"/>
    <w:rsid w:val="00D67BF8"/>
    <w:rsid w:val="00D717F5"/>
    <w:rsid w:val="00D7360E"/>
    <w:rsid w:val="00DA0582"/>
    <w:rsid w:val="00DA3073"/>
    <w:rsid w:val="00DA3217"/>
    <w:rsid w:val="00DA3E0F"/>
    <w:rsid w:val="00DB185F"/>
    <w:rsid w:val="00DB3BDB"/>
    <w:rsid w:val="00DB43BB"/>
    <w:rsid w:val="00DB77FF"/>
    <w:rsid w:val="00DC6CD2"/>
    <w:rsid w:val="00DD363B"/>
    <w:rsid w:val="00DE09B8"/>
    <w:rsid w:val="00DE54B1"/>
    <w:rsid w:val="00E15A2D"/>
    <w:rsid w:val="00E15E40"/>
    <w:rsid w:val="00E251B2"/>
    <w:rsid w:val="00E36438"/>
    <w:rsid w:val="00E3766D"/>
    <w:rsid w:val="00E41BAD"/>
    <w:rsid w:val="00E429E4"/>
    <w:rsid w:val="00E47167"/>
    <w:rsid w:val="00E502BA"/>
    <w:rsid w:val="00E52BFB"/>
    <w:rsid w:val="00E55692"/>
    <w:rsid w:val="00E57529"/>
    <w:rsid w:val="00E66489"/>
    <w:rsid w:val="00E664CD"/>
    <w:rsid w:val="00E67719"/>
    <w:rsid w:val="00E716A5"/>
    <w:rsid w:val="00E74C9F"/>
    <w:rsid w:val="00E82C09"/>
    <w:rsid w:val="00E83BBC"/>
    <w:rsid w:val="00E84F5D"/>
    <w:rsid w:val="00E937FC"/>
    <w:rsid w:val="00EA2B0C"/>
    <w:rsid w:val="00EC60B9"/>
    <w:rsid w:val="00EC7546"/>
    <w:rsid w:val="00F0754F"/>
    <w:rsid w:val="00F07682"/>
    <w:rsid w:val="00F1020A"/>
    <w:rsid w:val="00F124BF"/>
    <w:rsid w:val="00F1661E"/>
    <w:rsid w:val="00F16C03"/>
    <w:rsid w:val="00F20AFC"/>
    <w:rsid w:val="00F2453C"/>
    <w:rsid w:val="00F257A4"/>
    <w:rsid w:val="00F346BE"/>
    <w:rsid w:val="00F57184"/>
    <w:rsid w:val="00F73533"/>
    <w:rsid w:val="00F809F4"/>
    <w:rsid w:val="00F825B3"/>
    <w:rsid w:val="00FA07E9"/>
    <w:rsid w:val="00FA2A4C"/>
    <w:rsid w:val="00FC2094"/>
    <w:rsid w:val="00FD0467"/>
    <w:rsid w:val="00FF1125"/>
    <w:rsid w:val="00FF1C67"/>
    <w:rsid w:val="00FF5097"/>
    <w:rsid w:val="00FF5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518C5AB"/>
  <w15:chartTrackingRefBased/>
  <w15:docId w15:val="{706BE961-60E5-46E1-B5DA-C04442F6E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rsid w:val="00A5782C"/>
    <w:rPr>
      <w:sz w:val="20"/>
      <w:szCs w:val="20"/>
    </w:rPr>
  </w:style>
  <w:style w:type="character" w:customStyle="1" w:styleId="FootnoteTextChar">
    <w:name w:val="Footnote Text Char"/>
    <w:basedOn w:val="DefaultParagraphFont"/>
    <w:link w:val="FootnoteText"/>
    <w:rsid w:val="00A5782C"/>
    <w:rPr>
      <w:lang w:eastAsia="zh-CN"/>
    </w:rPr>
  </w:style>
  <w:style w:type="character" w:styleId="FootnoteReference">
    <w:name w:val="footnote reference"/>
    <w:basedOn w:val="DefaultParagraphFont"/>
    <w:rsid w:val="00A5782C"/>
    <w:rPr>
      <w:vertAlign w:val="superscript"/>
    </w:rPr>
  </w:style>
  <w:style w:type="character" w:styleId="Hyperlink">
    <w:name w:val="Hyperlink"/>
    <w:basedOn w:val="DefaultParagraphFont"/>
    <w:rsid w:val="00A5782C"/>
    <w:rPr>
      <w:color w:val="0563C1" w:themeColor="hyperlink"/>
      <w:u w:val="single"/>
    </w:rPr>
  </w:style>
  <w:style w:type="character" w:styleId="UnresolvedMention">
    <w:name w:val="Unresolved Mention"/>
    <w:basedOn w:val="DefaultParagraphFont"/>
    <w:uiPriority w:val="99"/>
    <w:semiHidden/>
    <w:unhideWhenUsed/>
    <w:rsid w:val="00A578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B1D403-24AA-41C9-950F-1296EFEA4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3510</TotalTime>
  <Pages>6</Pages>
  <Words>1933</Words>
  <Characters>11021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Beth Flynn</dc:creator>
  <cp:keywords/>
  <cp:lastModifiedBy>Beth Flynn</cp:lastModifiedBy>
  <cp:revision>159</cp:revision>
  <cp:lastPrinted>2018-11-01T14:13:00Z</cp:lastPrinted>
  <dcterms:created xsi:type="dcterms:W3CDTF">2018-10-26T13:50:00Z</dcterms:created>
  <dcterms:modified xsi:type="dcterms:W3CDTF">2018-11-03T10:17:00Z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user:5bab8df3e4b0676a2e634a8c</vt:lpwstr>
  </property>
  <property fmtid="{D5CDD505-2E9C-101B-9397-08002B2CF9AE}" pid="3" name="WnCSubscriberId">
    <vt:lpwstr>0</vt:lpwstr>
  </property>
  <property fmtid="{D5CDD505-2E9C-101B-9397-08002B2CF9AE}" pid="4" name="WnCOutputStyleId">
    <vt:lpwstr>rwuserstyle:5bab9a64541bd207b19e3776</vt:lpwstr>
  </property>
  <property fmtid="{D5CDD505-2E9C-101B-9397-08002B2CF9AE}" pid="5" name="RWProductId">
    <vt:lpwstr>Flow</vt:lpwstr>
  </property>
  <property fmtid="{D5CDD505-2E9C-101B-9397-08002B2CF9AE}" pid="6" name="WnC4Folder">
    <vt:lpwstr>Documents///Elizabeth Flynn - HPCA7001 - Essay 1</vt:lpwstr>
  </property>
</Properties>
</file>