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38AF" w14:textId="14EED9A2" w:rsidR="009773EE" w:rsidRDefault="00575992">
      <w:r>
        <w:rPr>
          <w:noProof/>
        </w:rPr>
        <w:drawing>
          <wp:inline distT="0" distB="0" distL="0" distR="0" wp14:anchorId="3B662A95" wp14:editId="597C69AC">
            <wp:extent cx="2247900" cy="752475"/>
            <wp:effectExtent l="0" t="0" r="0" b="9525"/>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14:paraId="2A1FCFC7" w14:textId="2172DA6A" w:rsidR="00575992" w:rsidRDefault="00575992"/>
    <w:p w14:paraId="4E31D52C" w14:textId="68CBC975" w:rsidR="00575992" w:rsidRDefault="00575992"/>
    <w:p w14:paraId="6CFC6A7D" w14:textId="2A8E2736" w:rsidR="00575992" w:rsidRDefault="00575992"/>
    <w:p w14:paraId="2901B9B6" w14:textId="77777777" w:rsidR="00575992" w:rsidRDefault="00575992"/>
    <w:p w14:paraId="155C6B0B" w14:textId="4961AF64" w:rsidR="00575992" w:rsidRPr="00575992" w:rsidRDefault="00575992" w:rsidP="00575992">
      <w:pPr>
        <w:jc w:val="center"/>
        <w:rPr>
          <w:b/>
          <w:bCs/>
          <w:sz w:val="72"/>
          <w:szCs w:val="72"/>
        </w:rPr>
      </w:pPr>
      <w:r w:rsidRPr="00575992">
        <w:rPr>
          <w:b/>
          <w:bCs/>
          <w:sz w:val="72"/>
          <w:szCs w:val="72"/>
        </w:rPr>
        <w:t>LAW AND LEGAL PRACTICE</w:t>
      </w:r>
    </w:p>
    <w:p w14:paraId="66930632" w14:textId="423E454C" w:rsidR="00575992" w:rsidRDefault="00575992" w:rsidP="00575992">
      <w:pPr>
        <w:jc w:val="center"/>
        <w:rPr>
          <w:b/>
          <w:bCs/>
          <w:sz w:val="72"/>
          <w:szCs w:val="72"/>
        </w:rPr>
      </w:pPr>
      <w:r w:rsidRPr="00575992">
        <w:rPr>
          <w:b/>
          <w:bCs/>
          <w:sz w:val="72"/>
          <w:szCs w:val="72"/>
        </w:rPr>
        <w:t>BMLW4007 – PUBLIC LAW</w:t>
      </w:r>
    </w:p>
    <w:p w14:paraId="69F547B4" w14:textId="01CCAF18" w:rsidR="00575992" w:rsidRDefault="00575992" w:rsidP="00575992">
      <w:pPr>
        <w:jc w:val="center"/>
        <w:rPr>
          <w:b/>
          <w:bCs/>
          <w:sz w:val="72"/>
          <w:szCs w:val="72"/>
        </w:rPr>
      </w:pPr>
    </w:p>
    <w:p w14:paraId="2465D202" w14:textId="71366999" w:rsidR="00575992" w:rsidRDefault="00575992" w:rsidP="00575992">
      <w:pPr>
        <w:jc w:val="center"/>
        <w:rPr>
          <w:b/>
          <w:bCs/>
          <w:sz w:val="72"/>
          <w:szCs w:val="72"/>
        </w:rPr>
      </w:pPr>
    </w:p>
    <w:p w14:paraId="4F7DFF61" w14:textId="2FBAFC30" w:rsidR="00575992" w:rsidRDefault="00575992" w:rsidP="00575992">
      <w:pPr>
        <w:jc w:val="center"/>
        <w:rPr>
          <w:b/>
          <w:bCs/>
          <w:sz w:val="72"/>
          <w:szCs w:val="72"/>
        </w:rPr>
      </w:pPr>
    </w:p>
    <w:p w14:paraId="33699002" w14:textId="73C67D02" w:rsidR="00575992" w:rsidRDefault="00575992" w:rsidP="00575992">
      <w:pPr>
        <w:jc w:val="center"/>
        <w:rPr>
          <w:b/>
          <w:bCs/>
          <w:sz w:val="72"/>
          <w:szCs w:val="72"/>
        </w:rPr>
      </w:pPr>
    </w:p>
    <w:p w14:paraId="20B69F3A" w14:textId="6BB7CBCF" w:rsidR="00575992" w:rsidRDefault="00575992" w:rsidP="00575992">
      <w:pPr>
        <w:jc w:val="center"/>
        <w:rPr>
          <w:b/>
          <w:bCs/>
          <w:sz w:val="24"/>
          <w:szCs w:val="24"/>
        </w:rPr>
      </w:pPr>
    </w:p>
    <w:p w14:paraId="0512AF33" w14:textId="38D7F9B1" w:rsidR="00575992" w:rsidRDefault="00575992" w:rsidP="00575992">
      <w:pPr>
        <w:jc w:val="center"/>
        <w:rPr>
          <w:b/>
          <w:bCs/>
          <w:sz w:val="24"/>
          <w:szCs w:val="24"/>
        </w:rPr>
      </w:pPr>
    </w:p>
    <w:p w14:paraId="5092BDB0" w14:textId="2883E03B" w:rsidR="00575992" w:rsidRDefault="00575992" w:rsidP="00575992">
      <w:pPr>
        <w:jc w:val="center"/>
        <w:rPr>
          <w:b/>
          <w:bCs/>
          <w:sz w:val="24"/>
          <w:szCs w:val="24"/>
        </w:rPr>
      </w:pPr>
    </w:p>
    <w:p w14:paraId="663E025C" w14:textId="73ED75D6" w:rsidR="00575992" w:rsidRDefault="00575992" w:rsidP="00575992">
      <w:pPr>
        <w:jc w:val="center"/>
        <w:rPr>
          <w:b/>
          <w:bCs/>
          <w:sz w:val="24"/>
          <w:szCs w:val="24"/>
        </w:rPr>
      </w:pPr>
    </w:p>
    <w:p w14:paraId="77CE7A97" w14:textId="4741E9C4" w:rsidR="00575992" w:rsidRDefault="00575992" w:rsidP="00575992">
      <w:pPr>
        <w:jc w:val="center"/>
        <w:rPr>
          <w:b/>
          <w:bCs/>
          <w:sz w:val="24"/>
          <w:szCs w:val="24"/>
        </w:rPr>
      </w:pPr>
    </w:p>
    <w:p w14:paraId="1A5A9C33" w14:textId="212710BE" w:rsidR="00575992" w:rsidRDefault="00575992" w:rsidP="00575992">
      <w:pPr>
        <w:jc w:val="center"/>
        <w:rPr>
          <w:b/>
          <w:bCs/>
          <w:sz w:val="24"/>
          <w:szCs w:val="24"/>
        </w:rPr>
      </w:pPr>
    </w:p>
    <w:p w14:paraId="7A1CB484" w14:textId="77777777" w:rsidR="00B66BB0" w:rsidRPr="00B66BB0" w:rsidRDefault="00B66BB0" w:rsidP="00B66BB0">
      <w:pPr>
        <w:ind w:firstLine="720"/>
        <w:jc w:val="both"/>
        <w:rPr>
          <w:sz w:val="24"/>
          <w:szCs w:val="24"/>
        </w:rPr>
      </w:pPr>
      <w:r w:rsidRPr="00B66BB0">
        <w:rPr>
          <w:sz w:val="24"/>
          <w:szCs w:val="24"/>
        </w:rPr>
        <w:lastRenderedPageBreak/>
        <w:t>The Bill of Rights Act was introduced by Justice Department secretary Dominic Raab on June 22, 2022. Principles enshrined in the European Convention on Human Rights are being given legal effect in the United Kingdom by the Human Rights Act (HRA) of 1998, which is being repealed and replaced (ECHR). After it is ratified, it will be known as the Bill of Rights 2022.</w:t>
      </w:r>
    </w:p>
    <w:p w14:paraId="3A462663" w14:textId="77777777" w:rsidR="00B66BB0" w:rsidRPr="00B66BB0" w:rsidRDefault="00B66BB0" w:rsidP="00B66BB0">
      <w:pPr>
        <w:ind w:firstLine="720"/>
        <w:jc w:val="both"/>
        <w:rPr>
          <w:sz w:val="24"/>
          <w:szCs w:val="24"/>
        </w:rPr>
      </w:pPr>
      <w:r w:rsidRPr="00B66BB0">
        <w:rPr>
          <w:sz w:val="24"/>
          <w:szCs w:val="24"/>
        </w:rPr>
        <w:t>By calling it a "Bill of Rights," the government was alluding to earlier documents like the Scottish Claim of Rights (1689) and the English Bill of Rights (1689). In contrast to these other treaties, the Bill of Rights does not establish any new rights; rather, it only enumerates the rights guaranteed by the European Convention on Human Rights that are already incorporated into British law. The HRA aims to implement the Human Rights Convention, which protects all of these rights.</w:t>
      </w:r>
    </w:p>
    <w:p w14:paraId="303B7650" w14:textId="77777777" w:rsidR="00B66BB0" w:rsidRPr="00B66BB0" w:rsidRDefault="00B66BB0" w:rsidP="00B66BB0">
      <w:pPr>
        <w:ind w:firstLine="720"/>
        <w:jc w:val="both"/>
        <w:rPr>
          <w:sz w:val="24"/>
          <w:szCs w:val="24"/>
        </w:rPr>
      </w:pPr>
      <w:r w:rsidRPr="00B66BB0">
        <w:rPr>
          <w:sz w:val="24"/>
          <w:szCs w:val="24"/>
        </w:rPr>
        <w:t>The Universal Declaration of Human Rights was drafted to provide a legal description of human rights in the wake of the atrocities of World War Two. In 1953, the European Convention on Human Rights was established, and in 1959, the European Court of Human Rights was established to uphold and enforce those rights. The rights guaranteed by the Convention are directly enforceable under domestic law in the United Kingdom according to the Human Rights Act (HRA) of 1998.</w:t>
      </w:r>
    </w:p>
    <w:p w14:paraId="7436A670" w14:textId="77777777" w:rsidR="00B66BB0" w:rsidRPr="00B66BB0" w:rsidRDefault="00B66BB0" w:rsidP="00B66BB0">
      <w:pPr>
        <w:ind w:firstLine="720"/>
        <w:jc w:val="both"/>
        <w:rPr>
          <w:sz w:val="24"/>
          <w:szCs w:val="24"/>
        </w:rPr>
      </w:pPr>
      <w:r w:rsidRPr="00B66BB0">
        <w:rPr>
          <w:sz w:val="24"/>
          <w:szCs w:val="24"/>
        </w:rPr>
        <w:t>On January 1, 1973, after the European Communities Act of 1972 was given the Royal Assent on October 17, 1972, the United Kingdom officially became a member of the European Economic Community. When the United Kingdom entered the European Economic Community in 1973, the European Communities Act of 1972 was enacted to bring British law into conformity with EU law. The most important change that this Act brought about was Britain's admission into the European Economic Community, which made it subject to EU law. One of the more noteworthy advancements that this Act made was that any laws or regulations passed by the EU would directly apply within the United Kingdom without the need for a separate Act of Parliament; national law would immediately I When the idea of entering the European Economic Community was first presented, this was a major point of debate in the United Kingdom. It generated discussions over whether the United Kingdom would remain a sovereign state should it join the EU because EU legislation would dominate the country without the passage of any domestic laws.</w:t>
      </w:r>
    </w:p>
    <w:p w14:paraId="6F9C0C8C" w14:textId="77777777" w:rsidR="00B66BB0" w:rsidRPr="00B66BB0" w:rsidRDefault="00B66BB0" w:rsidP="00B66BB0">
      <w:pPr>
        <w:ind w:firstLine="720"/>
        <w:jc w:val="both"/>
        <w:rPr>
          <w:sz w:val="24"/>
          <w:szCs w:val="24"/>
        </w:rPr>
      </w:pPr>
      <w:r w:rsidRPr="00B66BB0">
        <w:rPr>
          <w:sz w:val="24"/>
          <w:szCs w:val="24"/>
        </w:rPr>
        <w:t>Despite initial opposition, the British government was able to pass the laws necessary to lay the legal groundwork for Britain's exit from the European Union. On June 26, 2018, the European Union (Withdrawal) Bill was given the Royal Assent, thereby transforming it into the European Union (Withdrawal) Act of 2018. The legal framework of the EUWA went into effect on the day the United Kingdom officially left the European Union.</w:t>
      </w:r>
    </w:p>
    <w:p w14:paraId="509A4C6C" w14:textId="77777777" w:rsidR="00B66BB0" w:rsidRPr="00B66BB0" w:rsidRDefault="00B66BB0" w:rsidP="00B66BB0">
      <w:pPr>
        <w:ind w:firstLine="720"/>
        <w:jc w:val="both"/>
        <w:rPr>
          <w:sz w:val="24"/>
          <w:szCs w:val="24"/>
        </w:rPr>
      </w:pPr>
      <w:r w:rsidRPr="00B66BB0">
        <w:rPr>
          <w:sz w:val="24"/>
          <w:szCs w:val="24"/>
        </w:rPr>
        <w:t xml:space="preserve">On the day of exit, the European Union (Withdrawal) Act 2018 replaces the European Communities Act 1972, transposes into UK law EU law as it stands at the time of exit, and empowers ministers to make secondary legislation, including temporary powers to allow corrections to be made to laws that would otherwise no longer operate appropriately once the </w:t>
      </w:r>
      <w:r w:rsidRPr="00B66BB0">
        <w:rPr>
          <w:sz w:val="24"/>
          <w:szCs w:val="24"/>
        </w:rPr>
        <w:lastRenderedPageBreak/>
        <w:t>UK has left the EU. In addition, it ensures that the UK Parliament will have the opportunity to vote on and adopt the separation agreement prior to the UK's exit from the EU.</w:t>
      </w:r>
    </w:p>
    <w:p w14:paraId="4A72A4EC" w14:textId="77777777" w:rsidR="00B66BB0" w:rsidRPr="00B66BB0" w:rsidRDefault="00B66BB0" w:rsidP="00B66BB0">
      <w:pPr>
        <w:ind w:firstLine="720"/>
        <w:jc w:val="both"/>
        <w:rPr>
          <w:sz w:val="24"/>
          <w:szCs w:val="24"/>
        </w:rPr>
      </w:pPr>
      <w:r w:rsidRPr="00B66BB0">
        <w:rPr>
          <w:sz w:val="24"/>
          <w:szCs w:val="24"/>
        </w:rPr>
        <w:t>The Conservative Party first declared its intent to replace the Human Rights Act (HRA) of 1998 with a Bill of Rights in its 2010 manifesto, and reiterated that intent in its most recent manifesto, published in 2015. As Brexit talks were ongoing, the government said in 2017 that it would not take any action to repeal or replace the HRA. Only one policy proposal, to "change the Human Rights Act," was included in its 2019 platform.</w:t>
      </w:r>
    </w:p>
    <w:p w14:paraId="2B2DDBD6" w14:textId="346C2C54" w:rsidR="00B66BB0" w:rsidRPr="00B66BB0" w:rsidRDefault="00B66BB0" w:rsidP="00B66BB0">
      <w:pPr>
        <w:ind w:firstLine="720"/>
        <w:jc w:val="both"/>
        <w:rPr>
          <w:sz w:val="24"/>
          <w:szCs w:val="24"/>
        </w:rPr>
      </w:pPr>
      <w:r w:rsidRPr="00B66BB0">
        <w:rPr>
          <w:sz w:val="24"/>
          <w:szCs w:val="24"/>
        </w:rPr>
        <w:t>To be more precise, clause 1(2) of the Bill states that its goal is to "[clarify and re-balance] the relationship between courts in the United Kingdom, the European Court of Human Rights, and Parliament" and to make parliamentary decision-making, rather than judicial decision-making, the default option when competing rights and interests are at stake</w:t>
      </w:r>
      <w:r>
        <w:rPr>
          <w:sz w:val="24"/>
          <w:szCs w:val="24"/>
        </w:rPr>
        <w:t xml:space="preserve"> (Parsons, 2022)</w:t>
      </w:r>
      <w:r w:rsidRPr="00B66BB0">
        <w:rPr>
          <w:sz w:val="24"/>
          <w:szCs w:val="24"/>
        </w:rPr>
        <w:t>.</w:t>
      </w:r>
    </w:p>
    <w:p w14:paraId="19575C03" w14:textId="77777777" w:rsidR="00B66BB0" w:rsidRPr="00B66BB0" w:rsidRDefault="00B66BB0" w:rsidP="00B66BB0">
      <w:pPr>
        <w:ind w:firstLine="720"/>
        <w:jc w:val="both"/>
        <w:rPr>
          <w:sz w:val="24"/>
          <w:szCs w:val="24"/>
        </w:rPr>
      </w:pPr>
      <w:r w:rsidRPr="00B66BB0">
        <w:rPr>
          <w:sz w:val="24"/>
          <w:szCs w:val="24"/>
        </w:rPr>
        <w:t>The UK Bill of Rights is an attempt to obtain a full withdrawal from the ECHR by taking the first step towards doing so.</w:t>
      </w:r>
    </w:p>
    <w:p w14:paraId="4771AC91" w14:textId="77777777" w:rsidR="00B66BB0" w:rsidRPr="00B66BB0" w:rsidRDefault="00B66BB0" w:rsidP="00B66BB0">
      <w:pPr>
        <w:ind w:firstLine="720"/>
        <w:jc w:val="both"/>
        <w:rPr>
          <w:sz w:val="24"/>
          <w:szCs w:val="24"/>
        </w:rPr>
      </w:pPr>
      <w:r w:rsidRPr="00B66BB0">
        <w:rPr>
          <w:sz w:val="24"/>
          <w:szCs w:val="24"/>
        </w:rPr>
        <w:t>Clause 2(1) and Schedule 1 of the Bill will create what are called "Convention Rights" under UK domestic law; these rights are nearly identical to those created by the Human Rights Act. The United Kingdom will remain committed to upholding the rights and liberties guaranteed in Article 1 of the European Convention on Human Rights (the Convention) for all people living within its territory. In the absence of a legal prohibition, public authorities may not continue to engage in conduct that is in violation of rights guaranteed by the Convention. Declarations of incompatibility with Convention rights may be issued by the Supreme Court or other higher courts under the Bill, but such statements will not affect the outcome of matters before those courts.</w:t>
      </w:r>
    </w:p>
    <w:p w14:paraId="6EF60978" w14:textId="77777777" w:rsidR="00B66BB0" w:rsidRPr="00B66BB0" w:rsidRDefault="00B66BB0" w:rsidP="00B66BB0">
      <w:pPr>
        <w:ind w:firstLine="720"/>
        <w:jc w:val="both"/>
        <w:rPr>
          <w:sz w:val="24"/>
          <w:szCs w:val="24"/>
        </w:rPr>
      </w:pPr>
      <w:r w:rsidRPr="00B66BB0">
        <w:rPr>
          <w:sz w:val="24"/>
          <w:szCs w:val="24"/>
        </w:rPr>
        <w:t>While details are still scarce, we do know that the UK Bill of Rights aims to initially ignore temporary injunctions issued by the ECtHR prohibiting the transfer of migrants to Rwanda under domestic law.</w:t>
      </w:r>
    </w:p>
    <w:p w14:paraId="6FD635C7" w14:textId="77777777" w:rsidR="00B66BB0" w:rsidRPr="00B66BB0" w:rsidRDefault="00B66BB0" w:rsidP="00B66BB0">
      <w:pPr>
        <w:ind w:firstLine="720"/>
        <w:jc w:val="both"/>
        <w:rPr>
          <w:sz w:val="24"/>
          <w:szCs w:val="24"/>
        </w:rPr>
      </w:pPr>
      <w:r w:rsidRPr="00B66BB0">
        <w:rPr>
          <w:sz w:val="24"/>
          <w:szCs w:val="24"/>
        </w:rPr>
        <w:t>Second, the Bill would increase the threshold that foreign national offenders must meet to successfully challenge deportations based on the right to a private life (Article 8 of the Bill). The burden of proof lies with the offender, who must show that a qualifying family member of the offender's would suffer irreparable harm as a result of the offender's deportation, and that this harm would outweigh the overriding public interest in the offender's removal from the UK.</w:t>
      </w:r>
    </w:p>
    <w:p w14:paraId="07DA16CC" w14:textId="77777777" w:rsidR="00B66BB0" w:rsidRPr="00B66BB0" w:rsidRDefault="00B66BB0" w:rsidP="00B66BB0">
      <w:pPr>
        <w:ind w:firstLine="720"/>
        <w:jc w:val="both"/>
        <w:rPr>
          <w:sz w:val="24"/>
          <w:szCs w:val="24"/>
        </w:rPr>
      </w:pPr>
      <w:r w:rsidRPr="00B66BB0">
        <w:rPr>
          <w:sz w:val="24"/>
          <w:szCs w:val="24"/>
        </w:rPr>
        <w:t>In addition, the Law creates a new authorization phase for human rights challenges. It is essential for the victim of a human rights violation to show the court that they have suffered significant injury as a result of the violation. As it is still illegal for public power to act in a manner incompatible with Convention rights, but there is no means to determine this if no challenge is launched, this provides a considerable impediment to human rights challenges.</w:t>
      </w:r>
    </w:p>
    <w:p w14:paraId="61BC07E4" w14:textId="77777777" w:rsidR="00B66BB0" w:rsidRDefault="00B66BB0" w:rsidP="00B66BB0">
      <w:pPr>
        <w:ind w:firstLine="720"/>
        <w:jc w:val="both"/>
        <w:rPr>
          <w:sz w:val="24"/>
          <w:szCs w:val="24"/>
        </w:rPr>
      </w:pPr>
      <w:r w:rsidRPr="00B66BB0">
        <w:rPr>
          <w:sz w:val="24"/>
          <w:szCs w:val="24"/>
        </w:rPr>
        <w:t xml:space="preserve">Fourthly, judges will no longer be required to interpret all legislation (existing or future) in a way that is compatible with Convention rights. Section 3(1) of the HRA is being repealed at </w:t>
      </w:r>
      <w:r w:rsidRPr="00B66BB0">
        <w:rPr>
          <w:sz w:val="24"/>
          <w:szCs w:val="24"/>
        </w:rPr>
        <w:lastRenderedPageBreak/>
        <w:t>this time. If changing the law's plain language is essential to make it compatible with Convention rights, it can be done under Section 3. There is an argument can be made that Parliament improperly delegated power to the courts when it adopted section 3 (1), and that the Bill is restoring that power to the legislature. However, Section 3 is rarely used in practise. In the last eight years, Section 3 has been used twenty-five times, usually to fix drafting mistakes or real situations that were within the spirit of the law. So, Section 3's removal is unnecessary, as it is not a particularly far-reaching instrument.</w:t>
      </w:r>
    </w:p>
    <w:p w14:paraId="738C0484" w14:textId="7B50B1A5" w:rsidR="00B66BB0" w:rsidRDefault="00B66BB0" w:rsidP="00B66BB0">
      <w:pPr>
        <w:ind w:firstLine="720"/>
        <w:jc w:val="both"/>
        <w:rPr>
          <w:sz w:val="24"/>
          <w:szCs w:val="24"/>
        </w:rPr>
      </w:pPr>
      <w:r w:rsidRPr="00B66BB0">
        <w:rPr>
          <w:sz w:val="24"/>
          <w:szCs w:val="24"/>
        </w:rPr>
        <w:t>Last but not least, the Bill of Rights is destructive to both individual liberties and the rule of law. It will be more harder for people to express their human rights, notwithstanding the government's assertions that the Bill will restore some common sense to human rights in the UK so that the framework can meet the demands of the society it serves. Instead of promoting common sense, this dose of common sense is more of a step in the direction of authoritarianism.</w:t>
      </w:r>
    </w:p>
    <w:p w14:paraId="089B410A" w14:textId="7367E368" w:rsidR="004C7F4D" w:rsidRPr="004C7F4D" w:rsidRDefault="006C49A2" w:rsidP="004C7F4D">
      <w:pPr>
        <w:ind w:firstLine="720"/>
        <w:jc w:val="both"/>
        <w:rPr>
          <w:sz w:val="24"/>
          <w:szCs w:val="24"/>
        </w:rPr>
      </w:pPr>
      <w:r>
        <w:rPr>
          <w:sz w:val="24"/>
          <w:szCs w:val="24"/>
        </w:rPr>
        <w:t xml:space="preserve">In her article from </w:t>
      </w:r>
      <w:r>
        <w:rPr>
          <w:i/>
          <w:iCs/>
          <w:sz w:val="24"/>
          <w:szCs w:val="24"/>
        </w:rPr>
        <w:t xml:space="preserve">EachOther, </w:t>
      </w:r>
      <w:r>
        <w:rPr>
          <w:sz w:val="24"/>
          <w:szCs w:val="24"/>
        </w:rPr>
        <w:t>the editor, Emma Guy, mentioned that i</w:t>
      </w:r>
      <w:r w:rsidR="004C7F4D" w:rsidRPr="004C7F4D">
        <w:rPr>
          <w:sz w:val="24"/>
          <w:szCs w:val="24"/>
        </w:rPr>
        <w:t>n his role as justice minister before Raab, Sir Robert Buckland KC called the bill "worse than worthless," while the Conservative head of the justice committee, Sir Bob Neill, claimed it "needlessly harmed" the rights of British citizens.</w:t>
      </w:r>
    </w:p>
    <w:p w14:paraId="3F512E77" w14:textId="77777777" w:rsidR="00B66BB0" w:rsidRPr="00B66BB0" w:rsidRDefault="00B66BB0" w:rsidP="00B66BB0">
      <w:pPr>
        <w:ind w:firstLine="720"/>
        <w:jc w:val="both"/>
        <w:rPr>
          <w:sz w:val="24"/>
          <w:szCs w:val="24"/>
        </w:rPr>
      </w:pPr>
      <w:r w:rsidRPr="00B66BB0">
        <w:rPr>
          <w:sz w:val="24"/>
          <w:szCs w:val="24"/>
        </w:rPr>
        <w:t>The Welsh government, the Council of Europe, and the United Nations have all expressed their dissatisfaction, as have liberal and conservative think tanks, civil rights groups, and the Welsh Assembly. At a time when human rights are under pressure across Europe, it is concerning that the proposed law amendments could weaken protections for human rights in the United Kingdom, according to Dunja Mijatovi, the Council of Europe's commissioner for human rights (Guy, 2022).</w:t>
      </w:r>
    </w:p>
    <w:p w14:paraId="2870709C" w14:textId="77777777" w:rsidR="00B66BB0" w:rsidRPr="00B66BB0" w:rsidRDefault="00B66BB0" w:rsidP="00B66BB0">
      <w:pPr>
        <w:ind w:firstLine="720"/>
        <w:jc w:val="both"/>
        <w:rPr>
          <w:sz w:val="24"/>
          <w:szCs w:val="24"/>
        </w:rPr>
      </w:pPr>
      <w:r w:rsidRPr="00B66BB0">
        <w:rPr>
          <w:sz w:val="24"/>
          <w:szCs w:val="24"/>
        </w:rPr>
        <w:t>"The Welsh Government is opposed to any proposal to replace the Human Rights Act," Mick Antoniw, counsel general and minister for the constitution, and Jane Hutt, minister for social justice, said in a statement to the Welsh Senedd. If this were to occur, it would be disastrous for Welsh and British civil liberties (Guy, 2022).</w:t>
      </w:r>
    </w:p>
    <w:p w14:paraId="14B564A2" w14:textId="7C9CE14B" w:rsidR="006F2AE1" w:rsidRDefault="00B66BB0" w:rsidP="00B66BB0">
      <w:pPr>
        <w:ind w:firstLine="720"/>
        <w:jc w:val="both"/>
        <w:rPr>
          <w:sz w:val="24"/>
          <w:szCs w:val="24"/>
        </w:rPr>
      </w:pPr>
      <w:r w:rsidRPr="00B66BB0">
        <w:rPr>
          <w:sz w:val="24"/>
          <w:szCs w:val="24"/>
        </w:rPr>
        <w:t>If the UK were to leave Strasbourg, it would join Russia and Belarus, both of which are being probed for enormous human rights atrocities against their people before the war in Ukraine. As former Supreme Court justice Lord John Dyson put it, "international reputation as a country that upholds the rule of law and human rights" could be at stake if the Bill is passed (Croft and Cameron, 2022).</w:t>
      </w:r>
    </w:p>
    <w:p w14:paraId="3F5F441F" w14:textId="44C522B1" w:rsidR="006F2AE1" w:rsidRDefault="006F2AE1" w:rsidP="006F2AE1">
      <w:pPr>
        <w:ind w:firstLine="720"/>
        <w:jc w:val="both"/>
        <w:rPr>
          <w:sz w:val="24"/>
          <w:szCs w:val="24"/>
        </w:rPr>
      </w:pPr>
    </w:p>
    <w:p w14:paraId="59D0BA70" w14:textId="0587A6E6" w:rsidR="006F2AE1" w:rsidRDefault="006F2AE1" w:rsidP="006F2AE1">
      <w:pPr>
        <w:ind w:firstLine="720"/>
        <w:jc w:val="both"/>
        <w:rPr>
          <w:sz w:val="24"/>
          <w:szCs w:val="24"/>
        </w:rPr>
      </w:pPr>
    </w:p>
    <w:p w14:paraId="401A7CB4" w14:textId="77777777" w:rsidR="00B66BB0" w:rsidRDefault="00B66BB0" w:rsidP="006F2AE1">
      <w:pPr>
        <w:ind w:firstLine="720"/>
        <w:jc w:val="both"/>
        <w:rPr>
          <w:sz w:val="24"/>
          <w:szCs w:val="24"/>
        </w:rPr>
      </w:pPr>
    </w:p>
    <w:p w14:paraId="4218EEB4" w14:textId="518A3F1D" w:rsidR="006F2AE1" w:rsidRDefault="006F2AE1" w:rsidP="006F2AE1">
      <w:pPr>
        <w:ind w:firstLine="720"/>
        <w:jc w:val="both"/>
        <w:rPr>
          <w:sz w:val="24"/>
          <w:szCs w:val="24"/>
        </w:rPr>
      </w:pPr>
    </w:p>
    <w:p w14:paraId="25478F55" w14:textId="45526BD3" w:rsidR="0064348F" w:rsidRDefault="0064348F" w:rsidP="00D90B17">
      <w:pPr>
        <w:jc w:val="both"/>
        <w:rPr>
          <w:sz w:val="24"/>
          <w:szCs w:val="24"/>
        </w:rPr>
      </w:pPr>
    </w:p>
    <w:p w14:paraId="5EAD97EB" w14:textId="68EA667C" w:rsidR="0064348F" w:rsidRPr="006F2AE1" w:rsidRDefault="0064348F" w:rsidP="00D90B17">
      <w:pPr>
        <w:jc w:val="both"/>
        <w:rPr>
          <w:b/>
          <w:bCs/>
          <w:i/>
          <w:iCs/>
          <w:sz w:val="24"/>
          <w:szCs w:val="24"/>
          <w:u w:val="single"/>
        </w:rPr>
      </w:pPr>
      <w:r w:rsidRPr="006F2AE1">
        <w:rPr>
          <w:b/>
          <w:bCs/>
          <w:i/>
          <w:iCs/>
          <w:sz w:val="24"/>
          <w:szCs w:val="24"/>
          <w:u w:val="single"/>
        </w:rPr>
        <w:lastRenderedPageBreak/>
        <w:t>REFERENCES:</w:t>
      </w:r>
    </w:p>
    <w:p w14:paraId="415A1C7E" w14:textId="76EF3892" w:rsidR="000F2117" w:rsidRPr="000F2117" w:rsidRDefault="000F2117" w:rsidP="000F2117">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F2117">
        <w:rPr>
          <w:rFonts w:ascii="Times New Roman" w:eastAsia="Times New Roman" w:hAnsi="Times New Roman" w:cs="Times New Roman"/>
          <w:sz w:val="24"/>
          <w:szCs w:val="24"/>
          <w:lang w:eastAsia="en-GB"/>
        </w:rPr>
        <w:t xml:space="preserve">Croft, J. and Cameron-Chileshe, J. (2022) </w:t>
      </w:r>
      <w:r w:rsidRPr="000F2117">
        <w:rPr>
          <w:rFonts w:ascii="Times New Roman" w:eastAsia="Times New Roman" w:hAnsi="Times New Roman" w:cs="Times New Roman"/>
          <w:i/>
          <w:iCs/>
          <w:sz w:val="24"/>
          <w:szCs w:val="24"/>
          <w:lang w:eastAsia="en-GB"/>
        </w:rPr>
        <w:t>Revived bill of rights faces opposition in both houses of Parliament</w:t>
      </w:r>
      <w:r w:rsidRPr="000F2117">
        <w:rPr>
          <w:rFonts w:ascii="Times New Roman" w:eastAsia="Times New Roman" w:hAnsi="Times New Roman" w:cs="Times New Roman"/>
          <w:sz w:val="24"/>
          <w:szCs w:val="24"/>
          <w:lang w:eastAsia="en-GB"/>
        </w:rPr>
        <w:t xml:space="preserve">. Financial Times. Available at: https://www.ft.com/content/e552daa6-d352-4dff-96ad-02a3a37c1ae7 (Accessed: March 10, 2023). </w:t>
      </w:r>
    </w:p>
    <w:p w14:paraId="0F7E5543" w14:textId="2A17BC0E" w:rsidR="00E253C9" w:rsidRDefault="00E253C9" w:rsidP="00E253C9">
      <w:pPr>
        <w:pStyle w:val="NormalWeb"/>
        <w:ind w:left="567" w:hanging="567"/>
      </w:pPr>
      <w:r>
        <w:t xml:space="preserve">Donald, A. (2022) </w:t>
      </w:r>
      <w:r>
        <w:rPr>
          <w:i/>
          <w:iCs/>
        </w:rPr>
        <w:t>The bill of rights bill</w:t>
      </w:r>
      <w:r>
        <w:t xml:space="preserve">, </w:t>
      </w:r>
      <w:r>
        <w:rPr>
          <w:i/>
          <w:iCs/>
        </w:rPr>
        <w:t>UK in a changing Europe</w:t>
      </w:r>
      <w:r>
        <w:t xml:space="preserve">. Available at: https://ukandeu.ac.uk/explainers/the-bill-of-rights-bill/ (Accessed: March 7, 2023). </w:t>
      </w:r>
    </w:p>
    <w:p w14:paraId="6B963CAD" w14:textId="2E98ABFD" w:rsidR="00654192" w:rsidRDefault="00654192" w:rsidP="00654192">
      <w:pPr>
        <w:pStyle w:val="NormalWeb"/>
        <w:ind w:left="567" w:hanging="567"/>
      </w:pPr>
      <w:r>
        <w:t xml:space="preserve">Foweles, S. (2022) </w:t>
      </w:r>
      <w:r>
        <w:rPr>
          <w:i/>
          <w:iCs/>
        </w:rPr>
        <w:t>Overruled: Confronting Our Vanishing Democracy in 8 Cases</w:t>
      </w:r>
      <w:r>
        <w:t xml:space="preserve">. London: Oneworld Publications. </w:t>
      </w:r>
    </w:p>
    <w:p w14:paraId="320AD51D" w14:textId="6FC02E00" w:rsidR="00654192" w:rsidRDefault="00654192" w:rsidP="00654192">
      <w:pPr>
        <w:pStyle w:val="NormalWeb"/>
        <w:ind w:left="567" w:hanging="567"/>
      </w:pPr>
      <w:r>
        <w:t xml:space="preserve">GOV.UK (2022) </w:t>
      </w:r>
      <w:r>
        <w:rPr>
          <w:i/>
          <w:iCs/>
        </w:rPr>
        <w:t>Bill of Rights: Bill Documents</w:t>
      </w:r>
      <w:r>
        <w:t xml:space="preserve">. Available at: https://www.gov.uk/government/publications/bill-of-rights-bill-documents (Accessed: March 7, 2023). </w:t>
      </w:r>
    </w:p>
    <w:p w14:paraId="7C999632" w14:textId="77777777" w:rsidR="00E253C9" w:rsidRDefault="00E253C9" w:rsidP="00E253C9">
      <w:pPr>
        <w:pStyle w:val="NormalWeb"/>
        <w:ind w:left="567" w:hanging="567"/>
      </w:pPr>
      <w:r>
        <w:t xml:space="preserve">GOV.UK (2022) </w:t>
      </w:r>
      <w:r>
        <w:rPr>
          <w:i/>
          <w:iCs/>
        </w:rPr>
        <w:t>Human rights act reform: A modern bill of rights - consultation</w:t>
      </w:r>
      <w:r>
        <w:t xml:space="preserve">, </w:t>
      </w:r>
      <w:r>
        <w:rPr>
          <w:i/>
          <w:iCs/>
        </w:rPr>
        <w:t>GOV.UK</w:t>
      </w:r>
      <w:r>
        <w:t xml:space="preserve">. Available at: https://www.gov.uk/government/consultations/human-rights-act-reform-a-modern-bill-of-rights/human-rights-act-reform-a-modern-bill-of-rights-consultation (Accessed: March 7, 2023). </w:t>
      </w:r>
    </w:p>
    <w:p w14:paraId="2B23F879" w14:textId="386C3F32" w:rsidR="00E253C9" w:rsidRDefault="00E253C9" w:rsidP="00E253C9">
      <w:pPr>
        <w:pStyle w:val="NormalWeb"/>
        <w:ind w:left="567" w:hanging="567"/>
      </w:pPr>
      <w:r>
        <w:t xml:space="preserve">Greater Manchester Law Centre </w:t>
      </w:r>
      <w:r>
        <w:rPr>
          <w:i/>
          <w:iCs/>
        </w:rPr>
        <w:t>et al.</w:t>
      </w:r>
      <w:r>
        <w:t xml:space="preserve"> (2022) </w:t>
      </w:r>
      <w:r>
        <w:rPr>
          <w:i/>
          <w:iCs/>
        </w:rPr>
        <w:t>The bill of rights: What does it mean for human rights?</w:t>
      </w:r>
      <w:r w:rsidR="00654192">
        <w:t xml:space="preserve">, </w:t>
      </w:r>
      <w:r>
        <w:t xml:space="preserve">Available at: https://www.gmlaw.org.uk/2022/07/06/the-bill-of-rights-what-does-it-mean-for-human-rights/ (Accessed: March 7, 2023). </w:t>
      </w:r>
    </w:p>
    <w:p w14:paraId="1DFFFA9F" w14:textId="77777777" w:rsidR="00E253C9" w:rsidRDefault="00E253C9" w:rsidP="00E253C9">
      <w:pPr>
        <w:pStyle w:val="NormalWeb"/>
        <w:ind w:left="567" w:hanging="567"/>
      </w:pPr>
      <w:r>
        <w:t xml:space="preserve">Guy, E. (2022) </w:t>
      </w:r>
      <w:r>
        <w:rPr>
          <w:i/>
          <w:iCs/>
        </w:rPr>
        <w:t>What will the return of the Bill of Rights Mean for the UK?</w:t>
      </w:r>
      <w:r>
        <w:t xml:space="preserve">, </w:t>
      </w:r>
      <w:r>
        <w:rPr>
          <w:i/>
          <w:iCs/>
        </w:rPr>
        <w:t>EachOther</w:t>
      </w:r>
      <w:r>
        <w:t xml:space="preserve">. Available at: https://eachother.org.uk/the-bill-of-rights-is-set-to-return-what-does-it-mean-for-our-human-rights/ (Accessed: March 7, 2023). </w:t>
      </w:r>
    </w:p>
    <w:p w14:paraId="003E763D" w14:textId="73EB89EA" w:rsidR="00E253C9" w:rsidRDefault="00E253C9" w:rsidP="00E253C9">
      <w:pPr>
        <w:pStyle w:val="NormalWeb"/>
        <w:ind w:left="567" w:hanging="567"/>
      </w:pPr>
      <w:r>
        <w:t xml:space="preserve">Hickman, T. (2022) </w:t>
      </w:r>
      <w:r>
        <w:rPr>
          <w:i/>
          <w:iCs/>
        </w:rPr>
        <w:t>Tom Hickman · a UK bill of rights? · LRB 24 March 2022</w:t>
      </w:r>
      <w:r>
        <w:t xml:space="preserve">, </w:t>
      </w:r>
      <w:r>
        <w:rPr>
          <w:i/>
          <w:iCs/>
        </w:rPr>
        <w:t>London Review of Books</w:t>
      </w:r>
      <w:r>
        <w:t xml:space="preserve">. London Review of Books. Available at: https://www.lrb.co.uk/the-paper/v44/n06/tom-hickman/a-uk-bill-of-rights (Accessed: March 7, 2023). </w:t>
      </w:r>
    </w:p>
    <w:p w14:paraId="2E16D8C2" w14:textId="45E9D2F2" w:rsidR="00654192" w:rsidRDefault="00654192" w:rsidP="00E253C9">
      <w:pPr>
        <w:pStyle w:val="NormalWeb"/>
        <w:ind w:left="567" w:hanging="567"/>
      </w:pPr>
      <w:r w:rsidRPr="00654192">
        <w:t>JUSTICE</w:t>
      </w:r>
      <w:r>
        <w:t xml:space="preserve"> </w:t>
      </w:r>
      <w:r w:rsidRPr="00654192">
        <w:t>(2015),</w:t>
      </w:r>
      <w:r>
        <w:rPr>
          <w:i/>
          <w:iCs/>
        </w:rPr>
        <w:t xml:space="preserve"> UK compliance on International Human Rights Law</w:t>
      </w:r>
      <w:r>
        <w:t>. Available at: https://justice.org.uk/our-work/uk-compliance-international-human-rights-law/ (Accessed: March 7, 2023).</w:t>
      </w:r>
    </w:p>
    <w:p w14:paraId="364E70E5" w14:textId="038A1817" w:rsidR="006C49A2" w:rsidRDefault="006C49A2" w:rsidP="006C49A2">
      <w:pPr>
        <w:pStyle w:val="NormalWeb"/>
        <w:ind w:left="567" w:hanging="567"/>
      </w:pPr>
      <w:r w:rsidRPr="00F00522">
        <w:t>LawTeacher</w:t>
      </w:r>
      <w:r>
        <w:t xml:space="preserve"> (</w:t>
      </w:r>
      <w:r w:rsidRPr="00F00522">
        <w:t>2013</w:t>
      </w:r>
      <w:r>
        <w:t>)</w:t>
      </w:r>
      <w:r w:rsidRPr="00F00522">
        <w:t xml:space="preserve"> </w:t>
      </w:r>
      <w:r w:rsidRPr="00F00522">
        <w:rPr>
          <w:i/>
          <w:iCs/>
        </w:rPr>
        <w:t>European Communities Act 1972</w:t>
      </w:r>
      <w:r w:rsidRPr="00F00522">
        <w:t>. Available from: https://www.lawteacher.net/acts/european-communities-act-1972.php?vref=1 [Accessed 7 March 2023].</w:t>
      </w:r>
    </w:p>
    <w:p w14:paraId="63CADC2E" w14:textId="640AD19C" w:rsidR="000F2117" w:rsidRPr="000F2117" w:rsidRDefault="000F2117" w:rsidP="000F2117">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F2117">
        <w:rPr>
          <w:rFonts w:ascii="Times New Roman" w:eastAsia="Times New Roman" w:hAnsi="Times New Roman" w:cs="Times New Roman"/>
          <w:sz w:val="24"/>
          <w:szCs w:val="24"/>
          <w:lang w:eastAsia="en-GB"/>
        </w:rPr>
        <w:t>Legislation.gov.uk</w:t>
      </w:r>
      <w:r>
        <w:rPr>
          <w:rFonts w:ascii="Times New Roman" w:eastAsia="Times New Roman" w:hAnsi="Times New Roman" w:cs="Times New Roman"/>
          <w:sz w:val="24"/>
          <w:szCs w:val="24"/>
          <w:lang w:eastAsia="en-GB"/>
        </w:rPr>
        <w:t>,</w:t>
      </w:r>
      <w:r w:rsidRPr="000F2117">
        <w:rPr>
          <w:rFonts w:ascii="Times New Roman" w:eastAsia="Times New Roman" w:hAnsi="Times New Roman" w:cs="Times New Roman"/>
          <w:sz w:val="24"/>
          <w:szCs w:val="24"/>
          <w:lang w:eastAsia="en-GB"/>
        </w:rPr>
        <w:t xml:space="preserve"> </w:t>
      </w:r>
      <w:r w:rsidRPr="000F2117">
        <w:rPr>
          <w:rFonts w:ascii="Times New Roman" w:eastAsia="Times New Roman" w:hAnsi="Times New Roman" w:cs="Times New Roman"/>
          <w:i/>
          <w:iCs/>
          <w:sz w:val="24"/>
          <w:szCs w:val="24"/>
          <w:lang w:eastAsia="en-GB"/>
        </w:rPr>
        <w:t>Claim of right act 1689</w:t>
      </w:r>
      <w:r w:rsidRPr="000F2117">
        <w:rPr>
          <w:rFonts w:ascii="Times New Roman" w:eastAsia="Times New Roman" w:hAnsi="Times New Roman" w:cs="Times New Roman"/>
          <w:sz w:val="24"/>
          <w:szCs w:val="24"/>
          <w:lang w:eastAsia="en-GB"/>
        </w:rPr>
        <w:t xml:space="preserve">. Available at: https://www.legislation.gov.uk/aosp/1689/28 (Accessed: March 10, 2023). </w:t>
      </w:r>
    </w:p>
    <w:p w14:paraId="60CC4B81" w14:textId="17223C62" w:rsidR="006C49A2" w:rsidRDefault="006C49A2" w:rsidP="006C49A2">
      <w:pPr>
        <w:pStyle w:val="NormalWeb"/>
        <w:ind w:left="567" w:hanging="567"/>
      </w:pPr>
      <w:r w:rsidRPr="00654192">
        <w:t>Legislation</w:t>
      </w:r>
      <w:r w:rsidRPr="006C49A2">
        <w:t>.gov.uk</w:t>
      </w:r>
      <w:r>
        <w:t xml:space="preserve">, </w:t>
      </w:r>
      <w:r w:rsidRPr="006C49A2">
        <w:rPr>
          <w:i/>
          <w:iCs/>
        </w:rPr>
        <w:t>European Communities Act 1972 (repealed)</w:t>
      </w:r>
      <w:r w:rsidRPr="006C49A2">
        <w:t xml:space="preserve"> Available at: https://www.legislation.gov.uk/ukpga/1972/68/contents (Accessed: March 7, 2023). </w:t>
      </w:r>
    </w:p>
    <w:p w14:paraId="1F613880" w14:textId="4521C180" w:rsidR="006C49A2" w:rsidRDefault="006C49A2" w:rsidP="006C49A2">
      <w:pPr>
        <w:pStyle w:val="NormalWeb"/>
        <w:ind w:left="567" w:hanging="567"/>
      </w:pPr>
      <w:r w:rsidRPr="00654192">
        <w:lastRenderedPageBreak/>
        <w:t>Legislation</w:t>
      </w:r>
      <w:r w:rsidRPr="006C49A2">
        <w:t>.gov.uk</w:t>
      </w:r>
      <w:r>
        <w:t xml:space="preserve">, </w:t>
      </w:r>
      <w:r w:rsidRPr="006C49A2">
        <w:rPr>
          <w:i/>
          <w:iCs/>
        </w:rPr>
        <w:t>European Union (withdrawal) act 2018</w:t>
      </w:r>
      <w:r w:rsidRPr="006C49A2">
        <w:t xml:space="preserve">. Available at: https://www.legislation.gov.uk/ukpga/2018/16/contents/enacted (Accessed: March 7, 2023). </w:t>
      </w:r>
    </w:p>
    <w:p w14:paraId="5DC6443E" w14:textId="63FA96EC" w:rsidR="006C49A2" w:rsidRDefault="006C49A2" w:rsidP="006C49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54192">
        <w:rPr>
          <w:rFonts w:ascii="Times New Roman" w:eastAsia="Times New Roman" w:hAnsi="Times New Roman" w:cs="Times New Roman"/>
          <w:sz w:val="24"/>
          <w:szCs w:val="24"/>
          <w:lang w:eastAsia="en-GB"/>
        </w:rPr>
        <w:t>Legislation</w:t>
      </w:r>
      <w:r w:rsidRPr="006C49A2">
        <w:rPr>
          <w:rFonts w:ascii="Times New Roman" w:eastAsia="Times New Roman" w:hAnsi="Times New Roman" w:cs="Times New Roman"/>
          <w:sz w:val="24"/>
          <w:szCs w:val="24"/>
          <w:lang w:eastAsia="en-GB"/>
        </w:rPr>
        <w:t>.gov.uk</w:t>
      </w:r>
      <w:r>
        <w:rPr>
          <w:rFonts w:ascii="Times New Roman" w:eastAsia="Times New Roman" w:hAnsi="Times New Roman" w:cs="Times New Roman"/>
          <w:i/>
          <w:iCs/>
          <w:sz w:val="24"/>
          <w:szCs w:val="24"/>
          <w:lang w:eastAsia="en-GB"/>
        </w:rPr>
        <w:t xml:space="preserve">, </w:t>
      </w:r>
      <w:r w:rsidRPr="00654192">
        <w:rPr>
          <w:rFonts w:ascii="Times New Roman" w:eastAsia="Times New Roman" w:hAnsi="Times New Roman" w:cs="Times New Roman"/>
          <w:i/>
          <w:iCs/>
          <w:sz w:val="24"/>
          <w:szCs w:val="24"/>
          <w:lang w:eastAsia="en-GB"/>
        </w:rPr>
        <w:t>Human rights act 1998</w:t>
      </w:r>
      <w:r w:rsidRPr="00654192">
        <w:rPr>
          <w:rFonts w:ascii="Times New Roman" w:eastAsia="Times New Roman" w:hAnsi="Times New Roman" w:cs="Times New Roman"/>
          <w:sz w:val="24"/>
          <w:szCs w:val="24"/>
          <w:lang w:eastAsia="en-GB"/>
        </w:rPr>
        <w:t xml:space="preserve"> Available at: https://www.legislation.gov.uk/ukpga/1998/42/contents (Accessed: March 7, 2023). </w:t>
      </w:r>
    </w:p>
    <w:p w14:paraId="1F7CC682" w14:textId="52A31F95" w:rsidR="000F2117" w:rsidRPr="00654192" w:rsidRDefault="000F2117" w:rsidP="000F2117">
      <w:pPr>
        <w:pStyle w:val="NormalWeb"/>
        <w:ind w:left="567" w:hanging="567"/>
      </w:pPr>
      <w:r w:rsidRPr="000F2117">
        <w:t>Libertyhumanrights.org.uk</w:t>
      </w:r>
      <w:r>
        <w:t xml:space="preserve"> (2022)</w:t>
      </w:r>
      <w:r w:rsidRPr="000F2117">
        <w:t xml:space="preserve">, </w:t>
      </w:r>
      <w:r>
        <w:rPr>
          <w:i/>
          <w:iCs/>
        </w:rPr>
        <w:t>3 facts that expose the government's Bill of Rights as a Rights Removal Bill</w:t>
      </w:r>
      <w:r>
        <w:t xml:space="preserve">. Available at: https://www.libertyhumanrights.org.uk/issue/3-facts-that-expose-the-governments-bill-of-rights-as-a-rights-removal-bill/ (Accessed: March 7, 2023). </w:t>
      </w:r>
    </w:p>
    <w:p w14:paraId="7CD50B00" w14:textId="4935432F" w:rsidR="00654192" w:rsidRDefault="00654192" w:rsidP="006C49A2">
      <w:pPr>
        <w:pStyle w:val="NormalWeb"/>
        <w:ind w:left="567" w:hanging="567"/>
      </w:pPr>
      <w:r>
        <w:t xml:space="preserve">Masterman, R. and Murray, C. (2022) </w:t>
      </w:r>
      <w:r>
        <w:rPr>
          <w:i/>
          <w:iCs/>
        </w:rPr>
        <w:t>Constitutional and Administrative Law</w:t>
      </w:r>
      <w:r>
        <w:t xml:space="preserve">. 3rd edn. Cambridge: Cambridge University Press. </w:t>
      </w:r>
    </w:p>
    <w:p w14:paraId="4791D588" w14:textId="77777777" w:rsidR="00654192" w:rsidRDefault="00E253C9" w:rsidP="00654192">
      <w:pPr>
        <w:pStyle w:val="NormalWeb"/>
        <w:ind w:left="567" w:hanging="567"/>
      </w:pPr>
      <w:r>
        <w:t xml:space="preserve">Parsons, S. (2022) </w:t>
      </w:r>
      <w:r>
        <w:rPr>
          <w:i/>
          <w:iCs/>
        </w:rPr>
        <w:t>Bill of Rights: Good or bad for human rights?</w:t>
      </w:r>
      <w:r>
        <w:t xml:space="preserve">, </w:t>
      </w:r>
      <w:r>
        <w:rPr>
          <w:i/>
          <w:iCs/>
        </w:rPr>
        <w:t>Law Gazette</w:t>
      </w:r>
      <w:r>
        <w:t xml:space="preserve">. Available at: https://www.lawgazette.co.uk/practice-points/bill-of-rights-good-or-bad-for-human-rights/5113444.article (Accessed: March 7, 2023). </w:t>
      </w:r>
    </w:p>
    <w:p w14:paraId="7C34E096" w14:textId="08E4AB71" w:rsidR="00654192" w:rsidRDefault="00654192" w:rsidP="00654192">
      <w:pPr>
        <w:pStyle w:val="NormalWeb"/>
        <w:ind w:left="567" w:hanging="567"/>
      </w:pPr>
      <w:r w:rsidRPr="00654192">
        <w:t>The Law Society (2022),</w:t>
      </w:r>
      <w:r>
        <w:rPr>
          <w:i/>
          <w:iCs/>
        </w:rPr>
        <w:t xml:space="preserve"> Human rights act reforms and the Bill of Rights Bill</w:t>
      </w:r>
      <w:r>
        <w:t xml:space="preserve">. Available at: https://www.lawsociety.org.uk/topics/human-rights/human-rights-act-reforms (Accessed: March 7, 2023). </w:t>
      </w:r>
    </w:p>
    <w:p w14:paraId="2C79EE6E" w14:textId="77777777" w:rsidR="00E253C9" w:rsidRDefault="00E253C9" w:rsidP="00E253C9">
      <w:pPr>
        <w:pStyle w:val="NormalWeb"/>
        <w:ind w:left="567" w:hanging="567"/>
      </w:pPr>
      <w:r>
        <w:t xml:space="preserve">Zoethout, C. (2022) </w:t>
      </w:r>
      <w:r>
        <w:rPr>
          <w:i/>
          <w:iCs/>
        </w:rPr>
        <w:t>A new Bill of Rights for the UK. Two courts, two “masters”?</w:t>
      </w:r>
      <w:r>
        <w:t xml:space="preserve">, </w:t>
      </w:r>
      <w:r>
        <w:rPr>
          <w:i/>
          <w:iCs/>
        </w:rPr>
        <w:t>Blog of the International Journal of Constitutional Law</w:t>
      </w:r>
      <w:r>
        <w:t xml:space="preserve">. Available at: http://www.iconnectblog.com/2022/08/a-new-bill-of-rights-for-the-uk-two-courts-two-masters/ (Accessed: March 7, 2023). </w:t>
      </w:r>
    </w:p>
    <w:sectPr w:rsidR="00E253C9" w:rsidSect="00F524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92"/>
    <w:rsid w:val="000D3024"/>
    <w:rsid w:val="000F2117"/>
    <w:rsid w:val="001A0AE2"/>
    <w:rsid w:val="001E1C9E"/>
    <w:rsid w:val="0023558D"/>
    <w:rsid w:val="00240C00"/>
    <w:rsid w:val="002D373B"/>
    <w:rsid w:val="003204F7"/>
    <w:rsid w:val="003C3147"/>
    <w:rsid w:val="004C7F4D"/>
    <w:rsid w:val="004D0C7E"/>
    <w:rsid w:val="00575992"/>
    <w:rsid w:val="00624D46"/>
    <w:rsid w:val="0064348F"/>
    <w:rsid w:val="00654192"/>
    <w:rsid w:val="006804BD"/>
    <w:rsid w:val="006C49A2"/>
    <w:rsid w:val="006F2AE1"/>
    <w:rsid w:val="00796F8A"/>
    <w:rsid w:val="00907A07"/>
    <w:rsid w:val="009318A5"/>
    <w:rsid w:val="009773EE"/>
    <w:rsid w:val="00990F1D"/>
    <w:rsid w:val="00A67650"/>
    <w:rsid w:val="00B66BB0"/>
    <w:rsid w:val="00B86746"/>
    <w:rsid w:val="00CC1630"/>
    <w:rsid w:val="00D90B17"/>
    <w:rsid w:val="00E253C9"/>
    <w:rsid w:val="00F00522"/>
    <w:rsid w:val="00F524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FAF1"/>
  <w15:chartTrackingRefBased/>
  <w15:docId w15:val="{9DA4B329-D0C6-4646-BC5A-0A8E1479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4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242">
      <w:bodyDiv w:val="1"/>
      <w:marLeft w:val="0"/>
      <w:marRight w:val="0"/>
      <w:marTop w:val="0"/>
      <w:marBottom w:val="0"/>
      <w:divBdr>
        <w:top w:val="none" w:sz="0" w:space="0" w:color="auto"/>
        <w:left w:val="none" w:sz="0" w:space="0" w:color="auto"/>
        <w:bottom w:val="none" w:sz="0" w:space="0" w:color="auto"/>
        <w:right w:val="none" w:sz="0" w:space="0" w:color="auto"/>
      </w:divBdr>
    </w:div>
    <w:div w:id="188034203">
      <w:bodyDiv w:val="1"/>
      <w:marLeft w:val="0"/>
      <w:marRight w:val="0"/>
      <w:marTop w:val="0"/>
      <w:marBottom w:val="0"/>
      <w:divBdr>
        <w:top w:val="none" w:sz="0" w:space="0" w:color="auto"/>
        <w:left w:val="none" w:sz="0" w:space="0" w:color="auto"/>
        <w:bottom w:val="none" w:sz="0" w:space="0" w:color="auto"/>
        <w:right w:val="none" w:sz="0" w:space="0" w:color="auto"/>
      </w:divBdr>
    </w:div>
    <w:div w:id="660737245">
      <w:bodyDiv w:val="1"/>
      <w:marLeft w:val="0"/>
      <w:marRight w:val="0"/>
      <w:marTop w:val="0"/>
      <w:marBottom w:val="0"/>
      <w:divBdr>
        <w:top w:val="none" w:sz="0" w:space="0" w:color="auto"/>
        <w:left w:val="none" w:sz="0" w:space="0" w:color="auto"/>
        <w:bottom w:val="none" w:sz="0" w:space="0" w:color="auto"/>
        <w:right w:val="none" w:sz="0" w:space="0" w:color="auto"/>
      </w:divBdr>
    </w:div>
    <w:div w:id="719017202">
      <w:bodyDiv w:val="1"/>
      <w:marLeft w:val="0"/>
      <w:marRight w:val="0"/>
      <w:marTop w:val="0"/>
      <w:marBottom w:val="0"/>
      <w:divBdr>
        <w:top w:val="none" w:sz="0" w:space="0" w:color="auto"/>
        <w:left w:val="none" w:sz="0" w:space="0" w:color="auto"/>
        <w:bottom w:val="none" w:sz="0" w:space="0" w:color="auto"/>
        <w:right w:val="none" w:sz="0" w:space="0" w:color="auto"/>
      </w:divBdr>
    </w:div>
    <w:div w:id="720250453">
      <w:bodyDiv w:val="1"/>
      <w:marLeft w:val="0"/>
      <w:marRight w:val="0"/>
      <w:marTop w:val="0"/>
      <w:marBottom w:val="0"/>
      <w:divBdr>
        <w:top w:val="none" w:sz="0" w:space="0" w:color="auto"/>
        <w:left w:val="none" w:sz="0" w:space="0" w:color="auto"/>
        <w:bottom w:val="none" w:sz="0" w:space="0" w:color="auto"/>
        <w:right w:val="none" w:sz="0" w:space="0" w:color="auto"/>
      </w:divBdr>
    </w:div>
    <w:div w:id="954483073">
      <w:bodyDiv w:val="1"/>
      <w:marLeft w:val="0"/>
      <w:marRight w:val="0"/>
      <w:marTop w:val="0"/>
      <w:marBottom w:val="0"/>
      <w:divBdr>
        <w:top w:val="none" w:sz="0" w:space="0" w:color="auto"/>
        <w:left w:val="none" w:sz="0" w:space="0" w:color="auto"/>
        <w:bottom w:val="none" w:sz="0" w:space="0" w:color="auto"/>
        <w:right w:val="none" w:sz="0" w:space="0" w:color="auto"/>
      </w:divBdr>
    </w:div>
    <w:div w:id="1167983120">
      <w:bodyDiv w:val="1"/>
      <w:marLeft w:val="0"/>
      <w:marRight w:val="0"/>
      <w:marTop w:val="0"/>
      <w:marBottom w:val="0"/>
      <w:divBdr>
        <w:top w:val="none" w:sz="0" w:space="0" w:color="auto"/>
        <w:left w:val="none" w:sz="0" w:space="0" w:color="auto"/>
        <w:bottom w:val="none" w:sz="0" w:space="0" w:color="auto"/>
        <w:right w:val="none" w:sz="0" w:space="0" w:color="auto"/>
      </w:divBdr>
    </w:div>
    <w:div w:id="1349600132">
      <w:bodyDiv w:val="1"/>
      <w:marLeft w:val="0"/>
      <w:marRight w:val="0"/>
      <w:marTop w:val="0"/>
      <w:marBottom w:val="0"/>
      <w:divBdr>
        <w:top w:val="none" w:sz="0" w:space="0" w:color="auto"/>
        <w:left w:val="none" w:sz="0" w:space="0" w:color="auto"/>
        <w:bottom w:val="none" w:sz="0" w:space="0" w:color="auto"/>
        <w:right w:val="none" w:sz="0" w:space="0" w:color="auto"/>
      </w:divBdr>
    </w:div>
    <w:div w:id="1494831222">
      <w:bodyDiv w:val="1"/>
      <w:marLeft w:val="0"/>
      <w:marRight w:val="0"/>
      <w:marTop w:val="0"/>
      <w:marBottom w:val="0"/>
      <w:divBdr>
        <w:top w:val="none" w:sz="0" w:space="0" w:color="auto"/>
        <w:left w:val="none" w:sz="0" w:space="0" w:color="auto"/>
        <w:bottom w:val="none" w:sz="0" w:space="0" w:color="auto"/>
        <w:right w:val="none" w:sz="0" w:space="0" w:color="auto"/>
      </w:divBdr>
    </w:div>
    <w:div w:id="1564944322">
      <w:bodyDiv w:val="1"/>
      <w:marLeft w:val="0"/>
      <w:marRight w:val="0"/>
      <w:marTop w:val="0"/>
      <w:marBottom w:val="0"/>
      <w:divBdr>
        <w:top w:val="none" w:sz="0" w:space="0" w:color="auto"/>
        <w:left w:val="none" w:sz="0" w:space="0" w:color="auto"/>
        <w:bottom w:val="none" w:sz="0" w:space="0" w:color="auto"/>
        <w:right w:val="none" w:sz="0" w:space="0" w:color="auto"/>
      </w:divBdr>
    </w:div>
    <w:div w:id="1629315780">
      <w:bodyDiv w:val="1"/>
      <w:marLeft w:val="0"/>
      <w:marRight w:val="0"/>
      <w:marTop w:val="0"/>
      <w:marBottom w:val="0"/>
      <w:divBdr>
        <w:top w:val="none" w:sz="0" w:space="0" w:color="auto"/>
        <w:left w:val="none" w:sz="0" w:space="0" w:color="auto"/>
        <w:bottom w:val="none" w:sz="0" w:space="0" w:color="auto"/>
        <w:right w:val="none" w:sz="0" w:space="0" w:color="auto"/>
      </w:divBdr>
    </w:div>
    <w:div w:id="1854369579">
      <w:bodyDiv w:val="1"/>
      <w:marLeft w:val="0"/>
      <w:marRight w:val="0"/>
      <w:marTop w:val="0"/>
      <w:marBottom w:val="0"/>
      <w:divBdr>
        <w:top w:val="none" w:sz="0" w:space="0" w:color="auto"/>
        <w:left w:val="none" w:sz="0" w:space="0" w:color="auto"/>
        <w:bottom w:val="none" w:sz="0" w:space="0" w:color="auto"/>
        <w:right w:val="none" w:sz="0" w:space="0" w:color="auto"/>
      </w:divBdr>
    </w:div>
    <w:div w:id="1864588776">
      <w:bodyDiv w:val="1"/>
      <w:marLeft w:val="0"/>
      <w:marRight w:val="0"/>
      <w:marTop w:val="0"/>
      <w:marBottom w:val="0"/>
      <w:divBdr>
        <w:top w:val="none" w:sz="0" w:space="0" w:color="auto"/>
        <w:left w:val="none" w:sz="0" w:space="0" w:color="auto"/>
        <w:bottom w:val="none" w:sz="0" w:space="0" w:color="auto"/>
        <w:right w:val="none" w:sz="0" w:space="0" w:color="auto"/>
      </w:divBdr>
    </w:div>
    <w:div w:id="1962301618">
      <w:bodyDiv w:val="1"/>
      <w:marLeft w:val="0"/>
      <w:marRight w:val="0"/>
      <w:marTop w:val="0"/>
      <w:marBottom w:val="0"/>
      <w:divBdr>
        <w:top w:val="none" w:sz="0" w:space="0" w:color="auto"/>
        <w:left w:val="none" w:sz="0" w:space="0" w:color="auto"/>
        <w:bottom w:val="none" w:sz="0" w:space="0" w:color="auto"/>
        <w:right w:val="none" w:sz="0" w:space="0" w:color="auto"/>
      </w:divBdr>
    </w:div>
    <w:div w:id="1998537732">
      <w:bodyDiv w:val="1"/>
      <w:marLeft w:val="0"/>
      <w:marRight w:val="0"/>
      <w:marTop w:val="0"/>
      <w:marBottom w:val="0"/>
      <w:divBdr>
        <w:top w:val="none" w:sz="0" w:space="0" w:color="auto"/>
        <w:left w:val="none" w:sz="0" w:space="0" w:color="auto"/>
        <w:bottom w:val="none" w:sz="0" w:space="0" w:color="auto"/>
        <w:right w:val="none" w:sz="0" w:space="0" w:color="auto"/>
      </w:divBdr>
    </w:div>
    <w:div w:id="201491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2066</TotalTime>
  <Pages>6</Pages>
  <Words>1903</Words>
  <Characters>10850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Matei</dc:creator>
  <cp:keywords/>
  <dc:description/>
  <cp:lastModifiedBy>Alina Matei</cp:lastModifiedBy>
  <cp:revision>15</cp:revision>
  <dcterms:created xsi:type="dcterms:W3CDTF">2023-03-05T14:43:00Z</dcterms:created>
  <dcterms:modified xsi:type="dcterms:W3CDTF">2023-03-10T15:29:00Z</dcterms:modified>
</cp:coreProperties>
</file>