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436A0B6" w:rsidR="00A930CB" w:rsidRPr="00A930CB" w:rsidRDefault="00A26EA4"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 xml:space="preserve">Master of Business Administration  </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26EA4" w:rsidRPr="00A26EA4" w14:paraId="7E157FF9" w14:textId="77777777" w:rsidTr="0030173B">
            <w:tc>
              <w:tcPr>
                <w:tcW w:w="3438" w:type="dxa"/>
                <w:shd w:val="clear" w:color="auto" w:fill="D9D9D9"/>
              </w:tcPr>
              <w:p w14:paraId="049D6C4E" w14:textId="77777777" w:rsidR="00A930CB" w:rsidRPr="00A26EA4" w:rsidRDefault="00A930CB" w:rsidP="00A930CB">
                <w:pPr>
                  <w:spacing w:before="120" w:after="120" w:line="360" w:lineRule="auto"/>
                  <w:rPr>
                    <w:rFonts w:ascii="Tahoma" w:hAnsi="Tahoma" w:cs="Tahoma"/>
                    <w:sz w:val="32"/>
                    <w:szCs w:val="32"/>
                  </w:rPr>
                </w:pPr>
                <w:r w:rsidRPr="00A26EA4">
                  <w:rPr>
                    <w:rFonts w:ascii="Tahoma" w:hAnsi="Tahoma" w:cs="Tahoma"/>
                    <w:sz w:val="32"/>
                    <w:szCs w:val="32"/>
                  </w:rPr>
                  <w:t>Student Name:</w:t>
                </w:r>
              </w:p>
            </w:tc>
            <w:tc>
              <w:tcPr>
                <w:tcW w:w="6055" w:type="dxa"/>
              </w:tcPr>
              <w:p w14:paraId="26509FF7" w14:textId="4F958A40" w:rsidR="00A930CB" w:rsidRPr="00A26EA4" w:rsidRDefault="00A26EA4" w:rsidP="00A930CB">
                <w:pPr>
                  <w:spacing w:before="120" w:after="120" w:line="360" w:lineRule="auto"/>
                  <w:rPr>
                    <w:rFonts w:ascii="Tahoma" w:hAnsi="Tahoma" w:cs="Tahoma"/>
                    <w:sz w:val="32"/>
                    <w:szCs w:val="32"/>
                  </w:rPr>
                </w:pPr>
                <w:r w:rsidRPr="00A26EA4">
                  <w:rPr>
                    <w:rFonts w:ascii="Tahoma" w:hAnsi="Tahoma" w:cs="Tahoma"/>
                    <w:sz w:val="32"/>
                    <w:szCs w:val="32"/>
                  </w:rPr>
                  <w:t>Crina Razoare</w:t>
                </w:r>
              </w:p>
            </w:tc>
          </w:tr>
          <w:tr w:rsidR="00A26EA4" w:rsidRPr="00A26EA4" w14:paraId="47B8061E" w14:textId="77777777" w:rsidTr="0030173B">
            <w:tc>
              <w:tcPr>
                <w:tcW w:w="3438" w:type="dxa"/>
                <w:shd w:val="clear" w:color="auto" w:fill="D9D9D9"/>
              </w:tcPr>
              <w:p w14:paraId="19DB6AF8" w14:textId="77777777" w:rsidR="00A930CB" w:rsidRPr="00A26EA4" w:rsidRDefault="00A930CB" w:rsidP="00A930CB">
                <w:pPr>
                  <w:spacing w:before="120" w:after="120" w:line="360" w:lineRule="auto"/>
                  <w:rPr>
                    <w:rFonts w:ascii="Tahoma" w:hAnsi="Tahoma" w:cs="Tahoma"/>
                    <w:sz w:val="32"/>
                    <w:szCs w:val="32"/>
                  </w:rPr>
                </w:pPr>
                <w:r w:rsidRPr="00A26EA4">
                  <w:rPr>
                    <w:rFonts w:ascii="Tahoma" w:hAnsi="Tahoma" w:cs="Tahoma"/>
                    <w:sz w:val="32"/>
                    <w:szCs w:val="32"/>
                  </w:rPr>
                  <w:t>Student Number:</w:t>
                </w:r>
              </w:p>
            </w:tc>
            <w:tc>
              <w:tcPr>
                <w:tcW w:w="6055" w:type="dxa"/>
              </w:tcPr>
              <w:p w14:paraId="11A37B25" w14:textId="3A04E633" w:rsidR="00A930CB" w:rsidRPr="00A26EA4" w:rsidRDefault="00A26EA4" w:rsidP="00A930CB">
                <w:pPr>
                  <w:spacing w:before="120" w:after="120" w:line="360" w:lineRule="auto"/>
                  <w:rPr>
                    <w:rFonts w:ascii="Tahoma" w:hAnsi="Tahoma" w:cs="Tahoma"/>
                    <w:sz w:val="32"/>
                    <w:szCs w:val="32"/>
                  </w:rPr>
                </w:pPr>
                <w:r w:rsidRPr="00A26EA4">
                  <w:rPr>
                    <w:rFonts w:ascii="Tahoma" w:hAnsi="Tahoma" w:cs="Tahoma"/>
                    <w:sz w:val="32"/>
                    <w:szCs w:val="32"/>
                  </w:rPr>
                  <w:t>1811696</w:t>
                </w:r>
              </w:p>
            </w:tc>
          </w:tr>
          <w:tr w:rsidR="00A26EA4" w:rsidRPr="00A26EA4" w14:paraId="349EAAAF" w14:textId="77777777" w:rsidTr="0030173B">
            <w:tc>
              <w:tcPr>
                <w:tcW w:w="3438" w:type="dxa"/>
                <w:shd w:val="clear" w:color="auto" w:fill="D9D9D9"/>
              </w:tcPr>
              <w:p w14:paraId="79CF9844" w14:textId="77777777" w:rsidR="00A930CB" w:rsidRPr="00A26EA4" w:rsidRDefault="00A930CB" w:rsidP="00A930CB">
                <w:pPr>
                  <w:spacing w:before="120" w:after="120" w:line="360" w:lineRule="auto"/>
                  <w:rPr>
                    <w:rFonts w:ascii="Tahoma" w:hAnsi="Tahoma" w:cs="Tahoma"/>
                    <w:sz w:val="32"/>
                    <w:szCs w:val="32"/>
                  </w:rPr>
                </w:pPr>
                <w:r w:rsidRPr="00A26EA4">
                  <w:rPr>
                    <w:rFonts w:ascii="Tahoma" w:hAnsi="Tahoma" w:cs="Tahoma"/>
                    <w:sz w:val="32"/>
                    <w:szCs w:val="32"/>
                  </w:rPr>
                  <w:t>Module No:</w:t>
                </w:r>
              </w:p>
            </w:tc>
            <w:tc>
              <w:tcPr>
                <w:tcW w:w="6055" w:type="dxa"/>
              </w:tcPr>
              <w:p w14:paraId="2C117412" w14:textId="5A95F130" w:rsidR="00A930CB" w:rsidRPr="00A26EA4" w:rsidRDefault="002E427B" w:rsidP="00A930CB">
                <w:pPr>
                  <w:spacing w:before="120" w:after="120" w:line="360" w:lineRule="auto"/>
                  <w:rPr>
                    <w:rFonts w:ascii="Tahoma" w:hAnsi="Tahoma" w:cs="Tahoma"/>
                    <w:sz w:val="32"/>
                    <w:szCs w:val="32"/>
                  </w:rPr>
                </w:pPr>
                <w:r w:rsidRPr="00A26EA4">
                  <w:rPr>
                    <w:rFonts w:ascii="Tahoma" w:hAnsi="Tahoma" w:cs="Tahoma"/>
                    <w:sz w:val="32"/>
                    <w:szCs w:val="32"/>
                  </w:rPr>
                  <w:t>BM</w:t>
                </w:r>
                <w:r w:rsidR="00A26EA4" w:rsidRPr="00A26EA4">
                  <w:rPr>
                    <w:rFonts w:ascii="Tahoma" w:hAnsi="Tahoma" w:cs="Tahoma"/>
                    <w:sz w:val="32"/>
                    <w:szCs w:val="32"/>
                  </w:rPr>
                  <w:t>MB7007D</w:t>
                </w:r>
              </w:p>
            </w:tc>
          </w:tr>
          <w:tr w:rsidR="00A26EA4" w:rsidRPr="00A26EA4" w14:paraId="485DA616" w14:textId="77777777" w:rsidTr="0030173B">
            <w:trPr>
              <w:trHeight w:val="413"/>
            </w:trPr>
            <w:tc>
              <w:tcPr>
                <w:tcW w:w="3438" w:type="dxa"/>
                <w:shd w:val="clear" w:color="auto" w:fill="D9D9D9"/>
              </w:tcPr>
              <w:p w14:paraId="4606D4BD" w14:textId="77777777" w:rsidR="00A930CB" w:rsidRPr="00A26EA4" w:rsidRDefault="00A930CB" w:rsidP="00A930CB">
                <w:pPr>
                  <w:spacing w:before="120" w:after="120" w:line="360" w:lineRule="auto"/>
                  <w:rPr>
                    <w:rFonts w:ascii="Tahoma" w:hAnsi="Tahoma" w:cs="Tahoma"/>
                    <w:sz w:val="32"/>
                    <w:szCs w:val="32"/>
                  </w:rPr>
                </w:pPr>
                <w:r w:rsidRPr="00A26EA4">
                  <w:rPr>
                    <w:rFonts w:ascii="Tahoma" w:hAnsi="Tahoma" w:cs="Tahoma"/>
                    <w:sz w:val="32"/>
                    <w:szCs w:val="32"/>
                  </w:rPr>
                  <w:t>Module Title:</w:t>
                </w:r>
              </w:p>
            </w:tc>
            <w:tc>
              <w:tcPr>
                <w:tcW w:w="6055" w:type="dxa"/>
              </w:tcPr>
              <w:p w14:paraId="0F1C3659" w14:textId="733F411A" w:rsidR="00A930CB" w:rsidRPr="00A26EA4" w:rsidRDefault="00A26EA4" w:rsidP="00A930CB">
                <w:pPr>
                  <w:spacing w:before="120" w:after="120" w:line="360" w:lineRule="auto"/>
                  <w:rPr>
                    <w:rFonts w:ascii="Tahoma" w:hAnsi="Tahoma" w:cs="Tahoma"/>
                    <w:sz w:val="32"/>
                    <w:szCs w:val="32"/>
                  </w:rPr>
                </w:pPr>
                <w:r w:rsidRPr="00A26EA4">
                  <w:rPr>
                    <w:rFonts w:ascii="Tahoma" w:hAnsi="Tahoma" w:cs="Tahoma"/>
                    <w:sz w:val="32"/>
                    <w:szCs w:val="32"/>
                  </w:rPr>
                  <w:t xml:space="preserve">Human Resources Management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26EA4">
          <w:pPr>
            <w:spacing w:before="120" w:after="120" w:line="360" w:lineRule="auto"/>
            <w:jc w:val="both"/>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26EA4">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A26EA4">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1FBF6538" w14:textId="40389F34" w:rsidR="001E3D53"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7276241" w:history="1">
                <w:r w:rsidR="001E3D53" w:rsidRPr="00A5191D">
                  <w:rPr>
                    <w:rStyle w:val="Hyperlink"/>
                    <w:noProof/>
                  </w:rPr>
                  <w:t>Introduction:</w:t>
                </w:r>
                <w:r w:rsidR="001E3D53">
                  <w:rPr>
                    <w:noProof/>
                    <w:webHidden/>
                  </w:rPr>
                  <w:tab/>
                </w:r>
                <w:r w:rsidR="001E3D53">
                  <w:rPr>
                    <w:noProof/>
                    <w:webHidden/>
                  </w:rPr>
                  <w:fldChar w:fldCharType="begin"/>
                </w:r>
                <w:r w:rsidR="001E3D53">
                  <w:rPr>
                    <w:noProof/>
                    <w:webHidden/>
                  </w:rPr>
                  <w:instrText xml:space="preserve"> PAGEREF _Toc127276241 \h </w:instrText>
                </w:r>
                <w:r w:rsidR="001E3D53">
                  <w:rPr>
                    <w:noProof/>
                    <w:webHidden/>
                  </w:rPr>
                </w:r>
                <w:r w:rsidR="001E3D53">
                  <w:rPr>
                    <w:noProof/>
                    <w:webHidden/>
                  </w:rPr>
                  <w:fldChar w:fldCharType="separate"/>
                </w:r>
                <w:r w:rsidR="001E3D53">
                  <w:rPr>
                    <w:noProof/>
                    <w:webHidden/>
                  </w:rPr>
                  <w:t>3</w:t>
                </w:r>
                <w:r w:rsidR="001E3D53">
                  <w:rPr>
                    <w:noProof/>
                    <w:webHidden/>
                  </w:rPr>
                  <w:fldChar w:fldCharType="end"/>
                </w:r>
              </w:hyperlink>
            </w:p>
            <w:p w14:paraId="0C9AEB84" w14:textId="4DF3C58B" w:rsidR="001E3D53" w:rsidRDefault="00000000">
              <w:pPr>
                <w:pStyle w:val="TOC1"/>
                <w:tabs>
                  <w:tab w:val="right" w:leader="dot" w:pos="9350"/>
                </w:tabs>
                <w:rPr>
                  <w:rFonts w:eastAsiaTheme="minorEastAsia"/>
                  <w:noProof/>
                  <w:lang w:eastAsia="en-GB"/>
                </w:rPr>
              </w:pPr>
              <w:hyperlink w:anchor="_Toc127276242" w:history="1">
                <w:r w:rsidR="001E3D53" w:rsidRPr="00A5191D">
                  <w:rPr>
                    <w:rStyle w:val="Hyperlink"/>
                    <w:noProof/>
                  </w:rPr>
                  <w:t>Section 1: Produce a report that critically evaluates two areas for improvement when managing and developing talent in your chosen organisation:</w:t>
                </w:r>
                <w:r w:rsidR="001E3D53">
                  <w:rPr>
                    <w:noProof/>
                    <w:webHidden/>
                  </w:rPr>
                  <w:tab/>
                </w:r>
                <w:r w:rsidR="001E3D53">
                  <w:rPr>
                    <w:noProof/>
                    <w:webHidden/>
                  </w:rPr>
                  <w:fldChar w:fldCharType="begin"/>
                </w:r>
                <w:r w:rsidR="001E3D53">
                  <w:rPr>
                    <w:noProof/>
                    <w:webHidden/>
                  </w:rPr>
                  <w:instrText xml:space="preserve"> PAGEREF _Toc127276242 \h </w:instrText>
                </w:r>
                <w:r w:rsidR="001E3D53">
                  <w:rPr>
                    <w:noProof/>
                    <w:webHidden/>
                  </w:rPr>
                </w:r>
                <w:r w:rsidR="001E3D53">
                  <w:rPr>
                    <w:noProof/>
                    <w:webHidden/>
                  </w:rPr>
                  <w:fldChar w:fldCharType="separate"/>
                </w:r>
                <w:r w:rsidR="001E3D53">
                  <w:rPr>
                    <w:noProof/>
                    <w:webHidden/>
                  </w:rPr>
                  <w:t>3</w:t>
                </w:r>
                <w:r w:rsidR="001E3D53">
                  <w:rPr>
                    <w:noProof/>
                    <w:webHidden/>
                  </w:rPr>
                  <w:fldChar w:fldCharType="end"/>
                </w:r>
              </w:hyperlink>
            </w:p>
            <w:p w14:paraId="2E49D616" w14:textId="2B713F92" w:rsidR="001E3D53" w:rsidRDefault="00000000">
              <w:pPr>
                <w:pStyle w:val="TOC2"/>
                <w:tabs>
                  <w:tab w:val="right" w:leader="dot" w:pos="9350"/>
                </w:tabs>
                <w:rPr>
                  <w:rFonts w:eastAsiaTheme="minorEastAsia"/>
                  <w:noProof/>
                  <w:lang w:eastAsia="en-GB"/>
                </w:rPr>
              </w:pPr>
              <w:hyperlink w:anchor="_Toc127276243" w:history="1">
                <w:r w:rsidR="001E3D53" w:rsidRPr="00A5191D">
                  <w:rPr>
                    <w:rStyle w:val="Hyperlink"/>
                    <w:noProof/>
                    <w:lang w:eastAsia="en-GB"/>
                  </w:rPr>
                  <w:t>Area 1: Diversifying the Talent Pool:</w:t>
                </w:r>
                <w:r w:rsidR="001E3D53">
                  <w:rPr>
                    <w:noProof/>
                    <w:webHidden/>
                  </w:rPr>
                  <w:tab/>
                </w:r>
                <w:r w:rsidR="001E3D53">
                  <w:rPr>
                    <w:noProof/>
                    <w:webHidden/>
                  </w:rPr>
                  <w:fldChar w:fldCharType="begin"/>
                </w:r>
                <w:r w:rsidR="001E3D53">
                  <w:rPr>
                    <w:noProof/>
                    <w:webHidden/>
                  </w:rPr>
                  <w:instrText xml:space="preserve"> PAGEREF _Toc127276243 \h </w:instrText>
                </w:r>
                <w:r w:rsidR="001E3D53">
                  <w:rPr>
                    <w:noProof/>
                    <w:webHidden/>
                  </w:rPr>
                </w:r>
                <w:r w:rsidR="001E3D53">
                  <w:rPr>
                    <w:noProof/>
                    <w:webHidden/>
                  </w:rPr>
                  <w:fldChar w:fldCharType="separate"/>
                </w:r>
                <w:r w:rsidR="001E3D53">
                  <w:rPr>
                    <w:noProof/>
                    <w:webHidden/>
                  </w:rPr>
                  <w:t>3</w:t>
                </w:r>
                <w:r w:rsidR="001E3D53">
                  <w:rPr>
                    <w:noProof/>
                    <w:webHidden/>
                  </w:rPr>
                  <w:fldChar w:fldCharType="end"/>
                </w:r>
              </w:hyperlink>
            </w:p>
            <w:p w14:paraId="61A6C722" w14:textId="77DEE558" w:rsidR="001E3D53" w:rsidRDefault="00000000">
              <w:pPr>
                <w:pStyle w:val="TOC2"/>
                <w:tabs>
                  <w:tab w:val="right" w:leader="dot" w:pos="9350"/>
                </w:tabs>
                <w:rPr>
                  <w:rFonts w:eastAsiaTheme="minorEastAsia"/>
                  <w:noProof/>
                  <w:lang w:eastAsia="en-GB"/>
                </w:rPr>
              </w:pPr>
              <w:hyperlink w:anchor="_Toc127276244" w:history="1">
                <w:r w:rsidR="001E3D53" w:rsidRPr="00A5191D">
                  <w:rPr>
                    <w:rStyle w:val="Hyperlink"/>
                    <w:noProof/>
                    <w:lang w:eastAsia="en-GB"/>
                  </w:rPr>
                  <w:t>Area 2: Addressing Employee Burnout:</w:t>
                </w:r>
                <w:r w:rsidR="001E3D53">
                  <w:rPr>
                    <w:noProof/>
                    <w:webHidden/>
                  </w:rPr>
                  <w:tab/>
                </w:r>
                <w:r w:rsidR="001E3D53">
                  <w:rPr>
                    <w:noProof/>
                    <w:webHidden/>
                  </w:rPr>
                  <w:fldChar w:fldCharType="begin"/>
                </w:r>
                <w:r w:rsidR="001E3D53">
                  <w:rPr>
                    <w:noProof/>
                    <w:webHidden/>
                  </w:rPr>
                  <w:instrText xml:space="preserve"> PAGEREF _Toc127276244 \h </w:instrText>
                </w:r>
                <w:r w:rsidR="001E3D53">
                  <w:rPr>
                    <w:noProof/>
                    <w:webHidden/>
                  </w:rPr>
                </w:r>
                <w:r w:rsidR="001E3D53">
                  <w:rPr>
                    <w:noProof/>
                    <w:webHidden/>
                  </w:rPr>
                  <w:fldChar w:fldCharType="separate"/>
                </w:r>
                <w:r w:rsidR="001E3D53">
                  <w:rPr>
                    <w:noProof/>
                    <w:webHidden/>
                  </w:rPr>
                  <w:t>3</w:t>
                </w:r>
                <w:r w:rsidR="001E3D53">
                  <w:rPr>
                    <w:noProof/>
                    <w:webHidden/>
                  </w:rPr>
                  <w:fldChar w:fldCharType="end"/>
                </w:r>
              </w:hyperlink>
            </w:p>
            <w:p w14:paraId="56324595" w14:textId="47EA946F" w:rsidR="001E3D53" w:rsidRDefault="00000000">
              <w:pPr>
                <w:pStyle w:val="TOC2"/>
                <w:tabs>
                  <w:tab w:val="right" w:leader="dot" w:pos="9350"/>
                </w:tabs>
                <w:rPr>
                  <w:rFonts w:eastAsiaTheme="minorEastAsia"/>
                  <w:noProof/>
                  <w:lang w:eastAsia="en-GB"/>
                </w:rPr>
              </w:pPr>
              <w:hyperlink w:anchor="_Toc127276245" w:history="1">
                <w:r w:rsidR="001E3D53" w:rsidRPr="00A5191D">
                  <w:rPr>
                    <w:rStyle w:val="Hyperlink"/>
                    <w:noProof/>
                    <w:lang w:eastAsia="en-GB"/>
                  </w:rPr>
                  <w:t>Conclusion:</w:t>
                </w:r>
                <w:r w:rsidR="001E3D53">
                  <w:rPr>
                    <w:noProof/>
                    <w:webHidden/>
                  </w:rPr>
                  <w:tab/>
                </w:r>
                <w:r w:rsidR="001E3D53">
                  <w:rPr>
                    <w:noProof/>
                    <w:webHidden/>
                  </w:rPr>
                  <w:fldChar w:fldCharType="begin"/>
                </w:r>
                <w:r w:rsidR="001E3D53">
                  <w:rPr>
                    <w:noProof/>
                    <w:webHidden/>
                  </w:rPr>
                  <w:instrText xml:space="preserve"> PAGEREF _Toc127276245 \h </w:instrText>
                </w:r>
                <w:r w:rsidR="001E3D53">
                  <w:rPr>
                    <w:noProof/>
                    <w:webHidden/>
                  </w:rPr>
                </w:r>
                <w:r w:rsidR="001E3D53">
                  <w:rPr>
                    <w:noProof/>
                    <w:webHidden/>
                  </w:rPr>
                  <w:fldChar w:fldCharType="separate"/>
                </w:r>
                <w:r w:rsidR="001E3D53">
                  <w:rPr>
                    <w:noProof/>
                    <w:webHidden/>
                  </w:rPr>
                  <w:t>3</w:t>
                </w:r>
                <w:r w:rsidR="001E3D53">
                  <w:rPr>
                    <w:noProof/>
                    <w:webHidden/>
                  </w:rPr>
                  <w:fldChar w:fldCharType="end"/>
                </w:r>
              </w:hyperlink>
            </w:p>
            <w:p w14:paraId="61A443FD" w14:textId="53BEDAE2" w:rsidR="001E3D53" w:rsidRDefault="00000000">
              <w:pPr>
                <w:pStyle w:val="TOC1"/>
                <w:tabs>
                  <w:tab w:val="right" w:leader="dot" w:pos="9350"/>
                </w:tabs>
                <w:rPr>
                  <w:rFonts w:eastAsiaTheme="minorEastAsia"/>
                  <w:noProof/>
                  <w:lang w:eastAsia="en-GB"/>
                </w:rPr>
              </w:pPr>
              <w:hyperlink w:anchor="_Toc127276246" w:history="1">
                <w:r w:rsidR="001E3D53" w:rsidRPr="00A5191D">
                  <w:rPr>
                    <w:rStyle w:val="Hyperlink"/>
                    <w:noProof/>
                  </w:rPr>
                  <w:t>Se</w:t>
                </w:r>
                <w:r w:rsidR="001E3D53" w:rsidRPr="00A5191D">
                  <w:rPr>
                    <w:rStyle w:val="Hyperlink"/>
                    <w:noProof/>
                    <w:spacing w:val="1"/>
                  </w:rPr>
                  <w:t>c</w:t>
                </w:r>
                <w:r w:rsidR="001E3D53" w:rsidRPr="00A5191D">
                  <w:rPr>
                    <w:rStyle w:val="Hyperlink"/>
                    <w:noProof/>
                  </w:rPr>
                  <w:t>ti</w:t>
                </w:r>
                <w:r w:rsidR="001E3D53" w:rsidRPr="00A5191D">
                  <w:rPr>
                    <w:rStyle w:val="Hyperlink"/>
                    <w:noProof/>
                    <w:spacing w:val="-1"/>
                  </w:rPr>
                  <w:t>o</w:t>
                </w:r>
                <w:r w:rsidR="001E3D53" w:rsidRPr="00A5191D">
                  <w:rPr>
                    <w:rStyle w:val="Hyperlink"/>
                    <w:noProof/>
                  </w:rPr>
                  <w:t>n</w:t>
                </w:r>
                <w:r w:rsidR="001E3D53" w:rsidRPr="00A5191D">
                  <w:rPr>
                    <w:rStyle w:val="Hyperlink"/>
                    <w:noProof/>
                    <w:spacing w:val="-7"/>
                  </w:rPr>
                  <w:t xml:space="preserve"> </w:t>
                </w:r>
                <w:r w:rsidR="001E3D53" w:rsidRPr="00A5191D">
                  <w:rPr>
                    <w:rStyle w:val="Hyperlink"/>
                    <w:noProof/>
                    <w:spacing w:val="-1"/>
                  </w:rPr>
                  <w:t>2</w:t>
                </w:r>
                <w:r w:rsidR="001E3D53" w:rsidRPr="00A5191D">
                  <w:rPr>
                    <w:rStyle w:val="Hyperlink"/>
                    <w:noProof/>
                  </w:rPr>
                  <w:t>:</w:t>
                </w:r>
                <w:r w:rsidR="001E3D53" w:rsidRPr="00A5191D">
                  <w:rPr>
                    <w:rStyle w:val="Hyperlink"/>
                    <w:noProof/>
                    <w:spacing w:val="-2"/>
                  </w:rPr>
                  <w:t xml:space="preserve"> From research or first-hand experience, consider the contemporary subjects studied as part of this module. Consider the current workplace environment and the challenges HRM face when managing and developing talent.  Identify two areas that are of importance to the strategic function of that organisation but could be improved when managing and developing talent for competitive advantage:</w:t>
                </w:r>
                <w:r w:rsidR="001E3D53">
                  <w:rPr>
                    <w:noProof/>
                    <w:webHidden/>
                  </w:rPr>
                  <w:tab/>
                </w:r>
                <w:r w:rsidR="001E3D53">
                  <w:rPr>
                    <w:noProof/>
                    <w:webHidden/>
                  </w:rPr>
                  <w:fldChar w:fldCharType="begin"/>
                </w:r>
                <w:r w:rsidR="001E3D53">
                  <w:rPr>
                    <w:noProof/>
                    <w:webHidden/>
                  </w:rPr>
                  <w:instrText xml:space="preserve"> PAGEREF _Toc127276246 \h </w:instrText>
                </w:r>
                <w:r w:rsidR="001E3D53">
                  <w:rPr>
                    <w:noProof/>
                    <w:webHidden/>
                  </w:rPr>
                </w:r>
                <w:r w:rsidR="001E3D53">
                  <w:rPr>
                    <w:noProof/>
                    <w:webHidden/>
                  </w:rPr>
                  <w:fldChar w:fldCharType="separate"/>
                </w:r>
                <w:r w:rsidR="001E3D53">
                  <w:rPr>
                    <w:noProof/>
                    <w:webHidden/>
                  </w:rPr>
                  <w:t>4</w:t>
                </w:r>
                <w:r w:rsidR="001E3D53">
                  <w:rPr>
                    <w:noProof/>
                    <w:webHidden/>
                  </w:rPr>
                  <w:fldChar w:fldCharType="end"/>
                </w:r>
              </w:hyperlink>
            </w:p>
            <w:p w14:paraId="75D11919" w14:textId="604CA237" w:rsidR="001E3D53" w:rsidRDefault="00000000">
              <w:pPr>
                <w:pStyle w:val="TOC2"/>
                <w:tabs>
                  <w:tab w:val="right" w:leader="dot" w:pos="9350"/>
                </w:tabs>
                <w:rPr>
                  <w:rFonts w:eastAsiaTheme="minorEastAsia"/>
                  <w:noProof/>
                  <w:lang w:eastAsia="en-GB"/>
                </w:rPr>
              </w:pPr>
              <w:hyperlink w:anchor="_Toc127276247" w:history="1">
                <w:r w:rsidR="001E3D53" w:rsidRPr="00A5191D">
                  <w:rPr>
                    <w:rStyle w:val="Hyperlink"/>
                    <w:noProof/>
                    <w:lang w:eastAsia="en-GB"/>
                  </w:rPr>
                  <w:t>Succession planning:</w:t>
                </w:r>
                <w:r w:rsidR="001E3D53">
                  <w:rPr>
                    <w:noProof/>
                    <w:webHidden/>
                  </w:rPr>
                  <w:tab/>
                </w:r>
                <w:r w:rsidR="001E3D53">
                  <w:rPr>
                    <w:noProof/>
                    <w:webHidden/>
                  </w:rPr>
                  <w:fldChar w:fldCharType="begin"/>
                </w:r>
                <w:r w:rsidR="001E3D53">
                  <w:rPr>
                    <w:noProof/>
                    <w:webHidden/>
                  </w:rPr>
                  <w:instrText xml:space="preserve"> PAGEREF _Toc127276247 \h </w:instrText>
                </w:r>
                <w:r w:rsidR="001E3D53">
                  <w:rPr>
                    <w:noProof/>
                    <w:webHidden/>
                  </w:rPr>
                </w:r>
                <w:r w:rsidR="001E3D53">
                  <w:rPr>
                    <w:noProof/>
                    <w:webHidden/>
                  </w:rPr>
                  <w:fldChar w:fldCharType="separate"/>
                </w:r>
                <w:r w:rsidR="001E3D53">
                  <w:rPr>
                    <w:noProof/>
                    <w:webHidden/>
                  </w:rPr>
                  <w:t>4</w:t>
                </w:r>
                <w:r w:rsidR="001E3D53">
                  <w:rPr>
                    <w:noProof/>
                    <w:webHidden/>
                  </w:rPr>
                  <w:fldChar w:fldCharType="end"/>
                </w:r>
              </w:hyperlink>
            </w:p>
            <w:p w14:paraId="71BCCC44" w14:textId="2C1F2A69" w:rsidR="001E3D53" w:rsidRDefault="00000000">
              <w:pPr>
                <w:pStyle w:val="TOC2"/>
                <w:tabs>
                  <w:tab w:val="right" w:leader="dot" w:pos="9350"/>
                </w:tabs>
                <w:rPr>
                  <w:rFonts w:eastAsiaTheme="minorEastAsia"/>
                  <w:noProof/>
                  <w:lang w:eastAsia="en-GB"/>
                </w:rPr>
              </w:pPr>
              <w:hyperlink w:anchor="_Toc127276248" w:history="1">
                <w:r w:rsidR="001E3D53" w:rsidRPr="00A5191D">
                  <w:rPr>
                    <w:rStyle w:val="Hyperlink"/>
                    <w:noProof/>
                    <w:lang w:eastAsia="en-GB"/>
                  </w:rPr>
                  <w:t>Employee development:</w:t>
                </w:r>
                <w:r w:rsidR="001E3D53">
                  <w:rPr>
                    <w:noProof/>
                    <w:webHidden/>
                  </w:rPr>
                  <w:tab/>
                </w:r>
                <w:r w:rsidR="001E3D53">
                  <w:rPr>
                    <w:noProof/>
                    <w:webHidden/>
                  </w:rPr>
                  <w:fldChar w:fldCharType="begin"/>
                </w:r>
                <w:r w:rsidR="001E3D53">
                  <w:rPr>
                    <w:noProof/>
                    <w:webHidden/>
                  </w:rPr>
                  <w:instrText xml:space="preserve"> PAGEREF _Toc127276248 \h </w:instrText>
                </w:r>
                <w:r w:rsidR="001E3D53">
                  <w:rPr>
                    <w:noProof/>
                    <w:webHidden/>
                  </w:rPr>
                </w:r>
                <w:r w:rsidR="001E3D53">
                  <w:rPr>
                    <w:noProof/>
                    <w:webHidden/>
                  </w:rPr>
                  <w:fldChar w:fldCharType="separate"/>
                </w:r>
                <w:r w:rsidR="001E3D53">
                  <w:rPr>
                    <w:noProof/>
                    <w:webHidden/>
                  </w:rPr>
                  <w:t>4</w:t>
                </w:r>
                <w:r w:rsidR="001E3D53">
                  <w:rPr>
                    <w:noProof/>
                    <w:webHidden/>
                  </w:rPr>
                  <w:fldChar w:fldCharType="end"/>
                </w:r>
              </w:hyperlink>
            </w:p>
            <w:p w14:paraId="72F53407" w14:textId="722AC3D7" w:rsidR="001E3D53" w:rsidRDefault="00000000">
              <w:pPr>
                <w:pStyle w:val="TOC1"/>
                <w:tabs>
                  <w:tab w:val="right" w:leader="dot" w:pos="9350"/>
                </w:tabs>
                <w:rPr>
                  <w:rFonts w:eastAsiaTheme="minorEastAsia"/>
                  <w:noProof/>
                  <w:lang w:eastAsia="en-GB"/>
                </w:rPr>
              </w:pPr>
              <w:hyperlink w:anchor="_Toc127276249" w:history="1">
                <w:r w:rsidR="001E3D53" w:rsidRPr="00A5191D">
                  <w:rPr>
                    <w:rStyle w:val="Hyperlink"/>
                    <w:noProof/>
                  </w:rPr>
                  <w:t>Section 3</w:t>
                </w:r>
                <w:r w:rsidR="001E3D53" w:rsidRPr="00A5191D">
                  <w:rPr>
                    <w:rStyle w:val="Hyperlink"/>
                    <w:rFonts w:eastAsia="Arial"/>
                    <w:noProof/>
                  </w:rPr>
                  <w:t>:</w:t>
                </w:r>
                <w:r w:rsidR="001E3D53" w:rsidRPr="00A5191D">
                  <w:rPr>
                    <w:rStyle w:val="Hyperlink"/>
                    <w:noProof/>
                  </w:rPr>
                  <w:t xml:space="preserve"> Critically analyse and justify the identified talent management areas in your organisation from a current standpoint, identify strengths and weaknesses to present a business case for addressing these areas. Ensure your choice is well-justified and in the context of your organisation:</w:t>
                </w:r>
                <w:r w:rsidR="001E3D53">
                  <w:rPr>
                    <w:noProof/>
                    <w:webHidden/>
                  </w:rPr>
                  <w:tab/>
                </w:r>
                <w:r w:rsidR="001E3D53">
                  <w:rPr>
                    <w:noProof/>
                    <w:webHidden/>
                  </w:rPr>
                  <w:fldChar w:fldCharType="begin"/>
                </w:r>
                <w:r w:rsidR="001E3D53">
                  <w:rPr>
                    <w:noProof/>
                    <w:webHidden/>
                  </w:rPr>
                  <w:instrText xml:space="preserve"> PAGEREF _Toc127276249 \h </w:instrText>
                </w:r>
                <w:r w:rsidR="001E3D53">
                  <w:rPr>
                    <w:noProof/>
                    <w:webHidden/>
                  </w:rPr>
                </w:r>
                <w:r w:rsidR="001E3D53">
                  <w:rPr>
                    <w:noProof/>
                    <w:webHidden/>
                  </w:rPr>
                  <w:fldChar w:fldCharType="separate"/>
                </w:r>
                <w:r w:rsidR="001E3D53">
                  <w:rPr>
                    <w:noProof/>
                    <w:webHidden/>
                  </w:rPr>
                  <w:t>5</w:t>
                </w:r>
                <w:r w:rsidR="001E3D53">
                  <w:rPr>
                    <w:noProof/>
                    <w:webHidden/>
                  </w:rPr>
                  <w:fldChar w:fldCharType="end"/>
                </w:r>
              </w:hyperlink>
            </w:p>
            <w:p w14:paraId="43D9DCF7" w14:textId="0D079658" w:rsidR="001E3D53" w:rsidRDefault="00000000">
              <w:pPr>
                <w:pStyle w:val="TOC2"/>
                <w:tabs>
                  <w:tab w:val="right" w:leader="dot" w:pos="9350"/>
                </w:tabs>
                <w:rPr>
                  <w:rFonts w:eastAsiaTheme="minorEastAsia"/>
                  <w:noProof/>
                  <w:lang w:eastAsia="en-GB"/>
                </w:rPr>
              </w:pPr>
              <w:hyperlink w:anchor="_Toc127276250" w:history="1">
                <w:r w:rsidR="001E3D53" w:rsidRPr="00A5191D">
                  <w:rPr>
                    <w:rStyle w:val="Hyperlink"/>
                    <w:noProof/>
                    <w:lang w:eastAsia="en-GB"/>
                  </w:rPr>
                  <w:t>Succession Planning:</w:t>
                </w:r>
                <w:r w:rsidR="001E3D53">
                  <w:rPr>
                    <w:noProof/>
                    <w:webHidden/>
                  </w:rPr>
                  <w:tab/>
                </w:r>
                <w:r w:rsidR="001E3D53">
                  <w:rPr>
                    <w:noProof/>
                    <w:webHidden/>
                  </w:rPr>
                  <w:fldChar w:fldCharType="begin"/>
                </w:r>
                <w:r w:rsidR="001E3D53">
                  <w:rPr>
                    <w:noProof/>
                    <w:webHidden/>
                  </w:rPr>
                  <w:instrText xml:space="preserve"> PAGEREF _Toc127276250 \h </w:instrText>
                </w:r>
                <w:r w:rsidR="001E3D53">
                  <w:rPr>
                    <w:noProof/>
                    <w:webHidden/>
                  </w:rPr>
                </w:r>
                <w:r w:rsidR="001E3D53">
                  <w:rPr>
                    <w:noProof/>
                    <w:webHidden/>
                  </w:rPr>
                  <w:fldChar w:fldCharType="separate"/>
                </w:r>
                <w:r w:rsidR="001E3D53">
                  <w:rPr>
                    <w:noProof/>
                    <w:webHidden/>
                  </w:rPr>
                  <w:t>5</w:t>
                </w:r>
                <w:r w:rsidR="001E3D53">
                  <w:rPr>
                    <w:noProof/>
                    <w:webHidden/>
                  </w:rPr>
                  <w:fldChar w:fldCharType="end"/>
                </w:r>
              </w:hyperlink>
            </w:p>
            <w:p w14:paraId="17FEC347" w14:textId="0DE57BC3" w:rsidR="001E3D53" w:rsidRDefault="00000000">
              <w:pPr>
                <w:pStyle w:val="TOC2"/>
                <w:tabs>
                  <w:tab w:val="right" w:leader="dot" w:pos="9350"/>
                </w:tabs>
                <w:rPr>
                  <w:rFonts w:eastAsiaTheme="minorEastAsia"/>
                  <w:noProof/>
                  <w:lang w:eastAsia="en-GB"/>
                </w:rPr>
              </w:pPr>
              <w:hyperlink w:anchor="_Toc127276251" w:history="1">
                <w:r w:rsidR="001E3D53" w:rsidRPr="00A5191D">
                  <w:rPr>
                    <w:rStyle w:val="Hyperlink"/>
                    <w:noProof/>
                    <w:lang w:eastAsia="en-GB"/>
                  </w:rPr>
                  <w:t>Employee Development:</w:t>
                </w:r>
                <w:r w:rsidR="001E3D53">
                  <w:rPr>
                    <w:noProof/>
                    <w:webHidden/>
                  </w:rPr>
                  <w:tab/>
                </w:r>
                <w:r w:rsidR="001E3D53">
                  <w:rPr>
                    <w:noProof/>
                    <w:webHidden/>
                  </w:rPr>
                  <w:fldChar w:fldCharType="begin"/>
                </w:r>
                <w:r w:rsidR="001E3D53">
                  <w:rPr>
                    <w:noProof/>
                    <w:webHidden/>
                  </w:rPr>
                  <w:instrText xml:space="preserve"> PAGEREF _Toc127276251 \h </w:instrText>
                </w:r>
                <w:r w:rsidR="001E3D53">
                  <w:rPr>
                    <w:noProof/>
                    <w:webHidden/>
                  </w:rPr>
                </w:r>
                <w:r w:rsidR="001E3D53">
                  <w:rPr>
                    <w:noProof/>
                    <w:webHidden/>
                  </w:rPr>
                  <w:fldChar w:fldCharType="separate"/>
                </w:r>
                <w:r w:rsidR="001E3D53">
                  <w:rPr>
                    <w:noProof/>
                    <w:webHidden/>
                  </w:rPr>
                  <w:t>6</w:t>
                </w:r>
                <w:r w:rsidR="001E3D53">
                  <w:rPr>
                    <w:noProof/>
                    <w:webHidden/>
                  </w:rPr>
                  <w:fldChar w:fldCharType="end"/>
                </w:r>
              </w:hyperlink>
            </w:p>
            <w:p w14:paraId="23964294" w14:textId="247F2ABD" w:rsidR="001E3D53" w:rsidRDefault="00000000">
              <w:pPr>
                <w:pStyle w:val="TOC2"/>
                <w:tabs>
                  <w:tab w:val="right" w:leader="dot" w:pos="9350"/>
                </w:tabs>
                <w:rPr>
                  <w:rFonts w:eastAsiaTheme="minorEastAsia"/>
                  <w:noProof/>
                  <w:lang w:eastAsia="en-GB"/>
                </w:rPr>
              </w:pPr>
              <w:hyperlink w:anchor="_Toc127276252" w:history="1">
                <w:r w:rsidR="001E3D53" w:rsidRPr="00A5191D">
                  <w:rPr>
                    <w:rStyle w:val="Hyperlink"/>
                    <w:noProof/>
                    <w:lang w:eastAsia="en-GB"/>
                  </w:rPr>
                  <w:t>Business case:</w:t>
                </w:r>
                <w:r w:rsidR="001E3D53">
                  <w:rPr>
                    <w:noProof/>
                    <w:webHidden/>
                  </w:rPr>
                  <w:tab/>
                </w:r>
                <w:r w:rsidR="001E3D53">
                  <w:rPr>
                    <w:noProof/>
                    <w:webHidden/>
                  </w:rPr>
                  <w:fldChar w:fldCharType="begin"/>
                </w:r>
                <w:r w:rsidR="001E3D53">
                  <w:rPr>
                    <w:noProof/>
                    <w:webHidden/>
                  </w:rPr>
                  <w:instrText xml:space="preserve"> PAGEREF _Toc127276252 \h </w:instrText>
                </w:r>
                <w:r w:rsidR="001E3D53">
                  <w:rPr>
                    <w:noProof/>
                    <w:webHidden/>
                  </w:rPr>
                </w:r>
                <w:r w:rsidR="001E3D53">
                  <w:rPr>
                    <w:noProof/>
                    <w:webHidden/>
                  </w:rPr>
                  <w:fldChar w:fldCharType="separate"/>
                </w:r>
                <w:r w:rsidR="001E3D53">
                  <w:rPr>
                    <w:noProof/>
                    <w:webHidden/>
                  </w:rPr>
                  <w:t>6</w:t>
                </w:r>
                <w:r w:rsidR="001E3D53">
                  <w:rPr>
                    <w:noProof/>
                    <w:webHidden/>
                  </w:rPr>
                  <w:fldChar w:fldCharType="end"/>
                </w:r>
              </w:hyperlink>
            </w:p>
            <w:p w14:paraId="5684DBB1" w14:textId="2B8A09A5" w:rsidR="001E3D53" w:rsidRDefault="00000000">
              <w:pPr>
                <w:pStyle w:val="TOC1"/>
                <w:tabs>
                  <w:tab w:val="right" w:leader="dot" w:pos="9350"/>
                </w:tabs>
                <w:rPr>
                  <w:rFonts w:eastAsiaTheme="minorEastAsia"/>
                  <w:noProof/>
                  <w:lang w:eastAsia="en-GB"/>
                </w:rPr>
              </w:pPr>
              <w:hyperlink w:anchor="_Toc127276253" w:history="1">
                <w:r w:rsidR="001E3D53" w:rsidRPr="00A5191D">
                  <w:rPr>
                    <w:rStyle w:val="Hyperlink"/>
                    <w:noProof/>
                  </w:rPr>
                  <w:t>Section 4</w:t>
                </w:r>
                <w:r w:rsidR="001E3D53" w:rsidRPr="00A5191D">
                  <w:rPr>
                    <w:rStyle w:val="Hyperlink"/>
                    <w:rFonts w:eastAsia="Arial"/>
                    <w:noProof/>
                  </w:rPr>
                  <w:t>:</w:t>
                </w:r>
                <w:r w:rsidR="001E3D53" w:rsidRPr="00A5191D">
                  <w:rPr>
                    <w:rStyle w:val="Hyperlink"/>
                    <w:noProof/>
                  </w:rPr>
                  <w:t xml:space="preserve"> </w:t>
                </w:r>
                <w:r w:rsidR="001E3D53" w:rsidRPr="00A5191D">
                  <w:rPr>
                    <w:rStyle w:val="Hyperlink"/>
                    <w:rFonts w:cs="Arial"/>
                    <w:noProof/>
                  </w:rPr>
                  <w:t>Make recommendations based on research and industry best practice to illustrate how the HR function could improve the identified areas in your organisation and why:</w:t>
                </w:r>
                <w:r w:rsidR="001E3D53">
                  <w:rPr>
                    <w:noProof/>
                    <w:webHidden/>
                  </w:rPr>
                  <w:tab/>
                </w:r>
                <w:r w:rsidR="001E3D53">
                  <w:rPr>
                    <w:noProof/>
                    <w:webHidden/>
                  </w:rPr>
                  <w:fldChar w:fldCharType="begin"/>
                </w:r>
                <w:r w:rsidR="001E3D53">
                  <w:rPr>
                    <w:noProof/>
                    <w:webHidden/>
                  </w:rPr>
                  <w:instrText xml:space="preserve"> PAGEREF _Toc127276253 \h </w:instrText>
                </w:r>
                <w:r w:rsidR="001E3D53">
                  <w:rPr>
                    <w:noProof/>
                    <w:webHidden/>
                  </w:rPr>
                </w:r>
                <w:r w:rsidR="001E3D53">
                  <w:rPr>
                    <w:noProof/>
                    <w:webHidden/>
                  </w:rPr>
                  <w:fldChar w:fldCharType="separate"/>
                </w:r>
                <w:r w:rsidR="001E3D53">
                  <w:rPr>
                    <w:noProof/>
                    <w:webHidden/>
                  </w:rPr>
                  <w:t>7</w:t>
                </w:r>
                <w:r w:rsidR="001E3D53">
                  <w:rPr>
                    <w:noProof/>
                    <w:webHidden/>
                  </w:rPr>
                  <w:fldChar w:fldCharType="end"/>
                </w:r>
              </w:hyperlink>
            </w:p>
            <w:p w14:paraId="41ECEA6B" w14:textId="252A3225" w:rsidR="001E3D53" w:rsidRDefault="00000000">
              <w:pPr>
                <w:pStyle w:val="TOC2"/>
                <w:tabs>
                  <w:tab w:val="right" w:leader="dot" w:pos="9350"/>
                </w:tabs>
                <w:rPr>
                  <w:rFonts w:eastAsiaTheme="minorEastAsia"/>
                  <w:noProof/>
                  <w:lang w:eastAsia="en-GB"/>
                </w:rPr>
              </w:pPr>
              <w:hyperlink w:anchor="_Toc127276254" w:history="1">
                <w:r w:rsidR="001E3D53" w:rsidRPr="00A5191D">
                  <w:rPr>
                    <w:rStyle w:val="Hyperlink"/>
                    <w:noProof/>
                    <w:lang w:eastAsia="en-GB"/>
                  </w:rPr>
                  <w:t>Succession planning:</w:t>
                </w:r>
                <w:r w:rsidR="001E3D53">
                  <w:rPr>
                    <w:noProof/>
                    <w:webHidden/>
                  </w:rPr>
                  <w:tab/>
                </w:r>
                <w:r w:rsidR="001E3D53">
                  <w:rPr>
                    <w:noProof/>
                    <w:webHidden/>
                  </w:rPr>
                  <w:fldChar w:fldCharType="begin"/>
                </w:r>
                <w:r w:rsidR="001E3D53">
                  <w:rPr>
                    <w:noProof/>
                    <w:webHidden/>
                  </w:rPr>
                  <w:instrText xml:space="preserve"> PAGEREF _Toc127276254 \h </w:instrText>
                </w:r>
                <w:r w:rsidR="001E3D53">
                  <w:rPr>
                    <w:noProof/>
                    <w:webHidden/>
                  </w:rPr>
                </w:r>
                <w:r w:rsidR="001E3D53">
                  <w:rPr>
                    <w:noProof/>
                    <w:webHidden/>
                  </w:rPr>
                  <w:fldChar w:fldCharType="separate"/>
                </w:r>
                <w:r w:rsidR="001E3D53">
                  <w:rPr>
                    <w:noProof/>
                    <w:webHidden/>
                  </w:rPr>
                  <w:t>7</w:t>
                </w:r>
                <w:r w:rsidR="001E3D53">
                  <w:rPr>
                    <w:noProof/>
                    <w:webHidden/>
                  </w:rPr>
                  <w:fldChar w:fldCharType="end"/>
                </w:r>
              </w:hyperlink>
            </w:p>
            <w:p w14:paraId="38E9F1E6" w14:textId="53675897" w:rsidR="001E3D53" w:rsidRDefault="00000000">
              <w:pPr>
                <w:pStyle w:val="TOC2"/>
                <w:tabs>
                  <w:tab w:val="right" w:leader="dot" w:pos="9350"/>
                </w:tabs>
                <w:rPr>
                  <w:rFonts w:eastAsiaTheme="minorEastAsia"/>
                  <w:noProof/>
                  <w:lang w:eastAsia="en-GB"/>
                </w:rPr>
              </w:pPr>
              <w:hyperlink w:anchor="_Toc127276255" w:history="1">
                <w:r w:rsidR="001E3D53" w:rsidRPr="00A5191D">
                  <w:rPr>
                    <w:rStyle w:val="Hyperlink"/>
                    <w:noProof/>
                    <w:lang w:eastAsia="en-GB"/>
                  </w:rPr>
                  <w:t>Employee development:</w:t>
                </w:r>
                <w:r w:rsidR="001E3D53">
                  <w:rPr>
                    <w:noProof/>
                    <w:webHidden/>
                  </w:rPr>
                  <w:tab/>
                </w:r>
                <w:r w:rsidR="001E3D53">
                  <w:rPr>
                    <w:noProof/>
                    <w:webHidden/>
                  </w:rPr>
                  <w:fldChar w:fldCharType="begin"/>
                </w:r>
                <w:r w:rsidR="001E3D53">
                  <w:rPr>
                    <w:noProof/>
                    <w:webHidden/>
                  </w:rPr>
                  <w:instrText xml:space="preserve"> PAGEREF _Toc127276255 \h </w:instrText>
                </w:r>
                <w:r w:rsidR="001E3D53">
                  <w:rPr>
                    <w:noProof/>
                    <w:webHidden/>
                  </w:rPr>
                </w:r>
                <w:r w:rsidR="001E3D53">
                  <w:rPr>
                    <w:noProof/>
                    <w:webHidden/>
                  </w:rPr>
                  <w:fldChar w:fldCharType="separate"/>
                </w:r>
                <w:r w:rsidR="001E3D53">
                  <w:rPr>
                    <w:noProof/>
                    <w:webHidden/>
                  </w:rPr>
                  <w:t>7</w:t>
                </w:r>
                <w:r w:rsidR="001E3D53">
                  <w:rPr>
                    <w:noProof/>
                    <w:webHidden/>
                  </w:rPr>
                  <w:fldChar w:fldCharType="end"/>
                </w:r>
              </w:hyperlink>
            </w:p>
            <w:p w14:paraId="01F1D508" w14:textId="2319849B" w:rsidR="001E3D53" w:rsidRDefault="00000000">
              <w:pPr>
                <w:pStyle w:val="TOC2"/>
                <w:tabs>
                  <w:tab w:val="right" w:leader="dot" w:pos="9350"/>
                </w:tabs>
                <w:rPr>
                  <w:rFonts w:eastAsiaTheme="minorEastAsia"/>
                  <w:noProof/>
                  <w:lang w:eastAsia="en-GB"/>
                </w:rPr>
              </w:pPr>
              <w:hyperlink w:anchor="_Toc127276256" w:history="1">
                <w:r w:rsidR="001E3D53" w:rsidRPr="00A5191D">
                  <w:rPr>
                    <w:rStyle w:val="Hyperlink"/>
                    <w:noProof/>
                    <w:lang w:eastAsia="en-GB"/>
                  </w:rPr>
                  <w:t>Why these recommendations?</w:t>
                </w:r>
                <w:r w:rsidR="001E3D53">
                  <w:rPr>
                    <w:noProof/>
                    <w:webHidden/>
                  </w:rPr>
                  <w:tab/>
                </w:r>
                <w:r w:rsidR="001E3D53">
                  <w:rPr>
                    <w:noProof/>
                    <w:webHidden/>
                  </w:rPr>
                  <w:fldChar w:fldCharType="begin"/>
                </w:r>
                <w:r w:rsidR="001E3D53">
                  <w:rPr>
                    <w:noProof/>
                    <w:webHidden/>
                  </w:rPr>
                  <w:instrText xml:space="preserve"> PAGEREF _Toc127276256 \h </w:instrText>
                </w:r>
                <w:r w:rsidR="001E3D53">
                  <w:rPr>
                    <w:noProof/>
                    <w:webHidden/>
                  </w:rPr>
                </w:r>
                <w:r w:rsidR="001E3D53">
                  <w:rPr>
                    <w:noProof/>
                    <w:webHidden/>
                  </w:rPr>
                  <w:fldChar w:fldCharType="separate"/>
                </w:r>
                <w:r w:rsidR="001E3D53">
                  <w:rPr>
                    <w:noProof/>
                    <w:webHidden/>
                  </w:rPr>
                  <w:t>7</w:t>
                </w:r>
                <w:r w:rsidR="001E3D53">
                  <w:rPr>
                    <w:noProof/>
                    <w:webHidden/>
                  </w:rPr>
                  <w:fldChar w:fldCharType="end"/>
                </w:r>
              </w:hyperlink>
            </w:p>
            <w:p w14:paraId="35864A88" w14:textId="12D39B81" w:rsidR="001E3D53" w:rsidRDefault="00000000">
              <w:pPr>
                <w:pStyle w:val="TOC2"/>
                <w:tabs>
                  <w:tab w:val="right" w:leader="dot" w:pos="9350"/>
                </w:tabs>
                <w:rPr>
                  <w:rFonts w:eastAsiaTheme="minorEastAsia"/>
                  <w:noProof/>
                  <w:lang w:eastAsia="en-GB"/>
                </w:rPr>
              </w:pPr>
              <w:hyperlink w:anchor="_Toc127276257" w:history="1">
                <w:r w:rsidR="001E3D53" w:rsidRPr="00A5191D">
                  <w:rPr>
                    <w:rStyle w:val="Hyperlink"/>
                    <w:noProof/>
                  </w:rPr>
                  <w:t>Bibliography</w:t>
                </w:r>
                <w:r w:rsidR="001E3D53">
                  <w:rPr>
                    <w:noProof/>
                    <w:webHidden/>
                  </w:rPr>
                  <w:tab/>
                </w:r>
                <w:r w:rsidR="001E3D53">
                  <w:rPr>
                    <w:noProof/>
                    <w:webHidden/>
                  </w:rPr>
                  <w:fldChar w:fldCharType="begin"/>
                </w:r>
                <w:r w:rsidR="001E3D53">
                  <w:rPr>
                    <w:noProof/>
                    <w:webHidden/>
                  </w:rPr>
                  <w:instrText xml:space="preserve"> PAGEREF _Toc127276257 \h </w:instrText>
                </w:r>
                <w:r w:rsidR="001E3D53">
                  <w:rPr>
                    <w:noProof/>
                    <w:webHidden/>
                  </w:rPr>
                </w:r>
                <w:r w:rsidR="001E3D53">
                  <w:rPr>
                    <w:noProof/>
                    <w:webHidden/>
                  </w:rPr>
                  <w:fldChar w:fldCharType="separate"/>
                </w:r>
                <w:r w:rsidR="001E3D53">
                  <w:rPr>
                    <w:noProof/>
                    <w:webHidden/>
                  </w:rPr>
                  <w:t>8</w:t>
                </w:r>
                <w:r w:rsidR="001E3D53">
                  <w:rPr>
                    <w:noProof/>
                    <w:webHidden/>
                  </w:rPr>
                  <w:fldChar w:fldCharType="end"/>
                </w:r>
              </w:hyperlink>
            </w:p>
            <w:p w14:paraId="42394321" w14:textId="7BE606D7" w:rsidR="00885114" w:rsidRPr="00A26EA4" w:rsidRDefault="00885114" w:rsidP="00A26EA4">
              <w:pPr>
                <w:pStyle w:val="TOC2"/>
                <w:tabs>
                  <w:tab w:val="right" w:leader="dot" w:pos="9350"/>
                </w:tabs>
                <w:ind w:left="0"/>
                <w:rPr>
                  <w:rFonts w:eastAsiaTheme="minorEastAsia"/>
                  <w:noProof/>
                  <w:lang w:eastAsia="en-GB"/>
                </w:rPr>
              </w:pPr>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300B9D09" w:rsidR="00744B6A" w:rsidRDefault="00DE7980" w:rsidP="00B909F7">
      <w:pPr>
        <w:pStyle w:val="Heading1"/>
      </w:pPr>
      <w:bookmarkStart w:id="0" w:name="_Toc127276241"/>
      <w:bookmarkStart w:id="1" w:name="_Toc500943471"/>
      <w:r>
        <w:lastRenderedPageBreak/>
        <w:t>Executive summary</w:t>
      </w:r>
      <w:r w:rsidR="00744B6A" w:rsidRPr="00B909F7">
        <w:t>:</w:t>
      </w:r>
      <w:bookmarkEnd w:id="0"/>
      <w:r w:rsidR="00744B6A" w:rsidRPr="00B909F7">
        <w:t xml:space="preserve"> </w:t>
      </w:r>
      <w:bookmarkEnd w:id="1"/>
    </w:p>
    <w:p w14:paraId="503876AC" w14:textId="77777777" w:rsidR="00DE7980"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Talent management is a strategic cornerstone for organizations, particularly for tech giants like Apple Inc. This report undertakes an exhaustive and research-driven evaluation of two critical areas that necessitate enhancement in Apple's talent management and development practices: Diversity and Inclusion, and Employee Development and Growth. These priority areas are assessed through the lens of industry best practices and academic research, offering comprehensive recommendations for Apple to sustain and amplify its competitive advantage.</w:t>
      </w:r>
    </w:p>
    <w:p w14:paraId="05589ABA" w14:textId="50E1F472" w:rsidR="00DE7980" w:rsidRDefault="00DE7980" w:rsidP="00DE7980">
      <w:pPr>
        <w:pStyle w:val="Heading1"/>
      </w:pPr>
      <w:r>
        <w:t>Introduction</w:t>
      </w:r>
      <w:r w:rsidRPr="00B909F7">
        <w:t xml:space="preserve">: </w:t>
      </w:r>
    </w:p>
    <w:p w14:paraId="770AC4A0"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Apple Inc. operates in the highly dynamic and competitive technology sector, where innovation is not only a hallmark but also an imperative for survival. As Apple continually strives to revolutionize technology and redefine consumer experiences, its ability to attract, develop, and retain exceptional talent becomes central to its long-term success.</w:t>
      </w:r>
    </w:p>
    <w:p w14:paraId="73261932" w14:textId="77777777" w:rsidR="00DE7980"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Apple's journey as a global technology leader is an extraordinary one. The company's meteoric rise from the garage of Steve Jobs to a global tech juggernaut is a testament to its innovation and strategic acumen. Yet, to maintain its position as a trailblazer in the technology sector, Apple must grapple with a range of contemporary talent management challenges.</w:t>
      </w:r>
    </w:p>
    <w:p w14:paraId="20753565" w14:textId="5C586E2C" w:rsidR="00DE7980" w:rsidRDefault="00DE7980" w:rsidP="00DE7980">
      <w:pPr>
        <w:pStyle w:val="Heading1"/>
      </w:pPr>
      <w:r>
        <w:t>Area 1: Diversity and inclusion</w:t>
      </w:r>
    </w:p>
    <w:p w14:paraId="04F12F86"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Strengths:</w:t>
      </w:r>
    </w:p>
    <w:p w14:paraId="33B8E0A0"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Apple's commitment to diversity and inclusion is evident through initiatives such as the Diversity and Inclusion Leadership Council and transparent reporting (Apple, 2020). These efforts have helped create a workforce that is more representative of the global population.</w:t>
      </w:r>
    </w:p>
    <w:p w14:paraId="568E35C3"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Weaknesses:</w:t>
      </w:r>
    </w:p>
    <w:p w14:paraId="28B1594D"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Leadership Representation: Despite commendable efforts, a conspicuous shortcoming exists in the underrepresentation of diverse groups in Apple's upper leadership echelons (Jackson et al., 2019). This is not merely a matter of optics; research underscores that companies with more diverse leadership teams tend to outperform their peers (McKinsey &amp; Company, 2020).</w:t>
      </w:r>
    </w:p>
    <w:p w14:paraId="36BBA22F"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Inclusive Culture: While diversity initiatives have been initiated, employees may still perceive a gap between policy and practice, affecting collaboration and innovation (Groysberg et al., 2018). Instances of microaggressions or unconscious bias may hinder an inclusive culture from truly taking root.</w:t>
      </w:r>
    </w:p>
    <w:p w14:paraId="5749BC4A"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Apple's aspiration for a diverse and inclusive workforce aligns with broader societal ideals and has seen considerable progress. The Diversity and Inclusion Leadership Council is a testament to the company's commitment. However, the organization must confront the stark reality of underrepresentation in its top leadership ranks.</w:t>
      </w:r>
    </w:p>
    <w:p w14:paraId="42C94D35"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lastRenderedPageBreak/>
        <w:t>The underrepresentation of diverse groups in leadership roles isn't just an ethical concern. Research, such as McKinsey's extensive analysis (McKinsey &amp; Company, 2020), has consistently shown that companies with diverse leadership teams tend to perform better financially. This isn't mere correlation; diverse leadership teams bring a range of perspectives and experiences to decision-making, leading to better problem-solving and innovation.</w:t>
      </w:r>
    </w:p>
    <w:p w14:paraId="3FA3BA6D" w14:textId="77777777" w:rsidR="00DE7980"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Furthermore, the concept of an inclusive culture should go beyond surface-level initiatives. A truly inclusive culture is one where every employee feels valued, heard, and has equal opportunities for advancement. It's a culture that encourages different viewpoints, where employees are comfortable sharing their ideas and concerns. Apple must ensure that its diversity initiatives translate into a workplace culture where everyone feels they belong and can thrive.</w:t>
      </w:r>
    </w:p>
    <w:p w14:paraId="65287B07" w14:textId="0D5FD6E8" w:rsidR="00DE7980" w:rsidRDefault="00DE7980" w:rsidP="00DE7980">
      <w:pPr>
        <w:pStyle w:val="Heading1"/>
      </w:pPr>
      <w:r>
        <w:t>Strategic Recommendations for Diversity and Inclusion:</w:t>
      </w:r>
    </w:p>
    <w:p w14:paraId="4CC2C785" w14:textId="676D2955" w:rsidR="00DE7980" w:rsidRPr="00DE7980" w:rsidRDefault="00DE7980" w:rsidP="00DE7980">
      <w:pPr>
        <w:pStyle w:val="Heading2"/>
      </w:pPr>
      <w:r>
        <w:t>Setting Clear Diversity Goals</w:t>
      </w:r>
    </w:p>
    <w:p w14:paraId="5827B902" w14:textId="1293D799"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In-Depth Analysis:</w:t>
      </w:r>
    </w:p>
    <w:p w14:paraId="06F15F2A"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The setting of clear diversity goals is not merely a checkbox exercise; it's a strategic imperative for Apple. In an era where customers are increasingly socially conscious and scrutinize the diversity records of companies, Apple's commitment must extend beyond rhetoric.</w:t>
      </w:r>
    </w:p>
    <w:p w14:paraId="74DC9523"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Criticality:</w:t>
      </w:r>
    </w:p>
    <w:p w14:paraId="4D525979"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This recommendation reflects the need for Apple to quantifiably measure and communicate its commitment to diversity and inclusion. Transparent goals serve as a public commitment to change and a way to hold the organization accountable. The criticality lies in not just setting goals but also ensuring that these goals are ambitious yet achievable.</w:t>
      </w:r>
    </w:p>
    <w:p w14:paraId="6B3F573D"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Deeper Insights:</w:t>
      </w:r>
    </w:p>
    <w:p w14:paraId="7802A8A8"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Measurement Metrics: Apple should define key metrics for diversity and inclusion, such as the percentage of underrepresented groups in leadership roles, pay equity, and the results of regular employee surveys measuring inclusivity perceptions.</w:t>
      </w:r>
    </w:p>
    <w:p w14:paraId="190D2BA5" w14:textId="77777777" w:rsidR="00DE7980"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Transparency: Apple should make these metrics transparent to the public, showcasing a genuine commitment to change.</w:t>
      </w:r>
    </w:p>
    <w:p w14:paraId="7AE9DBAC" w14:textId="0A1D7898" w:rsidR="00DE7980" w:rsidRPr="00844C5C" w:rsidRDefault="00DE7980" w:rsidP="00844C5C">
      <w:pPr>
        <w:pStyle w:val="Heading2"/>
      </w:pPr>
      <w:r>
        <w:t>Fostering a Dynamic Culture of Inclusion</w:t>
      </w:r>
    </w:p>
    <w:p w14:paraId="3537AFF2" w14:textId="56EA707A"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In-Depth Analysis:</w:t>
      </w:r>
    </w:p>
    <w:p w14:paraId="3465A7B0"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Creating an inclusive culture is a continuous journey that involves adapting to evolving employee needs and societal expectations. This means that Apple's efforts in fostering an inclusive culture must be ongoing and agile.</w:t>
      </w:r>
    </w:p>
    <w:p w14:paraId="3ADEDD6F"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Criticality:</w:t>
      </w:r>
    </w:p>
    <w:p w14:paraId="12E1C4A4"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lastRenderedPageBreak/>
        <w:t>The criticality here lies in the dynamic nature of culture. What works today may not be effective tomorrow. Apple needs to establish mechanisms for regular employee feedback and adaptability. Failure to do so may lead to stagnation and a culture gap between policy and practice.</w:t>
      </w:r>
    </w:p>
    <w:p w14:paraId="7A418ED5"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Deeper Insights:</w:t>
      </w:r>
    </w:p>
    <w:p w14:paraId="4011779E"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Continuous Feedback Mechanisms: Apple should implement continuous feedback mechanisms, such as regular surveys and focus groups, to gauge the employee sentiment regarding inclusivity.</w:t>
      </w:r>
    </w:p>
    <w:p w14:paraId="7926B426" w14:textId="77777777" w:rsidR="00DE7980"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Benchmarking: Benchmarking against industry leaders and best practices is essential. Apple should seek inspiration from other organizations that have successfully fostered inclusive cultures.</w:t>
      </w:r>
    </w:p>
    <w:p w14:paraId="7B355C4D" w14:textId="4924C1FF" w:rsidR="00DE7980" w:rsidRPr="00DE7980" w:rsidRDefault="00DE7980" w:rsidP="00DE7980">
      <w:pPr>
        <w:pStyle w:val="Heading1"/>
      </w:pPr>
      <w:r>
        <w:t xml:space="preserve">Area </w:t>
      </w:r>
      <w:r>
        <w:t>2: Employee Development and Growth</w:t>
      </w:r>
    </w:p>
    <w:p w14:paraId="050EEDF9"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Strengths:</w:t>
      </w:r>
    </w:p>
    <w:p w14:paraId="28CC0AE1"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Apple places a significant emphasis on employee development through programs like Apple University (Lashinsky, 2011). This focus on learning and growth aligns with the company's ethos of innovation.</w:t>
      </w:r>
    </w:p>
    <w:p w14:paraId="36CA24A8"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Weaknesses:</w:t>
      </w:r>
    </w:p>
    <w:p w14:paraId="03ED2434"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Skill Gaps: The technology sector's relentless pace of change necessitates continuous skill development (McKinsey &amp; Company, 2017). Apple, like its peers, faces the challenge of ensuring its workforce is equipped with the latest skills and knowledge.</w:t>
      </w:r>
    </w:p>
    <w:p w14:paraId="3B928E8C"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Succession Planning: Apple's lack of a formalized succession planning process is a notable vulnerability (Rothwell et al., 2008). While the company has a history of strong leadership, ensuring a robust pipeline of future leaders is essential for long-term stability and growth.</w:t>
      </w:r>
    </w:p>
    <w:p w14:paraId="0073586C" w14:textId="77777777" w:rsidR="00DE7980" w:rsidRPr="00E944EB"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Apple's commitment to employee development, exemplified by initiatives like Apple University, is commendable. However, in an industry characterized by rapid technological advancements, the skills and knowledge of the workforce must be continually updated and augmented.</w:t>
      </w:r>
    </w:p>
    <w:p w14:paraId="6413C641" w14:textId="77777777" w:rsidR="00DE7980" w:rsidRDefault="00DE7980" w:rsidP="00DE7980">
      <w:pPr>
        <w:jc w:val="both"/>
        <w:rPr>
          <w:rFonts w:ascii="Calibri" w:hAnsi="Calibri" w:cs="Calibri"/>
          <w:sz w:val="24"/>
          <w:szCs w:val="24"/>
          <w:lang w:eastAsia="en-GB"/>
        </w:rPr>
      </w:pPr>
      <w:r w:rsidRPr="00E944EB">
        <w:rPr>
          <w:rFonts w:ascii="Calibri" w:hAnsi="Calibri" w:cs="Calibri"/>
          <w:sz w:val="24"/>
          <w:szCs w:val="24"/>
          <w:lang w:eastAsia="en-GB"/>
        </w:rPr>
        <w:t>The technology industry is known for its rapid evolution. What's cutting-edge today might be obsolete tomorrow. Apple's commitment to employee development is evident, with programs like Apple University (Lashinsky, 2011). Yet, in an industry characterized by rapid technological advancements, the skills and knowledge of the workforce must be continually updated and augmented.</w:t>
      </w:r>
    </w:p>
    <w:p w14:paraId="387EF13F" w14:textId="78D8E631" w:rsidR="00844C5C" w:rsidRDefault="00844C5C" w:rsidP="00844C5C">
      <w:pPr>
        <w:pStyle w:val="Heading1"/>
      </w:pPr>
      <w:r>
        <w:t xml:space="preserve">Strategic Recommendations for </w:t>
      </w:r>
      <w:r>
        <w:t>Employee Development and Growth</w:t>
      </w:r>
    </w:p>
    <w:p w14:paraId="12795EAF" w14:textId="1E89304B" w:rsidR="00844C5C" w:rsidRDefault="00844C5C" w:rsidP="00844C5C">
      <w:pPr>
        <w:pStyle w:val="Heading2"/>
      </w:pPr>
      <w:r>
        <w:t>Regular Skills Assessments:</w:t>
      </w:r>
    </w:p>
    <w:p w14:paraId="26ACB94A"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In-Depth Analysis:</w:t>
      </w:r>
    </w:p>
    <w:p w14:paraId="4B4D0474"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lastRenderedPageBreak/>
        <w:t>The technology sector's rapid evolution necessitates that Apple assess the skills of its workforce regularly. Skills assessments should be comprehensive, encompassing both technical skills specific to job roles and soft skills crucial for effective teamwork and adaptability.</w:t>
      </w:r>
    </w:p>
    <w:p w14:paraId="64B0B54C"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Criticality:</w:t>
      </w:r>
    </w:p>
    <w:p w14:paraId="6A2818AC"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 xml:space="preserve">The criticality lies in ensuring that the workforce remains </w:t>
      </w:r>
      <w:proofErr w:type="gramStart"/>
      <w:r w:rsidRPr="00E944EB">
        <w:rPr>
          <w:rFonts w:ascii="Calibri" w:hAnsi="Calibri" w:cs="Calibri"/>
          <w:sz w:val="24"/>
          <w:szCs w:val="24"/>
          <w:lang w:eastAsia="en-GB"/>
        </w:rPr>
        <w:t>up-to-date</w:t>
      </w:r>
      <w:proofErr w:type="gramEnd"/>
      <w:r w:rsidRPr="00E944EB">
        <w:rPr>
          <w:rFonts w:ascii="Calibri" w:hAnsi="Calibri" w:cs="Calibri"/>
          <w:sz w:val="24"/>
          <w:szCs w:val="24"/>
          <w:lang w:eastAsia="en-GB"/>
        </w:rPr>
        <w:t xml:space="preserve"> with the latest industry trends and technologies. Failure to bridge skill gaps could result in a workforce ill-equipped to drive innovation and adapt to market changes.</w:t>
      </w:r>
    </w:p>
    <w:p w14:paraId="1F476630"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Deeper Insights:</w:t>
      </w:r>
    </w:p>
    <w:p w14:paraId="112801E7"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Comprehensive Assessments: Apple should employ a multifaceted approach to skills assessments. This could include technical examinations, peer evaluations, and self-assessments.</w:t>
      </w:r>
    </w:p>
    <w:p w14:paraId="46DDB2D0" w14:textId="77777777" w:rsidR="00844C5C"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Tailored Training: Based on the outcomes of these assessments, Apple should tailor training programs to address specific skill gaps. These programs should be both internal and external, allowing employees to gain exposure to industry best practices.</w:t>
      </w:r>
    </w:p>
    <w:p w14:paraId="77AEC1AA" w14:textId="576A78FE" w:rsidR="00844C5C" w:rsidRPr="00844C5C" w:rsidRDefault="00844C5C" w:rsidP="00844C5C">
      <w:pPr>
        <w:pStyle w:val="Heading2"/>
      </w:pPr>
      <w:r>
        <w:t>Structured Succession Planning:</w:t>
      </w:r>
    </w:p>
    <w:p w14:paraId="3B71232F" w14:textId="2AB07BD2"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In-Depth Analysis:</w:t>
      </w:r>
    </w:p>
    <w:p w14:paraId="7E5F8D4C"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Succession planning goes beyond identifying potential leaders; it involves a systematic approach to grooming talent for leadership positions. This requires mentorship, leadership training, and a clear career progression framework.</w:t>
      </w:r>
    </w:p>
    <w:p w14:paraId="32BCAAE6"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Criticality:</w:t>
      </w:r>
    </w:p>
    <w:p w14:paraId="0AF51100"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The criticality lies in ensuring leadership continuity and organizational stability. Without a robust succession plan, Apple risks leadership vacuums that can hinder strategic decision-making and disrupt operations.</w:t>
      </w:r>
    </w:p>
    <w:p w14:paraId="7699DF80"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Deeper Insights:</w:t>
      </w:r>
    </w:p>
    <w:p w14:paraId="08201BAD"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Early Identification: Apple should identify high-potential employees early in their careers. This can be done through performance evaluations and leadership potential assessments.</w:t>
      </w:r>
    </w:p>
    <w:p w14:paraId="52D27E29"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Mentorship Programs: Implementing mentorship programs where experienced leaders guide high-potential employees can accelerate their development.</w:t>
      </w:r>
    </w:p>
    <w:p w14:paraId="703EBB37"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Leadership Training: Provide specialized leadership training programs, covering areas like strategic thinking, decision-making, and change management.</w:t>
      </w:r>
    </w:p>
    <w:p w14:paraId="31A12265"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Career Progression Framework: Develop a clear framework for career progression, including defined milestones and skill requirements for each leadership level.</w:t>
      </w:r>
    </w:p>
    <w:p w14:paraId="0DB14873" w14:textId="77777777" w:rsidR="00844C5C"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 xml:space="preserve">By following these strategic recommendations in both priority areas, Apple can better position itself to address talent management challenges effectively and maintain its leadership in </w:t>
      </w:r>
      <w:r w:rsidRPr="00E944EB">
        <w:rPr>
          <w:rFonts w:ascii="Calibri" w:hAnsi="Calibri" w:cs="Calibri"/>
          <w:sz w:val="24"/>
          <w:szCs w:val="24"/>
          <w:lang w:eastAsia="en-GB"/>
        </w:rPr>
        <w:lastRenderedPageBreak/>
        <w:t>innovation and growth within the technology sector. These recommendations are underpinned by in-depth analysis and critical insights, providing a comprehensive roadmap for Apple's talent management strategy.</w:t>
      </w:r>
    </w:p>
    <w:p w14:paraId="118185C2" w14:textId="1E045987" w:rsidR="00844C5C" w:rsidRPr="00844C5C" w:rsidRDefault="00844C5C" w:rsidP="00844C5C">
      <w:pPr>
        <w:pStyle w:val="Heading1"/>
      </w:pPr>
      <w:r>
        <w:t>Conclusion</w:t>
      </w:r>
    </w:p>
    <w:p w14:paraId="56018050"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In the fast-paced and fiercely competitive technology landscape, talent management is not a mere operational facet but the very backbone of an organization's longevity and innovation. Apple Inc., an iconic figure in this dynamic realm, is well-acquainted with the strategic importance of talent. This report has meticulously scrutinized two pivotal areas within Apple's talent management framework: Diversity and Inclusion, and Employee Development and Growth. The evaluation has unearthed not only commendable strengths but also notable weaknesses, setting the stage for evidence-based and critical recommendations.</w:t>
      </w:r>
    </w:p>
    <w:p w14:paraId="12A46EE2" w14:textId="77777777" w:rsidR="00844C5C"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 xml:space="preserve">The criticality of these recommendations cannot be overstated. Apple's prowess in innovation and market leadership is a testament to its ability to adapt and excel in a perpetually evolving tech ecosystem. Nevertheless, sustaining this position hinges upon the </w:t>
      </w:r>
      <w:r w:rsidRPr="00E944EB">
        <w:rPr>
          <w:rFonts w:ascii="Calibri" w:hAnsi="Calibri" w:cs="Calibri"/>
          <w:lang w:eastAsia="en-GB"/>
        </w:rPr>
        <w:t>calibre</w:t>
      </w:r>
      <w:r w:rsidRPr="00E944EB">
        <w:rPr>
          <w:rFonts w:ascii="Calibri" w:hAnsi="Calibri" w:cs="Calibri"/>
          <w:sz w:val="24"/>
          <w:szCs w:val="24"/>
          <w:lang w:eastAsia="en-GB"/>
        </w:rPr>
        <w:t xml:space="preserve"> of its human capital. As such, the following insights delve deeper into the significance of the recommendations and the implications of their implementation.</w:t>
      </w:r>
    </w:p>
    <w:p w14:paraId="542BE751"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Diversity and Inclusion: Setting Clear Diversity Goals</w:t>
      </w:r>
    </w:p>
    <w:p w14:paraId="3355E9FE"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The imperative to set clear diversity goals is multifaceted. While Apple's commitment to diversity is evident, translating this commitment into quantifiable objectives is vital. Firstly, it sends a powerful signal to stakeholders, from employees to customers, that Apple's intentions are not mere lip service but concrete actions. In an era of heightened social consciousness and accountability, this public commitment forms a foundational aspect of corporate reputation (Kell &amp; Ruggie, 2019).</w:t>
      </w:r>
    </w:p>
    <w:p w14:paraId="01FE72DE"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Moreover, setting diversity goals is not just a moral compass but a strategic compass as well. Research has consistently shown that organizations with diverse leadership teams outperform their peers (McKinsey &amp; Company, 2020). Diversity injects fresh perspectives into decision-making processes, fosters innovation, and mitigates groupthink, all essential attributes for a company at the forefront of technology.</w:t>
      </w:r>
    </w:p>
    <w:p w14:paraId="19896DF7"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However, the criticality lies in ensuring these goals are not mere tokenism. They must be ambitious yet achievable, genuinely reflecting Apple's commitment to diversity. Overreaching goals may lead to disillusionment and backlash if not met. Hence, the art of goal setting is to strike a balance, one that challenges Apple to push its boundaries while remaining grounded in feasibility.</w:t>
      </w:r>
    </w:p>
    <w:p w14:paraId="484C62DE"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Diversity and Inclusion: Fostering a Dynamic Culture of Inclusion</w:t>
      </w:r>
    </w:p>
    <w:p w14:paraId="3579A9BA"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 xml:space="preserve">The notion of fostering a dynamic culture of inclusion recognizes that inclusion is not static but an ever-evolving concept. Apple's journey towards inclusivity is an ongoing narrative shaped by </w:t>
      </w:r>
      <w:r w:rsidRPr="00E944EB">
        <w:rPr>
          <w:rFonts w:ascii="Calibri" w:hAnsi="Calibri" w:cs="Calibri"/>
          <w:sz w:val="24"/>
          <w:szCs w:val="24"/>
          <w:lang w:eastAsia="en-GB"/>
        </w:rPr>
        <w:lastRenderedPageBreak/>
        <w:t>the interplay of societal changes, employee expectations, and corporate values. The criticality here lies in embracing this dynamism.</w:t>
      </w:r>
    </w:p>
    <w:p w14:paraId="17711E90"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A common pitfall is perceiving diversity and inclusion as a one-time project, where initiatives are implemented, and boxes are ticked. However, true inclusivity transcends policy; it permeates the very essence of an organization's culture (Groysberg et al., 2018). Apple's success in this regard will be determined by its adaptability, its willingness to learn from employee feedback, and its agility in modifying its practices accordingly.</w:t>
      </w:r>
    </w:p>
    <w:p w14:paraId="69AE338E"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In a rapidly changing world, an inclusive culture is not just a corporate feel-good factor but a competitive edge. Inclusion fosters creativity and innovation by bringing together diverse minds and experiences (Groysberg et al., 2018). It fosters a sense of belonging, boosting employee morale and retention. Therefore, the criticality of a dynamic culture of inclusion cannot be overstated; it is the linchpin to Apple's long-term success.</w:t>
      </w:r>
    </w:p>
    <w:p w14:paraId="5AFCC618"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Employee Development and Growth: Regular Skills Assessments</w:t>
      </w:r>
    </w:p>
    <w:p w14:paraId="2E487C0F"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The imperative of conducting regular skills assessments is grounded in the understanding that skills are not static but subject to continuous evolution. The technology sector exemplifies this reality, with skills becoming obsolete at an alarming pace. Apple's strength lies in its talent pool, and this talent must be perpetually updated to remain relevant.</w:t>
      </w:r>
    </w:p>
    <w:p w14:paraId="2DCC1029"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The criticality of regular skills assessments is two-fold. Firstly, it equips Apple's workforce with the skills needed to navigate the ever-changing tech landscape. Stagnation in skills could lead to diminishing relevance and competitiveness. Hence, the organization's capacity to innovate hinges upon the agility of its workforce.</w:t>
      </w:r>
    </w:p>
    <w:p w14:paraId="0894BE07"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Secondly, skills assessments serve as a diagnostic tool, revealing gaps that require immediate attention. Failing to bridge these gaps could lead to inefficiencies, reduced productivity, and a widening skills deficit. Regular assessments are the prophylactic measure that ensures Apple's workforce remains a well-oiled, adaptable, and competitive engine.</w:t>
      </w:r>
    </w:p>
    <w:p w14:paraId="4D4AD0CF"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Employee Development and Growth: Structured Succession Planning</w:t>
      </w:r>
    </w:p>
    <w:p w14:paraId="4A396CDD"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The criticality of structured succession planning transcends the realm of talent management; it's a matter of organizational resilience and stability. Apple's historical success has been underpinned by visionary leadership, and replicating this success necessitates the cultivation of future leaders.</w:t>
      </w:r>
    </w:p>
    <w:p w14:paraId="1812480F" w14:textId="77777777" w:rsidR="00844C5C" w:rsidRPr="00E944EB"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Succession planning is not merely identifying individuals with leadership potential; it's a meticulous and proactive grooming process. The criticality of this process becomes evident in times of leadership transitions. Without a structured plan, organizations risk leadership vacuums, instability, and decision-making paralysis (Rothwell et al., 2008).</w:t>
      </w:r>
    </w:p>
    <w:p w14:paraId="10631EE6" w14:textId="77777777" w:rsidR="00844C5C"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 xml:space="preserve">Moreover, structured succession planning is an acknowledgment that leadership is a skill that can be nurtured and developed. It provides aspiring leaders with mentorship, specialized </w:t>
      </w:r>
      <w:r w:rsidRPr="00E944EB">
        <w:rPr>
          <w:rFonts w:ascii="Calibri" w:hAnsi="Calibri" w:cs="Calibri"/>
          <w:sz w:val="24"/>
          <w:szCs w:val="24"/>
          <w:lang w:eastAsia="en-GB"/>
        </w:rPr>
        <w:lastRenderedPageBreak/>
        <w:t>training, and a clear roadmap for advancement. This not only ensures a seamless leadership transition but also fuels a culture of continuous growth and development.</w:t>
      </w:r>
    </w:p>
    <w:p w14:paraId="5103C431" w14:textId="3F0F3A32" w:rsidR="00844C5C" w:rsidRPr="00844C5C" w:rsidRDefault="00844C5C" w:rsidP="00844C5C">
      <w:pPr>
        <w:pStyle w:val="Heading1"/>
      </w:pPr>
      <w:r>
        <w:t>Final Thoughts</w:t>
      </w:r>
    </w:p>
    <w:p w14:paraId="6AEC9629" w14:textId="77777777" w:rsidR="00844C5C" w:rsidRDefault="00844C5C" w:rsidP="00844C5C">
      <w:pPr>
        <w:jc w:val="both"/>
        <w:rPr>
          <w:rFonts w:ascii="Calibri" w:hAnsi="Calibri" w:cs="Calibri"/>
          <w:sz w:val="24"/>
          <w:szCs w:val="24"/>
          <w:lang w:eastAsia="en-GB"/>
        </w:rPr>
      </w:pPr>
      <w:r w:rsidRPr="00E944EB">
        <w:rPr>
          <w:rFonts w:ascii="Calibri" w:hAnsi="Calibri" w:cs="Calibri"/>
          <w:sz w:val="24"/>
          <w:szCs w:val="24"/>
          <w:lang w:eastAsia="en-GB"/>
        </w:rPr>
        <w:t>In closing, the strategic recommendations presented in this report transcend the confines of talent management; they encapsulate the essence of Apple's ability to thrive and lead in the ever-evolving tech ecosystem. The criticality of these recommendations lies in their potential to shape Apple's destiny. By setting clear diversity goals, fostering a dynamic culture of inclusion, conducting regular skills assessments, and embracing structured succession planning, Apple not only fortifies its talent management strategy but fortifies its position as a beacon of innovation, adaptability, and success in the technology sphere. These are not just recommendations; they are the blueprint for Apple's sustained excellence and enduring legacy.</w:t>
      </w:r>
    </w:p>
    <w:p w14:paraId="7C6A23FD" w14:textId="77777777" w:rsidR="00844C5C" w:rsidRDefault="00844C5C" w:rsidP="00844C5C">
      <w:pPr>
        <w:jc w:val="both"/>
        <w:rPr>
          <w:rFonts w:ascii="Calibri" w:hAnsi="Calibri" w:cs="Calibri"/>
          <w:sz w:val="24"/>
          <w:szCs w:val="24"/>
          <w:lang w:eastAsia="en-GB"/>
        </w:rPr>
      </w:pPr>
    </w:p>
    <w:p w14:paraId="4CB3903D" w14:textId="1577CFF5" w:rsidR="00322483" w:rsidRDefault="00322483" w:rsidP="00322483">
      <w:pPr>
        <w:pStyle w:val="Heading2"/>
      </w:pPr>
      <w:bookmarkStart w:id="2" w:name="_Toc127276257"/>
      <w:r>
        <w:t>Bibliography</w:t>
      </w:r>
      <w:bookmarkEnd w:id="2"/>
    </w:p>
    <w:p w14:paraId="28803211" w14:textId="77777777" w:rsidR="00844C5C" w:rsidRPr="00E944EB" w:rsidRDefault="00844C5C" w:rsidP="00844C5C">
      <w:pPr>
        <w:jc w:val="both"/>
        <w:rPr>
          <w:rFonts w:ascii="Calibri" w:hAnsi="Calibri" w:cs="Calibri"/>
          <w:lang w:eastAsia="en-GB"/>
        </w:rPr>
      </w:pPr>
      <w:r w:rsidRPr="00E944EB">
        <w:rPr>
          <w:rFonts w:ascii="Calibri" w:hAnsi="Calibri" w:cs="Calibri"/>
          <w:lang w:eastAsia="en-GB"/>
        </w:rPr>
        <w:t xml:space="preserve">Apple Inc. (2020). </w:t>
      </w:r>
      <w:hyperlink r:id="rId10" w:tgtFrame="_new" w:history="1">
        <w:r w:rsidRPr="00E944EB">
          <w:rPr>
            <w:rStyle w:val="Hyperlink"/>
            <w:rFonts w:ascii="Calibri" w:hAnsi="Calibri" w:cs="Calibri"/>
            <w:color w:val="auto"/>
            <w:u w:val="none"/>
            <w:lang w:eastAsia="en-GB"/>
          </w:rPr>
          <w:t>Diversity and Inclusion</w:t>
        </w:r>
      </w:hyperlink>
      <w:r w:rsidRPr="00E944EB">
        <w:rPr>
          <w:rFonts w:ascii="Calibri" w:hAnsi="Calibri" w:cs="Calibri"/>
          <w:lang w:eastAsia="en-GB"/>
        </w:rPr>
        <w:t>.</w:t>
      </w:r>
    </w:p>
    <w:p w14:paraId="590D7DBB" w14:textId="77777777" w:rsidR="00844C5C" w:rsidRPr="00E944EB" w:rsidRDefault="00844C5C" w:rsidP="00844C5C">
      <w:pPr>
        <w:jc w:val="both"/>
        <w:rPr>
          <w:rFonts w:ascii="Calibri" w:hAnsi="Calibri" w:cs="Calibri"/>
          <w:lang w:eastAsia="en-GB"/>
        </w:rPr>
      </w:pPr>
      <w:r w:rsidRPr="00E944EB">
        <w:rPr>
          <w:rFonts w:ascii="Calibri" w:hAnsi="Calibri" w:cs="Calibri"/>
          <w:lang w:eastAsia="en-GB"/>
        </w:rPr>
        <w:t xml:space="preserve">Groysberg, B., Lee, L. E., Price, J. W., &amp; Cheng, J. (2018). </w:t>
      </w:r>
      <w:hyperlink r:id="rId11" w:tgtFrame="_new" w:history="1">
        <w:r w:rsidRPr="00E944EB">
          <w:rPr>
            <w:rStyle w:val="Hyperlink"/>
            <w:rFonts w:ascii="Calibri" w:hAnsi="Calibri" w:cs="Calibri"/>
            <w:color w:val="auto"/>
            <w:u w:val="none"/>
            <w:lang w:eastAsia="en-GB"/>
          </w:rPr>
          <w:t>The leader's guide to corporate culture</w:t>
        </w:r>
      </w:hyperlink>
      <w:r w:rsidRPr="00E944EB">
        <w:rPr>
          <w:rFonts w:ascii="Calibri" w:hAnsi="Calibri" w:cs="Calibri"/>
          <w:lang w:eastAsia="en-GB"/>
        </w:rPr>
        <w:t>. Harvard Business Review.</w:t>
      </w:r>
    </w:p>
    <w:p w14:paraId="759D5AAD" w14:textId="77777777" w:rsidR="00844C5C" w:rsidRPr="00E944EB" w:rsidRDefault="00844C5C" w:rsidP="00844C5C">
      <w:pPr>
        <w:jc w:val="both"/>
        <w:rPr>
          <w:rFonts w:ascii="Calibri" w:hAnsi="Calibri" w:cs="Calibri"/>
          <w:lang w:eastAsia="en-GB"/>
        </w:rPr>
      </w:pPr>
      <w:r w:rsidRPr="00E944EB">
        <w:rPr>
          <w:rFonts w:ascii="Calibri" w:hAnsi="Calibri" w:cs="Calibri"/>
          <w:lang w:eastAsia="en-GB"/>
        </w:rPr>
        <w:t xml:space="preserve">Hunt, V., Prince, S., Dixon-Fyle, S., &amp; Yee, L. (2020). </w:t>
      </w:r>
      <w:hyperlink r:id="rId12" w:tgtFrame="_new" w:history="1">
        <w:r w:rsidRPr="00E944EB">
          <w:rPr>
            <w:rStyle w:val="Hyperlink"/>
            <w:rFonts w:ascii="Calibri" w:hAnsi="Calibri" w:cs="Calibri"/>
            <w:color w:val="auto"/>
            <w:u w:val="none"/>
            <w:lang w:eastAsia="en-GB"/>
          </w:rPr>
          <w:t>Diversity wins: How inclusion matters</w:t>
        </w:r>
      </w:hyperlink>
      <w:r w:rsidRPr="00E944EB">
        <w:rPr>
          <w:rFonts w:ascii="Calibri" w:hAnsi="Calibri" w:cs="Calibri"/>
          <w:lang w:eastAsia="en-GB"/>
        </w:rPr>
        <w:t>. McKinsey &amp; Company.</w:t>
      </w:r>
    </w:p>
    <w:p w14:paraId="30ACA6B2" w14:textId="77777777" w:rsidR="00844C5C" w:rsidRPr="00E944EB" w:rsidRDefault="00844C5C" w:rsidP="00844C5C">
      <w:pPr>
        <w:jc w:val="both"/>
        <w:rPr>
          <w:rFonts w:ascii="Calibri" w:hAnsi="Calibri" w:cs="Calibri"/>
          <w:lang w:eastAsia="en-GB"/>
        </w:rPr>
      </w:pPr>
      <w:r w:rsidRPr="00E944EB">
        <w:rPr>
          <w:rFonts w:ascii="Calibri" w:hAnsi="Calibri" w:cs="Calibri"/>
          <w:lang w:eastAsia="en-GB"/>
        </w:rPr>
        <w:t xml:space="preserve">Jackson, S. E., Ruderman, M., &amp; Carlozzi, A. F. (2019). </w:t>
      </w:r>
      <w:hyperlink r:id="rId13" w:tgtFrame="_new" w:history="1">
        <w:r w:rsidRPr="00E944EB">
          <w:rPr>
            <w:rStyle w:val="Hyperlink"/>
            <w:rFonts w:ascii="Calibri" w:hAnsi="Calibri" w:cs="Calibri"/>
            <w:color w:val="auto"/>
            <w:u w:val="none"/>
            <w:lang w:eastAsia="en-GB"/>
          </w:rPr>
          <w:t>Diversity in Work Teams: Research Paradigms for a Changing Workplace</w:t>
        </w:r>
      </w:hyperlink>
      <w:r w:rsidRPr="00E944EB">
        <w:rPr>
          <w:rFonts w:ascii="Calibri" w:hAnsi="Calibri" w:cs="Calibri"/>
          <w:lang w:eastAsia="en-GB"/>
        </w:rPr>
        <w:t>. Annual Review of Psychology, 70, 165-191.</w:t>
      </w:r>
    </w:p>
    <w:p w14:paraId="6A83BA47" w14:textId="77777777" w:rsidR="00844C5C" w:rsidRPr="00E944EB" w:rsidRDefault="00844C5C" w:rsidP="00844C5C">
      <w:pPr>
        <w:jc w:val="both"/>
        <w:rPr>
          <w:rFonts w:ascii="Calibri" w:hAnsi="Calibri" w:cs="Calibri"/>
          <w:lang w:eastAsia="en-GB"/>
        </w:rPr>
      </w:pPr>
      <w:r w:rsidRPr="00E944EB">
        <w:rPr>
          <w:rFonts w:ascii="Calibri" w:hAnsi="Calibri" w:cs="Calibri"/>
          <w:lang w:eastAsia="en-GB"/>
        </w:rPr>
        <w:t xml:space="preserve">Lashinsky, A. (2011). </w:t>
      </w:r>
      <w:hyperlink r:id="rId14" w:tgtFrame="_new" w:history="1">
        <w:r w:rsidRPr="00E944EB">
          <w:rPr>
            <w:rStyle w:val="Hyperlink"/>
            <w:rFonts w:ascii="Calibri" w:hAnsi="Calibri" w:cs="Calibri"/>
            <w:color w:val="auto"/>
            <w:u w:val="none"/>
            <w:lang w:eastAsia="en-GB"/>
          </w:rPr>
          <w:t>How Apple Works: Inside the World's Biggest Startup</w:t>
        </w:r>
      </w:hyperlink>
      <w:r w:rsidRPr="00E944EB">
        <w:rPr>
          <w:rFonts w:ascii="Calibri" w:hAnsi="Calibri" w:cs="Calibri"/>
          <w:lang w:eastAsia="en-GB"/>
        </w:rPr>
        <w:t>. Fortune.</w:t>
      </w:r>
    </w:p>
    <w:p w14:paraId="5A8E17CC" w14:textId="77777777" w:rsidR="00844C5C" w:rsidRPr="00E944EB" w:rsidRDefault="00844C5C" w:rsidP="00844C5C">
      <w:pPr>
        <w:jc w:val="both"/>
        <w:rPr>
          <w:rFonts w:ascii="Calibri" w:hAnsi="Calibri" w:cs="Calibri"/>
          <w:lang w:eastAsia="en-GB"/>
        </w:rPr>
      </w:pPr>
      <w:r w:rsidRPr="00E944EB">
        <w:rPr>
          <w:rFonts w:ascii="Calibri" w:hAnsi="Calibri" w:cs="Calibri"/>
          <w:lang w:eastAsia="en-GB"/>
        </w:rPr>
        <w:t xml:space="preserve">McKinsey &amp; Company. (2017). </w:t>
      </w:r>
      <w:hyperlink r:id="rId15" w:tgtFrame="_new" w:history="1">
        <w:r w:rsidRPr="00E944EB">
          <w:rPr>
            <w:rStyle w:val="Hyperlink"/>
            <w:rFonts w:ascii="Calibri" w:hAnsi="Calibri" w:cs="Calibri"/>
            <w:color w:val="auto"/>
            <w:u w:val="none"/>
            <w:lang w:eastAsia="en-GB"/>
          </w:rPr>
          <w:t>Closing the talent gap: Attracting and retaining digital talent</w:t>
        </w:r>
      </w:hyperlink>
      <w:r w:rsidRPr="00E944EB">
        <w:rPr>
          <w:rFonts w:ascii="Calibri" w:hAnsi="Calibri" w:cs="Calibri"/>
          <w:lang w:eastAsia="en-GB"/>
        </w:rPr>
        <w:t>. McKinsey &amp; Company.</w:t>
      </w:r>
    </w:p>
    <w:p w14:paraId="1833DD6E" w14:textId="77777777" w:rsidR="00844C5C" w:rsidRPr="00E944EB" w:rsidRDefault="00844C5C" w:rsidP="00844C5C">
      <w:pPr>
        <w:jc w:val="both"/>
        <w:rPr>
          <w:rFonts w:ascii="Calibri" w:hAnsi="Calibri" w:cs="Calibri"/>
          <w:lang w:eastAsia="en-GB"/>
        </w:rPr>
      </w:pPr>
      <w:r w:rsidRPr="00E944EB">
        <w:rPr>
          <w:rFonts w:ascii="Calibri" w:hAnsi="Calibri" w:cs="Calibri"/>
          <w:lang w:eastAsia="en-GB"/>
        </w:rPr>
        <w:t xml:space="preserve">McKinsey &amp; Company. (2020). </w:t>
      </w:r>
      <w:hyperlink r:id="rId16" w:tgtFrame="_new" w:history="1">
        <w:r w:rsidRPr="00E944EB">
          <w:rPr>
            <w:rStyle w:val="Hyperlink"/>
            <w:rFonts w:ascii="Calibri" w:hAnsi="Calibri" w:cs="Calibri"/>
            <w:color w:val="auto"/>
            <w:u w:val="none"/>
            <w:lang w:eastAsia="en-GB"/>
          </w:rPr>
          <w:t>Diversity wins: How inclusion matters</w:t>
        </w:r>
      </w:hyperlink>
      <w:r w:rsidRPr="00E944EB">
        <w:rPr>
          <w:rFonts w:ascii="Calibri" w:hAnsi="Calibri" w:cs="Calibri"/>
          <w:lang w:eastAsia="en-GB"/>
        </w:rPr>
        <w:t>. McKinsey &amp; Company.</w:t>
      </w:r>
    </w:p>
    <w:p w14:paraId="18C28327" w14:textId="77777777" w:rsidR="00844C5C" w:rsidRPr="00E944EB" w:rsidRDefault="00844C5C" w:rsidP="00844C5C">
      <w:pPr>
        <w:jc w:val="both"/>
        <w:rPr>
          <w:rFonts w:ascii="Calibri" w:hAnsi="Calibri" w:cs="Calibri"/>
          <w:lang w:eastAsia="en-GB"/>
        </w:rPr>
      </w:pPr>
      <w:r w:rsidRPr="00E944EB">
        <w:rPr>
          <w:rFonts w:ascii="Calibri" w:hAnsi="Calibri" w:cs="Calibri"/>
          <w:lang w:eastAsia="en-GB"/>
        </w:rPr>
        <w:t xml:space="preserve">Muro, M., &amp; Maxim, R. (2020). </w:t>
      </w:r>
      <w:hyperlink r:id="rId17" w:tgtFrame="_new" w:history="1">
        <w:r w:rsidRPr="00E944EB">
          <w:rPr>
            <w:rStyle w:val="Hyperlink"/>
            <w:rFonts w:ascii="Calibri" w:hAnsi="Calibri" w:cs="Calibri"/>
            <w:color w:val="auto"/>
            <w:u w:val="none"/>
            <w:lang w:eastAsia="en-GB"/>
          </w:rPr>
          <w:t>Rebuilding communities through inclusive talent development</w:t>
        </w:r>
      </w:hyperlink>
      <w:r w:rsidRPr="00E944EB">
        <w:rPr>
          <w:rFonts w:ascii="Calibri" w:hAnsi="Calibri" w:cs="Calibri"/>
          <w:lang w:eastAsia="en-GB"/>
        </w:rPr>
        <w:t>. Brookings Institution.</w:t>
      </w:r>
    </w:p>
    <w:p w14:paraId="7A15919D" w14:textId="76C52B77" w:rsidR="00844C5C" w:rsidRPr="00844C5C" w:rsidRDefault="00844C5C" w:rsidP="00844C5C">
      <w:pPr>
        <w:jc w:val="both"/>
        <w:rPr>
          <w:rFonts w:ascii="Calibri" w:hAnsi="Calibri" w:cs="Calibri"/>
          <w:lang w:eastAsia="en-GB"/>
        </w:rPr>
      </w:pPr>
      <w:r w:rsidRPr="00E944EB">
        <w:rPr>
          <w:rFonts w:ascii="Calibri" w:hAnsi="Calibri" w:cs="Calibri"/>
          <w:lang w:eastAsia="en-GB"/>
        </w:rPr>
        <w:t xml:space="preserve">Rothwell, W. J., Jackson, R. D., &amp; Knight, D. K. (2008). </w:t>
      </w:r>
      <w:hyperlink r:id="rId18" w:tgtFrame="_new" w:history="1">
        <w:r w:rsidRPr="00E944EB">
          <w:rPr>
            <w:rStyle w:val="Hyperlink"/>
            <w:rFonts w:ascii="Calibri" w:hAnsi="Calibri" w:cs="Calibri"/>
            <w:color w:val="auto"/>
            <w:u w:val="none"/>
            <w:lang w:eastAsia="en-GB"/>
          </w:rPr>
          <w:t>Mastering succession and management transition planning: Essential guidelines and processes for success</w:t>
        </w:r>
      </w:hyperlink>
      <w:r w:rsidRPr="00E944EB">
        <w:rPr>
          <w:rFonts w:ascii="Calibri" w:hAnsi="Calibri" w:cs="Calibri"/>
          <w:lang w:eastAsia="en-GB"/>
        </w:rPr>
        <w:t>. AMACOM Div American Mgmt Assn.</w:t>
      </w:r>
    </w:p>
    <w:p w14:paraId="3D54983E" w14:textId="77777777" w:rsidR="001E3D53" w:rsidRPr="008C3CDF" w:rsidRDefault="001E3D53" w:rsidP="001E3D53">
      <w:pPr>
        <w:jc w:val="both"/>
        <w:rPr>
          <w:sz w:val="24"/>
          <w:szCs w:val="24"/>
        </w:rPr>
      </w:pPr>
      <w:r w:rsidRPr="008C3CDF">
        <w:rPr>
          <w:sz w:val="24"/>
          <w:szCs w:val="24"/>
        </w:rPr>
        <w:t xml:space="preserve">Baldwin, T. T., &amp; Ford, J. K. (1988). Transfer of training: A review and directions for future research. Personnel Psychology, 41(1), 63-105. </w:t>
      </w:r>
    </w:p>
    <w:p w14:paraId="71616414" w14:textId="77777777" w:rsidR="001E3D53" w:rsidRPr="008C3CDF" w:rsidRDefault="001E3D53" w:rsidP="001E3D53">
      <w:pPr>
        <w:jc w:val="both"/>
        <w:rPr>
          <w:sz w:val="24"/>
          <w:szCs w:val="24"/>
        </w:rPr>
      </w:pPr>
      <w:r w:rsidRPr="008C3CDF">
        <w:rPr>
          <w:sz w:val="24"/>
          <w:szCs w:val="24"/>
        </w:rPr>
        <w:t xml:space="preserve">Cascio, W. F., &amp; Aguinis, H. (2008). Research in industrial and organizational psychology from 1963 to 2007: Changes, choices, and trends. Journal of Applied Psychology, 93(5), 1062-1081. </w:t>
      </w:r>
    </w:p>
    <w:p w14:paraId="40494023" w14:textId="77777777" w:rsidR="001E3D53" w:rsidRPr="008C3CDF" w:rsidRDefault="001E3D53" w:rsidP="001E3D53">
      <w:pPr>
        <w:jc w:val="both"/>
        <w:rPr>
          <w:sz w:val="24"/>
          <w:szCs w:val="24"/>
        </w:rPr>
      </w:pPr>
      <w:r w:rsidRPr="008C3CDF">
        <w:rPr>
          <w:sz w:val="24"/>
          <w:szCs w:val="24"/>
        </w:rPr>
        <w:lastRenderedPageBreak/>
        <w:t xml:space="preserve">Hill, C. E., &amp; Lent, R. W. (2006). A narrative and meta-analytic review of helping skills training: Time to revive a dormant area of inquiry. Psychotherapy: Theory, Research, Practice, Training, 43(2), 154-172. </w:t>
      </w:r>
    </w:p>
    <w:p w14:paraId="552E55B5" w14:textId="77777777" w:rsidR="001E3D53" w:rsidRPr="008C3CDF" w:rsidRDefault="001E3D53" w:rsidP="001E3D53">
      <w:pPr>
        <w:jc w:val="both"/>
        <w:rPr>
          <w:sz w:val="24"/>
          <w:szCs w:val="24"/>
        </w:rPr>
      </w:pPr>
      <w:r w:rsidRPr="008C3CDF">
        <w:rPr>
          <w:sz w:val="24"/>
          <w:szCs w:val="24"/>
        </w:rPr>
        <w:t xml:space="preserve">Becker, B. E., &amp; Gerhart, B. (1996). The impact of human resource management on organizational performance: Progress and prospects. Academy of Management Journal, 39(4), 779-801. </w:t>
      </w:r>
    </w:p>
    <w:p w14:paraId="6D9AD62B" w14:textId="77777777" w:rsidR="001E3D53" w:rsidRPr="008C3CDF" w:rsidRDefault="001E3D53" w:rsidP="001E3D53">
      <w:pPr>
        <w:jc w:val="both"/>
        <w:rPr>
          <w:sz w:val="24"/>
          <w:szCs w:val="24"/>
        </w:rPr>
      </w:pPr>
      <w:r w:rsidRPr="008C3CDF">
        <w:rPr>
          <w:sz w:val="24"/>
          <w:szCs w:val="24"/>
        </w:rPr>
        <w:t xml:space="preserve">Holton III, E. F., Bates, R. A., &amp; Ruona, W. E. A. (2000). Development of a generalized learning transfer system inventory. Human Resource Development Quarterly, 11(4), 333-360. </w:t>
      </w:r>
    </w:p>
    <w:p w14:paraId="68173285" w14:textId="77777777" w:rsidR="001E3D53" w:rsidRDefault="001E3D53" w:rsidP="001E3D53">
      <w:pPr>
        <w:jc w:val="both"/>
        <w:rPr>
          <w:sz w:val="24"/>
          <w:szCs w:val="24"/>
        </w:rPr>
      </w:pPr>
      <w:r w:rsidRPr="008C3CDF">
        <w:rPr>
          <w:sz w:val="24"/>
          <w:szCs w:val="24"/>
        </w:rPr>
        <w:t xml:space="preserve">Noe, R. A., Tews, M. J., &amp; Merchant, C. (2010). The importance of trainee motivation in instructional design strategies for adult learners. International Journal of Training and Development, 14(2), 88-103. </w:t>
      </w:r>
    </w:p>
    <w:p w14:paraId="5CF9FEBE" w14:textId="77777777" w:rsidR="001E3D53" w:rsidRPr="00E8429B" w:rsidRDefault="001E3D53" w:rsidP="001E3D53">
      <w:pPr>
        <w:jc w:val="both"/>
        <w:rPr>
          <w:sz w:val="24"/>
          <w:szCs w:val="24"/>
          <w:lang w:eastAsia="en-GB"/>
        </w:rPr>
      </w:pPr>
      <w:r w:rsidRPr="00E8429B">
        <w:rPr>
          <w:sz w:val="24"/>
          <w:szCs w:val="24"/>
          <w:lang w:eastAsia="en-GB"/>
        </w:rPr>
        <w:t>Farndale, E., Hope-Hailey, V., &amp; Kelliher, C. (2011). High commitment performance management: The roles of justice and trust. Personnel Review, 40(1), 5-23.</w:t>
      </w:r>
    </w:p>
    <w:p w14:paraId="7DAEA479" w14:textId="77777777" w:rsidR="001E3D53" w:rsidRDefault="001E3D53" w:rsidP="001E3D53">
      <w:pPr>
        <w:jc w:val="both"/>
        <w:rPr>
          <w:sz w:val="24"/>
          <w:szCs w:val="24"/>
          <w:lang w:eastAsia="en-GB"/>
        </w:rPr>
      </w:pPr>
      <w:r w:rsidRPr="00E8429B">
        <w:rPr>
          <w:sz w:val="24"/>
          <w:szCs w:val="24"/>
          <w:lang w:eastAsia="en-GB"/>
        </w:rPr>
        <w:t>Garavan, T. N., Watson, S., Carbery, R., &amp; O'Brien, F. (2012). Strategic talent management in recessionary times. Journal of Business Strategy, 33(5), 12-21.</w:t>
      </w:r>
    </w:p>
    <w:p w14:paraId="2FE8B3EA" w14:textId="77777777" w:rsidR="001E3D53" w:rsidRPr="00E8429B" w:rsidRDefault="001E3D53" w:rsidP="001E3D53">
      <w:pPr>
        <w:jc w:val="both"/>
        <w:rPr>
          <w:sz w:val="24"/>
          <w:szCs w:val="24"/>
          <w:lang w:eastAsia="en-GB"/>
        </w:rPr>
      </w:pPr>
      <w:r w:rsidRPr="00E8429B">
        <w:rPr>
          <w:sz w:val="24"/>
          <w:szCs w:val="24"/>
          <w:lang w:eastAsia="en-GB"/>
        </w:rPr>
        <w:t>Collings, D. G., Mellahi, K., &amp; Cascio, W. F. (2019). Global talent management and performance in multinational enterprises: A multilevel perspective. Journal of Management, 45(2), 540-566.</w:t>
      </w:r>
    </w:p>
    <w:p w14:paraId="0D4AD886" w14:textId="77777777" w:rsidR="001E3D53" w:rsidRDefault="001E3D53" w:rsidP="001E3D53">
      <w:pPr>
        <w:jc w:val="both"/>
        <w:rPr>
          <w:sz w:val="24"/>
          <w:szCs w:val="24"/>
          <w:lang w:eastAsia="en-GB"/>
        </w:rPr>
      </w:pPr>
      <w:r w:rsidRPr="00E8429B">
        <w:rPr>
          <w:sz w:val="24"/>
          <w:szCs w:val="24"/>
          <w:lang w:eastAsia="en-GB"/>
        </w:rPr>
        <w:t>Lepak, D. P., &amp; Snell, S. A. (2002). Examining the human resource architecture: The relationships among human capital, employment, and human resource configurations. Journal of Management, 28(4), 517-543.</w:t>
      </w:r>
    </w:p>
    <w:p w14:paraId="0B614F38" w14:textId="77777777" w:rsidR="001E3D53" w:rsidRPr="00E8429B" w:rsidRDefault="001E3D53" w:rsidP="001E3D53">
      <w:pPr>
        <w:jc w:val="both"/>
        <w:rPr>
          <w:sz w:val="24"/>
          <w:szCs w:val="24"/>
          <w:lang w:eastAsia="en-GB"/>
        </w:rPr>
      </w:pPr>
      <w:r w:rsidRPr="00E8429B">
        <w:rPr>
          <w:sz w:val="24"/>
          <w:szCs w:val="24"/>
          <w:lang w:eastAsia="en-GB"/>
        </w:rPr>
        <w:t>DeRue, D. S., &amp; Wellman, N. (2009). Developing leaders via experience: The role of developmental challenge, learning orientation, and feedback availability. Journal of Applied Psychology, 94(4), 859-875.</w:t>
      </w:r>
    </w:p>
    <w:p w14:paraId="2F28D636" w14:textId="77777777" w:rsidR="001E3D53" w:rsidRDefault="001E3D53" w:rsidP="001E3D53">
      <w:pPr>
        <w:jc w:val="both"/>
        <w:rPr>
          <w:sz w:val="24"/>
          <w:szCs w:val="24"/>
          <w:lang w:eastAsia="en-GB"/>
        </w:rPr>
      </w:pPr>
      <w:r w:rsidRPr="00E8429B">
        <w:rPr>
          <w:sz w:val="24"/>
          <w:szCs w:val="24"/>
          <w:lang w:eastAsia="en-GB"/>
        </w:rPr>
        <w:t>McCauley, C. D., Van Velsor, E., &amp; Ruderman, M. N. (2010). The Centre for Creative Leadership handbook of leadership development (3rd ed.). Jossey-Bass.</w:t>
      </w:r>
    </w:p>
    <w:p w14:paraId="4CAE984E" w14:textId="77777777" w:rsidR="001E3D53" w:rsidRPr="00E8429B" w:rsidRDefault="001E3D53" w:rsidP="001E3D53">
      <w:pPr>
        <w:jc w:val="both"/>
        <w:rPr>
          <w:sz w:val="24"/>
          <w:szCs w:val="24"/>
          <w:lang w:eastAsia="en-GB"/>
        </w:rPr>
      </w:pPr>
      <w:r w:rsidRPr="00E8429B">
        <w:rPr>
          <w:sz w:val="24"/>
          <w:szCs w:val="24"/>
          <w:lang w:eastAsia="en-GB"/>
        </w:rPr>
        <w:t>Conger, J. A., &amp; Fulmer, R. M. (2003). Developing your leadership pipeline. Harvard Business Review, 81(12), 76-84.</w:t>
      </w:r>
    </w:p>
    <w:p w14:paraId="6115B523" w14:textId="77777777" w:rsidR="001E3D53" w:rsidRPr="00E8429B" w:rsidRDefault="001E3D53" w:rsidP="001E3D53">
      <w:pPr>
        <w:jc w:val="both"/>
        <w:rPr>
          <w:sz w:val="24"/>
          <w:szCs w:val="24"/>
          <w:lang w:eastAsia="en-GB"/>
        </w:rPr>
      </w:pPr>
      <w:r w:rsidRPr="00E8429B">
        <w:rPr>
          <w:sz w:val="24"/>
          <w:szCs w:val="24"/>
          <w:lang w:eastAsia="en-GB"/>
        </w:rPr>
        <w:t>Silzer, R., &amp; Dowell, B. E. (2010). Strategy-driven talent management: A leadership imperative. John Wiley &amp; Sons.</w:t>
      </w:r>
    </w:p>
    <w:p w14:paraId="18D2E086" w14:textId="77777777" w:rsidR="001E3D53" w:rsidRPr="00E8429B" w:rsidRDefault="001E3D53" w:rsidP="001E3D53">
      <w:pPr>
        <w:jc w:val="both"/>
        <w:rPr>
          <w:sz w:val="24"/>
          <w:szCs w:val="24"/>
          <w:lang w:eastAsia="en-GB"/>
        </w:rPr>
      </w:pPr>
      <w:r w:rsidRPr="00E8429B">
        <w:rPr>
          <w:sz w:val="24"/>
          <w:szCs w:val="24"/>
          <w:lang w:eastAsia="en-GB"/>
        </w:rPr>
        <w:t>Kram, K. E. (1983). Phases of the mentor relationship. Academy of Management Journal, 26(4), 608-625.</w:t>
      </w:r>
    </w:p>
    <w:p w14:paraId="6CFC423A" w14:textId="77777777" w:rsidR="001E3D53" w:rsidRPr="00E8429B" w:rsidRDefault="001E3D53" w:rsidP="001E3D53">
      <w:pPr>
        <w:jc w:val="both"/>
        <w:rPr>
          <w:sz w:val="24"/>
          <w:szCs w:val="24"/>
          <w:lang w:eastAsia="en-GB"/>
        </w:rPr>
      </w:pPr>
      <w:r w:rsidRPr="00E8429B">
        <w:rPr>
          <w:sz w:val="24"/>
          <w:szCs w:val="24"/>
          <w:lang w:eastAsia="en-GB"/>
        </w:rPr>
        <w:t>Noe, R. A., Tews, M. J., &amp; Shuck, B. (2017). The new developmental era: Implications for practice in talent management. Journal of World Business, 52(4), 498-514.</w:t>
      </w:r>
    </w:p>
    <w:p w14:paraId="2485AB33" w14:textId="77777777" w:rsidR="001E3D53" w:rsidRPr="00E8429B" w:rsidRDefault="001E3D53" w:rsidP="001E3D53">
      <w:pPr>
        <w:jc w:val="both"/>
        <w:rPr>
          <w:sz w:val="24"/>
          <w:szCs w:val="24"/>
          <w:lang w:eastAsia="en-GB"/>
        </w:rPr>
      </w:pPr>
      <w:r w:rsidRPr="00E8429B">
        <w:rPr>
          <w:sz w:val="24"/>
          <w:szCs w:val="24"/>
          <w:lang w:eastAsia="en-GB"/>
        </w:rPr>
        <w:t>Noe, R. A. (2013). Employee training and development (6th ed.). McGraw-Hill.</w:t>
      </w:r>
    </w:p>
    <w:p w14:paraId="37058E62" w14:textId="77777777" w:rsidR="001E3D53" w:rsidRPr="00E8429B" w:rsidRDefault="001E3D53" w:rsidP="001E3D53">
      <w:pPr>
        <w:jc w:val="both"/>
        <w:rPr>
          <w:sz w:val="24"/>
          <w:szCs w:val="24"/>
          <w:lang w:eastAsia="en-GB"/>
        </w:rPr>
      </w:pPr>
      <w:r w:rsidRPr="00E8429B">
        <w:rPr>
          <w:sz w:val="24"/>
          <w:szCs w:val="24"/>
          <w:lang w:eastAsia="en-GB"/>
        </w:rPr>
        <w:lastRenderedPageBreak/>
        <w:t>Tannenbaum, S. I., &amp; Yukl, G. (1992). Training and development in work organizations. Annual Review of Psychology, 43(1), 399-441.</w:t>
      </w:r>
    </w:p>
    <w:p w14:paraId="6B340AAF" w14:textId="77777777" w:rsidR="001E3D53" w:rsidRPr="00E8429B" w:rsidRDefault="001E3D53" w:rsidP="001E3D53">
      <w:pPr>
        <w:jc w:val="both"/>
        <w:rPr>
          <w:sz w:val="24"/>
          <w:szCs w:val="24"/>
          <w:lang w:eastAsia="en-GB"/>
        </w:rPr>
      </w:pPr>
      <w:r w:rsidRPr="00E8429B">
        <w:rPr>
          <w:sz w:val="24"/>
          <w:szCs w:val="24"/>
          <w:lang w:eastAsia="en-GB"/>
        </w:rPr>
        <w:t>Cappelli, P. (2008). Talent on demand: Managing talent in an age of uncertainty. Harvard Business Press.</w:t>
      </w:r>
    </w:p>
    <w:p w14:paraId="468AC78C" w14:textId="77777777" w:rsidR="001E3D53" w:rsidRPr="00E8429B" w:rsidRDefault="001E3D53" w:rsidP="001E3D53">
      <w:pPr>
        <w:jc w:val="both"/>
        <w:rPr>
          <w:sz w:val="24"/>
          <w:szCs w:val="24"/>
          <w:lang w:eastAsia="en-GB"/>
        </w:rPr>
      </w:pPr>
      <w:r w:rsidRPr="00E8429B">
        <w:rPr>
          <w:sz w:val="24"/>
          <w:szCs w:val="24"/>
          <w:lang w:eastAsia="en-GB"/>
        </w:rPr>
        <w:t>Salas, E., Tannenbaum, S. I., Kraiger, K., &amp; Smith-Jentsch, K. A. (2012). The science of training and development in organizations: What matters in practice. Psychological Science in the Public Interest, 13(2), 74-101.</w:t>
      </w:r>
    </w:p>
    <w:p w14:paraId="30719610" w14:textId="77777777" w:rsidR="001E3D53" w:rsidRPr="001E3D53" w:rsidRDefault="001E3D53" w:rsidP="001E3D53"/>
    <w:p w14:paraId="70E6265A" w14:textId="485A3432" w:rsidR="00322483" w:rsidRDefault="00322483" w:rsidP="00322483"/>
    <w:p w14:paraId="4791326A" w14:textId="2847D497" w:rsidR="00322483" w:rsidRDefault="00322483" w:rsidP="00322483"/>
    <w:p w14:paraId="66B374A7" w14:textId="0D8F15AB" w:rsidR="00322483" w:rsidRDefault="00322483" w:rsidP="00322483"/>
    <w:sectPr w:rsid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68564734">
    <w:abstractNumId w:val="5"/>
  </w:num>
  <w:num w:numId="2" w16cid:durableId="1513686654">
    <w:abstractNumId w:val="9"/>
  </w:num>
  <w:num w:numId="3" w16cid:durableId="1646423888">
    <w:abstractNumId w:val="3"/>
  </w:num>
  <w:num w:numId="4" w16cid:durableId="882445432">
    <w:abstractNumId w:val="7"/>
  </w:num>
  <w:num w:numId="5" w16cid:durableId="263877815">
    <w:abstractNumId w:val="1"/>
  </w:num>
  <w:num w:numId="6" w16cid:durableId="701134718">
    <w:abstractNumId w:val="4"/>
  </w:num>
  <w:num w:numId="7" w16cid:durableId="658460307">
    <w:abstractNumId w:val="0"/>
  </w:num>
  <w:num w:numId="8" w16cid:durableId="282855974">
    <w:abstractNumId w:val="11"/>
  </w:num>
  <w:num w:numId="9" w16cid:durableId="1374963442">
    <w:abstractNumId w:val="6"/>
  </w:num>
  <w:num w:numId="10" w16cid:durableId="213394570">
    <w:abstractNumId w:val="10"/>
  </w:num>
  <w:num w:numId="11" w16cid:durableId="1353267114">
    <w:abstractNumId w:val="8"/>
  </w:num>
  <w:num w:numId="12" w16cid:durableId="1057125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1130F2"/>
    <w:rsid w:val="0015027C"/>
    <w:rsid w:val="001828EE"/>
    <w:rsid w:val="001836B1"/>
    <w:rsid w:val="001E3D53"/>
    <w:rsid w:val="001F5437"/>
    <w:rsid w:val="002049FE"/>
    <w:rsid w:val="0021380A"/>
    <w:rsid w:val="00252E68"/>
    <w:rsid w:val="00255FC4"/>
    <w:rsid w:val="00276A31"/>
    <w:rsid w:val="00284720"/>
    <w:rsid w:val="00285D09"/>
    <w:rsid w:val="00296FAF"/>
    <w:rsid w:val="002C4CAC"/>
    <w:rsid w:val="002E427B"/>
    <w:rsid w:val="0030173B"/>
    <w:rsid w:val="0030202B"/>
    <w:rsid w:val="00322483"/>
    <w:rsid w:val="00322C2E"/>
    <w:rsid w:val="00331B7F"/>
    <w:rsid w:val="003860FB"/>
    <w:rsid w:val="00391011"/>
    <w:rsid w:val="003B602D"/>
    <w:rsid w:val="003C3B33"/>
    <w:rsid w:val="003C4A80"/>
    <w:rsid w:val="003D34E8"/>
    <w:rsid w:val="003F64EA"/>
    <w:rsid w:val="003F69D6"/>
    <w:rsid w:val="00451E52"/>
    <w:rsid w:val="0045535D"/>
    <w:rsid w:val="0046229B"/>
    <w:rsid w:val="00481CB5"/>
    <w:rsid w:val="004D4D2C"/>
    <w:rsid w:val="004F03CD"/>
    <w:rsid w:val="00506BC4"/>
    <w:rsid w:val="0051013F"/>
    <w:rsid w:val="00513050"/>
    <w:rsid w:val="005225BF"/>
    <w:rsid w:val="00586056"/>
    <w:rsid w:val="0059562E"/>
    <w:rsid w:val="00597A59"/>
    <w:rsid w:val="005A2298"/>
    <w:rsid w:val="005E1B5D"/>
    <w:rsid w:val="0062657F"/>
    <w:rsid w:val="00634AE8"/>
    <w:rsid w:val="00656D55"/>
    <w:rsid w:val="00670D2E"/>
    <w:rsid w:val="00671CBC"/>
    <w:rsid w:val="006B2157"/>
    <w:rsid w:val="006C4B88"/>
    <w:rsid w:val="00715A8B"/>
    <w:rsid w:val="00744B6A"/>
    <w:rsid w:val="0075131B"/>
    <w:rsid w:val="007A0F0B"/>
    <w:rsid w:val="007A7DB8"/>
    <w:rsid w:val="007B0839"/>
    <w:rsid w:val="007E734B"/>
    <w:rsid w:val="007F6D91"/>
    <w:rsid w:val="008138EC"/>
    <w:rsid w:val="008346D5"/>
    <w:rsid w:val="00844C5C"/>
    <w:rsid w:val="00885114"/>
    <w:rsid w:val="008A1155"/>
    <w:rsid w:val="008B498D"/>
    <w:rsid w:val="008C2930"/>
    <w:rsid w:val="008E29F3"/>
    <w:rsid w:val="008F2B5B"/>
    <w:rsid w:val="0090738A"/>
    <w:rsid w:val="009556EE"/>
    <w:rsid w:val="00964538"/>
    <w:rsid w:val="00974A56"/>
    <w:rsid w:val="009D0524"/>
    <w:rsid w:val="009D4047"/>
    <w:rsid w:val="00A1628F"/>
    <w:rsid w:val="00A26EA4"/>
    <w:rsid w:val="00A3471E"/>
    <w:rsid w:val="00A37825"/>
    <w:rsid w:val="00A4397C"/>
    <w:rsid w:val="00A51F56"/>
    <w:rsid w:val="00A90A1F"/>
    <w:rsid w:val="00A91384"/>
    <w:rsid w:val="00A930CB"/>
    <w:rsid w:val="00A976D8"/>
    <w:rsid w:val="00AB4149"/>
    <w:rsid w:val="00AE79EE"/>
    <w:rsid w:val="00B02818"/>
    <w:rsid w:val="00B26C7E"/>
    <w:rsid w:val="00B6475F"/>
    <w:rsid w:val="00B867CA"/>
    <w:rsid w:val="00B909F7"/>
    <w:rsid w:val="00BB07BE"/>
    <w:rsid w:val="00BD3AA5"/>
    <w:rsid w:val="00BF2C08"/>
    <w:rsid w:val="00C33825"/>
    <w:rsid w:val="00C53B1A"/>
    <w:rsid w:val="00C74EB7"/>
    <w:rsid w:val="00C80AF8"/>
    <w:rsid w:val="00CC6920"/>
    <w:rsid w:val="00CF644C"/>
    <w:rsid w:val="00D01FF9"/>
    <w:rsid w:val="00D15FF5"/>
    <w:rsid w:val="00D2291D"/>
    <w:rsid w:val="00D450BB"/>
    <w:rsid w:val="00D62B28"/>
    <w:rsid w:val="00D67E1F"/>
    <w:rsid w:val="00DA3853"/>
    <w:rsid w:val="00DD3304"/>
    <w:rsid w:val="00DD72F2"/>
    <w:rsid w:val="00DE7980"/>
    <w:rsid w:val="00DF21D0"/>
    <w:rsid w:val="00E24560"/>
    <w:rsid w:val="00E642D3"/>
    <w:rsid w:val="00E750E6"/>
    <w:rsid w:val="00E82EAC"/>
    <w:rsid w:val="00E9394F"/>
    <w:rsid w:val="00EB1FDF"/>
    <w:rsid w:val="00EC64A7"/>
    <w:rsid w:val="00EC674C"/>
    <w:rsid w:val="00EF3ED4"/>
    <w:rsid w:val="00F15A60"/>
    <w:rsid w:val="00F334D8"/>
    <w:rsid w:val="00F53EF8"/>
    <w:rsid w:val="00F56108"/>
    <w:rsid w:val="00F65C64"/>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nnualreviews.org/doi/abs/10.1146/annurev-psych-010416-044140" TargetMode="External"/><Relationship Id="rId18" Type="http://schemas.openxmlformats.org/officeDocument/2006/relationships/hyperlink" Target="https://books.google.com/books?hl=en&amp;lr=&amp;id=WcUtrkF-uqEC&amp;oi=fnd&amp;pg=PP1&amp;dq=Rothwell,+W.+J.,+Jackson,+R.+D.,+%26+Knight,+D.+K.+(2008).+Mastering+succession+and+management+transition+planning:+Essential+guidelines+and+processes+for+success.+AMACOM+Div+American+Mgmt+Assn.&amp;ots=wdGLhktbGq&amp;sig=xoT-G7iM4xW4dveGgdhnmCr3gy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ckinsey.com/featured-insights/diversity-and-inclusion/diversity-wins-how-inclusion-matters" TargetMode="External"/><Relationship Id="rId17" Type="http://schemas.openxmlformats.org/officeDocument/2006/relationships/hyperlink" Target="https://www.brookings.edu/research/rebuilding-communities-through-inclusive-talent-development/" TargetMode="External"/><Relationship Id="rId2" Type="http://schemas.openxmlformats.org/officeDocument/2006/relationships/customXml" Target="../customXml/item2.xml"/><Relationship Id="rId16" Type="http://schemas.openxmlformats.org/officeDocument/2006/relationships/hyperlink" Target="https://www.mckinsey.com/featured-insights/diversity-and-inclusion/diversity-wins-how-inclusion-matt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br.org/2018/01/the-leaders-guide-to-corporate-culture" TargetMode="External"/><Relationship Id="rId5" Type="http://schemas.openxmlformats.org/officeDocument/2006/relationships/numbering" Target="numbering.xml"/><Relationship Id="rId15" Type="http://schemas.openxmlformats.org/officeDocument/2006/relationships/hyperlink" Target="https://www.mckinsey.com/business-functions/mckinsey-digital/our-insights/closing-the-talent-gap-attracting-and-retaining-digital-talent" TargetMode="External"/><Relationship Id="rId10" Type="http://schemas.openxmlformats.org/officeDocument/2006/relationships/hyperlink" Target="https://www.apple.com/diversity/"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fortune.com/2011/08/25/how-apple-works-inside-the-worlds-biggest-start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68430E-0EED-4645-BE40-F63871595EBC}">
  <ds:schemaRefs>
    <ds:schemaRef ds:uri="http://schemas.openxmlformats.org/officeDocument/2006/bibliography"/>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3738</Words>
  <Characters>21311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Crina-Flavia Razoare</cp:lastModifiedBy>
  <cp:revision>4</cp:revision>
  <dcterms:created xsi:type="dcterms:W3CDTF">2023-02-14T13:49:00Z</dcterms:created>
  <dcterms:modified xsi:type="dcterms:W3CDTF">2023-09-03T14:50:00Z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