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D44ADE" w14:textId="77777777" w:rsidR="00360913" w:rsidRDefault="00360913" w:rsidP="00360913">
      <w:pPr>
        <w:spacing w:after="220"/>
        <w:ind w:right="1438"/>
        <w:jc w:val="right"/>
      </w:pPr>
      <w:r>
        <w:rPr>
          <w:noProof/>
        </w:rPr>
        <w:drawing>
          <wp:inline distT="0" distB="0" distL="0" distR="0" wp14:anchorId="6C6E66D8" wp14:editId="626C5657">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7"/>
                    <a:stretch>
                      <a:fillRect/>
                    </a:stretch>
                  </pic:blipFill>
                  <pic:spPr>
                    <a:xfrm>
                      <a:off x="0" y="0"/>
                      <a:ext cx="4674497" cy="1762515"/>
                    </a:xfrm>
                    <a:prstGeom prst="rect">
                      <a:avLst/>
                    </a:prstGeom>
                  </pic:spPr>
                </pic:pic>
              </a:graphicData>
            </a:graphic>
          </wp:inline>
        </w:drawing>
      </w:r>
      <w:r>
        <w:rPr>
          <w:rFonts w:ascii="Times New Roman" w:eastAsia="Times New Roman" w:hAnsi="Times New Roman" w:cs="Times New Roman"/>
          <w:b/>
        </w:rPr>
        <w:t xml:space="preserve"> </w:t>
      </w:r>
    </w:p>
    <w:p w14:paraId="3748EBBC" w14:textId="77777777" w:rsidR="00360913" w:rsidRDefault="00360913" w:rsidP="00360913">
      <w:pPr>
        <w:spacing w:after="273"/>
        <w:ind w:right="5"/>
        <w:jc w:val="center"/>
      </w:pPr>
      <w:r>
        <w:rPr>
          <w:rFonts w:ascii="Times New Roman" w:eastAsia="Times New Roman" w:hAnsi="Times New Roman" w:cs="Times New Roman"/>
          <w:b/>
        </w:rPr>
        <w:t xml:space="preserve"> </w:t>
      </w:r>
    </w:p>
    <w:p w14:paraId="038850E9" w14:textId="77777777" w:rsidR="00360913" w:rsidRDefault="00360913" w:rsidP="00360913">
      <w:pPr>
        <w:spacing w:after="274"/>
      </w:pPr>
      <w:r>
        <w:rPr>
          <w:rFonts w:ascii="Times New Roman" w:eastAsia="Times New Roman" w:hAnsi="Times New Roman" w:cs="Times New Roman"/>
          <w:b/>
        </w:rPr>
        <w:t xml:space="preserve"> </w:t>
      </w:r>
    </w:p>
    <w:p w14:paraId="1F94A44F" w14:textId="77777777" w:rsidR="00360913" w:rsidRDefault="00360913" w:rsidP="00360913">
      <w:pPr>
        <w:spacing w:after="276"/>
        <w:jc w:val="center"/>
      </w:pPr>
    </w:p>
    <w:p w14:paraId="24701DE1" w14:textId="77777777" w:rsidR="00360913" w:rsidRPr="002A2E98" w:rsidRDefault="00360913" w:rsidP="00360913">
      <w:pPr>
        <w:spacing w:after="274"/>
        <w:ind w:left="2716" w:firstLine="93"/>
        <w:rPr>
          <w:rFonts w:ascii="Arial" w:hAnsi="Arial" w:cs="Arial"/>
          <w:sz w:val="24"/>
          <w:szCs w:val="24"/>
        </w:rPr>
      </w:pPr>
      <w:r w:rsidRPr="002A2E98">
        <w:rPr>
          <w:rFonts w:ascii="Arial" w:eastAsia="Times New Roman" w:hAnsi="Arial" w:cs="Arial"/>
          <w:b/>
          <w:sz w:val="24"/>
          <w:szCs w:val="24"/>
        </w:rPr>
        <w:t>Programme: Master of Business Administration</w:t>
      </w:r>
    </w:p>
    <w:p w14:paraId="7C36F689" w14:textId="77777777" w:rsidR="00360913" w:rsidRPr="002A2E98" w:rsidRDefault="00360913" w:rsidP="00360913">
      <w:pPr>
        <w:spacing w:after="274"/>
        <w:ind w:left="2809"/>
        <w:rPr>
          <w:rFonts w:ascii="Arial" w:hAnsi="Arial" w:cs="Arial"/>
          <w:sz w:val="24"/>
          <w:szCs w:val="24"/>
        </w:rPr>
      </w:pPr>
      <w:r w:rsidRPr="002A2E98">
        <w:rPr>
          <w:rFonts w:ascii="Arial" w:eastAsia="Times New Roman" w:hAnsi="Arial" w:cs="Arial"/>
          <w:b/>
          <w:sz w:val="24"/>
          <w:szCs w:val="24"/>
        </w:rPr>
        <w:t>Module:</w:t>
      </w:r>
      <w:r>
        <w:rPr>
          <w:rFonts w:ascii="Arial" w:eastAsia="Times New Roman" w:hAnsi="Arial" w:cs="Arial"/>
          <w:b/>
          <w:sz w:val="24"/>
          <w:szCs w:val="24"/>
        </w:rPr>
        <w:t xml:space="preserve"> Marketing</w:t>
      </w:r>
      <w:r w:rsidRPr="002A2E98">
        <w:rPr>
          <w:rFonts w:ascii="Arial" w:eastAsia="Times New Roman" w:hAnsi="Arial" w:cs="Arial"/>
          <w:b/>
          <w:sz w:val="24"/>
          <w:szCs w:val="24"/>
        </w:rPr>
        <w:t xml:space="preserve"> Management</w:t>
      </w:r>
    </w:p>
    <w:p w14:paraId="639CCFA4" w14:textId="77777777" w:rsidR="00360913" w:rsidRPr="002A2E98" w:rsidRDefault="00360913" w:rsidP="00360913">
      <w:pPr>
        <w:spacing w:after="274"/>
        <w:ind w:left="2099" w:right="66" w:firstLine="710"/>
        <w:rPr>
          <w:rFonts w:ascii="Arial" w:hAnsi="Arial" w:cs="Arial"/>
          <w:sz w:val="24"/>
          <w:szCs w:val="24"/>
        </w:rPr>
      </w:pPr>
      <w:r w:rsidRPr="002A2E98">
        <w:rPr>
          <w:rFonts w:ascii="Arial" w:eastAsia="Times New Roman" w:hAnsi="Arial" w:cs="Arial"/>
          <w:b/>
          <w:sz w:val="24"/>
          <w:szCs w:val="24"/>
        </w:rPr>
        <w:t xml:space="preserve">Module code: </w:t>
      </w:r>
      <w:r w:rsidRPr="000F1EFB">
        <w:rPr>
          <w:rFonts w:ascii="Arial" w:hAnsi="Arial" w:cs="Arial"/>
          <w:b/>
          <w:bCs/>
          <w:sz w:val="24"/>
          <w:szCs w:val="24"/>
        </w:rPr>
        <w:t>LCMB7024</w:t>
      </w:r>
    </w:p>
    <w:p w14:paraId="11D6B9BF" w14:textId="614939BB" w:rsidR="00360913" w:rsidRPr="007C52EE" w:rsidRDefault="005D4C52" w:rsidP="00360913">
      <w:pPr>
        <w:spacing w:after="274"/>
        <w:ind w:left="2099" w:right="65" w:firstLine="710"/>
        <w:rPr>
          <w:rFonts w:ascii="Times New Roman" w:eastAsia="Times New Roman" w:hAnsi="Times New Roman" w:cs="Times New Roman"/>
          <w:b/>
          <w:sz w:val="28"/>
          <w:lang w:val="en-GB"/>
        </w:rPr>
      </w:pPr>
      <w:r w:rsidRPr="002A2E98">
        <w:rPr>
          <w:rFonts w:ascii="Arial" w:eastAsia="Times New Roman" w:hAnsi="Arial" w:cs="Arial"/>
          <w:b/>
          <w:sz w:val="24"/>
          <w:szCs w:val="24"/>
        </w:rPr>
        <w:t>Title:</w:t>
      </w:r>
      <w:r w:rsidR="00360913" w:rsidRPr="002A2E98">
        <w:rPr>
          <w:rFonts w:ascii="Arial" w:eastAsia="Times New Roman" w:hAnsi="Arial" w:cs="Arial"/>
          <w:b/>
          <w:sz w:val="24"/>
          <w:szCs w:val="24"/>
        </w:rPr>
        <w:t xml:space="preserve"> </w:t>
      </w:r>
      <w:r w:rsidR="00360913" w:rsidRPr="000F1EFB">
        <w:rPr>
          <w:rFonts w:ascii="Times New Roman" w:eastAsia="Times New Roman" w:hAnsi="Times New Roman" w:cs="Times New Roman"/>
          <w:b/>
          <w:bCs/>
          <w:sz w:val="28"/>
          <w:lang w:val="en-GB"/>
        </w:rPr>
        <w:t>Marketing Environment Analysis</w:t>
      </w:r>
    </w:p>
    <w:p w14:paraId="75A08ED4" w14:textId="0B9D0060" w:rsidR="00360913" w:rsidRPr="002A2E98" w:rsidRDefault="00360913" w:rsidP="00360913">
      <w:pPr>
        <w:spacing w:after="274"/>
        <w:ind w:left="2089" w:right="62" w:firstLine="720"/>
        <w:rPr>
          <w:rFonts w:ascii="Arial" w:hAnsi="Arial" w:cs="Arial"/>
          <w:sz w:val="24"/>
          <w:szCs w:val="24"/>
        </w:rPr>
      </w:pPr>
      <w:r w:rsidRPr="002A2E98">
        <w:rPr>
          <w:rFonts w:ascii="Arial" w:eastAsia="Times New Roman" w:hAnsi="Arial" w:cs="Arial"/>
          <w:b/>
          <w:sz w:val="24"/>
          <w:szCs w:val="24"/>
        </w:rPr>
        <w:t xml:space="preserve">Word count: </w:t>
      </w:r>
      <w:r>
        <w:rPr>
          <w:rFonts w:ascii="Arial" w:eastAsia="Times New Roman" w:hAnsi="Arial" w:cs="Arial"/>
          <w:b/>
          <w:sz w:val="24"/>
          <w:szCs w:val="24"/>
        </w:rPr>
        <w:t>2445</w:t>
      </w:r>
    </w:p>
    <w:p w14:paraId="2B944EEE" w14:textId="77777777" w:rsidR="00360913" w:rsidRPr="002A2E98" w:rsidRDefault="00360913" w:rsidP="00360913">
      <w:pPr>
        <w:spacing w:after="165" w:line="352" w:lineRule="auto"/>
        <w:ind w:left="2835" w:right="2836"/>
        <w:rPr>
          <w:rFonts w:ascii="Arial" w:eastAsia="Arial" w:hAnsi="Arial" w:cs="Arial"/>
          <w:b/>
          <w:sz w:val="24"/>
          <w:szCs w:val="24"/>
        </w:rPr>
      </w:pPr>
      <w:r w:rsidRPr="002A2E98">
        <w:rPr>
          <w:rFonts w:ascii="Arial" w:eastAsia="Arial" w:hAnsi="Arial" w:cs="Arial"/>
          <w:b/>
          <w:sz w:val="24"/>
          <w:szCs w:val="24"/>
        </w:rPr>
        <w:t xml:space="preserve">Lecturer : </w:t>
      </w:r>
      <w:r w:rsidRPr="000F1EFB">
        <w:rPr>
          <w:rFonts w:ascii="Arial" w:hAnsi="Arial" w:cs="Arial"/>
          <w:b/>
          <w:sz w:val="24"/>
          <w:szCs w:val="24"/>
        </w:rPr>
        <w:t>Dian Mayasari (Birmingham)</w:t>
      </w:r>
    </w:p>
    <w:p w14:paraId="73A4DA4C" w14:textId="5E96CA3A" w:rsidR="00360913" w:rsidRPr="002A2E98" w:rsidRDefault="005D4C52" w:rsidP="005D4C52">
      <w:pPr>
        <w:spacing w:after="165" w:line="352" w:lineRule="auto"/>
        <w:ind w:right="2836"/>
        <w:rPr>
          <w:rFonts w:ascii="Arial" w:hAnsi="Arial" w:cs="Arial"/>
          <w:sz w:val="24"/>
          <w:szCs w:val="24"/>
        </w:rPr>
      </w:pPr>
      <w:r>
        <w:rPr>
          <w:rFonts w:ascii="Arial" w:eastAsia="Times New Roman" w:hAnsi="Arial" w:cs="Arial"/>
          <w:b/>
          <w:sz w:val="24"/>
          <w:szCs w:val="24"/>
        </w:rPr>
        <w:t xml:space="preserve">                                         </w:t>
      </w:r>
      <w:r w:rsidR="00360913" w:rsidRPr="002A2E98">
        <w:rPr>
          <w:rFonts w:ascii="Arial" w:eastAsia="Times New Roman" w:hAnsi="Arial" w:cs="Arial"/>
          <w:b/>
          <w:sz w:val="24"/>
          <w:szCs w:val="24"/>
        </w:rPr>
        <w:t>Student Name :</w:t>
      </w:r>
      <w:r>
        <w:rPr>
          <w:rFonts w:ascii="Arial" w:eastAsia="Times New Roman" w:hAnsi="Arial" w:cs="Arial"/>
          <w:b/>
          <w:sz w:val="24"/>
          <w:szCs w:val="24"/>
        </w:rPr>
        <w:t xml:space="preserve"> Samit Chanda</w:t>
      </w:r>
    </w:p>
    <w:p w14:paraId="16578DA6" w14:textId="26B582FF" w:rsidR="00360913" w:rsidRPr="002A2E98" w:rsidRDefault="00360913" w:rsidP="00360913">
      <w:pPr>
        <w:spacing w:after="274"/>
        <w:ind w:left="2125" w:right="62" w:firstLine="710"/>
        <w:rPr>
          <w:rFonts w:ascii="Arial" w:hAnsi="Arial" w:cs="Arial"/>
          <w:sz w:val="24"/>
          <w:szCs w:val="24"/>
        </w:rPr>
      </w:pPr>
      <w:r w:rsidRPr="002A2E98">
        <w:rPr>
          <w:rFonts w:ascii="Arial" w:eastAsia="Times New Roman" w:hAnsi="Arial" w:cs="Arial"/>
          <w:b/>
          <w:sz w:val="24"/>
          <w:szCs w:val="24"/>
        </w:rPr>
        <w:t>Student ID:</w:t>
      </w:r>
      <w:r w:rsidR="005D4C52">
        <w:rPr>
          <w:rFonts w:ascii="Arial" w:eastAsia="Times New Roman" w:hAnsi="Arial" w:cs="Arial"/>
          <w:b/>
          <w:sz w:val="24"/>
          <w:szCs w:val="24"/>
        </w:rPr>
        <w:t xml:space="preserve"> 2504511</w:t>
      </w:r>
    </w:p>
    <w:p w14:paraId="37E1CC7B" w14:textId="77777777" w:rsidR="00360913" w:rsidRPr="002A2E98" w:rsidRDefault="00360913" w:rsidP="00360913">
      <w:pPr>
        <w:spacing w:after="274"/>
        <w:ind w:left="2125" w:right="62" w:firstLine="710"/>
        <w:rPr>
          <w:rFonts w:ascii="Arial" w:hAnsi="Arial" w:cs="Arial"/>
          <w:sz w:val="24"/>
          <w:szCs w:val="24"/>
        </w:rPr>
      </w:pPr>
      <w:r w:rsidRPr="002A2E98">
        <w:rPr>
          <w:rFonts w:ascii="Arial" w:eastAsia="Times New Roman" w:hAnsi="Arial" w:cs="Arial"/>
          <w:b/>
          <w:sz w:val="24"/>
          <w:szCs w:val="24"/>
        </w:rPr>
        <w:t>Submission Date-</w:t>
      </w:r>
      <w:r>
        <w:rPr>
          <w:rFonts w:ascii="Arial" w:eastAsia="Times New Roman" w:hAnsi="Arial" w:cs="Arial"/>
          <w:b/>
          <w:sz w:val="24"/>
          <w:szCs w:val="24"/>
        </w:rPr>
        <w:t xml:space="preserve"> 24</w:t>
      </w:r>
      <w:r w:rsidRPr="002A2E98">
        <w:rPr>
          <w:rFonts w:ascii="Arial" w:eastAsia="Times New Roman" w:hAnsi="Arial" w:cs="Arial"/>
          <w:b/>
          <w:sz w:val="24"/>
          <w:szCs w:val="24"/>
          <w:vertAlign w:val="superscript"/>
        </w:rPr>
        <w:t>th</w:t>
      </w:r>
      <w:r>
        <w:rPr>
          <w:rFonts w:ascii="Arial" w:eastAsia="Times New Roman" w:hAnsi="Arial" w:cs="Arial"/>
          <w:b/>
          <w:sz w:val="24"/>
          <w:szCs w:val="24"/>
        </w:rPr>
        <w:t xml:space="preserve"> October 2025</w:t>
      </w:r>
    </w:p>
    <w:p w14:paraId="3C687E26" w14:textId="77777777" w:rsidR="00347CB3" w:rsidRDefault="00347CB3">
      <w:pPr>
        <w:rPr>
          <w:rFonts w:ascii="Arial" w:hAnsi="Arial" w:cs="Arial"/>
          <w:b/>
          <w:bCs/>
          <w:sz w:val="24"/>
          <w:szCs w:val="24"/>
        </w:rPr>
      </w:pPr>
      <w:r>
        <w:rPr>
          <w:rFonts w:ascii="Arial" w:hAnsi="Arial" w:cs="Arial"/>
          <w:b/>
          <w:bCs/>
          <w:sz w:val="24"/>
          <w:szCs w:val="24"/>
        </w:rPr>
        <w:br w:type="page"/>
      </w:r>
    </w:p>
    <w:p w14:paraId="742FF049" w14:textId="5A48F83F" w:rsidR="00CF3C8B" w:rsidRPr="00D10029" w:rsidRDefault="00CF3C8B" w:rsidP="00D10029">
      <w:pPr>
        <w:spacing w:line="360" w:lineRule="auto"/>
        <w:jc w:val="center"/>
        <w:rPr>
          <w:rFonts w:ascii="Arial" w:hAnsi="Arial" w:cs="Arial"/>
          <w:b/>
          <w:bCs/>
          <w:sz w:val="24"/>
          <w:szCs w:val="24"/>
        </w:rPr>
      </w:pPr>
      <w:r w:rsidRPr="00D10029">
        <w:rPr>
          <w:rFonts w:ascii="Arial" w:hAnsi="Arial" w:cs="Arial"/>
          <w:b/>
          <w:bCs/>
          <w:sz w:val="24"/>
          <w:szCs w:val="24"/>
        </w:rPr>
        <w:lastRenderedPageBreak/>
        <w:t>Table of Contents</w:t>
      </w:r>
    </w:p>
    <w:p w14:paraId="23824ED3" w14:textId="481EC6E5" w:rsidR="00347CB3" w:rsidRPr="00347CB3" w:rsidRDefault="00347CB3" w:rsidP="00347CB3">
      <w:pPr>
        <w:spacing w:line="360" w:lineRule="auto"/>
        <w:rPr>
          <w:rFonts w:ascii="Arial" w:hAnsi="Arial" w:cs="Arial"/>
          <w:sz w:val="24"/>
          <w:szCs w:val="24"/>
        </w:rPr>
      </w:pPr>
      <w:r w:rsidRPr="00347CB3">
        <w:rPr>
          <w:rFonts w:ascii="Arial" w:hAnsi="Arial" w:cs="Arial"/>
          <w:b/>
          <w:bCs/>
          <w:sz w:val="24"/>
          <w:szCs w:val="24"/>
        </w:rPr>
        <w:t>1.0 Introduction</w:t>
      </w:r>
      <w:r w:rsidRPr="00347CB3">
        <w:rPr>
          <w:rFonts w:ascii="Arial" w:hAnsi="Arial" w:cs="Arial"/>
          <w:sz w:val="24"/>
          <w:szCs w:val="24"/>
        </w:rPr>
        <w:t xml:space="preserve"> ...................................................................... </w:t>
      </w:r>
      <w:r>
        <w:rPr>
          <w:rFonts w:ascii="Arial" w:hAnsi="Arial" w:cs="Arial"/>
          <w:sz w:val="24"/>
          <w:szCs w:val="24"/>
        </w:rPr>
        <w:t>3</w:t>
      </w:r>
    </w:p>
    <w:p w14:paraId="5916C43A" w14:textId="5C8884F1" w:rsidR="00347CB3" w:rsidRPr="00347CB3" w:rsidRDefault="00347CB3" w:rsidP="00347CB3">
      <w:pPr>
        <w:spacing w:line="360" w:lineRule="auto"/>
        <w:rPr>
          <w:rFonts w:ascii="Arial" w:hAnsi="Arial" w:cs="Arial"/>
          <w:sz w:val="24"/>
          <w:szCs w:val="24"/>
        </w:rPr>
      </w:pPr>
      <w:r w:rsidRPr="00347CB3">
        <w:rPr>
          <w:rFonts w:ascii="Arial" w:hAnsi="Arial" w:cs="Arial"/>
          <w:b/>
          <w:bCs/>
          <w:sz w:val="24"/>
          <w:szCs w:val="24"/>
        </w:rPr>
        <w:t>2.0 Brief Company and Industry Background</w:t>
      </w:r>
      <w:r w:rsidRPr="00347CB3">
        <w:rPr>
          <w:rFonts w:ascii="Arial" w:hAnsi="Arial" w:cs="Arial"/>
          <w:sz w:val="24"/>
          <w:szCs w:val="24"/>
        </w:rPr>
        <w:t xml:space="preserve"> .............................. </w:t>
      </w:r>
      <w:r>
        <w:rPr>
          <w:rFonts w:ascii="Arial" w:hAnsi="Arial" w:cs="Arial"/>
          <w:sz w:val="24"/>
          <w:szCs w:val="24"/>
        </w:rPr>
        <w:t>4-5</w:t>
      </w:r>
    </w:p>
    <w:p w14:paraId="5972BB29" w14:textId="6819723E" w:rsidR="00347CB3" w:rsidRPr="00347CB3" w:rsidRDefault="00347CB3" w:rsidP="00347CB3">
      <w:pPr>
        <w:spacing w:line="360" w:lineRule="auto"/>
        <w:rPr>
          <w:rFonts w:ascii="Arial" w:hAnsi="Arial" w:cs="Arial"/>
          <w:sz w:val="24"/>
          <w:szCs w:val="24"/>
        </w:rPr>
      </w:pPr>
      <w:r w:rsidRPr="00347CB3">
        <w:rPr>
          <w:rFonts w:ascii="Arial" w:hAnsi="Arial" w:cs="Arial"/>
          <w:b/>
          <w:bCs/>
          <w:sz w:val="24"/>
          <w:szCs w:val="24"/>
        </w:rPr>
        <w:t>3.0 Task 1: Critical Analysis of Two Macro Marketing Actors</w:t>
      </w:r>
      <w:r w:rsidRPr="00347CB3">
        <w:rPr>
          <w:rFonts w:ascii="Arial" w:hAnsi="Arial" w:cs="Arial"/>
          <w:sz w:val="24"/>
          <w:szCs w:val="24"/>
        </w:rPr>
        <w:t xml:space="preserve"> ......... </w:t>
      </w:r>
      <w:r>
        <w:rPr>
          <w:rFonts w:ascii="Arial" w:hAnsi="Arial" w:cs="Arial"/>
          <w:sz w:val="24"/>
          <w:szCs w:val="24"/>
        </w:rPr>
        <w:t>5-10</w:t>
      </w:r>
    </w:p>
    <w:p w14:paraId="3007D979" w14:textId="43870F40" w:rsidR="00347CB3" w:rsidRPr="00347CB3" w:rsidRDefault="00347CB3" w:rsidP="00347CB3">
      <w:pPr>
        <w:spacing w:line="360" w:lineRule="auto"/>
        <w:rPr>
          <w:rFonts w:ascii="Arial" w:hAnsi="Arial" w:cs="Arial"/>
          <w:sz w:val="24"/>
          <w:szCs w:val="24"/>
        </w:rPr>
      </w:pPr>
      <w:r w:rsidRPr="00347CB3">
        <w:rPr>
          <w:rFonts w:ascii="Arial" w:hAnsi="Arial" w:cs="Arial"/>
          <w:b/>
          <w:bCs/>
          <w:sz w:val="24"/>
          <w:szCs w:val="24"/>
        </w:rPr>
        <w:t>4.0 Task 2: The Strategic Behaviour of Pioneers and Followers</w:t>
      </w:r>
      <w:r w:rsidRPr="00347CB3">
        <w:rPr>
          <w:rFonts w:ascii="Arial" w:hAnsi="Arial" w:cs="Arial"/>
          <w:sz w:val="24"/>
          <w:szCs w:val="24"/>
        </w:rPr>
        <w:t xml:space="preserve"> ...... </w:t>
      </w:r>
      <w:r>
        <w:rPr>
          <w:rFonts w:ascii="Arial" w:hAnsi="Arial" w:cs="Arial"/>
          <w:sz w:val="24"/>
          <w:szCs w:val="24"/>
        </w:rPr>
        <w:t>11-14</w:t>
      </w:r>
    </w:p>
    <w:p w14:paraId="3F5AB46B" w14:textId="55544C87" w:rsidR="00347CB3" w:rsidRPr="00347CB3" w:rsidRDefault="00347CB3" w:rsidP="00347CB3">
      <w:pPr>
        <w:spacing w:line="360" w:lineRule="auto"/>
        <w:rPr>
          <w:rFonts w:ascii="Arial" w:hAnsi="Arial" w:cs="Arial"/>
          <w:sz w:val="24"/>
          <w:szCs w:val="24"/>
        </w:rPr>
      </w:pPr>
      <w:r w:rsidRPr="00347CB3">
        <w:rPr>
          <w:rFonts w:ascii="Arial" w:hAnsi="Arial" w:cs="Arial"/>
          <w:b/>
          <w:bCs/>
          <w:sz w:val="24"/>
          <w:szCs w:val="24"/>
        </w:rPr>
        <w:t>5.0 Conclusion</w:t>
      </w:r>
      <w:r w:rsidRPr="00347CB3">
        <w:rPr>
          <w:rFonts w:ascii="Arial" w:hAnsi="Arial" w:cs="Arial"/>
          <w:sz w:val="24"/>
          <w:szCs w:val="24"/>
        </w:rPr>
        <w:t> ..................................................................... 1</w:t>
      </w:r>
      <w:r>
        <w:rPr>
          <w:rFonts w:ascii="Arial" w:hAnsi="Arial" w:cs="Arial"/>
          <w:sz w:val="24"/>
          <w:szCs w:val="24"/>
        </w:rPr>
        <w:t>4</w:t>
      </w:r>
    </w:p>
    <w:p w14:paraId="15C834E1" w14:textId="2C134879" w:rsidR="00347CB3" w:rsidRPr="00347CB3" w:rsidRDefault="00347CB3" w:rsidP="00347CB3">
      <w:pPr>
        <w:spacing w:line="360" w:lineRule="auto"/>
        <w:rPr>
          <w:rFonts w:ascii="Arial" w:hAnsi="Arial" w:cs="Arial"/>
          <w:sz w:val="24"/>
          <w:szCs w:val="24"/>
        </w:rPr>
      </w:pPr>
      <w:r w:rsidRPr="00347CB3">
        <w:rPr>
          <w:rFonts w:ascii="Arial" w:hAnsi="Arial" w:cs="Arial"/>
          <w:b/>
          <w:bCs/>
          <w:sz w:val="24"/>
          <w:szCs w:val="24"/>
        </w:rPr>
        <w:t>References</w:t>
      </w:r>
      <w:r w:rsidRPr="00347CB3">
        <w:rPr>
          <w:rFonts w:ascii="Arial" w:hAnsi="Arial" w:cs="Arial"/>
          <w:sz w:val="24"/>
          <w:szCs w:val="24"/>
        </w:rPr>
        <w:t> .......................................................................... 1</w:t>
      </w:r>
      <w:r>
        <w:rPr>
          <w:rFonts w:ascii="Arial" w:hAnsi="Arial" w:cs="Arial"/>
          <w:sz w:val="24"/>
          <w:szCs w:val="24"/>
        </w:rPr>
        <w:t>5-16</w:t>
      </w:r>
    </w:p>
    <w:p w14:paraId="4779750D" w14:textId="77777777" w:rsidR="00CF3C8B" w:rsidRPr="00D10029" w:rsidRDefault="00CF3C8B" w:rsidP="00D10029">
      <w:pPr>
        <w:spacing w:line="360" w:lineRule="auto"/>
        <w:rPr>
          <w:rFonts w:ascii="Arial" w:hAnsi="Arial" w:cs="Arial"/>
          <w:sz w:val="24"/>
          <w:szCs w:val="24"/>
        </w:rPr>
      </w:pPr>
      <w:r w:rsidRPr="00D10029">
        <w:rPr>
          <w:rFonts w:ascii="Arial" w:hAnsi="Arial" w:cs="Arial"/>
          <w:sz w:val="24"/>
          <w:szCs w:val="24"/>
        </w:rPr>
        <w:br w:type="page"/>
      </w:r>
    </w:p>
    <w:p w14:paraId="10809EA3" w14:textId="77777777" w:rsidR="001D7314" w:rsidRPr="001D7314" w:rsidRDefault="001D7314" w:rsidP="00D10029">
      <w:pPr>
        <w:spacing w:line="360" w:lineRule="auto"/>
        <w:rPr>
          <w:rFonts w:ascii="Arial" w:hAnsi="Arial" w:cs="Arial"/>
          <w:b/>
          <w:bCs/>
          <w:sz w:val="24"/>
          <w:szCs w:val="24"/>
        </w:rPr>
      </w:pPr>
      <w:r w:rsidRPr="001D7314">
        <w:rPr>
          <w:rFonts w:ascii="Arial" w:hAnsi="Arial" w:cs="Arial"/>
          <w:b/>
          <w:bCs/>
          <w:sz w:val="24"/>
          <w:szCs w:val="24"/>
        </w:rPr>
        <w:lastRenderedPageBreak/>
        <w:t>1.0 Introduction</w:t>
      </w:r>
    </w:p>
    <w:p w14:paraId="24EBAD68" w14:textId="7D5C6899" w:rsidR="00D10029" w:rsidRDefault="00D10029" w:rsidP="00D10029">
      <w:pPr>
        <w:spacing w:line="360" w:lineRule="auto"/>
        <w:rPr>
          <w:rFonts w:ascii="Arial" w:hAnsi="Arial" w:cs="Arial"/>
          <w:sz w:val="24"/>
          <w:szCs w:val="24"/>
        </w:rPr>
      </w:pPr>
      <w:r w:rsidRPr="00D10029">
        <w:rPr>
          <w:rFonts w:ascii="Arial" w:hAnsi="Arial" w:cs="Arial"/>
          <w:sz w:val="24"/>
          <w:szCs w:val="24"/>
        </w:rPr>
        <w:t>The British retail energy market has quickly transformed from hypercompetitive and paper-thin margins to disaster area and re-regulation. Following the default tariff cap (Ofgem, 2019) a number of suppliers exited in response to wholesale price spikes ) between 2021 and 2023( Ofgem, 2023). This gave rise to increased regulatory oversight on both capital adequacy and hedging, as well as structural shifts towards digitalisation, flexibility electrification or low carbon branding which was promoted by the UK government (UK Government, 2021). In this sense, the firm Octopus Energy is a digital frontrunner using its “green” brand and self-developed “Kraken” platform to support rapid tariff innovation and customer relationship management (Octopus Energy, 2023). The largest of them, British Gas is a conservative follower developed on brand advertising, large service workforce and risk management via hedging and volume (Centrica 2023). Through Rogers (2003) and Christensen (1997), the innovators attract the early adopters, while imitators ride scale/maturity to reach the mass market. This study discusses macromarketing agents--regulatory and technological--and strategic responses from the perspectives of STP/7Ps, dynamic capabilities (Teece, 2007), market orientation (Jaworski &amp; Kohli, 1993) and competitive forces (Porter, 2008).</w:t>
      </w:r>
    </w:p>
    <w:p w14:paraId="478EC032" w14:textId="6272CA5E" w:rsidR="00B71D65" w:rsidRDefault="00B71D65" w:rsidP="00D10029">
      <w:pPr>
        <w:spacing w:line="360" w:lineRule="auto"/>
        <w:rPr>
          <w:rFonts w:ascii="Arial" w:hAnsi="Arial" w:cs="Arial"/>
          <w:sz w:val="24"/>
          <w:szCs w:val="24"/>
        </w:rPr>
      </w:pPr>
      <w:r>
        <w:rPr>
          <w:rFonts w:ascii="Arial" w:hAnsi="Arial" w:cs="Arial"/>
          <w:b/>
          <w:bCs/>
          <w:noProof/>
          <w:sz w:val="24"/>
          <w:szCs w:val="24"/>
        </w:rPr>
        <w:drawing>
          <wp:anchor distT="0" distB="0" distL="114300" distR="114300" simplePos="0" relativeHeight="251659264" behindDoc="1" locked="0" layoutInCell="1" allowOverlap="1" wp14:anchorId="2BB5FE3E" wp14:editId="61DDDF4D">
            <wp:simplePos x="0" y="0"/>
            <wp:positionH relativeFrom="margin">
              <wp:align>left</wp:align>
            </wp:positionH>
            <wp:positionV relativeFrom="paragraph">
              <wp:posOffset>365760</wp:posOffset>
            </wp:positionV>
            <wp:extent cx="5412740" cy="3261360"/>
            <wp:effectExtent l="0" t="0" r="0" b="0"/>
            <wp:wrapTight wrapText="bothSides">
              <wp:wrapPolygon edited="0">
                <wp:start x="0" y="0"/>
                <wp:lineTo x="0" y="21449"/>
                <wp:lineTo x="21514" y="21449"/>
                <wp:lineTo x="21514" y="0"/>
                <wp:lineTo x="0" y="0"/>
              </wp:wrapPolygon>
            </wp:wrapTight>
            <wp:docPr id="1228059467" name="Picture 2" descr="A graph of a pr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059467" name="Picture 2" descr="A graph of a price&#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418088" cy="3264298"/>
                    </a:xfrm>
                    <a:prstGeom prst="rect">
                      <a:avLst/>
                    </a:prstGeom>
                  </pic:spPr>
                </pic:pic>
              </a:graphicData>
            </a:graphic>
            <wp14:sizeRelH relativeFrom="page">
              <wp14:pctWidth>0</wp14:pctWidth>
            </wp14:sizeRelH>
            <wp14:sizeRelV relativeFrom="page">
              <wp14:pctHeight>0</wp14:pctHeight>
            </wp14:sizeRelV>
          </wp:anchor>
        </w:drawing>
      </w:r>
    </w:p>
    <w:p w14:paraId="4C2FCF30" w14:textId="17CC7CEB" w:rsidR="00B71D65" w:rsidRPr="00B71D65" w:rsidRDefault="00B71D65" w:rsidP="00D10029">
      <w:pPr>
        <w:spacing w:line="360" w:lineRule="auto"/>
        <w:rPr>
          <w:rFonts w:ascii="Arial" w:hAnsi="Arial" w:cs="Arial"/>
          <w:sz w:val="24"/>
          <w:szCs w:val="24"/>
        </w:rPr>
      </w:pP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Pr="00B71D65">
        <w:rPr>
          <w:rFonts w:ascii="Arial" w:hAnsi="Arial" w:cs="Arial"/>
          <w:sz w:val="24"/>
          <w:szCs w:val="24"/>
        </w:rPr>
        <w:t>Source: (Oxera,2024)</w:t>
      </w:r>
    </w:p>
    <w:p w14:paraId="67903ACF" w14:textId="77777777" w:rsidR="00D10029" w:rsidRDefault="00D10029" w:rsidP="00D10029">
      <w:pPr>
        <w:spacing w:line="360" w:lineRule="auto"/>
        <w:rPr>
          <w:rFonts w:ascii="Arial" w:hAnsi="Arial" w:cs="Arial"/>
          <w:b/>
          <w:bCs/>
          <w:sz w:val="24"/>
          <w:szCs w:val="24"/>
        </w:rPr>
      </w:pPr>
    </w:p>
    <w:p w14:paraId="46F1BB5E" w14:textId="59F0022C" w:rsidR="001D7314" w:rsidRPr="001D7314" w:rsidRDefault="001D7314" w:rsidP="00D10029">
      <w:pPr>
        <w:spacing w:line="360" w:lineRule="auto"/>
        <w:rPr>
          <w:rFonts w:ascii="Arial" w:hAnsi="Arial" w:cs="Arial"/>
          <w:b/>
          <w:bCs/>
          <w:sz w:val="24"/>
          <w:szCs w:val="24"/>
        </w:rPr>
      </w:pPr>
      <w:r w:rsidRPr="001D7314">
        <w:rPr>
          <w:rFonts w:ascii="Arial" w:hAnsi="Arial" w:cs="Arial"/>
          <w:b/>
          <w:bCs/>
          <w:sz w:val="24"/>
          <w:szCs w:val="24"/>
        </w:rPr>
        <w:t>2.0 Brief company and industry background</w:t>
      </w:r>
    </w:p>
    <w:p w14:paraId="4CA59C49" w14:textId="4353DBF8" w:rsidR="000200D3" w:rsidRPr="000200D3" w:rsidRDefault="000200D3" w:rsidP="000200D3">
      <w:pPr>
        <w:spacing w:line="360" w:lineRule="auto"/>
        <w:rPr>
          <w:rFonts w:ascii="Arial" w:hAnsi="Arial" w:cs="Arial"/>
          <w:sz w:val="24"/>
          <w:szCs w:val="24"/>
        </w:rPr>
      </w:pPr>
      <w:r w:rsidRPr="000200D3">
        <w:rPr>
          <w:rFonts w:ascii="Arial" w:hAnsi="Arial" w:cs="Arial"/>
          <w:sz w:val="24"/>
          <w:szCs w:val="24"/>
        </w:rPr>
        <w:t>The new kid on the block, Octopus Energy was founded in 2015 and has quickly grown to be one of the UK’s biggest providers online with pioneering time-of-use tariffs like Agile and Go, a customer friendly brand (Octopus Energy, 2023). Through licensing of its Kraken platform, the business has grown overseas and is able to derive B2B technology revenues whilst offering a contribution to National Grid ESO’s demand balancing introduction (National Grid ESO, 2023).</w:t>
      </w:r>
    </w:p>
    <w:p w14:paraId="4F30ED23" w14:textId="032A8D9E" w:rsidR="000200D3" w:rsidRPr="000200D3" w:rsidRDefault="000200D3" w:rsidP="000200D3">
      <w:pPr>
        <w:spacing w:line="360" w:lineRule="auto"/>
        <w:rPr>
          <w:rFonts w:ascii="Arial" w:hAnsi="Arial" w:cs="Arial"/>
          <w:sz w:val="24"/>
          <w:szCs w:val="24"/>
        </w:rPr>
      </w:pPr>
      <w:r w:rsidRPr="000200D3">
        <w:rPr>
          <w:rFonts w:ascii="Arial" w:hAnsi="Arial" w:cs="Arial"/>
          <w:sz w:val="24"/>
          <w:szCs w:val="24"/>
        </w:rPr>
        <w:t>Incorporating millions of customers and accessing huge numbers of engineers, British Gas (part of Centrica) has hundreds and thousands hedges on energy prices for stability (Centrica, 2023). Its relatively backwards-looking approach to smart technology like Hive home products, heat pumps and flexible tariffs creates an impression of the company being trustworthy and reliable rather than cutting edge. British Gas' vast infrastructure and heritage brand, instead of Octopus's digital-first approach, to me both companies are relying on their existing size for marketshare.</w:t>
      </w:r>
    </w:p>
    <w:p w14:paraId="54EC60A6" w14:textId="23064A0F" w:rsidR="00D10029" w:rsidRPr="001D7314" w:rsidRDefault="000200D3" w:rsidP="000200D3">
      <w:pPr>
        <w:spacing w:line="360" w:lineRule="auto"/>
        <w:rPr>
          <w:rFonts w:ascii="Arial" w:hAnsi="Arial" w:cs="Arial"/>
          <w:sz w:val="24"/>
          <w:szCs w:val="24"/>
        </w:rPr>
      </w:pPr>
      <w:r w:rsidRPr="000200D3">
        <w:rPr>
          <w:rFonts w:ascii="Arial" w:hAnsi="Arial" w:cs="Arial"/>
          <w:sz w:val="24"/>
          <w:szCs w:val="24"/>
        </w:rPr>
        <w:t>Each of the two firms is one presence in a price cap (Ofgem, 2023), net zero carbon targets (UK Government, 2021) and smart meter rollout market environment (DESNZ, 2022). These regulations, in combination with customer losses and market commoditization, will continue to force both new entrants and incumbents to focus on service innovation and bundled energy-tech offers. "Success now requires differentiation far beyond price with digital expertise &amp; customer experience and integrated energy management solutions that meet their sustainability goals while providing them the value they expect as consumers.</w:t>
      </w:r>
    </w:p>
    <w:p w14:paraId="3C8BCACE" w14:textId="77777777" w:rsidR="00D10029" w:rsidRDefault="00D10029">
      <w:pPr>
        <w:rPr>
          <w:rFonts w:ascii="Arial" w:hAnsi="Arial" w:cs="Arial"/>
          <w:b/>
          <w:bCs/>
          <w:sz w:val="24"/>
          <w:szCs w:val="24"/>
        </w:rPr>
      </w:pPr>
      <w:r>
        <w:rPr>
          <w:rFonts w:ascii="Arial" w:hAnsi="Arial" w:cs="Arial"/>
          <w:b/>
          <w:bCs/>
          <w:sz w:val="24"/>
          <w:szCs w:val="24"/>
        </w:rPr>
        <w:br w:type="page"/>
      </w:r>
    </w:p>
    <w:p w14:paraId="01F81B77" w14:textId="79F691E9" w:rsidR="000200D3" w:rsidRDefault="000200D3" w:rsidP="000200D3">
      <w:pPr>
        <w:spacing w:line="360" w:lineRule="auto"/>
        <w:ind w:left="2160" w:firstLine="720"/>
        <w:rPr>
          <w:rFonts w:ascii="Arial" w:hAnsi="Arial" w:cs="Arial"/>
          <w:b/>
          <w:bCs/>
          <w:sz w:val="24"/>
          <w:szCs w:val="24"/>
        </w:rPr>
      </w:pPr>
      <w:r>
        <w:rPr>
          <w:rFonts w:ascii="Arial" w:hAnsi="Arial" w:cs="Arial"/>
          <w:noProof/>
          <w:sz w:val="24"/>
          <w:szCs w:val="24"/>
        </w:rPr>
        <w:lastRenderedPageBreak/>
        <w:drawing>
          <wp:anchor distT="0" distB="0" distL="114300" distR="114300" simplePos="0" relativeHeight="251658240" behindDoc="1" locked="0" layoutInCell="1" allowOverlap="1" wp14:anchorId="00F302C3" wp14:editId="4FD6DA9E">
            <wp:simplePos x="0" y="0"/>
            <wp:positionH relativeFrom="margin">
              <wp:align>left</wp:align>
            </wp:positionH>
            <wp:positionV relativeFrom="paragraph">
              <wp:posOffset>0</wp:posOffset>
            </wp:positionV>
            <wp:extent cx="5532120" cy="4109085"/>
            <wp:effectExtent l="0" t="0" r="0" b="5715"/>
            <wp:wrapTight wrapText="bothSides">
              <wp:wrapPolygon edited="0">
                <wp:start x="0" y="0"/>
                <wp:lineTo x="0" y="21530"/>
                <wp:lineTo x="21496" y="21530"/>
                <wp:lineTo x="21496" y="0"/>
                <wp:lineTo x="0" y="0"/>
              </wp:wrapPolygon>
            </wp:wrapTight>
            <wp:docPr id="210564285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642852" name="Picture 1" descr="A screenshot of a graph&#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532120" cy="410908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bCs/>
          <w:sz w:val="24"/>
          <w:szCs w:val="24"/>
        </w:rPr>
        <w:t>Source: (Statista,2024)</w:t>
      </w:r>
    </w:p>
    <w:p w14:paraId="5BA13B9D" w14:textId="6C145849" w:rsidR="000200D3" w:rsidRDefault="000200D3" w:rsidP="00D10029">
      <w:pPr>
        <w:spacing w:line="360" w:lineRule="auto"/>
        <w:rPr>
          <w:rFonts w:ascii="Arial" w:hAnsi="Arial" w:cs="Arial"/>
          <w:b/>
          <w:bCs/>
          <w:sz w:val="24"/>
          <w:szCs w:val="24"/>
        </w:rPr>
      </w:pPr>
    </w:p>
    <w:p w14:paraId="25399154" w14:textId="77777777" w:rsidR="000200D3" w:rsidRDefault="000200D3" w:rsidP="00D10029">
      <w:pPr>
        <w:spacing w:line="360" w:lineRule="auto"/>
        <w:rPr>
          <w:rFonts w:ascii="Arial" w:hAnsi="Arial" w:cs="Arial"/>
          <w:b/>
          <w:bCs/>
          <w:sz w:val="24"/>
          <w:szCs w:val="24"/>
        </w:rPr>
      </w:pPr>
    </w:p>
    <w:p w14:paraId="230FBF8B" w14:textId="77777777" w:rsidR="000200D3" w:rsidRDefault="000200D3" w:rsidP="00D10029">
      <w:pPr>
        <w:spacing w:line="360" w:lineRule="auto"/>
        <w:rPr>
          <w:rFonts w:ascii="Arial" w:hAnsi="Arial" w:cs="Arial"/>
          <w:b/>
          <w:bCs/>
          <w:sz w:val="24"/>
          <w:szCs w:val="24"/>
        </w:rPr>
      </w:pPr>
    </w:p>
    <w:p w14:paraId="7F0A7875" w14:textId="2C891C4F" w:rsidR="001D7314" w:rsidRPr="001D7314" w:rsidRDefault="001D7314" w:rsidP="00D10029">
      <w:pPr>
        <w:spacing w:line="360" w:lineRule="auto"/>
        <w:rPr>
          <w:rFonts w:ascii="Arial" w:hAnsi="Arial" w:cs="Arial"/>
          <w:b/>
          <w:bCs/>
          <w:sz w:val="24"/>
          <w:szCs w:val="24"/>
        </w:rPr>
      </w:pPr>
      <w:r w:rsidRPr="001D7314">
        <w:rPr>
          <w:rFonts w:ascii="Arial" w:hAnsi="Arial" w:cs="Arial"/>
          <w:b/>
          <w:bCs/>
          <w:sz w:val="24"/>
          <w:szCs w:val="24"/>
        </w:rPr>
        <w:t>3.0 Task 1: Critical analysis of two macro marketing actors</w:t>
      </w:r>
    </w:p>
    <w:p w14:paraId="45BC0060" w14:textId="232CF576" w:rsidR="00B629F7" w:rsidRPr="00D10029" w:rsidRDefault="00B629F7" w:rsidP="00D10029">
      <w:pPr>
        <w:spacing w:line="360" w:lineRule="auto"/>
        <w:rPr>
          <w:rFonts w:ascii="Arial" w:hAnsi="Arial" w:cs="Arial"/>
          <w:sz w:val="24"/>
          <w:szCs w:val="24"/>
        </w:rPr>
      </w:pPr>
      <w:r w:rsidRPr="00D10029">
        <w:rPr>
          <w:rFonts w:ascii="Arial" w:hAnsi="Arial" w:cs="Arial"/>
          <w:sz w:val="24"/>
          <w:szCs w:val="24"/>
        </w:rPr>
        <w:t>3.1 Political–legal/regulatory environment</w:t>
      </w:r>
    </w:p>
    <w:p w14:paraId="586735AB" w14:textId="77777777" w:rsidR="00B629F7" w:rsidRDefault="00B629F7" w:rsidP="00D10029">
      <w:pPr>
        <w:spacing w:line="360" w:lineRule="auto"/>
        <w:rPr>
          <w:rFonts w:ascii="Arial" w:hAnsi="Arial" w:cs="Arial"/>
          <w:sz w:val="24"/>
          <w:szCs w:val="24"/>
        </w:rPr>
      </w:pPr>
      <w:r w:rsidRPr="00D10029">
        <w:rPr>
          <w:rFonts w:ascii="Arial" w:hAnsi="Arial" w:cs="Arial"/>
          <w:sz w:val="24"/>
          <w:szCs w:val="24"/>
        </w:rPr>
        <w:t>The default tariff cap and cost of living supports smooth out bill volatility, while compressing margin (Ofgem, 2023). After the crisis, Ofgem increased hedging and capital adequacy to enhance financial resilience. Net zero policy (Powering Up Britain) maintains electrification (EVs, heat pumps) with timeline discretions (UK Government, 2021; Climate Change Committee, 2023). Time of use (TOU) signals and grounds for demand flexibility at scale are facilitated with smart meters and MW/h settlement based framework (National Grid ESO, 2019). With the help of market orientation and dynamic capabilities, winners will transform these rules into value propositions rapidly (Jaworski &amp; Kohli, 1993; Teece, 2007).</w:t>
      </w:r>
    </w:p>
    <w:p w14:paraId="38B09DBF" w14:textId="77777777" w:rsidR="00E82FEF" w:rsidRDefault="00E82FEF" w:rsidP="00D10029">
      <w:pPr>
        <w:spacing w:line="360" w:lineRule="auto"/>
        <w:rPr>
          <w:rFonts w:ascii="Arial" w:hAnsi="Arial" w:cs="Arial"/>
          <w:sz w:val="24"/>
          <w:szCs w:val="24"/>
        </w:rPr>
      </w:pPr>
    </w:p>
    <w:p w14:paraId="2C2C2BAC" w14:textId="2532C243" w:rsidR="00E82FEF" w:rsidRPr="00D10029" w:rsidRDefault="00E82FEF" w:rsidP="00D10029">
      <w:pPr>
        <w:spacing w:line="360" w:lineRule="auto"/>
        <w:rPr>
          <w:rFonts w:ascii="Arial" w:hAnsi="Arial" w:cs="Arial"/>
          <w:sz w:val="24"/>
          <w:szCs w:val="24"/>
        </w:rPr>
      </w:pPr>
      <w:r>
        <w:rPr>
          <w:rFonts w:ascii="Arial" w:hAnsi="Arial" w:cs="Arial"/>
          <w:sz w:val="24"/>
          <w:szCs w:val="24"/>
        </w:rPr>
        <w:t xml:space="preserve">Source: </w:t>
      </w:r>
      <w:r w:rsidR="00B71D65" w:rsidRPr="00B71D65">
        <w:rPr>
          <w:rFonts w:ascii="Arial" w:hAnsi="Arial" w:cs="Arial"/>
          <w:sz w:val="24"/>
          <w:szCs w:val="24"/>
        </w:rPr>
        <w:t>Impact of Default Tariff Cap on Average Annual Domestic Energy Bills (2019–2024)</w:t>
      </w:r>
      <w:r w:rsidR="00B71D65">
        <w:rPr>
          <w:rFonts w:ascii="Arial" w:hAnsi="Arial" w:cs="Arial"/>
          <w:sz w:val="24"/>
          <w:szCs w:val="24"/>
        </w:rPr>
        <w:t>, Statista,2024</w:t>
      </w:r>
    </w:p>
    <w:p w14:paraId="0A82D650" w14:textId="77777777" w:rsidR="00B629F7" w:rsidRPr="00D10029" w:rsidRDefault="00B629F7" w:rsidP="00D10029">
      <w:pPr>
        <w:spacing w:line="360" w:lineRule="auto"/>
        <w:rPr>
          <w:rFonts w:ascii="Arial" w:hAnsi="Arial" w:cs="Arial"/>
          <w:sz w:val="24"/>
          <w:szCs w:val="24"/>
        </w:rPr>
      </w:pPr>
    </w:p>
    <w:p w14:paraId="206FF01E" w14:textId="0ED176AE" w:rsidR="00B629F7" w:rsidRPr="00D10029" w:rsidRDefault="00B629F7" w:rsidP="00D10029">
      <w:pPr>
        <w:spacing w:line="360" w:lineRule="auto"/>
        <w:rPr>
          <w:rFonts w:ascii="Arial" w:hAnsi="Arial" w:cs="Arial"/>
          <w:b/>
          <w:bCs/>
          <w:sz w:val="24"/>
          <w:szCs w:val="24"/>
        </w:rPr>
      </w:pPr>
      <w:r w:rsidRPr="00D10029">
        <w:rPr>
          <w:rFonts w:ascii="Arial" w:hAnsi="Arial" w:cs="Arial"/>
          <w:b/>
          <w:bCs/>
          <w:sz w:val="24"/>
          <w:szCs w:val="24"/>
        </w:rPr>
        <w:t>British Gas (market kingship) — Opportunities:</w:t>
      </w:r>
    </w:p>
    <w:p w14:paraId="2B5AFD38" w14:textId="14C29747" w:rsidR="00B629F7" w:rsidRPr="00D10029" w:rsidRDefault="00B629F7" w:rsidP="00D10029">
      <w:pPr>
        <w:spacing w:line="360" w:lineRule="auto"/>
        <w:rPr>
          <w:rFonts w:ascii="Arial" w:hAnsi="Arial" w:cs="Arial"/>
          <w:sz w:val="24"/>
          <w:szCs w:val="24"/>
        </w:rPr>
      </w:pPr>
      <w:r w:rsidRPr="00D10029">
        <w:rPr>
          <w:rFonts w:ascii="Arial" w:hAnsi="Arial" w:cs="Arial"/>
          <w:sz w:val="24"/>
          <w:szCs w:val="24"/>
        </w:rPr>
        <w:t>• Scale rewards, discipline to hedge, and regulatory capability Ofgem (2023).</w:t>
      </w:r>
    </w:p>
    <w:p w14:paraId="10E32E27" w14:textId="08323CC3" w:rsidR="00B629F7" w:rsidRPr="00D10029" w:rsidRDefault="00B629F7" w:rsidP="00D10029">
      <w:pPr>
        <w:spacing w:line="360" w:lineRule="auto"/>
        <w:rPr>
          <w:rFonts w:ascii="Arial" w:hAnsi="Arial" w:cs="Arial"/>
          <w:sz w:val="24"/>
          <w:szCs w:val="24"/>
        </w:rPr>
      </w:pPr>
      <w:r w:rsidRPr="00D10029">
        <w:rPr>
          <w:rFonts w:ascii="Arial" w:hAnsi="Arial" w:cs="Arial"/>
          <w:sz w:val="24"/>
          <w:szCs w:val="24"/>
        </w:rPr>
        <w:t>• Net zero policy enabled mass market installs (heat pumps, insulation), use engineer footprint and brand trust (Centrica, 2023).</w:t>
      </w:r>
    </w:p>
    <w:p w14:paraId="766E36A0" w14:textId="77777777" w:rsidR="00B629F7" w:rsidRPr="00D10029" w:rsidRDefault="00B629F7" w:rsidP="00D10029">
      <w:pPr>
        <w:spacing w:line="360" w:lineRule="auto"/>
        <w:rPr>
          <w:rFonts w:ascii="Arial" w:hAnsi="Arial" w:cs="Arial"/>
          <w:sz w:val="24"/>
          <w:szCs w:val="24"/>
        </w:rPr>
      </w:pPr>
      <w:r w:rsidRPr="00D10029">
        <w:rPr>
          <w:rFonts w:ascii="Arial" w:hAnsi="Arial" w:cs="Arial"/>
          <w:sz w:val="24"/>
          <w:szCs w:val="24"/>
        </w:rPr>
        <w:t>• Smart rollout – allows to despatches for process excellence / in home upsell on mandatory visits (DESNZ, 2023).</w:t>
      </w:r>
    </w:p>
    <w:p w14:paraId="7D329B9F" w14:textId="77777777" w:rsidR="00B629F7" w:rsidRPr="00D10029" w:rsidRDefault="00B629F7" w:rsidP="00D10029">
      <w:pPr>
        <w:spacing w:line="360" w:lineRule="auto"/>
        <w:rPr>
          <w:rFonts w:ascii="Arial" w:hAnsi="Arial" w:cs="Arial"/>
          <w:sz w:val="24"/>
          <w:szCs w:val="24"/>
        </w:rPr>
      </w:pPr>
    </w:p>
    <w:p w14:paraId="3BCD3DF6" w14:textId="0A51C0A3" w:rsidR="00B629F7" w:rsidRPr="00D10029" w:rsidRDefault="00B629F7" w:rsidP="00D10029">
      <w:pPr>
        <w:spacing w:line="360" w:lineRule="auto"/>
        <w:rPr>
          <w:rFonts w:ascii="Arial" w:hAnsi="Arial" w:cs="Arial"/>
          <w:b/>
          <w:bCs/>
          <w:sz w:val="24"/>
          <w:szCs w:val="24"/>
        </w:rPr>
      </w:pPr>
      <w:r w:rsidRPr="00D10029">
        <w:rPr>
          <w:rFonts w:ascii="Arial" w:hAnsi="Arial" w:cs="Arial"/>
          <w:b/>
          <w:bCs/>
          <w:sz w:val="24"/>
          <w:szCs w:val="24"/>
        </w:rPr>
        <w:t>British Gas (market leader) — Threats:</w:t>
      </w:r>
    </w:p>
    <w:p w14:paraId="5BA4359B" w14:textId="7D57DEBD" w:rsidR="00B629F7" w:rsidRPr="00D10029" w:rsidRDefault="00B629F7" w:rsidP="00D10029">
      <w:pPr>
        <w:spacing w:line="360" w:lineRule="auto"/>
        <w:rPr>
          <w:rFonts w:ascii="Arial" w:hAnsi="Arial" w:cs="Arial"/>
          <w:sz w:val="24"/>
          <w:szCs w:val="24"/>
        </w:rPr>
      </w:pPr>
      <w:r w:rsidRPr="00D10029">
        <w:rPr>
          <w:rFonts w:ascii="Arial" w:hAnsi="Arial" w:cs="Arial"/>
          <w:sz w:val="24"/>
          <w:szCs w:val="24"/>
        </w:rPr>
        <w:t>• Cap commoditises core supply; differential lies in quality of service—failures in billing/complaints could lead to sanctions/reputation (Ofgem, 2023).</w:t>
      </w:r>
    </w:p>
    <w:p w14:paraId="0BC44986" w14:textId="2F08FB56" w:rsidR="00B629F7" w:rsidRPr="00D10029" w:rsidRDefault="00B629F7" w:rsidP="00D10029">
      <w:pPr>
        <w:spacing w:line="360" w:lineRule="auto"/>
        <w:rPr>
          <w:rFonts w:ascii="Arial" w:hAnsi="Arial" w:cs="Arial"/>
          <w:sz w:val="24"/>
          <w:szCs w:val="24"/>
        </w:rPr>
      </w:pPr>
      <w:r w:rsidRPr="00D10029">
        <w:rPr>
          <w:rFonts w:ascii="Arial" w:hAnsi="Arial" w:cs="Arial"/>
          <w:sz w:val="24"/>
          <w:szCs w:val="24"/>
        </w:rPr>
        <w:t>• Time lag on MHHS-tariff-dependent defection threatens to loose tech literate segments (DESNZ, 2023).</w:t>
      </w:r>
    </w:p>
    <w:p w14:paraId="044553FA" w14:textId="77777777" w:rsidR="00B629F7" w:rsidRPr="00D10029" w:rsidRDefault="00B629F7" w:rsidP="00D10029">
      <w:pPr>
        <w:spacing w:line="360" w:lineRule="auto"/>
        <w:rPr>
          <w:rFonts w:ascii="Arial" w:hAnsi="Arial" w:cs="Arial"/>
          <w:sz w:val="24"/>
          <w:szCs w:val="24"/>
        </w:rPr>
      </w:pPr>
      <w:r w:rsidRPr="00D10029">
        <w:rPr>
          <w:rFonts w:ascii="Arial" w:hAnsi="Arial" w:cs="Arial"/>
          <w:sz w:val="24"/>
          <w:szCs w:val="24"/>
        </w:rPr>
        <w:t>• Working capital may be limited by proposed ring fencing / credit balance regulations.</w:t>
      </w:r>
    </w:p>
    <w:p w14:paraId="72B35D6F" w14:textId="77777777" w:rsidR="00B629F7" w:rsidRPr="00D10029" w:rsidRDefault="00B629F7" w:rsidP="00D10029">
      <w:pPr>
        <w:spacing w:line="360" w:lineRule="auto"/>
        <w:rPr>
          <w:rFonts w:ascii="Arial" w:hAnsi="Arial" w:cs="Arial"/>
          <w:sz w:val="24"/>
          <w:szCs w:val="24"/>
        </w:rPr>
      </w:pPr>
    </w:p>
    <w:p w14:paraId="33E77FD6" w14:textId="069EE3B1" w:rsidR="00B629F7" w:rsidRPr="00D10029" w:rsidRDefault="00B629F7" w:rsidP="00D10029">
      <w:pPr>
        <w:spacing w:line="360" w:lineRule="auto"/>
        <w:rPr>
          <w:rFonts w:ascii="Arial" w:hAnsi="Arial" w:cs="Arial"/>
          <w:b/>
          <w:bCs/>
          <w:sz w:val="24"/>
          <w:szCs w:val="24"/>
        </w:rPr>
      </w:pPr>
      <w:r w:rsidRPr="00D10029">
        <w:rPr>
          <w:rFonts w:ascii="Arial" w:hAnsi="Arial" w:cs="Arial"/>
          <w:b/>
          <w:bCs/>
          <w:sz w:val="24"/>
          <w:szCs w:val="24"/>
        </w:rPr>
        <w:t>Octopus Energy (pioneer) — Opportunities:</w:t>
      </w:r>
    </w:p>
    <w:p w14:paraId="531FF2EF" w14:textId="77777777" w:rsidR="00B629F7" w:rsidRPr="00D10029" w:rsidRDefault="00B629F7" w:rsidP="00D10029">
      <w:pPr>
        <w:spacing w:line="360" w:lineRule="auto"/>
        <w:rPr>
          <w:rFonts w:ascii="Arial" w:hAnsi="Arial" w:cs="Arial"/>
          <w:sz w:val="24"/>
          <w:szCs w:val="24"/>
        </w:rPr>
      </w:pPr>
      <w:r w:rsidRPr="00D10029">
        <w:rPr>
          <w:rFonts w:ascii="Arial" w:hAnsi="Arial" w:cs="Arial"/>
          <w:sz w:val="24"/>
          <w:szCs w:val="24"/>
        </w:rPr>
        <w:t>• DFS represents the commercialisation of flexibility.; MHHS provides personalised dynamic EV/heat pump tariffs by brand (National Grid ESO, 2023; DESNZ, 2023).</w:t>
      </w:r>
    </w:p>
    <w:p w14:paraId="0BB78B87" w14:textId="77777777" w:rsidR="00B629F7" w:rsidRPr="00D10029" w:rsidRDefault="00B629F7" w:rsidP="00D10029">
      <w:pPr>
        <w:spacing w:line="360" w:lineRule="auto"/>
        <w:rPr>
          <w:rFonts w:ascii="Arial" w:hAnsi="Arial" w:cs="Arial"/>
          <w:sz w:val="24"/>
          <w:szCs w:val="24"/>
        </w:rPr>
      </w:pPr>
    </w:p>
    <w:p w14:paraId="1B705F36" w14:textId="77777777" w:rsidR="00B629F7" w:rsidRPr="00D10029" w:rsidRDefault="00B629F7" w:rsidP="00D10029">
      <w:pPr>
        <w:spacing w:line="360" w:lineRule="auto"/>
        <w:rPr>
          <w:rFonts w:ascii="Arial" w:hAnsi="Arial" w:cs="Arial"/>
          <w:sz w:val="24"/>
          <w:szCs w:val="24"/>
        </w:rPr>
      </w:pPr>
      <w:r w:rsidRPr="00D10029">
        <w:rPr>
          <w:rFonts w:ascii="Arial" w:hAnsi="Arial" w:cs="Arial"/>
          <w:sz w:val="24"/>
          <w:szCs w:val="24"/>
        </w:rPr>
        <w:t>• Kraken automation reduces opex, and accelerates the time to regulatory product fit (Octopus Energy, 2023).</w:t>
      </w:r>
    </w:p>
    <w:p w14:paraId="410151B1" w14:textId="77777777" w:rsidR="00B629F7" w:rsidRPr="00D10029" w:rsidRDefault="00B629F7" w:rsidP="00D10029">
      <w:pPr>
        <w:spacing w:line="360" w:lineRule="auto"/>
        <w:rPr>
          <w:rFonts w:ascii="Arial" w:hAnsi="Arial" w:cs="Arial"/>
          <w:sz w:val="24"/>
          <w:szCs w:val="24"/>
        </w:rPr>
      </w:pPr>
    </w:p>
    <w:p w14:paraId="3F9E7078" w14:textId="1891C1CA" w:rsidR="00B629F7" w:rsidRPr="00D10029" w:rsidRDefault="00B629F7" w:rsidP="00D10029">
      <w:pPr>
        <w:spacing w:line="360" w:lineRule="auto"/>
        <w:rPr>
          <w:rFonts w:ascii="Arial" w:hAnsi="Arial" w:cs="Arial"/>
          <w:b/>
          <w:bCs/>
          <w:sz w:val="24"/>
          <w:szCs w:val="24"/>
        </w:rPr>
      </w:pPr>
      <w:r w:rsidRPr="00D10029">
        <w:rPr>
          <w:rFonts w:ascii="Arial" w:hAnsi="Arial" w:cs="Arial"/>
          <w:b/>
          <w:bCs/>
          <w:sz w:val="24"/>
          <w:szCs w:val="24"/>
        </w:rPr>
        <w:t>Octopus Energy (pioneer) — Threats:</w:t>
      </w:r>
    </w:p>
    <w:p w14:paraId="05F91A02" w14:textId="2AC4169C" w:rsidR="00B629F7" w:rsidRPr="00D10029" w:rsidRDefault="00B629F7" w:rsidP="00D10029">
      <w:pPr>
        <w:spacing w:line="360" w:lineRule="auto"/>
        <w:rPr>
          <w:rFonts w:ascii="Arial" w:hAnsi="Arial" w:cs="Arial"/>
          <w:sz w:val="24"/>
          <w:szCs w:val="24"/>
        </w:rPr>
      </w:pPr>
      <w:r w:rsidRPr="00D10029">
        <w:rPr>
          <w:rFonts w:ascii="Arial" w:hAnsi="Arial" w:cs="Arial"/>
          <w:sz w:val="24"/>
          <w:szCs w:val="24"/>
        </w:rPr>
        <w:lastRenderedPageBreak/>
        <w:t>• Policy volatility (by cap methodology – bad debt treatment) squeezes margins and planning flexibility (Ofgem, 2023).</w:t>
      </w:r>
    </w:p>
    <w:p w14:paraId="5AC33000" w14:textId="3FA4294D" w:rsidR="00B629F7" w:rsidRPr="00D10029" w:rsidRDefault="00B629F7" w:rsidP="00D10029">
      <w:pPr>
        <w:spacing w:line="360" w:lineRule="auto"/>
        <w:rPr>
          <w:rFonts w:ascii="Arial" w:hAnsi="Arial" w:cs="Arial"/>
          <w:sz w:val="24"/>
          <w:szCs w:val="24"/>
        </w:rPr>
      </w:pPr>
      <w:r w:rsidRPr="00D10029">
        <w:rPr>
          <w:rFonts w:ascii="Arial" w:hAnsi="Arial" w:cs="Arial"/>
          <w:sz w:val="24"/>
          <w:szCs w:val="24"/>
        </w:rPr>
        <w:t>• Further scrutiny of ‘green’ claims and complicated tariff fairness (CMA/Ofgem) heightens compliance / reputational risk.</w:t>
      </w:r>
    </w:p>
    <w:p w14:paraId="098437D1" w14:textId="17D14585" w:rsidR="00B629F7" w:rsidRPr="00D10029" w:rsidRDefault="00B629F7" w:rsidP="00D10029">
      <w:pPr>
        <w:spacing w:line="360" w:lineRule="auto"/>
        <w:rPr>
          <w:rFonts w:ascii="Arial" w:hAnsi="Arial" w:cs="Arial"/>
          <w:sz w:val="24"/>
          <w:szCs w:val="24"/>
        </w:rPr>
      </w:pPr>
      <w:r w:rsidRPr="00D10029">
        <w:rPr>
          <w:rFonts w:ascii="Arial" w:hAnsi="Arial" w:cs="Arial"/>
          <w:sz w:val="24"/>
          <w:szCs w:val="24"/>
        </w:rPr>
        <w:t>• Potential for consumer revolt if TOU “savings” are opaque/uneven, spurring regulatory intervention.</w:t>
      </w:r>
    </w:p>
    <w:p w14:paraId="2ED0A40D" w14:textId="77777777" w:rsidR="00B629F7" w:rsidRPr="00D10029" w:rsidRDefault="00B629F7" w:rsidP="00D10029">
      <w:pPr>
        <w:spacing w:line="360" w:lineRule="auto"/>
        <w:rPr>
          <w:rFonts w:ascii="Arial" w:hAnsi="Arial" w:cs="Arial"/>
          <w:sz w:val="24"/>
          <w:szCs w:val="24"/>
        </w:rPr>
      </w:pPr>
      <w:r w:rsidRPr="00D10029">
        <w:rPr>
          <w:rFonts w:ascii="Arial" w:hAnsi="Arial" w:cs="Arial"/>
          <w:sz w:val="24"/>
          <w:szCs w:val="24"/>
        </w:rPr>
        <w:t>Diffusion logic can thus be seen to indicate Octopus targeting innovators/early adopters with flexibility propositions and British Gas the early majority with reassurance and service bundles respectively (Rogers, 2003).</w:t>
      </w:r>
    </w:p>
    <w:p w14:paraId="7AFE14FE" w14:textId="77777777" w:rsidR="00D10029" w:rsidRDefault="00D10029" w:rsidP="00D10029">
      <w:pPr>
        <w:spacing w:line="360" w:lineRule="auto"/>
        <w:rPr>
          <w:rFonts w:ascii="Arial" w:hAnsi="Arial" w:cs="Arial"/>
          <w:sz w:val="24"/>
          <w:szCs w:val="24"/>
        </w:rPr>
      </w:pPr>
    </w:p>
    <w:p w14:paraId="47EBCE65" w14:textId="00785EBF" w:rsidR="00B629F7" w:rsidRPr="00D10029" w:rsidRDefault="00B629F7" w:rsidP="00D10029">
      <w:pPr>
        <w:spacing w:line="360" w:lineRule="auto"/>
        <w:rPr>
          <w:rFonts w:ascii="Arial" w:hAnsi="Arial" w:cs="Arial"/>
          <w:sz w:val="24"/>
          <w:szCs w:val="24"/>
        </w:rPr>
      </w:pPr>
      <w:r w:rsidRPr="00D10029">
        <w:rPr>
          <w:rFonts w:ascii="Arial" w:hAnsi="Arial" w:cs="Arial"/>
          <w:sz w:val="24"/>
          <w:szCs w:val="24"/>
        </w:rPr>
        <w:t>3.2 Technological environment</w:t>
      </w:r>
    </w:p>
    <w:p w14:paraId="3C59E364" w14:textId="77777777" w:rsidR="00B629F7" w:rsidRDefault="00B629F7" w:rsidP="00D10029">
      <w:pPr>
        <w:spacing w:line="360" w:lineRule="auto"/>
        <w:rPr>
          <w:rFonts w:ascii="Arial" w:hAnsi="Arial" w:cs="Arial"/>
          <w:sz w:val="24"/>
          <w:szCs w:val="24"/>
        </w:rPr>
      </w:pPr>
      <w:r w:rsidRPr="00D10029">
        <w:rPr>
          <w:rFonts w:ascii="Arial" w:hAnsi="Arial" w:cs="Arial"/>
          <w:sz w:val="24"/>
          <w:szCs w:val="24"/>
        </w:rPr>
        <w:t>Smart meter scale provides data that is close to real time readiness for analytics, personal pricing and communication (DESNZ, 2023). True, travels are digital first (apps, AI chat, instant switching, transparent billing) and API first stacks orchestrate devices (EV chargers, recurranty batteries use) with AI forecast for load shifting (National Grid ESO 2023). Electrification enables tariff–hardware–service bundles. Platformisation such as (Kraken) drains licensing and network effects (Octopus Energy, 2023). How each firm reduces unit costs and redesigns operations is shaped by disruption, dynamic capabilities.</w:t>
      </w:r>
    </w:p>
    <w:p w14:paraId="1E824BA0" w14:textId="684254B2" w:rsidR="00B71D65" w:rsidRDefault="00B71D65" w:rsidP="00D10029">
      <w:pPr>
        <w:spacing w:line="36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60288" behindDoc="1" locked="0" layoutInCell="1" allowOverlap="1" wp14:anchorId="5E819B0B" wp14:editId="30CE9F71">
            <wp:simplePos x="0" y="0"/>
            <wp:positionH relativeFrom="margin">
              <wp:posOffset>-457200</wp:posOffset>
            </wp:positionH>
            <wp:positionV relativeFrom="paragraph">
              <wp:posOffset>429260</wp:posOffset>
            </wp:positionV>
            <wp:extent cx="6316980" cy="4099560"/>
            <wp:effectExtent l="0" t="0" r="7620" b="0"/>
            <wp:wrapTight wrapText="bothSides">
              <wp:wrapPolygon edited="0">
                <wp:start x="0" y="0"/>
                <wp:lineTo x="0" y="21480"/>
                <wp:lineTo x="21561" y="21480"/>
                <wp:lineTo x="21561" y="0"/>
                <wp:lineTo x="0" y="0"/>
              </wp:wrapPolygon>
            </wp:wrapTight>
            <wp:docPr id="287492273" name="Picture 3" descr="A graph of growth in the ye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492273" name="Picture 3" descr="A graph of growth in the yea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6316980" cy="4099560"/>
                    </a:xfrm>
                    <a:prstGeom prst="rect">
                      <a:avLst/>
                    </a:prstGeom>
                  </pic:spPr>
                </pic:pic>
              </a:graphicData>
            </a:graphic>
            <wp14:sizeRelH relativeFrom="page">
              <wp14:pctWidth>0</wp14:pctWidth>
            </wp14:sizeRelH>
            <wp14:sizeRelV relativeFrom="page">
              <wp14:pctHeight>0</wp14:pctHeight>
            </wp14:sizeRelV>
          </wp:anchor>
        </w:drawing>
      </w:r>
    </w:p>
    <w:p w14:paraId="03972435" w14:textId="5B36B06F" w:rsidR="00B71D65" w:rsidRPr="00D10029" w:rsidRDefault="006A21E1" w:rsidP="00D10029">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r>
      <w:r w:rsidR="009D1E27">
        <w:rPr>
          <w:rFonts w:ascii="Arial" w:hAnsi="Arial" w:cs="Arial"/>
          <w:sz w:val="24"/>
          <w:szCs w:val="24"/>
        </w:rPr>
        <w:t xml:space="preserve"> </w:t>
      </w:r>
      <w:r w:rsidR="009D1E27">
        <w:rPr>
          <w:rFonts w:ascii="Arial" w:hAnsi="Arial" w:cs="Arial"/>
          <w:sz w:val="24"/>
          <w:szCs w:val="24"/>
        </w:rPr>
        <w:tab/>
      </w:r>
      <w:r>
        <w:rPr>
          <w:rFonts w:ascii="Arial" w:hAnsi="Arial" w:cs="Arial"/>
          <w:sz w:val="24"/>
          <w:szCs w:val="24"/>
        </w:rPr>
        <w:t xml:space="preserve">Source: </w:t>
      </w:r>
      <w:r w:rsidRPr="006A21E1">
        <w:rPr>
          <w:rFonts w:ascii="Arial" w:hAnsi="Arial" w:cs="Arial"/>
          <w:sz w:val="24"/>
          <w:szCs w:val="24"/>
        </w:rPr>
        <w:t>uSwitch (202</w:t>
      </w:r>
      <w:r>
        <w:rPr>
          <w:rFonts w:ascii="Arial" w:hAnsi="Arial" w:cs="Arial"/>
          <w:sz w:val="24"/>
          <w:szCs w:val="24"/>
        </w:rPr>
        <w:t>5</w:t>
      </w:r>
      <w:r w:rsidRPr="006A21E1">
        <w:rPr>
          <w:rFonts w:ascii="Arial" w:hAnsi="Arial" w:cs="Arial"/>
          <w:sz w:val="24"/>
          <w:szCs w:val="24"/>
        </w:rPr>
        <w:t>) Smart meter statistics</w:t>
      </w:r>
    </w:p>
    <w:p w14:paraId="5F753FFA" w14:textId="77777777" w:rsidR="00B629F7" w:rsidRPr="00D10029" w:rsidRDefault="00B629F7" w:rsidP="00D10029">
      <w:pPr>
        <w:spacing w:line="360" w:lineRule="auto"/>
        <w:rPr>
          <w:rFonts w:ascii="Arial" w:hAnsi="Arial" w:cs="Arial"/>
          <w:sz w:val="24"/>
          <w:szCs w:val="24"/>
        </w:rPr>
      </w:pPr>
    </w:p>
    <w:p w14:paraId="7C9315E0" w14:textId="2361D550" w:rsidR="00B629F7" w:rsidRPr="00D10029" w:rsidRDefault="00B629F7" w:rsidP="009D1E27">
      <w:pPr>
        <w:rPr>
          <w:rFonts w:ascii="Arial" w:hAnsi="Arial" w:cs="Arial"/>
          <w:b/>
          <w:bCs/>
          <w:sz w:val="24"/>
          <w:szCs w:val="24"/>
        </w:rPr>
      </w:pPr>
      <w:r w:rsidRPr="00D10029">
        <w:rPr>
          <w:rFonts w:ascii="Arial" w:hAnsi="Arial" w:cs="Arial"/>
          <w:b/>
          <w:bCs/>
          <w:sz w:val="24"/>
          <w:szCs w:val="24"/>
        </w:rPr>
        <w:t>Octopus Energy (pioneer) — Opportunities:</w:t>
      </w:r>
    </w:p>
    <w:p w14:paraId="75708ADB" w14:textId="77619DAF" w:rsidR="00B629F7" w:rsidRPr="00D10029" w:rsidRDefault="00B629F7" w:rsidP="00D10029">
      <w:pPr>
        <w:spacing w:line="360" w:lineRule="auto"/>
        <w:rPr>
          <w:rFonts w:ascii="Arial" w:hAnsi="Arial" w:cs="Arial"/>
          <w:sz w:val="24"/>
          <w:szCs w:val="24"/>
        </w:rPr>
      </w:pPr>
      <w:r w:rsidRPr="00D10029">
        <w:rPr>
          <w:rFonts w:ascii="Arial" w:hAnsi="Arial" w:cs="Arial"/>
          <w:sz w:val="24"/>
          <w:szCs w:val="24"/>
        </w:rPr>
        <w:t>• First mover in dynamic pricing, device orchestration and engagement contributes to a growing data flywheel (Octopus Energy, 2023).</w:t>
      </w:r>
    </w:p>
    <w:p w14:paraId="798BFA47" w14:textId="77777777" w:rsidR="00B629F7" w:rsidRPr="00D10029" w:rsidRDefault="00B629F7" w:rsidP="00D10029">
      <w:pPr>
        <w:spacing w:line="360" w:lineRule="auto"/>
        <w:rPr>
          <w:rFonts w:ascii="Arial" w:hAnsi="Arial" w:cs="Arial"/>
          <w:sz w:val="24"/>
          <w:szCs w:val="24"/>
        </w:rPr>
      </w:pPr>
      <w:r w:rsidRPr="00D10029">
        <w:rPr>
          <w:rFonts w:ascii="Arial" w:hAnsi="Arial" w:cs="Arial"/>
          <w:sz w:val="24"/>
          <w:szCs w:val="24"/>
        </w:rPr>
        <w:t>• Kraken licensing -revenue diversification, de risks the cap, fund R&amp;D; EV tariffs, smart chargers (Zappi), V2G pilots and heat pump bundles – increase share of wallet and reduce churn.</w:t>
      </w:r>
    </w:p>
    <w:p w14:paraId="3F1EA449" w14:textId="77777777" w:rsidR="00B629F7" w:rsidRPr="00D10029" w:rsidRDefault="00B629F7" w:rsidP="00D10029">
      <w:pPr>
        <w:spacing w:line="360" w:lineRule="auto"/>
        <w:rPr>
          <w:rFonts w:ascii="Arial" w:hAnsi="Arial" w:cs="Arial"/>
          <w:sz w:val="24"/>
          <w:szCs w:val="24"/>
        </w:rPr>
      </w:pPr>
      <w:r w:rsidRPr="00D10029">
        <w:rPr>
          <w:rFonts w:ascii="Arial" w:hAnsi="Arial" w:cs="Arial"/>
          <w:sz w:val="24"/>
          <w:szCs w:val="24"/>
        </w:rPr>
        <w:t>• Open APIs and rapid test and learn speed up MHHS product cycles.</w:t>
      </w:r>
    </w:p>
    <w:p w14:paraId="15914BB4" w14:textId="77777777" w:rsidR="00B629F7" w:rsidRPr="00D10029" w:rsidRDefault="00B629F7" w:rsidP="00D10029">
      <w:pPr>
        <w:spacing w:line="360" w:lineRule="auto"/>
        <w:rPr>
          <w:rFonts w:ascii="Arial" w:hAnsi="Arial" w:cs="Arial"/>
          <w:sz w:val="24"/>
          <w:szCs w:val="24"/>
        </w:rPr>
      </w:pPr>
    </w:p>
    <w:p w14:paraId="07C89056" w14:textId="76EB2943" w:rsidR="00B629F7" w:rsidRPr="00D10029" w:rsidRDefault="00B629F7" w:rsidP="00D10029">
      <w:pPr>
        <w:spacing w:line="360" w:lineRule="auto"/>
        <w:rPr>
          <w:rFonts w:ascii="Arial" w:hAnsi="Arial" w:cs="Arial"/>
          <w:b/>
          <w:bCs/>
          <w:sz w:val="24"/>
          <w:szCs w:val="24"/>
        </w:rPr>
      </w:pPr>
      <w:r w:rsidRPr="00D10029">
        <w:rPr>
          <w:rFonts w:ascii="Arial" w:hAnsi="Arial" w:cs="Arial"/>
          <w:b/>
          <w:bCs/>
          <w:sz w:val="24"/>
          <w:szCs w:val="24"/>
        </w:rPr>
        <w:t>Octopus Energy (pioneer) — Threats:</w:t>
      </w:r>
    </w:p>
    <w:p w14:paraId="6007F7EB" w14:textId="369ADA1D" w:rsidR="00B629F7" w:rsidRPr="00D10029" w:rsidRDefault="00B629F7" w:rsidP="00D10029">
      <w:pPr>
        <w:spacing w:line="360" w:lineRule="auto"/>
        <w:rPr>
          <w:rFonts w:ascii="Arial" w:hAnsi="Arial" w:cs="Arial"/>
          <w:sz w:val="24"/>
          <w:szCs w:val="24"/>
        </w:rPr>
      </w:pPr>
      <w:r w:rsidRPr="00D10029">
        <w:rPr>
          <w:rFonts w:ascii="Arial" w:hAnsi="Arial" w:cs="Arial"/>
          <w:sz w:val="24"/>
          <w:szCs w:val="24"/>
        </w:rPr>
        <w:t>• The tech debt and cyber risk as complexity grows; GDPR/data governance exposure.</w:t>
      </w:r>
    </w:p>
    <w:p w14:paraId="32F5A3FD" w14:textId="6DAE5E3A" w:rsidR="00B629F7" w:rsidRPr="00D10029" w:rsidRDefault="00B629F7" w:rsidP="00D10029">
      <w:pPr>
        <w:spacing w:line="360" w:lineRule="auto"/>
        <w:rPr>
          <w:rFonts w:ascii="Arial" w:hAnsi="Arial" w:cs="Arial"/>
          <w:sz w:val="24"/>
          <w:szCs w:val="24"/>
        </w:rPr>
      </w:pPr>
      <w:r w:rsidRPr="00D10029">
        <w:rPr>
          <w:rFonts w:ascii="Arial" w:hAnsi="Arial" w:cs="Arial"/>
          <w:sz w:val="24"/>
          <w:szCs w:val="24"/>
        </w:rPr>
        <w:lastRenderedPageBreak/>
        <w:t>• Not interoperable with foreign devices/protocols, relying on vendor provided firmware/APIs.</w:t>
      </w:r>
    </w:p>
    <w:p w14:paraId="7F5022F4" w14:textId="5561D327" w:rsidR="00B629F7" w:rsidRPr="00D10029" w:rsidRDefault="00B629F7" w:rsidP="00D10029">
      <w:pPr>
        <w:spacing w:line="360" w:lineRule="auto"/>
        <w:rPr>
          <w:rFonts w:ascii="Arial" w:hAnsi="Arial" w:cs="Arial"/>
          <w:sz w:val="24"/>
          <w:szCs w:val="24"/>
        </w:rPr>
      </w:pPr>
      <w:r w:rsidRPr="00D10029">
        <w:rPr>
          <w:rFonts w:ascii="Arial" w:hAnsi="Arial" w:cs="Arial"/>
          <w:sz w:val="24"/>
          <w:szCs w:val="24"/>
        </w:rPr>
        <w:t>• Imitation of features by incumbents / vendors commoditizes the advantage; platform channel conflict if licensees become competitors; enterprise SLAs increase delivery risk.</w:t>
      </w:r>
    </w:p>
    <w:p w14:paraId="4059DC28" w14:textId="77777777" w:rsidR="00B629F7" w:rsidRPr="00D10029" w:rsidRDefault="00B629F7" w:rsidP="00D10029">
      <w:pPr>
        <w:spacing w:line="360" w:lineRule="auto"/>
        <w:rPr>
          <w:rFonts w:ascii="Arial" w:hAnsi="Arial" w:cs="Arial"/>
          <w:sz w:val="24"/>
          <w:szCs w:val="24"/>
        </w:rPr>
      </w:pPr>
      <w:r w:rsidRPr="00D10029">
        <w:rPr>
          <w:rFonts w:ascii="Arial" w:hAnsi="Arial" w:cs="Arial"/>
          <w:sz w:val="24"/>
          <w:szCs w:val="24"/>
        </w:rPr>
        <w:t>• Changes to ESO program design/settlement formulas could mitigate flexibility economics.</w:t>
      </w:r>
    </w:p>
    <w:p w14:paraId="525FCB90" w14:textId="77777777" w:rsidR="00B629F7" w:rsidRPr="00D10029" w:rsidRDefault="00B629F7" w:rsidP="00D10029">
      <w:pPr>
        <w:spacing w:line="360" w:lineRule="auto"/>
        <w:rPr>
          <w:rFonts w:ascii="Arial" w:hAnsi="Arial" w:cs="Arial"/>
          <w:sz w:val="24"/>
          <w:szCs w:val="24"/>
        </w:rPr>
      </w:pPr>
    </w:p>
    <w:p w14:paraId="6F4893F7" w14:textId="24EE5137" w:rsidR="00B629F7" w:rsidRPr="00D10029" w:rsidRDefault="00B629F7" w:rsidP="00D10029">
      <w:pPr>
        <w:spacing w:line="360" w:lineRule="auto"/>
        <w:rPr>
          <w:rFonts w:ascii="Arial" w:hAnsi="Arial" w:cs="Arial"/>
          <w:b/>
          <w:bCs/>
          <w:sz w:val="24"/>
          <w:szCs w:val="24"/>
        </w:rPr>
      </w:pPr>
      <w:r w:rsidRPr="00D10029">
        <w:rPr>
          <w:rFonts w:ascii="Arial" w:hAnsi="Arial" w:cs="Arial"/>
          <w:b/>
          <w:bCs/>
          <w:sz w:val="24"/>
          <w:szCs w:val="24"/>
        </w:rPr>
        <w:t>British Gas ( the market leader) -- Good opportunities:</w:t>
      </w:r>
    </w:p>
    <w:p w14:paraId="08369CAF" w14:textId="65AE80D9" w:rsidR="00B629F7" w:rsidRPr="00D10029" w:rsidRDefault="00B629F7" w:rsidP="00D10029">
      <w:pPr>
        <w:spacing w:line="360" w:lineRule="auto"/>
        <w:rPr>
          <w:rFonts w:ascii="Arial" w:hAnsi="Arial" w:cs="Arial"/>
          <w:sz w:val="24"/>
          <w:szCs w:val="24"/>
        </w:rPr>
      </w:pPr>
      <w:r w:rsidRPr="00D10029">
        <w:rPr>
          <w:rFonts w:ascii="Arial" w:hAnsi="Arial" w:cs="Arial"/>
          <w:sz w:val="24"/>
          <w:szCs w:val="24"/>
        </w:rPr>
        <w:t>• Fast follower play:­ leverage established platforms from partnerships/JVs/licensing to bypass R/D/IT limitations (Centrica, 2023).</w:t>
      </w:r>
    </w:p>
    <w:p w14:paraId="67DD7459" w14:textId="7291E4D0" w:rsidR="00B629F7" w:rsidRPr="00D10029" w:rsidRDefault="00B629F7" w:rsidP="00D10029">
      <w:pPr>
        <w:spacing w:line="360" w:lineRule="auto"/>
        <w:rPr>
          <w:rFonts w:ascii="Arial" w:hAnsi="Arial" w:cs="Arial"/>
          <w:sz w:val="24"/>
          <w:szCs w:val="24"/>
        </w:rPr>
      </w:pPr>
      <w:r w:rsidRPr="00D10029">
        <w:rPr>
          <w:rFonts w:ascii="Arial" w:hAnsi="Arial" w:cs="Arial"/>
          <w:sz w:val="24"/>
          <w:szCs w:val="24"/>
        </w:rPr>
        <w:t>• Hive ancestry and engineer community tweakes last mile UX, for less tech anxiety—critical to mainstream adoption.</w:t>
      </w:r>
    </w:p>
    <w:p w14:paraId="35C572D1" w14:textId="77777777" w:rsidR="00B629F7" w:rsidRPr="00D10029" w:rsidRDefault="00B629F7" w:rsidP="00D10029">
      <w:pPr>
        <w:spacing w:line="360" w:lineRule="auto"/>
        <w:rPr>
          <w:rFonts w:ascii="Arial" w:hAnsi="Arial" w:cs="Arial"/>
          <w:sz w:val="24"/>
          <w:szCs w:val="24"/>
        </w:rPr>
      </w:pPr>
      <w:r w:rsidRPr="00D10029">
        <w:rPr>
          <w:rFonts w:ascii="Arial" w:hAnsi="Arial" w:cs="Arial"/>
          <w:sz w:val="24"/>
          <w:szCs w:val="24"/>
        </w:rPr>
        <w:t>• Scale allows for streamlined mass market offers and improved device acquisition terms.</w:t>
      </w:r>
    </w:p>
    <w:p w14:paraId="72D298C2" w14:textId="77777777" w:rsidR="00B629F7" w:rsidRPr="00D10029" w:rsidRDefault="00B629F7" w:rsidP="00D10029">
      <w:pPr>
        <w:spacing w:line="360" w:lineRule="auto"/>
        <w:rPr>
          <w:rFonts w:ascii="Arial" w:hAnsi="Arial" w:cs="Arial"/>
          <w:sz w:val="24"/>
          <w:szCs w:val="24"/>
        </w:rPr>
      </w:pPr>
    </w:p>
    <w:p w14:paraId="41FA638B" w14:textId="6203F38D" w:rsidR="00B629F7" w:rsidRPr="00D10029" w:rsidRDefault="00B629F7" w:rsidP="00D10029">
      <w:pPr>
        <w:spacing w:line="360" w:lineRule="auto"/>
        <w:rPr>
          <w:rFonts w:ascii="Arial" w:hAnsi="Arial" w:cs="Arial"/>
          <w:b/>
          <w:bCs/>
          <w:sz w:val="24"/>
          <w:szCs w:val="24"/>
        </w:rPr>
      </w:pPr>
      <w:r w:rsidRPr="00D10029">
        <w:rPr>
          <w:rFonts w:ascii="Arial" w:hAnsi="Arial" w:cs="Arial"/>
          <w:b/>
          <w:bCs/>
          <w:sz w:val="24"/>
          <w:szCs w:val="24"/>
        </w:rPr>
        <w:t>British Gas (top in the market) — Threats:</w:t>
      </w:r>
    </w:p>
    <w:p w14:paraId="78B0EA40" w14:textId="4CA348F4" w:rsidR="00B629F7" w:rsidRPr="00D10029" w:rsidRDefault="00B629F7" w:rsidP="00D10029">
      <w:pPr>
        <w:spacing w:line="360" w:lineRule="auto"/>
        <w:rPr>
          <w:rFonts w:ascii="Arial" w:hAnsi="Arial" w:cs="Arial"/>
          <w:sz w:val="24"/>
          <w:szCs w:val="24"/>
        </w:rPr>
      </w:pPr>
      <w:r w:rsidRPr="00D10029">
        <w:rPr>
          <w:rFonts w:ascii="Arial" w:hAnsi="Arial" w:cs="Arial"/>
          <w:sz w:val="24"/>
          <w:szCs w:val="24"/>
        </w:rPr>
        <w:t>• Change fatigue; legacy IT and organisational inertia slows MHHS/digital tariff spread.</w:t>
      </w:r>
    </w:p>
    <w:p w14:paraId="43669D4D" w14:textId="2F32A596" w:rsidR="00B629F7" w:rsidRPr="00D10029" w:rsidRDefault="00B629F7" w:rsidP="00D10029">
      <w:pPr>
        <w:spacing w:line="360" w:lineRule="auto"/>
        <w:rPr>
          <w:rFonts w:ascii="Arial" w:hAnsi="Arial" w:cs="Arial"/>
          <w:sz w:val="24"/>
          <w:szCs w:val="24"/>
        </w:rPr>
      </w:pPr>
      <w:r w:rsidRPr="00D10029">
        <w:rPr>
          <w:rFonts w:ascii="Arial" w:hAnsi="Arial" w:cs="Arial"/>
          <w:sz w:val="24"/>
          <w:szCs w:val="24"/>
        </w:rPr>
        <w:t>• Vendor lock in undermines differentiation; low NPS damages retention/cross sell in ratings driven market.</w:t>
      </w:r>
    </w:p>
    <w:p w14:paraId="64A9BCE9" w14:textId="45074961" w:rsidR="00B629F7" w:rsidRPr="00D10029" w:rsidRDefault="00B629F7" w:rsidP="00D10029">
      <w:pPr>
        <w:spacing w:line="360" w:lineRule="auto"/>
        <w:rPr>
          <w:rFonts w:ascii="Arial" w:hAnsi="Arial" w:cs="Arial"/>
          <w:sz w:val="24"/>
          <w:szCs w:val="24"/>
        </w:rPr>
      </w:pPr>
      <w:r w:rsidRPr="00D10029">
        <w:rPr>
          <w:rFonts w:ascii="Arial" w:hAnsi="Arial" w:cs="Arial"/>
          <w:sz w:val="24"/>
          <w:szCs w:val="24"/>
        </w:rPr>
        <w:t>• Installation/warranty liabilities and field force scheduling complexity increase cost/risk.</w:t>
      </w:r>
    </w:p>
    <w:p w14:paraId="2DBC4439" w14:textId="77777777" w:rsidR="00B629F7" w:rsidRPr="00D10029" w:rsidRDefault="00B629F7" w:rsidP="00D10029">
      <w:pPr>
        <w:spacing w:line="360" w:lineRule="auto"/>
        <w:rPr>
          <w:rFonts w:ascii="Arial" w:hAnsi="Arial" w:cs="Arial"/>
          <w:sz w:val="24"/>
          <w:szCs w:val="24"/>
        </w:rPr>
      </w:pPr>
      <w:r w:rsidRPr="00D10029">
        <w:rPr>
          <w:rFonts w:ascii="Arial" w:hAnsi="Arial" w:cs="Arial"/>
          <w:sz w:val="24"/>
          <w:szCs w:val="24"/>
        </w:rPr>
        <w:t>One aspect of becoming more market-oriented is to close the data–insight–action loop faster; here strategy execution needs to invest in architecture (API layers, quality of the data) more than surface features to maintain innovation velocity (Jaworski &amp; Kohli, 1993; Porter, 2008).</w:t>
      </w:r>
    </w:p>
    <w:p w14:paraId="0A2DEE1A" w14:textId="77777777" w:rsidR="009D1E27" w:rsidRDefault="009D1E27">
      <w:pPr>
        <w:rPr>
          <w:rFonts w:ascii="Arial" w:hAnsi="Arial" w:cs="Arial"/>
          <w:b/>
          <w:bCs/>
          <w:sz w:val="24"/>
          <w:szCs w:val="24"/>
        </w:rPr>
      </w:pPr>
      <w:r>
        <w:rPr>
          <w:rFonts w:ascii="Arial" w:hAnsi="Arial" w:cs="Arial"/>
          <w:b/>
          <w:bCs/>
          <w:sz w:val="24"/>
          <w:szCs w:val="24"/>
        </w:rPr>
        <w:br w:type="page"/>
      </w:r>
    </w:p>
    <w:p w14:paraId="48CF2FD0" w14:textId="7B4110C9" w:rsidR="001D7314" w:rsidRPr="001D7314" w:rsidRDefault="001D7314" w:rsidP="00D10029">
      <w:pPr>
        <w:spacing w:line="360" w:lineRule="auto"/>
        <w:rPr>
          <w:rFonts w:ascii="Arial" w:hAnsi="Arial" w:cs="Arial"/>
          <w:b/>
          <w:bCs/>
          <w:sz w:val="24"/>
          <w:szCs w:val="24"/>
        </w:rPr>
      </w:pPr>
      <w:r w:rsidRPr="001D7314">
        <w:rPr>
          <w:rFonts w:ascii="Arial" w:hAnsi="Arial" w:cs="Arial"/>
          <w:b/>
          <w:bCs/>
          <w:sz w:val="24"/>
          <w:szCs w:val="24"/>
        </w:rPr>
        <w:lastRenderedPageBreak/>
        <w:t>3.3 Summary of Task 1 (macro actors)</w:t>
      </w:r>
    </w:p>
    <w:p w14:paraId="3ACCA952" w14:textId="77777777" w:rsidR="00D10029" w:rsidRDefault="00D10029" w:rsidP="00D10029">
      <w:pPr>
        <w:spacing w:line="360" w:lineRule="auto"/>
        <w:rPr>
          <w:rFonts w:ascii="Arial" w:hAnsi="Arial" w:cs="Arial"/>
          <w:sz w:val="24"/>
          <w:szCs w:val="24"/>
        </w:rPr>
      </w:pPr>
      <w:r w:rsidRPr="00D10029">
        <w:rPr>
          <w:rFonts w:ascii="Arial" w:hAnsi="Arial" w:cs="Arial"/>
          <w:sz w:val="24"/>
          <w:szCs w:val="24"/>
        </w:rPr>
        <w:t>Financial markets Regulators increase the industrial levels of thresholds for capital adequacy hedging and system operation, incentivising consumers to choose flexible electrified options (Ofgem, 2023; UK Government, 2021). These rules hike the price of entry, but favour scale and disciplined execution, giving an edge to incumbents like British Gas (Centrica, 2023). Regulatory push also values data-enabled retail and device orchestration, such as Octopus Energy’s digital state and high resolution tariffs are in fact afforded the competitive edge (Octopus Energy, 2023). The new techno-logy opportunities make cost reduction easier, specifically for personalized tariffs also automatic load management (DESNZ 2023; National Grid ESO IN PRESS), requiring that followers such as British Gas activate their system and catch velocity, conclusiveness and automatization of the processes quickly (Rogers, 2003; Teece, 2007; Jaworski &amp; Kohli, 1993; Christensen, 1997).</w:t>
      </w:r>
    </w:p>
    <w:p w14:paraId="32C709A5" w14:textId="4B3491DD" w:rsidR="001D7314" w:rsidRPr="001D7314" w:rsidRDefault="001D7314" w:rsidP="00D10029">
      <w:pPr>
        <w:spacing w:line="360" w:lineRule="auto"/>
        <w:rPr>
          <w:rFonts w:ascii="Arial" w:hAnsi="Arial" w:cs="Arial"/>
          <w:b/>
          <w:bCs/>
          <w:sz w:val="24"/>
          <w:szCs w:val="24"/>
        </w:rPr>
      </w:pPr>
      <w:r w:rsidRPr="001D7314">
        <w:rPr>
          <w:rFonts w:ascii="Arial" w:hAnsi="Arial" w:cs="Arial"/>
          <w:b/>
          <w:bCs/>
          <w:sz w:val="24"/>
          <w:szCs w:val="24"/>
        </w:rPr>
        <w:t>Table: Opportunities/Threats by macro actor</w:t>
      </w:r>
    </w:p>
    <w:tbl>
      <w:tblPr>
        <w:tblStyle w:val="TableGrid"/>
        <w:tblW w:w="10110" w:type="dxa"/>
        <w:tblLook w:val="04A0" w:firstRow="1" w:lastRow="0" w:firstColumn="1" w:lastColumn="0" w:noHBand="0" w:noVBand="1"/>
      </w:tblPr>
      <w:tblGrid>
        <w:gridCol w:w="1912"/>
        <w:gridCol w:w="4621"/>
        <w:gridCol w:w="3577"/>
      </w:tblGrid>
      <w:tr w:rsidR="009D1E27" w:rsidRPr="001D7314" w14:paraId="5660BC56" w14:textId="77777777" w:rsidTr="009D1E27">
        <w:trPr>
          <w:trHeight w:val="452"/>
        </w:trPr>
        <w:tc>
          <w:tcPr>
            <w:tcW w:w="0" w:type="auto"/>
            <w:noWrap/>
            <w:hideMark/>
          </w:tcPr>
          <w:p w14:paraId="18C9CEBE" w14:textId="77777777" w:rsidR="001D7314" w:rsidRPr="001D7314" w:rsidRDefault="001D7314" w:rsidP="00D10029">
            <w:pPr>
              <w:spacing w:after="160" w:line="360" w:lineRule="auto"/>
              <w:rPr>
                <w:rFonts w:ascii="Arial" w:hAnsi="Arial" w:cs="Arial"/>
                <w:sz w:val="24"/>
                <w:szCs w:val="24"/>
              </w:rPr>
            </w:pPr>
            <w:r w:rsidRPr="001D7314">
              <w:rPr>
                <w:rFonts w:ascii="Arial" w:hAnsi="Arial" w:cs="Arial"/>
                <w:sz w:val="24"/>
                <w:szCs w:val="24"/>
              </w:rPr>
              <w:t>Macro actor</w:t>
            </w:r>
          </w:p>
        </w:tc>
        <w:tc>
          <w:tcPr>
            <w:tcW w:w="0" w:type="auto"/>
            <w:noWrap/>
            <w:hideMark/>
          </w:tcPr>
          <w:p w14:paraId="110D13A9" w14:textId="77777777" w:rsidR="001D7314" w:rsidRPr="001D7314" w:rsidRDefault="001D7314" w:rsidP="00D10029">
            <w:pPr>
              <w:spacing w:after="160" w:line="360" w:lineRule="auto"/>
              <w:rPr>
                <w:rFonts w:ascii="Arial" w:hAnsi="Arial" w:cs="Arial"/>
                <w:sz w:val="24"/>
                <w:szCs w:val="24"/>
              </w:rPr>
            </w:pPr>
            <w:r w:rsidRPr="001D7314">
              <w:rPr>
                <w:rFonts w:ascii="Arial" w:hAnsi="Arial" w:cs="Arial"/>
                <w:sz w:val="24"/>
                <w:szCs w:val="24"/>
              </w:rPr>
              <w:t>Octopus Energy (pioneer)</w:t>
            </w:r>
          </w:p>
        </w:tc>
        <w:tc>
          <w:tcPr>
            <w:tcW w:w="0" w:type="auto"/>
            <w:noWrap/>
            <w:hideMark/>
          </w:tcPr>
          <w:p w14:paraId="3DB7FC8F" w14:textId="77777777" w:rsidR="001D7314" w:rsidRPr="001D7314" w:rsidRDefault="001D7314" w:rsidP="00D10029">
            <w:pPr>
              <w:spacing w:after="160" w:line="360" w:lineRule="auto"/>
              <w:rPr>
                <w:rFonts w:ascii="Arial" w:hAnsi="Arial" w:cs="Arial"/>
                <w:sz w:val="24"/>
                <w:szCs w:val="24"/>
              </w:rPr>
            </w:pPr>
            <w:r w:rsidRPr="001D7314">
              <w:rPr>
                <w:rFonts w:ascii="Arial" w:hAnsi="Arial" w:cs="Arial"/>
                <w:sz w:val="24"/>
                <w:szCs w:val="24"/>
              </w:rPr>
              <w:t>British Gas (follower)</w:t>
            </w:r>
          </w:p>
        </w:tc>
      </w:tr>
      <w:tr w:rsidR="009D1E27" w:rsidRPr="001D7314" w14:paraId="4E302A1E" w14:textId="77777777" w:rsidTr="009D1E27">
        <w:trPr>
          <w:trHeight w:val="2398"/>
        </w:trPr>
        <w:tc>
          <w:tcPr>
            <w:tcW w:w="0" w:type="auto"/>
            <w:hideMark/>
          </w:tcPr>
          <w:p w14:paraId="58260688" w14:textId="77777777" w:rsidR="001D7314" w:rsidRPr="001D7314" w:rsidRDefault="001D7314" w:rsidP="00D10029">
            <w:pPr>
              <w:spacing w:after="160" w:line="360" w:lineRule="auto"/>
              <w:rPr>
                <w:rFonts w:ascii="Arial" w:hAnsi="Arial" w:cs="Arial"/>
                <w:sz w:val="24"/>
                <w:szCs w:val="24"/>
              </w:rPr>
            </w:pPr>
            <w:r w:rsidRPr="001D7314">
              <w:rPr>
                <w:rFonts w:ascii="Arial" w:hAnsi="Arial" w:cs="Arial"/>
                <w:sz w:val="24"/>
                <w:szCs w:val="24"/>
              </w:rPr>
              <w:t>Political–legal/regulatory</w:t>
            </w:r>
          </w:p>
        </w:tc>
        <w:tc>
          <w:tcPr>
            <w:tcW w:w="0" w:type="auto"/>
            <w:hideMark/>
          </w:tcPr>
          <w:p w14:paraId="45D580B3" w14:textId="6BB4B3A1" w:rsidR="001D7314" w:rsidRPr="001D7314" w:rsidRDefault="00884A9D" w:rsidP="00D10029">
            <w:pPr>
              <w:spacing w:after="160" w:line="360" w:lineRule="auto"/>
              <w:rPr>
                <w:rFonts w:ascii="Arial" w:hAnsi="Arial" w:cs="Arial"/>
                <w:sz w:val="24"/>
                <w:szCs w:val="24"/>
              </w:rPr>
            </w:pPr>
            <w:r w:rsidRPr="00884A9D">
              <w:rPr>
                <w:rFonts w:ascii="Arial" w:hAnsi="Arial" w:cs="Arial"/>
                <w:sz w:val="24"/>
                <w:szCs w:val="24"/>
              </w:rPr>
              <w:t>+ Monetise flexibility (DFS); + MHHS boost smart tariffs; −Price cap squeezes margins;- Policy turbulence layers planning risk (Ofgem, 2023; Octopus Energy, 2023)</w:t>
            </w:r>
          </w:p>
        </w:tc>
        <w:tc>
          <w:tcPr>
            <w:tcW w:w="0" w:type="auto"/>
            <w:hideMark/>
          </w:tcPr>
          <w:p w14:paraId="2AB71F15" w14:textId="5029CBA7" w:rsidR="001D7314" w:rsidRPr="001D7314" w:rsidRDefault="00884A9D" w:rsidP="00D10029">
            <w:pPr>
              <w:spacing w:after="160" w:line="360" w:lineRule="auto"/>
              <w:rPr>
                <w:rFonts w:ascii="Arial" w:hAnsi="Arial" w:cs="Arial"/>
                <w:sz w:val="24"/>
                <w:szCs w:val="24"/>
              </w:rPr>
            </w:pPr>
            <w:r w:rsidRPr="00884A9D">
              <w:rPr>
                <w:rFonts w:ascii="Arial" w:hAnsi="Arial" w:cs="Arial"/>
                <w:sz w:val="24"/>
                <w:szCs w:val="24"/>
              </w:rPr>
              <w:t>+ Higher entry barriers benefit scale; + Net zero drives install/service demand; − Risk of falling behind on innovative tariffs; − Reputational risk if service provision lags (Centrica, 2023; UK Government, 2021)</w:t>
            </w:r>
          </w:p>
        </w:tc>
      </w:tr>
      <w:tr w:rsidR="009D1E27" w:rsidRPr="001D7314" w14:paraId="41476FBE" w14:textId="77777777" w:rsidTr="009D1E27">
        <w:trPr>
          <w:trHeight w:val="1746"/>
        </w:trPr>
        <w:tc>
          <w:tcPr>
            <w:tcW w:w="0" w:type="auto"/>
            <w:hideMark/>
          </w:tcPr>
          <w:p w14:paraId="28CC914C" w14:textId="77777777" w:rsidR="001D7314" w:rsidRPr="001D7314" w:rsidRDefault="001D7314" w:rsidP="00D10029">
            <w:pPr>
              <w:spacing w:after="160" w:line="360" w:lineRule="auto"/>
              <w:rPr>
                <w:rFonts w:ascii="Arial" w:hAnsi="Arial" w:cs="Arial"/>
                <w:sz w:val="24"/>
                <w:szCs w:val="24"/>
              </w:rPr>
            </w:pPr>
            <w:r w:rsidRPr="001D7314">
              <w:rPr>
                <w:rFonts w:ascii="Arial" w:hAnsi="Arial" w:cs="Arial"/>
                <w:sz w:val="24"/>
                <w:szCs w:val="24"/>
              </w:rPr>
              <w:t>Technological</w:t>
            </w:r>
          </w:p>
        </w:tc>
        <w:tc>
          <w:tcPr>
            <w:tcW w:w="0" w:type="auto"/>
            <w:hideMark/>
          </w:tcPr>
          <w:p w14:paraId="4AEEE6A0" w14:textId="0D325D11" w:rsidR="001D7314" w:rsidRPr="001D7314" w:rsidRDefault="00884A9D" w:rsidP="00D10029">
            <w:pPr>
              <w:spacing w:after="160" w:line="360" w:lineRule="auto"/>
              <w:rPr>
                <w:rFonts w:ascii="Arial" w:hAnsi="Arial" w:cs="Arial"/>
                <w:sz w:val="24"/>
                <w:szCs w:val="24"/>
              </w:rPr>
            </w:pPr>
            <w:r w:rsidRPr="00884A9D">
              <w:rPr>
                <w:rFonts w:ascii="Arial" w:hAnsi="Arial" w:cs="Arial"/>
                <w:sz w:val="24"/>
                <w:szCs w:val="24"/>
              </w:rPr>
              <w:t>+ Data/algorithm lead; + Kraken licensing revenue; + Bundles (EV, heat pumps); − Cyber/complexity risks (Octopus Energy, 2023; National Grid ESO, 2023) Key Points We initiate coverage of Open Systems International with a Hold in cautious optimism on one of the top companies serving utilities.</w:t>
            </w:r>
          </w:p>
        </w:tc>
        <w:tc>
          <w:tcPr>
            <w:tcW w:w="0" w:type="auto"/>
            <w:hideMark/>
          </w:tcPr>
          <w:p w14:paraId="4A12760B" w14:textId="3EF8FB2A" w:rsidR="001D7314" w:rsidRPr="001D7314" w:rsidRDefault="00884A9D" w:rsidP="00D10029">
            <w:pPr>
              <w:spacing w:after="160" w:line="360" w:lineRule="auto"/>
              <w:rPr>
                <w:rFonts w:ascii="Arial" w:hAnsi="Arial" w:cs="Arial"/>
                <w:sz w:val="24"/>
                <w:szCs w:val="24"/>
              </w:rPr>
            </w:pPr>
            <w:r w:rsidRPr="00884A9D">
              <w:rPr>
                <w:rFonts w:ascii="Arial" w:hAnsi="Arial" w:cs="Arial"/>
                <w:sz w:val="24"/>
                <w:szCs w:val="24"/>
              </w:rPr>
              <w:t>+ Fast follower partnerships; + Embedding of Hive/engineers; − Inertia from legacy IT; − Risk of commoditisation if late (Centrica, 2023, DESNZ, 2023)</w:t>
            </w:r>
          </w:p>
        </w:tc>
      </w:tr>
    </w:tbl>
    <w:p w14:paraId="44B78710" w14:textId="77777777" w:rsidR="001D7314" w:rsidRPr="00D10029" w:rsidRDefault="001D7314" w:rsidP="00D10029">
      <w:pPr>
        <w:spacing w:line="360" w:lineRule="auto"/>
        <w:rPr>
          <w:rFonts w:ascii="Arial" w:hAnsi="Arial" w:cs="Arial"/>
          <w:b/>
          <w:bCs/>
          <w:sz w:val="24"/>
          <w:szCs w:val="24"/>
        </w:rPr>
      </w:pPr>
    </w:p>
    <w:p w14:paraId="149C2484" w14:textId="341C423C" w:rsidR="00D10029" w:rsidRPr="00D10029" w:rsidRDefault="00D10029" w:rsidP="00D10029">
      <w:pPr>
        <w:spacing w:line="360" w:lineRule="auto"/>
        <w:rPr>
          <w:rFonts w:ascii="Arial" w:hAnsi="Arial" w:cs="Arial"/>
          <w:b/>
          <w:bCs/>
          <w:sz w:val="24"/>
          <w:szCs w:val="24"/>
        </w:rPr>
      </w:pPr>
      <w:r w:rsidRPr="00D10029">
        <w:rPr>
          <w:rFonts w:ascii="Arial" w:hAnsi="Arial" w:cs="Arial"/>
          <w:b/>
          <w:bCs/>
          <w:sz w:val="24"/>
          <w:szCs w:val="24"/>
        </w:rPr>
        <w:t>4.0 Task 2: The strategic behaviour of pioneers and followers</w:t>
      </w:r>
    </w:p>
    <w:p w14:paraId="4531A89B" w14:textId="77777777" w:rsidR="00D10029" w:rsidRPr="00E82FEF" w:rsidRDefault="00D10029" w:rsidP="00D10029">
      <w:pPr>
        <w:spacing w:line="360" w:lineRule="auto"/>
        <w:rPr>
          <w:rFonts w:ascii="Arial" w:hAnsi="Arial" w:cs="Arial"/>
          <w:b/>
          <w:bCs/>
          <w:sz w:val="24"/>
          <w:szCs w:val="24"/>
        </w:rPr>
      </w:pPr>
      <w:r w:rsidRPr="00E82FEF">
        <w:rPr>
          <w:rFonts w:ascii="Arial" w:hAnsi="Arial" w:cs="Arial"/>
          <w:b/>
          <w:bCs/>
          <w:sz w:val="24"/>
          <w:szCs w:val="24"/>
        </w:rPr>
        <w:t>Octopus Energy</w:t>
      </w:r>
    </w:p>
    <w:p w14:paraId="1D1E152F" w14:textId="77777777" w:rsidR="00D10029" w:rsidRPr="00D10029" w:rsidRDefault="00D10029" w:rsidP="00D10029">
      <w:pPr>
        <w:spacing w:line="360" w:lineRule="auto"/>
        <w:rPr>
          <w:rFonts w:ascii="Arial" w:hAnsi="Arial" w:cs="Arial"/>
          <w:sz w:val="24"/>
          <w:szCs w:val="24"/>
        </w:rPr>
      </w:pPr>
      <w:r w:rsidRPr="00D10029">
        <w:rPr>
          <w:rFonts w:ascii="Arial" w:hAnsi="Arial" w:cs="Arial"/>
          <w:sz w:val="24"/>
          <w:szCs w:val="24"/>
        </w:rPr>
        <w:t>It is defining its brand position as one which supports the victim against a power play and injustice. This accounts, neutralising price change by coming clean about it while also trumpeting the virtues of flexibility (Octopus Energy, 2023). This behaviour reflects well an acute market orientation in the sense that it reads policy signals and develop easily adoptable products (Jaworski &amp; Kohli, 1993). Even if nothing else, the company has strong robust risk governance that embodies Ofgem’s condition related to resilience to support fast growth without too much destabilising level of instability (Ofgem, 2023). Octopus is an active player in policy-sponsored markets, such as Demand Flexibility Service and tariffs for demand management across its Agile and Go product range, being regulatory flexibility a part of the core value delivery function (Octopus Energy, 2023). This signature ability to "seize" regulatory opportunities and resources (Teece, 2007).</w:t>
      </w:r>
    </w:p>
    <w:p w14:paraId="261F5B81" w14:textId="77777777" w:rsidR="00D10029" w:rsidRPr="00D10029" w:rsidRDefault="00D10029" w:rsidP="00D10029">
      <w:pPr>
        <w:spacing w:line="360" w:lineRule="auto"/>
        <w:rPr>
          <w:rFonts w:ascii="Arial" w:hAnsi="Arial" w:cs="Arial"/>
          <w:sz w:val="24"/>
          <w:szCs w:val="24"/>
        </w:rPr>
      </w:pPr>
      <w:r w:rsidRPr="00D10029">
        <w:rPr>
          <w:rFonts w:ascii="Arial" w:hAnsi="Arial" w:cs="Arial"/>
          <w:sz w:val="24"/>
          <w:szCs w:val="24"/>
        </w:rPr>
        <w:t>STP/7Ps: STP Targets are early adopters of EVs for home tech and environment conscious consumers. We provide live rates combined with discounts, all organised neatly on electronic screen dashboard. You cannot risk the cost (which is billable per TIME value), let alone the direct value to assigned to that save. App-based workflows push real-time notifcations for cap changes, thanks to both device setup training assistants Social proof Awards Referrals these are all marketing programs.</w:t>
      </w:r>
    </w:p>
    <w:p w14:paraId="1C063CE1" w14:textId="77777777" w:rsidR="00D10029" w:rsidRPr="00D10029" w:rsidRDefault="00D10029" w:rsidP="00D10029">
      <w:pPr>
        <w:spacing w:line="360" w:lineRule="auto"/>
        <w:rPr>
          <w:rFonts w:ascii="Arial" w:hAnsi="Arial" w:cs="Arial"/>
          <w:sz w:val="24"/>
          <w:szCs w:val="24"/>
        </w:rPr>
      </w:pPr>
    </w:p>
    <w:p w14:paraId="428E5668" w14:textId="3FB1C32C" w:rsidR="00D10029" w:rsidRPr="00E82FEF" w:rsidRDefault="00D10029" w:rsidP="00D10029">
      <w:pPr>
        <w:spacing w:line="360" w:lineRule="auto"/>
        <w:rPr>
          <w:rFonts w:ascii="Arial" w:hAnsi="Arial" w:cs="Arial"/>
          <w:b/>
          <w:bCs/>
          <w:sz w:val="24"/>
          <w:szCs w:val="24"/>
        </w:rPr>
      </w:pPr>
      <w:r w:rsidRPr="00E82FEF">
        <w:rPr>
          <w:rFonts w:ascii="Arial" w:hAnsi="Arial" w:cs="Arial"/>
          <w:b/>
          <w:bCs/>
          <w:sz w:val="24"/>
          <w:szCs w:val="24"/>
        </w:rPr>
        <w:t>British Gas</w:t>
      </w:r>
    </w:p>
    <w:p w14:paraId="69959DE2" w14:textId="77777777" w:rsidR="00D10029" w:rsidRPr="00D10029" w:rsidRDefault="00D10029" w:rsidP="00D10029">
      <w:pPr>
        <w:spacing w:line="360" w:lineRule="auto"/>
        <w:rPr>
          <w:rFonts w:ascii="Arial" w:hAnsi="Arial" w:cs="Arial"/>
          <w:sz w:val="24"/>
          <w:szCs w:val="24"/>
        </w:rPr>
      </w:pPr>
      <w:r w:rsidRPr="00D10029">
        <w:rPr>
          <w:rFonts w:ascii="Arial" w:hAnsi="Arial" w:cs="Arial"/>
          <w:sz w:val="24"/>
          <w:szCs w:val="24"/>
        </w:rPr>
        <w:t>As a follower of the scale, British Gas describes hedging discipline and capital strength in order to reassure risk averse clients (Centrica, 2023). Its brand values are stability and service, with clear communication under the price cap complemented by useful billing information and complaints handling (Ofgem, 2023). (Magdaver &amp; Bale, 2000) Policy-compliant products delivered via our engineer network which include heat pumps, insulation and whole home energy solutions with targeted tariffs and aftercare (UK Government, 2021).</w:t>
      </w:r>
    </w:p>
    <w:p w14:paraId="2BD6D998" w14:textId="77777777" w:rsidR="00D10029" w:rsidRPr="00D10029" w:rsidRDefault="00D10029" w:rsidP="00D10029">
      <w:pPr>
        <w:spacing w:line="360" w:lineRule="auto"/>
        <w:rPr>
          <w:rFonts w:ascii="Arial" w:hAnsi="Arial" w:cs="Arial"/>
          <w:sz w:val="24"/>
          <w:szCs w:val="24"/>
        </w:rPr>
      </w:pPr>
      <w:r w:rsidRPr="00D10029">
        <w:rPr>
          <w:rFonts w:ascii="Arial" w:hAnsi="Arial" w:cs="Arial"/>
          <w:sz w:val="24"/>
          <w:szCs w:val="24"/>
        </w:rPr>
        <w:lastRenderedPageBreak/>
        <w:t>STP/7Ps Mainstream families, older phone and home service users, homeowners who are upgrading their heating. It offers fixed tariffs, service plans and smart home packages. Pricing is transparent and occasionally subsidized. It’s all omnichannel, accomplished by a large, safety-conscious field force. Marketing is centered on giving people peace of mind with those service guarantees and brand heritage.</w:t>
      </w:r>
    </w:p>
    <w:p w14:paraId="2F310D20" w14:textId="337F8F85" w:rsidR="00D10029" w:rsidRPr="00E82FEF" w:rsidRDefault="00D10029" w:rsidP="00D10029">
      <w:pPr>
        <w:spacing w:line="360" w:lineRule="auto"/>
        <w:rPr>
          <w:rFonts w:ascii="Arial" w:hAnsi="Arial" w:cs="Arial"/>
          <w:b/>
          <w:bCs/>
          <w:sz w:val="24"/>
          <w:szCs w:val="24"/>
        </w:rPr>
      </w:pPr>
      <w:r w:rsidRPr="00E82FEF">
        <w:rPr>
          <w:rFonts w:ascii="Arial" w:hAnsi="Arial" w:cs="Arial"/>
          <w:b/>
          <w:bCs/>
          <w:sz w:val="24"/>
          <w:szCs w:val="24"/>
        </w:rPr>
        <w:t>Evaluation</w:t>
      </w:r>
    </w:p>
    <w:p w14:paraId="07D15B2C" w14:textId="77777777" w:rsidR="00D10029" w:rsidRDefault="00D10029" w:rsidP="00D10029">
      <w:pPr>
        <w:spacing w:line="360" w:lineRule="auto"/>
        <w:rPr>
          <w:rFonts w:ascii="Arial" w:hAnsi="Arial" w:cs="Arial"/>
          <w:sz w:val="24"/>
          <w:szCs w:val="24"/>
        </w:rPr>
      </w:pPr>
      <w:r w:rsidRPr="00D10029">
        <w:rPr>
          <w:rFonts w:ascii="Arial" w:hAnsi="Arial" w:cs="Arial"/>
          <w:sz w:val="24"/>
          <w:szCs w:val="24"/>
        </w:rPr>
        <w:t>Price controls serve to weaken pure price competition and differentiation is built around the nature of services, bundle offers and induced credits (Ofgem, 2023). My feeling is octopus are not bad at this kind of flexy policy based giblets (Rogers, 2003) and British Gas has the kinda scale required for mass-market installs. The competitive fight will move to ability to deliver value made possible thanks to MHHS at scale, without overwhelming the layman user (Jaworski &amp; Kohli, 1993; Teece, 2007).</w:t>
      </w:r>
    </w:p>
    <w:p w14:paraId="510ED75F" w14:textId="1CB48ED3" w:rsidR="006A21E1" w:rsidRDefault="006A21E1" w:rsidP="00D10029">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1312" behindDoc="1" locked="0" layoutInCell="1" allowOverlap="1" wp14:anchorId="4C4CB458" wp14:editId="3BCBC193">
            <wp:simplePos x="0" y="0"/>
            <wp:positionH relativeFrom="margin">
              <wp:align>left</wp:align>
            </wp:positionH>
            <wp:positionV relativeFrom="paragraph">
              <wp:posOffset>361950</wp:posOffset>
            </wp:positionV>
            <wp:extent cx="5565140" cy="4114800"/>
            <wp:effectExtent l="0" t="0" r="0" b="0"/>
            <wp:wrapTight wrapText="bothSides">
              <wp:wrapPolygon edited="0">
                <wp:start x="0" y="0"/>
                <wp:lineTo x="0" y="21500"/>
                <wp:lineTo x="21516" y="21500"/>
                <wp:lineTo x="21516" y="0"/>
                <wp:lineTo x="0" y="0"/>
              </wp:wrapPolygon>
            </wp:wrapTight>
            <wp:docPr id="723549265" name="Picture 4" descr="A colorful pie char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549265" name="Picture 4" descr="A colorful pie chart with white tex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565140" cy="4114800"/>
                    </a:xfrm>
                    <a:prstGeom prst="rect">
                      <a:avLst/>
                    </a:prstGeom>
                  </pic:spPr>
                </pic:pic>
              </a:graphicData>
            </a:graphic>
            <wp14:sizeRelH relativeFrom="margin">
              <wp14:pctWidth>0</wp14:pctWidth>
            </wp14:sizeRelH>
            <wp14:sizeRelV relativeFrom="margin">
              <wp14:pctHeight>0</wp14:pctHeight>
            </wp14:sizeRelV>
          </wp:anchor>
        </w:drawing>
      </w:r>
    </w:p>
    <w:p w14:paraId="7EE9F515" w14:textId="4A2C3330" w:rsidR="006A21E1" w:rsidRPr="00D10029" w:rsidRDefault="006A21E1" w:rsidP="00D10029">
      <w:pPr>
        <w:spacing w:line="360" w:lineRule="auto"/>
        <w:rPr>
          <w:rFonts w:ascii="Arial" w:hAnsi="Arial" w:cs="Arial"/>
          <w:sz w:val="24"/>
          <w:szCs w:val="24"/>
        </w:rPr>
      </w:pPr>
    </w:p>
    <w:p w14:paraId="27012149" w14:textId="34C34550" w:rsidR="006A21E1" w:rsidRPr="006A21E1" w:rsidRDefault="006A21E1" w:rsidP="009D1E27">
      <w:pPr>
        <w:spacing w:line="360" w:lineRule="auto"/>
        <w:ind w:left="2160"/>
        <w:rPr>
          <w:rFonts w:ascii="Arial" w:hAnsi="Arial" w:cs="Arial"/>
          <w:sz w:val="24"/>
          <w:szCs w:val="24"/>
        </w:rPr>
      </w:pPr>
      <w:r>
        <w:rPr>
          <w:rFonts w:ascii="Arial" w:hAnsi="Arial" w:cs="Arial"/>
          <w:b/>
          <w:bCs/>
          <w:sz w:val="24"/>
          <w:szCs w:val="24"/>
        </w:rPr>
        <w:t xml:space="preserve">Source: </w:t>
      </w:r>
      <w:r w:rsidRPr="006A21E1">
        <w:rPr>
          <w:rFonts w:ascii="Arial" w:hAnsi="Arial" w:cs="Arial"/>
          <w:sz w:val="24"/>
          <w:szCs w:val="24"/>
        </w:rPr>
        <w:t>Solar Power Portal (2024)</w:t>
      </w:r>
    </w:p>
    <w:p w14:paraId="65A4601E" w14:textId="0D537364" w:rsidR="00D10029" w:rsidRPr="006A21E1" w:rsidRDefault="00D10029" w:rsidP="00D10029">
      <w:pPr>
        <w:spacing w:line="360" w:lineRule="auto"/>
        <w:rPr>
          <w:rFonts w:ascii="Arial" w:hAnsi="Arial" w:cs="Arial"/>
          <w:b/>
          <w:bCs/>
          <w:sz w:val="24"/>
          <w:szCs w:val="24"/>
        </w:rPr>
      </w:pPr>
      <w:r w:rsidRPr="00E82FEF">
        <w:rPr>
          <w:rFonts w:ascii="Arial" w:hAnsi="Arial" w:cs="Arial"/>
          <w:b/>
          <w:bCs/>
          <w:sz w:val="24"/>
          <w:szCs w:val="24"/>
        </w:rPr>
        <w:lastRenderedPageBreak/>
        <w:t>Strategic responses to technology</w:t>
      </w:r>
    </w:p>
    <w:p w14:paraId="4DFF4A9D" w14:textId="71BAA913" w:rsidR="00D10029" w:rsidRPr="00E82FEF" w:rsidRDefault="00D10029" w:rsidP="00D10029">
      <w:pPr>
        <w:spacing w:line="360" w:lineRule="auto"/>
        <w:rPr>
          <w:rFonts w:ascii="Arial" w:hAnsi="Arial" w:cs="Arial"/>
          <w:b/>
          <w:bCs/>
          <w:sz w:val="24"/>
          <w:szCs w:val="24"/>
        </w:rPr>
      </w:pPr>
      <w:r w:rsidRPr="00E82FEF">
        <w:rPr>
          <w:rFonts w:ascii="Arial" w:hAnsi="Arial" w:cs="Arial"/>
          <w:b/>
          <w:bCs/>
          <w:sz w:val="24"/>
          <w:szCs w:val="24"/>
        </w:rPr>
        <w:t>Octopus Energy</w:t>
      </w:r>
    </w:p>
    <w:p w14:paraId="55DE4D5D" w14:textId="77777777" w:rsidR="00D10029" w:rsidRPr="00D10029" w:rsidRDefault="00D10029" w:rsidP="00D10029">
      <w:pPr>
        <w:spacing w:line="360" w:lineRule="auto"/>
        <w:rPr>
          <w:rFonts w:ascii="Arial" w:hAnsi="Arial" w:cs="Arial"/>
          <w:sz w:val="24"/>
          <w:szCs w:val="24"/>
        </w:rPr>
      </w:pPr>
      <w:r w:rsidRPr="00D10029">
        <w:rPr>
          <w:rFonts w:ascii="Arial" w:hAnsi="Arial" w:cs="Arial"/>
          <w:sz w:val="24"/>
          <w:szCs w:val="24"/>
        </w:rPr>
        <w:t>In the UK, price cap regulation limits price competition and shifts differentiation towards product design, product bundling and policy-motivated rewards (Ofgem, 2023). Octopus Energy are very good at constructing propositional forms that meet policy niches such as flexibility, they are quick learners who iterate quickly (Rogers, 2003). British Gas on the other hand can leverage scale and regulatory horsepower for both larger installs and compliance. Who is best able to distribute MHHS-empowered value cost efficiently over the mass market will dominate the competitive battlefield (Jaworski &amp; Kohli, 1993; Teece, 2007).</w:t>
      </w:r>
    </w:p>
    <w:p w14:paraId="6C585770" w14:textId="20F536D7" w:rsidR="00D10029" w:rsidRPr="00E82FEF" w:rsidRDefault="00D10029" w:rsidP="00D10029">
      <w:pPr>
        <w:spacing w:line="360" w:lineRule="auto"/>
        <w:rPr>
          <w:rFonts w:ascii="Arial" w:hAnsi="Arial" w:cs="Arial"/>
          <w:b/>
          <w:bCs/>
          <w:sz w:val="24"/>
          <w:szCs w:val="24"/>
        </w:rPr>
      </w:pPr>
      <w:r w:rsidRPr="00E82FEF">
        <w:rPr>
          <w:rFonts w:ascii="Arial" w:hAnsi="Arial" w:cs="Arial"/>
          <w:b/>
          <w:bCs/>
          <w:sz w:val="24"/>
          <w:szCs w:val="24"/>
        </w:rPr>
        <w:t>British Gas</w:t>
      </w:r>
    </w:p>
    <w:p w14:paraId="141F665E" w14:textId="77777777" w:rsidR="00D10029" w:rsidRPr="00D10029" w:rsidRDefault="00D10029" w:rsidP="00D10029">
      <w:pPr>
        <w:spacing w:line="360" w:lineRule="auto"/>
        <w:rPr>
          <w:rFonts w:ascii="Arial" w:hAnsi="Arial" w:cs="Arial"/>
          <w:sz w:val="24"/>
          <w:szCs w:val="24"/>
        </w:rPr>
      </w:pPr>
      <w:r w:rsidRPr="00D10029">
        <w:rPr>
          <w:rFonts w:ascii="Arial" w:hAnsi="Arial" w:cs="Arial"/>
          <w:sz w:val="24"/>
          <w:szCs w:val="24"/>
        </w:rPr>
        <w:t>It is pushing digital integration with the perrtification of its apps and portals, while also baking Hive smart home features into bundles that combine gadgets like smart thermostats with tailored tariffs and service plans. As the fast follower, it was able to leapfrog the innovation gap through platform JV or licensing (Christensen, 1997). The pool of engineers reduces the ‘technology anxiety’ and facilitates the adoption of technology by society at large (Rogers, 2003).</w:t>
      </w:r>
    </w:p>
    <w:p w14:paraId="0168F549" w14:textId="7A45902C" w:rsidR="00D10029" w:rsidRPr="00E82FEF" w:rsidRDefault="00D10029" w:rsidP="00D10029">
      <w:pPr>
        <w:spacing w:line="360" w:lineRule="auto"/>
        <w:rPr>
          <w:rFonts w:ascii="Arial" w:hAnsi="Arial" w:cs="Arial"/>
          <w:b/>
          <w:bCs/>
          <w:sz w:val="24"/>
          <w:szCs w:val="24"/>
        </w:rPr>
      </w:pPr>
      <w:r w:rsidRPr="00E82FEF">
        <w:rPr>
          <w:rFonts w:ascii="Arial" w:hAnsi="Arial" w:cs="Arial"/>
          <w:b/>
          <w:bCs/>
          <w:sz w:val="24"/>
          <w:szCs w:val="24"/>
        </w:rPr>
        <w:t>Evaluation</w:t>
      </w:r>
    </w:p>
    <w:p w14:paraId="3296A5BF" w14:textId="77777777" w:rsidR="00D10029" w:rsidRPr="00D10029" w:rsidRDefault="00D10029" w:rsidP="00D10029">
      <w:pPr>
        <w:spacing w:line="360" w:lineRule="auto"/>
        <w:rPr>
          <w:rFonts w:ascii="Arial" w:hAnsi="Arial" w:cs="Arial"/>
          <w:sz w:val="24"/>
          <w:szCs w:val="24"/>
        </w:rPr>
      </w:pPr>
      <w:r w:rsidRPr="00D10029">
        <w:rPr>
          <w:rFonts w:ascii="Arial" w:hAnsi="Arial" w:cs="Arial"/>
          <w:sz w:val="24"/>
          <w:szCs w:val="24"/>
        </w:rPr>
        <w:t>Octopus has a technological advantage, but it is hardly unbeatable. If British Gas is able to combine a robust in-home service with platform partners it could close the customer experience loop – at least provided it can deliver clear automated MHHS offerings for consumption (Teece 2007).</w:t>
      </w:r>
    </w:p>
    <w:p w14:paraId="245FFA64" w14:textId="77777777" w:rsidR="00E82FEF" w:rsidRDefault="00E82FEF" w:rsidP="00D10029">
      <w:pPr>
        <w:spacing w:line="360" w:lineRule="auto"/>
        <w:rPr>
          <w:rFonts w:ascii="Arial" w:hAnsi="Arial" w:cs="Arial"/>
          <w:sz w:val="24"/>
          <w:szCs w:val="24"/>
        </w:rPr>
      </w:pPr>
    </w:p>
    <w:p w14:paraId="29ED8A80" w14:textId="628BA99F" w:rsidR="00D10029" w:rsidRPr="00E82FEF" w:rsidRDefault="00D10029" w:rsidP="00E97E62">
      <w:pPr>
        <w:rPr>
          <w:rFonts w:ascii="Arial" w:hAnsi="Arial" w:cs="Arial"/>
          <w:b/>
          <w:bCs/>
          <w:sz w:val="24"/>
          <w:szCs w:val="24"/>
        </w:rPr>
      </w:pPr>
      <w:r w:rsidRPr="00E82FEF">
        <w:rPr>
          <w:rFonts w:ascii="Arial" w:hAnsi="Arial" w:cs="Arial"/>
          <w:b/>
          <w:bCs/>
          <w:sz w:val="24"/>
          <w:szCs w:val="24"/>
        </w:rPr>
        <w:t>Competitive strategy synthesis</w:t>
      </w:r>
    </w:p>
    <w:p w14:paraId="18E70ACC" w14:textId="77777777" w:rsidR="00D10029" w:rsidRPr="00D10029" w:rsidRDefault="00D10029" w:rsidP="00D10029">
      <w:pPr>
        <w:spacing w:line="360" w:lineRule="auto"/>
        <w:rPr>
          <w:rFonts w:ascii="Arial" w:hAnsi="Arial" w:cs="Arial"/>
          <w:sz w:val="24"/>
          <w:szCs w:val="24"/>
        </w:rPr>
      </w:pPr>
      <w:r w:rsidRPr="00D10029">
        <w:rPr>
          <w:rFonts w:ascii="Arial" w:hAnsi="Arial" w:cs="Arial"/>
          <w:sz w:val="24"/>
          <w:szCs w:val="24"/>
        </w:rPr>
        <w:t>The nine products under the cap seem like a demand commodity for Porter's forces. Buyer power is high (easy switching, consumer pressure) yet switching has been low in times of crisis. Suppliers power (wholesale markets) is fickle; technological complements (EV chargers, smart devices) are tending towards being increasingly strategic allies. The threat of entry decreased with increasing financial requirements.</w:t>
      </w:r>
    </w:p>
    <w:p w14:paraId="62CB601E" w14:textId="77777777" w:rsidR="00E82FEF" w:rsidRDefault="00E82FEF" w:rsidP="00D10029">
      <w:pPr>
        <w:spacing w:line="360" w:lineRule="auto"/>
        <w:rPr>
          <w:rFonts w:ascii="Arial" w:hAnsi="Arial" w:cs="Arial"/>
          <w:sz w:val="24"/>
          <w:szCs w:val="24"/>
        </w:rPr>
      </w:pPr>
    </w:p>
    <w:p w14:paraId="78FA21EE" w14:textId="2F334421" w:rsidR="00D10029" w:rsidRPr="00D10029" w:rsidRDefault="00D10029" w:rsidP="00D10029">
      <w:pPr>
        <w:spacing w:line="360" w:lineRule="auto"/>
        <w:rPr>
          <w:rFonts w:ascii="Arial" w:hAnsi="Arial" w:cs="Arial"/>
          <w:sz w:val="24"/>
          <w:szCs w:val="24"/>
        </w:rPr>
      </w:pPr>
      <w:r w:rsidRPr="00D10029">
        <w:rPr>
          <w:rFonts w:ascii="Arial" w:hAnsi="Arial" w:cs="Arial"/>
          <w:sz w:val="24"/>
          <w:szCs w:val="24"/>
        </w:rPr>
        <w:lastRenderedPageBreak/>
        <w:t>In this structure:</w:t>
      </w:r>
    </w:p>
    <w:p w14:paraId="2EF4B274" w14:textId="77777777" w:rsidR="00D10029" w:rsidRPr="00D10029" w:rsidRDefault="00D10029" w:rsidP="00D10029">
      <w:pPr>
        <w:spacing w:line="360" w:lineRule="auto"/>
        <w:rPr>
          <w:rFonts w:ascii="Arial" w:hAnsi="Arial" w:cs="Arial"/>
          <w:sz w:val="24"/>
          <w:szCs w:val="24"/>
        </w:rPr>
      </w:pPr>
      <w:r w:rsidRPr="00D10029">
        <w:rPr>
          <w:rFonts w:ascii="Arial" w:hAnsi="Arial" w:cs="Arial"/>
          <w:sz w:val="24"/>
          <w:szCs w:val="24"/>
        </w:rPr>
        <w:t>• Octopus is trying to stand out with technology, speed and customer love. Its moat is fast dynamic capabilities (sensing/seizing) and the knowledge residing inside Kraken (Barney, 1991; Teece, 2007).</w:t>
      </w:r>
    </w:p>
    <w:p w14:paraId="5642D929" w14:textId="77777777" w:rsidR="00D10029" w:rsidRPr="00D10029" w:rsidRDefault="00D10029" w:rsidP="00D10029">
      <w:pPr>
        <w:spacing w:line="360" w:lineRule="auto"/>
        <w:rPr>
          <w:rFonts w:ascii="Arial" w:hAnsi="Arial" w:cs="Arial"/>
          <w:sz w:val="24"/>
          <w:szCs w:val="24"/>
        </w:rPr>
      </w:pPr>
      <w:r w:rsidRPr="00D10029">
        <w:rPr>
          <w:rFonts w:ascii="Arial" w:hAnsi="Arial" w:cs="Arial"/>
          <w:sz w:val="24"/>
          <w:szCs w:val="24"/>
        </w:rPr>
        <w:t>• British Gas has some combination of scale, brand trust and an integrated-service model— turn homes into customer relationships (install, maintain, supply: “upgrade and downgrade,” as Chris likes to say). Its job is to turn these resources into "digitally engaging experiences before a pioneer establishes the default expectations" in the industry (Porter, 2008).</w:t>
      </w:r>
    </w:p>
    <w:p w14:paraId="002EDA78" w14:textId="77777777" w:rsidR="00E97E62" w:rsidRDefault="00E97E62" w:rsidP="00D10029">
      <w:pPr>
        <w:spacing w:line="360" w:lineRule="auto"/>
        <w:rPr>
          <w:rFonts w:ascii="Arial" w:hAnsi="Arial" w:cs="Arial"/>
          <w:b/>
          <w:bCs/>
          <w:sz w:val="24"/>
          <w:szCs w:val="24"/>
        </w:rPr>
      </w:pPr>
    </w:p>
    <w:p w14:paraId="6D9A7AE1" w14:textId="22F73166" w:rsidR="001D7314" w:rsidRPr="001D7314" w:rsidRDefault="00266477" w:rsidP="00D10029">
      <w:pPr>
        <w:spacing w:line="360" w:lineRule="auto"/>
        <w:rPr>
          <w:rFonts w:ascii="Arial" w:hAnsi="Arial" w:cs="Arial"/>
          <w:b/>
          <w:bCs/>
          <w:sz w:val="24"/>
          <w:szCs w:val="24"/>
        </w:rPr>
      </w:pPr>
      <w:r w:rsidRPr="00D10029">
        <w:rPr>
          <w:rFonts w:ascii="Arial" w:hAnsi="Arial" w:cs="Arial"/>
          <w:b/>
          <w:bCs/>
          <w:sz w:val="24"/>
          <w:szCs w:val="24"/>
        </w:rPr>
        <w:t>5</w:t>
      </w:r>
      <w:r w:rsidR="001D7314" w:rsidRPr="001D7314">
        <w:rPr>
          <w:rFonts w:ascii="Arial" w:hAnsi="Arial" w:cs="Arial"/>
          <w:b/>
          <w:bCs/>
          <w:sz w:val="24"/>
          <w:szCs w:val="24"/>
        </w:rPr>
        <w:t>.0 Conclusion</w:t>
      </w:r>
    </w:p>
    <w:p w14:paraId="0A9432CC" w14:textId="12318090" w:rsidR="000200D3" w:rsidRPr="000200D3" w:rsidRDefault="000200D3" w:rsidP="000200D3">
      <w:pPr>
        <w:spacing w:line="360" w:lineRule="auto"/>
        <w:rPr>
          <w:rFonts w:ascii="Arial" w:hAnsi="Arial" w:cs="Arial"/>
          <w:sz w:val="24"/>
          <w:szCs w:val="24"/>
        </w:rPr>
      </w:pPr>
      <w:r w:rsidRPr="000200D3">
        <w:rPr>
          <w:rFonts w:ascii="Arial" w:hAnsi="Arial" w:cs="Arial"/>
          <w:sz w:val="24"/>
          <w:szCs w:val="24"/>
        </w:rPr>
        <w:t>Far reaching regulatory and technological ‘push’ factors relating to such matters as resilience, fairness, and net zero are being witnessed in the UK energy retail space; they are both driver and disruptor around which personalisation6 and control (Teece, 2007; Rogers, 2003) can be seen. Octopus Energy exploits a seaside cottage, first mover lead in policy-to-product and platform leadership to adopt its Kraken technology and agile execution to quickly launch new tariffs and services (Barney, 1991; Christensen, 1997). Its digital-native strategy means it is well set for MHHS across the market.</w:t>
      </w:r>
    </w:p>
    <w:p w14:paraId="6C671344" w14:textId="101DDB0C" w:rsidR="000200D3" w:rsidRPr="000200D3" w:rsidRDefault="000200D3" w:rsidP="000200D3">
      <w:pPr>
        <w:spacing w:line="360" w:lineRule="auto"/>
        <w:rPr>
          <w:rFonts w:ascii="Arial" w:hAnsi="Arial" w:cs="Arial"/>
          <w:sz w:val="24"/>
          <w:szCs w:val="24"/>
        </w:rPr>
      </w:pPr>
      <w:r w:rsidRPr="000200D3">
        <w:rPr>
          <w:rFonts w:ascii="Arial" w:hAnsi="Arial" w:cs="Arial"/>
          <w:sz w:val="24"/>
          <w:szCs w:val="24"/>
        </w:rPr>
        <w:t>British Gas has great potential to deploy its large service network and reputable brand to win in the mass-market. However, the development of this potential depends on digital re-platforming at a faster pace and on simplifying customer value propositions in order to be competitive (Jaworski &amp; Kohli, 1993; Porter,2008). The company competes on a basis of its network of engineers and existing customer base that can be leveraged if executed correctly.</w:t>
      </w:r>
    </w:p>
    <w:p w14:paraId="1FAEDBC3" w14:textId="77777777" w:rsidR="000200D3" w:rsidRDefault="000200D3" w:rsidP="000200D3">
      <w:pPr>
        <w:spacing w:line="360" w:lineRule="auto"/>
        <w:rPr>
          <w:rFonts w:ascii="Arial" w:hAnsi="Arial" w:cs="Arial"/>
          <w:sz w:val="24"/>
          <w:szCs w:val="24"/>
        </w:rPr>
      </w:pPr>
      <w:r w:rsidRPr="000200D3">
        <w:rPr>
          <w:rFonts w:ascii="Arial" w:hAnsi="Arial" w:cs="Arial"/>
          <w:sz w:val="24"/>
          <w:szCs w:val="24"/>
        </w:rPr>
        <w:t>Under MHHS deploymentCompetitive frontier Will be those that can make it easy and secure for ordinary homes to undertake complex energy management (DESNZ/Ofgem, 2023). Success requires the marrying of technological prowess with accessibility, ensuring that advances cut across all customer segments [while satisfying regulations around fairness and sustainability].</w:t>
      </w:r>
    </w:p>
    <w:p w14:paraId="301CDA61" w14:textId="77777777" w:rsidR="000200D3" w:rsidRDefault="000200D3" w:rsidP="000200D3">
      <w:pPr>
        <w:spacing w:line="360" w:lineRule="auto"/>
        <w:rPr>
          <w:rFonts w:ascii="Arial" w:hAnsi="Arial" w:cs="Arial"/>
          <w:b/>
          <w:bCs/>
          <w:sz w:val="24"/>
          <w:szCs w:val="24"/>
        </w:rPr>
      </w:pPr>
    </w:p>
    <w:p w14:paraId="77350F29" w14:textId="646920D1" w:rsidR="001D7314" w:rsidRPr="001D7314" w:rsidRDefault="001D7314" w:rsidP="000200D3">
      <w:pPr>
        <w:spacing w:line="360" w:lineRule="auto"/>
        <w:rPr>
          <w:rFonts w:ascii="Arial" w:hAnsi="Arial" w:cs="Arial"/>
          <w:b/>
          <w:bCs/>
          <w:sz w:val="24"/>
          <w:szCs w:val="24"/>
        </w:rPr>
      </w:pPr>
      <w:r w:rsidRPr="001D7314">
        <w:rPr>
          <w:rFonts w:ascii="Arial" w:hAnsi="Arial" w:cs="Arial"/>
          <w:b/>
          <w:bCs/>
          <w:sz w:val="24"/>
          <w:szCs w:val="24"/>
        </w:rPr>
        <w:t>References</w:t>
      </w:r>
    </w:p>
    <w:p w14:paraId="49938092" w14:textId="77777777" w:rsidR="001D7314" w:rsidRPr="001D7314" w:rsidRDefault="001D7314" w:rsidP="00D10029">
      <w:pPr>
        <w:spacing w:line="360" w:lineRule="auto"/>
        <w:rPr>
          <w:rFonts w:ascii="Arial" w:hAnsi="Arial" w:cs="Arial"/>
          <w:sz w:val="24"/>
          <w:szCs w:val="24"/>
        </w:rPr>
      </w:pPr>
      <w:r w:rsidRPr="001D7314">
        <w:rPr>
          <w:rFonts w:ascii="Arial" w:hAnsi="Arial" w:cs="Arial"/>
          <w:sz w:val="24"/>
          <w:szCs w:val="24"/>
        </w:rPr>
        <w:t>Barney, J. (1991) 'Firm Resources and Sustained Competitive Advantage', </w:t>
      </w:r>
      <w:r w:rsidRPr="001D7314">
        <w:rPr>
          <w:rFonts w:ascii="Arial" w:hAnsi="Arial" w:cs="Arial"/>
          <w:i/>
          <w:iCs/>
          <w:sz w:val="24"/>
          <w:szCs w:val="24"/>
        </w:rPr>
        <w:t>Journal of Management,</w:t>
      </w:r>
      <w:r w:rsidRPr="001D7314">
        <w:rPr>
          <w:rFonts w:ascii="Arial" w:hAnsi="Arial" w:cs="Arial"/>
          <w:sz w:val="24"/>
          <w:szCs w:val="24"/>
        </w:rPr>
        <w:t> 17(1), pp. 99–120.</w:t>
      </w:r>
    </w:p>
    <w:p w14:paraId="3AB83170" w14:textId="77777777" w:rsidR="001D7314" w:rsidRPr="001D7314" w:rsidRDefault="001D7314" w:rsidP="00D10029">
      <w:pPr>
        <w:spacing w:line="360" w:lineRule="auto"/>
        <w:rPr>
          <w:rFonts w:ascii="Arial" w:hAnsi="Arial" w:cs="Arial"/>
          <w:sz w:val="24"/>
          <w:szCs w:val="24"/>
        </w:rPr>
      </w:pPr>
      <w:r w:rsidRPr="001D7314">
        <w:rPr>
          <w:rFonts w:ascii="Arial" w:hAnsi="Arial" w:cs="Arial"/>
          <w:sz w:val="24"/>
          <w:szCs w:val="24"/>
        </w:rPr>
        <w:t>Centrica (2023) </w:t>
      </w:r>
      <w:r w:rsidRPr="001D7314">
        <w:rPr>
          <w:rFonts w:ascii="Arial" w:hAnsi="Arial" w:cs="Arial"/>
          <w:i/>
          <w:iCs/>
          <w:sz w:val="24"/>
          <w:szCs w:val="24"/>
        </w:rPr>
        <w:t>Annual Report 2023.</w:t>
      </w:r>
      <w:r w:rsidRPr="001D7314">
        <w:rPr>
          <w:rFonts w:ascii="Arial" w:hAnsi="Arial" w:cs="Arial"/>
          <w:sz w:val="24"/>
          <w:szCs w:val="24"/>
        </w:rPr>
        <w:t> London: Centrica plc.</w:t>
      </w:r>
    </w:p>
    <w:p w14:paraId="474D6BB4" w14:textId="77777777" w:rsidR="001D7314" w:rsidRPr="001D7314" w:rsidRDefault="001D7314" w:rsidP="00D10029">
      <w:pPr>
        <w:spacing w:line="360" w:lineRule="auto"/>
        <w:rPr>
          <w:rFonts w:ascii="Arial" w:hAnsi="Arial" w:cs="Arial"/>
          <w:sz w:val="24"/>
          <w:szCs w:val="24"/>
        </w:rPr>
      </w:pPr>
      <w:r w:rsidRPr="001D7314">
        <w:rPr>
          <w:rFonts w:ascii="Arial" w:hAnsi="Arial" w:cs="Arial"/>
          <w:sz w:val="24"/>
          <w:szCs w:val="24"/>
        </w:rPr>
        <w:t>Christensen, C.M. (1997) </w:t>
      </w:r>
      <w:r w:rsidRPr="001D7314">
        <w:rPr>
          <w:rFonts w:ascii="Arial" w:hAnsi="Arial" w:cs="Arial"/>
          <w:i/>
          <w:iCs/>
          <w:sz w:val="24"/>
          <w:szCs w:val="24"/>
        </w:rPr>
        <w:t>The Innovator's Dilemma: When New Technologies Cause Great Firms to Fail.</w:t>
      </w:r>
      <w:r w:rsidRPr="001D7314">
        <w:rPr>
          <w:rFonts w:ascii="Arial" w:hAnsi="Arial" w:cs="Arial"/>
          <w:sz w:val="24"/>
          <w:szCs w:val="24"/>
        </w:rPr>
        <w:t> Boston, MA: Harvard Business School Press.</w:t>
      </w:r>
    </w:p>
    <w:p w14:paraId="0029C651" w14:textId="77777777" w:rsidR="001D7314" w:rsidRPr="001D7314" w:rsidRDefault="001D7314" w:rsidP="00D10029">
      <w:pPr>
        <w:spacing w:line="360" w:lineRule="auto"/>
        <w:rPr>
          <w:rFonts w:ascii="Arial" w:hAnsi="Arial" w:cs="Arial"/>
          <w:sz w:val="24"/>
          <w:szCs w:val="24"/>
        </w:rPr>
      </w:pPr>
      <w:r w:rsidRPr="001D7314">
        <w:rPr>
          <w:rFonts w:ascii="Arial" w:hAnsi="Arial" w:cs="Arial"/>
          <w:sz w:val="24"/>
          <w:szCs w:val="24"/>
        </w:rPr>
        <w:t>Climate Change Committee (CCC) (2023) </w:t>
      </w:r>
      <w:r w:rsidRPr="001D7314">
        <w:rPr>
          <w:rFonts w:ascii="Arial" w:hAnsi="Arial" w:cs="Arial"/>
          <w:i/>
          <w:iCs/>
          <w:sz w:val="24"/>
          <w:szCs w:val="24"/>
        </w:rPr>
        <w:t>UK Carbon Budgets and Progress Report.</w:t>
      </w:r>
      <w:r w:rsidRPr="001D7314">
        <w:rPr>
          <w:rFonts w:ascii="Arial" w:hAnsi="Arial" w:cs="Arial"/>
          <w:sz w:val="24"/>
          <w:szCs w:val="24"/>
        </w:rPr>
        <w:t> London: CCC.</w:t>
      </w:r>
    </w:p>
    <w:p w14:paraId="5DA9B072" w14:textId="77777777" w:rsidR="001D7314" w:rsidRPr="001D7314" w:rsidRDefault="001D7314" w:rsidP="00D10029">
      <w:pPr>
        <w:spacing w:line="360" w:lineRule="auto"/>
        <w:rPr>
          <w:rFonts w:ascii="Arial" w:hAnsi="Arial" w:cs="Arial"/>
          <w:sz w:val="24"/>
          <w:szCs w:val="24"/>
        </w:rPr>
      </w:pPr>
      <w:r w:rsidRPr="001D7314">
        <w:rPr>
          <w:rFonts w:ascii="Arial" w:hAnsi="Arial" w:cs="Arial"/>
          <w:sz w:val="24"/>
          <w:szCs w:val="24"/>
        </w:rPr>
        <w:t>DESNZ (Department for Energy Security and Net Zero) (2022) </w:t>
      </w:r>
      <w:r w:rsidRPr="001D7314">
        <w:rPr>
          <w:rFonts w:ascii="Arial" w:hAnsi="Arial" w:cs="Arial"/>
          <w:i/>
          <w:iCs/>
          <w:sz w:val="24"/>
          <w:szCs w:val="24"/>
        </w:rPr>
        <w:t>Smart Meter Rollout and Half Hourly Settlement.</w:t>
      </w:r>
      <w:r w:rsidRPr="001D7314">
        <w:rPr>
          <w:rFonts w:ascii="Arial" w:hAnsi="Arial" w:cs="Arial"/>
          <w:sz w:val="24"/>
          <w:szCs w:val="24"/>
        </w:rPr>
        <w:t> London: DESNZ.</w:t>
      </w:r>
    </w:p>
    <w:p w14:paraId="51E2E6E5" w14:textId="77777777" w:rsidR="001D7314" w:rsidRPr="001D7314" w:rsidRDefault="001D7314" w:rsidP="00D10029">
      <w:pPr>
        <w:spacing w:line="360" w:lineRule="auto"/>
        <w:rPr>
          <w:rFonts w:ascii="Arial" w:hAnsi="Arial" w:cs="Arial"/>
          <w:sz w:val="24"/>
          <w:szCs w:val="24"/>
        </w:rPr>
      </w:pPr>
      <w:r w:rsidRPr="001D7314">
        <w:rPr>
          <w:rFonts w:ascii="Arial" w:hAnsi="Arial" w:cs="Arial"/>
          <w:sz w:val="24"/>
          <w:szCs w:val="24"/>
        </w:rPr>
        <w:t>DESNZ (Department for Energy Security and Net Zero) (2023) </w:t>
      </w:r>
      <w:r w:rsidRPr="001D7314">
        <w:rPr>
          <w:rFonts w:ascii="Arial" w:hAnsi="Arial" w:cs="Arial"/>
          <w:i/>
          <w:iCs/>
          <w:sz w:val="24"/>
          <w:szCs w:val="24"/>
        </w:rPr>
        <w:t>Market-wide Half Hourly Settlement Implementation.</w:t>
      </w:r>
      <w:r w:rsidRPr="001D7314">
        <w:rPr>
          <w:rFonts w:ascii="Arial" w:hAnsi="Arial" w:cs="Arial"/>
          <w:sz w:val="24"/>
          <w:szCs w:val="24"/>
        </w:rPr>
        <w:t> London: DESNZ.</w:t>
      </w:r>
    </w:p>
    <w:p w14:paraId="08C0D37C" w14:textId="77777777" w:rsidR="001D7314" w:rsidRPr="001D7314" w:rsidRDefault="001D7314" w:rsidP="00D10029">
      <w:pPr>
        <w:spacing w:line="360" w:lineRule="auto"/>
        <w:rPr>
          <w:rFonts w:ascii="Arial" w:hAnsi="Arial" w:cs="Arial"/>
          <w:sz w:val="24"/>
          <w:szCs w:val="24"/>
        </w:rPr>
      </w:pPr>
      <w:r w:rsidRPr="001D7314">
        <w:rPr>
          <w:rFonts w:ascii="Arial" w:hAnsi="Arial" w:cs="Arial"/>
          <w:sz w:val="24"/>
          <w:szCs w:val="24"/>
        </w:rPr>
        <w:t>Jaworski, B.J. &amp; Kohli, A.K. (1993) 'Market orientation: antecedents and consequences', </w:t>
      </w:r>
      <w:r w:rsidRPr="001D7314">
        <w:rPr>
          <w:rFonts w:ascii="Arial" w:hAnsi="Arial" w:cs="Arial"/>
          <w:i/>
          <w:iCs/>
          <w:sz w:val="24"/>
          <w:szCs w:val="24"/>
        </w:rPr>
        <w:t>Journal of Marketing,</w:t>
      </w:r>
      <w:r w:rsidRPr="001D7314">
        <w:rPr>
          <w:rFonts w:ascii="Arial" w:hAnsi="Arial" w:cs="Arial"/>
          <w:sz w:val="24"/>
          <w:szCs w:val="24"/>
        </w:rPr>
        <w:t> 57(3), pp. 53–70.</w:t>
      </w:r>
    </w:p>
    <w:p w14:paraId="687DEBED" w14:textId="77777777" w:rsidR="001D7314" w:rsidRPr="001D7314" w:rsidRDefault="001D7314" w:rsidP="00D10029">
      <w:pPr>
        <w:spacing w:line="360" w:lineRule="auto"/>
        <w:rPr>
          <w:rFonts w:ascii="Arial" w:hAnsi="Arial" w:cs="Arial"/>
          <w:sz w:val="24"/>
          <w:szCs w:val="24"/>
        </w:rPr>
      </w:pPr>
      <w:r w:rsidRPr="001D7314">
        <w:rPr>
          <w:rFonts w:ascii="Arial" w:hAnsi="Arial" w:cs="Arial"/>
          <w:sz w:val="24"/>
          <w:szCs w:val="24"/>
        </w:rPr>
        <w:t>National Grid ESO (2019) </w:t>
      </w:r>
      <w:r w:rsidRPr="001D7314">
        <w:rPr>
          <w:rFonts w:ascii="Arial" w:hAnsi="Arial" w:cs="Arial"/>
          <w:i/>
          <w:iCs/>
          <w:sz w:val="24"/>
          <w:szCs w:val="24"/>
        </w:rPr>
        <w:t>Market-wide Half Hourly Settlement Programme.</w:t>
      </w:r>
      <w:r w:rsidRPr="001D7314">
        <w:rPr>
          <w:rFonts w:ascii="Arial" w:hAnsi="Arial" w:cs="Arial"/>
          <w:sz w:val="24"/>
          <w:szCs w:val="24"/>
        </w:rPr>
        <w:t> Warwick: National Grid Electricity System Operator.</w:t>
      </w:r>
    </w:p>
    <w:p w14:paraId="41D0BF8F" w14:textId="77777777" w:rsidR="001D7314" w:rsidRPr="001D7314" w:rsidRDefault="001D7314" w:rsidP="00D10029">
      <w:pPr>
        <w:spacing w:line="360" w:lineRule="auto"/>
        <w:rPr>
          <w:rFonts w:ascii="Arial" w:hAnsi="Arial" w:cs="Arial"/>
          <w:sz w:val="24"/>
          <w:szCs w:val="24"/>
        </w:rPr>
      </w:pPr>
      <w:r w:rsidRPr="001D7314">
        <w:rPr>
          <w:rFonts w:ascii="Arial" w:hAnsi="Arial" w:cs="Arial"/>
          <w:sz w:val="24"/>
          <w:szCs w:val="24"/>
        </w:rPr>
        <w:t>National Grid ESO (2023) </w:t>
      </w:r>
      <w:r w:rsidRPr="001D7314">
        <w:rPr>
          <w:rFonts w:ascii="Arial" w:hAnsi="Arial" w:cs="Arial"/>
          <w:i/>
          <w:iCs/>
          <w:sz w:val="24"/>
          <w:szCs w:val="24"/>
        </w:rPr>
        <w:t>Demand Flexibility Service Guidance.</w:t>
      </w:r>
      <w:r w:rsidRPr="001D7314">
        <w:rPr>
          <w:rFonts w:ascii="Arial" w:hAnsi="Arial" w:cs="Arial"/>
          <w:sz w:val="24"/>
          <w:szCs w:val="24"/>
        </w:rPr>
        <w:t> Warwick: National Grid Electricity System Operator.</w:t>
      </w:r>
    </w:p>
    <w:p w14:paraId="0051B056" w14:textId="77777777" w:rsidR="001D7314" w:rsidRPr="001D7314" w:rsidRDefault="001D7314" w:rsidP="00D10029">
      <w:pPr>
        <w:spacing w:line="360" w:lineRule="auto"/>
        <w:rPr>
          <w:rFonts w:ascii="Arial" w:hAnsi="Arial" w:cs="Arial"/>
          <w:sz w:val="24"/>
          <w:szCs w:val="24"/>
        </w:rPr>
      </w:pPr>
      <w:r w:rsidRPr="001D7314">
        <w:rPr>
          <w:rFonts w:ascii="Arial" w:hAnsi="Arial" w:cs="Arial"/>
          <w:sz w:val="24"/>
          <w:szCs w:val="24"/>
        </w:rPr>
        <w:t>Octopus Energy (2023) </w:t>
      </w:r>
      <w:r w:rsidRPr="001D7314">
        <w:rPr>
          <w:rFonts w:ascii="Arial" w:hAnsi="Arial" w:cs="Arial"/>
          <w:i/>
          <w:iCs/>
          <w:sz w:val="24"/>
          <w:szCs w:val="24"/>
        </w:rPr>
        <w:t>Kraken Platform and Smart Tariffs Overview.</w:t>
      </w:r>
      <w:r w:rsidRPr="001D7314">
        <w:rPr>
          <w:rFonts w:ascii="Arial" w:hAnsi="Arial" w:cs="Arial"/>
          <w:sz w:val="24"/>
          <w:szCs w:val="24"/>
        </w:rPr>
        <w:t> London: Octopus Energy.</w:t>
      </w:r>
    </w:p>
    <w:p w14:paraId="58E68F7C" w14:textId="77777777" w:rsidR="001D7314" w:rsidRPr="001D7314" w:rsidRDefault="001D7314" w:rsidP="00D10029">
      <w:pPr>
        <w:spacing w:line="360" w:lineRule="auto"/>
        <w:rPr>
          <w:rFonts w:ascii="Arial" w:hAnsi="Arial" w:cs="Arial"/>
          <w:sz w:val="24"/>
          <w:szCs w:val="24"/>
        </w:rPr>
      </w:pPr>
      <w:r w:rsidRPr="001D7314">
        <w:rPr>
          <w:rFonts w:ascii="Arial" w:hAnsi="Arial" w:cs="Arial"/>
          <w:sz w:val="24"/>
          <w:szCs w:val="24"/>
        </w:rPr>
        <w:t>Ofgem (2019) </w:t>
      </w:r>
      <w:r w:rsidRPr="001D7314">
        <w:rPr>
          <w:rFonts w:ascii="Arial" w:hAnsi="Arial" w:cs="Arial"/>
          <w:i/>
          <w:iCs/>
          <w:sz w:val="24"/>
          <w:szCs w:val="24"/>
        </w:rPr>
        <w:t>Default Tariff Cap Explained.</w:t>
      </w:r>
      <w:r w:rsidRPr="001D7314">
        <w:rPr>
          <w:rFonts w:ascii="Arial" w:hAnsi="Arial" w:cs="Arial"/>
          <w:sz w:val="24"/>
          <w:szCs w:val="24"/>
        </w:rPr>
        <w:t> London: Office of Gas and Electricity Markets.</w:t>
      </w:r>
    </w:p>
    <w:p w14:paraId="201B6363" w14:textId="77777777" w:rsidR="001D7314" w:rsidRPr="001D7314" w:rsidRDefault="001D7314" w:rsidP="00D10029">
      <w:pPr>
        <w:spacing w:line="360" w:lineRule="auto"/>
        <w:rPr>
          <w:rFonts w:ascii="Arial" w:hAnsi="Arial" w:cs="Arial"/>
          <w:sz w:val="24"/>
          <w:szCs w:val="24"/>
        </w:rPr>
      </w:pPr>
      <w:r w:rsidRPr="001D7314">
        <w:rPr>
          <w:rFonts w:ascii="Arial" w:hAnsi="Arial" w:cs="Arial"/>
          <w:sz w:val="24"/>
          <w:szCs w:val="24"/>
        </w:rPr>
        <w:t>Ofgem (2023) </w:t>
      </w:r>
      <w:r w:rsidRPr="001D7314">
        <w:rPr>
          <w:rFonts w:ascii="Arial" w:hAnsi="Arial" w:cs="Arial"/>
          <w:i/>
          <w:iCs/>
          <w:sz w:val="24"/>
          <w:szCs w:val="24"/>
        </w:rPr>
        <w:t>Retail Market Regulation and Price Cap Guidance.</w:t>
      </w:r>
      <w:r w:rsidRPr="001D7314">
        <w:rPr>
          <w:rFonts w:ascii="Arial" w:hAnsi="Arial" w:cs="Arial"/>
          <w:sz w:val="24"/>
          <w:szCs w:val="24"/>
        </w:rPr>
        <w:t> London: Office of Gas and Electricity Markets.</w:t>
      </w:r>
    </w:p>
    <w:p w14:paraId="55C09EEF" w14:textId="77777777" w:rsidR="001D7314" w:rsidRPr="001D7314" w:rsidRDefault="001D7314" w:rsidP="00D10029">
      <w:pPr>
        <w:spacing w:line="360" w:lineRule="auto"/>
        <w:rPr>
          <w:rFonts w:ascii="Arial" w:hAnsi="Arial" w:cs="Arial"/>
          <w:sz w:val="24"/>
          <w:szCs w:val="24"/>
        </w:rPr>
      </w:pPr>
      <w:r w:rsidRPr="001D7314">
        <w:rPr>
          <w:rFonts w:ascii="Arial" w:hAnsi="Arial" w:cs="Arial"/>
          <w:sz w:val="24"/>
          <w:szCs w:val="24"/>
        </w:rPr>
        <w:t>Porter, M.E. (2008) 'The Five Competitive Forces That Shape Strategy', </w:t>
      </w:r>
      <w:r w:rsidRPr="001D7314">
        <w:rPr>
          <w:rFonts w:ascii="Arial" w:hAnsi="Arial" w:cs="Arial"/>
          <w:i/>
          <w:iCs/>
          <w:sz w:val="24"/>
          <w:szCs w:val="24"/>
        </w:rPr>
        <w:t>Harvard Business Review,</w:t>
      </w:r>
      <w:r w:rsidRPr="001D7314">
        <w:rPr>
          <w:rFonts w:ascii="Arial" w:hAnsi="Arial" w:cs="Arial"/>
          <w:sz w:val="24"/>
          <w:szCs w:val="24"/>
        </w:rPr>
        <w:t> 86(1), pp. 78–93.</w:t>
      </w:r>
    </w:p>
    <w:p w14:paraId="599E2C16" w14:textId="77777777" w:rsidR="001D7314" w:rsidRPr="001D7314" w:rsidRDefault="001D7314" w:rsidP="00D10029">
      <w:pPr>
        <w:spacing w:line="360" w:lineRule="auto"/>
        <w:rPr>
          <w:rFonts w:ascii="Arial" w:hAnsi="Arial" w:cs="Arial"/>
          <w:sz w:val="24"/>
          <w:szCs w:val="24"/>
        </w:rPr>
      </w:pPr>
      <w:r w:rsidRPr="001D7314">
        <w:rPr>
          <w:rFonts w:ascii="Arial" w:hAnsi="Arial" w:cs="Arial"/>
          <w:sz w:val="24"/>
          <w:szCs w:val="24"/>
        </w:rPr>
        <w:t>Rogers, E.M. (2003) </w:t>
      </w:r>
      <w:r w:rsidRPr="001D7314">
        <w:rPr>
          <w:rFonts w:ascii="Arial" w:hAnsi="Arial" w:cs="Arial"/>
          <w:i/>
          <w:iCs/>
          <w:sz w:val="24"/>
          <w:szCs w:val="24"/>
        </w:rPr>
        <w:t>Diffusion of Innovations.</w:t>
      </w:r>
      <w:r w:rsidRPr="001D7314">
        <w:rPr>
          <w:rFonts w:ascii="Arial" w:hAnsi="Arial" w:cs="Arial"/>
          <w:sz w:val="24"/>
          <w:szCs w:val="24"/>
        </w:rPr>
        <w:t> 5th edn. New York: Free Press.</w:t>
      </w:r>
    </w:p>
    <w:p w14:paraId="240E2C19" w14:textId="77777777" w:rsidR="001D7314" w:rsidRPr="001D7314" w:rsidRDefault="001D7314" w:rsidP="00D10029">
      <w:pPr>
        <w:spacing w:line="360" w:lineRule="auto"/>
        <w:rPr>
          <w:rFonts w:ascii="Arial" w:hAnsi="Arial" w:cs="Arial"/>
          <w:sz w:val="24"/>
          <w:szCs w:val="24"/>
        </w:rPr>
      </w:pPr>
      <w:r w:rsidRPr="001D7314">
        <w:rPr>
          <w:rFonts w:ascii="Arial" w:hAnsi="Arial" w:cs="Arial"/>
          <w:sz w:val="24"/>
          <w:szCs w:val="24"/>
        </w:rPr>
        <w:lastRenderedPageBreak/>
        <w:t>Teece, D.J. (2007) 'Explicating dynamic capabilities: the nature and microfoundations of (sustainable) enterprise performance', </w:t>
      </w:r>
      <w:r w:rsidRPr="001D7314">
        <w:rPr>
          <w:rFonts w:ascii="Arial" w:hAnsi="Arial" w:cs="Arial"/>
          <w:i/>
          <w:iCs/>
          <w:sz w:val="24"/>
          <w:szCs w:val="24"/>
        </w:rPr>
        <w:t>Strategic Management Journal,</w:t>
      </w:r>
      <w:r w:rsidRPr="001D7314">
        <w:rPr>
          <w:rFonts w:ascii="Arial" w:hAnsi="Arial" w:cs="Arial"/>
          <w:sz w:val="24"/>
          <w:szCs w:val="24"/>
        </w:rPr>
        <w:t> 28(13), pp. 1319–1350.</w:t>
      </w:r>
    </w:p>
    <w:p w14:paraId="4EBE8855" w14:textId="77777777" w:rsidR="001D7314" w:rsidRDefault="001D7314" w:rsidP="00D10029">
      <w:pPr>
        <w:spacing w:line="360" w:lineRule="auto"/>
        <w:rPr>
          <w:rFonts w:ascii="Arial" w:hAnsi="Arial" w:cs="Arial"/>
          <w:sz w:val="24"/>
          <w:szCs w:val="24"/>
        </w:rPr>
      </w:pPr>
      <w:r w:rsidRPr="001D7314">
        <w:rPr>
          <w:rFonts w:ascii="Arial" w:hAnsi="Arial" w:cs="Arial"/>
          <w:sz w:val="24"/>
          <w:szCs w:val="24"/>
        </w:rPr>
        <w:t>UK Government (2021) </w:t>
      </w:r>
      <w:r w:rsidRPr="001D7314">
        <w:rPr>
          <w:rFonts w:ascii="Arial" w:hAnsi="Arial" w:cs="Arial"/>
          <w:i/>
          <w:iCs/>
          <w:sz w:val="24"/>
          <w:szCs w:val="24"/>
        </w:rPr>
        <w:t>Net Zero Strategy: Build Back Greener.</w:t>
      </w:r>
      <w:r w:rsidRPr="001D7314">
        <w:rPr>
          <w:rFonts w:ascii="Arial" w:hAnsi="Arial" w:cs="Arial"/>
          <w:sz w:val="24"/>
          <w:szCs w:val="24"/>
        </w:rPr>
        <w:t> London: HMSO.</w:t>
      </w:r>
    </w:p>
    <w:p w14:paraId="6B8964C0" w14:textId="0EA4C324" w:rsidR="00B71D65" w:rsidRDefault="00B71D65" w:rsidP="00D10029">
      <w:pPr>
        <w:spacing w:line="360" w:lineRule="auto"/>
        <w:rPr>
          <w:rFonts w:ascii="Arial" w:hAnsi="Arial" w:cs="Arial"/>
          <w:sz w:val="24"/>
          <w:szCs w:val="24"/>
        </w:rPr>
      </w:pPr>
      <w:r w:rsidRPr="00B71D65">
        <w:rPr>
          <w:rFonts w:ascii="Arial" w:hAnsi="Arial" w:cs="Arial"/>
          <w:sz w:val="24"/>
          <w:szCs w:val="24"/>
        </w:rPr>
        <w:t xml:space="preserve">Statista (2024) </w:t>
      </w:r>
      <w:r w:rsidRPr="00B71D65">
        <w:rPr>
          <w:rFonts w:ascii="Arial" w:hAnsi="Arial" w:cs="Arial"/>
          <w:i/>
          <w:iCs/>
          <w:sz w:val="24"/>
          <w:szCs w:val="24"/>
        </w:rPr>
        <w:t>Average Annual Domestic Energy Bills in the United Kingdom under the Default Tariff Cap from 2019 to 2024.</w:t>
      </w:r>
      <w:r w:rsidRPr="00B71D65">
        <w:rPr>
          <w:rFonts w:ascii="Arial" w:hAnsi="Arial" w:cs="Arial"/>
          <w:sz w:val="24"/>
          <w:szCs w:val="24"/>
        </w:rPr>
        <w:t xml:space="preserve"> Available at: https://www.statista.com/statistics/1306231/uk-average-household-energy-bills/ (Accessed: 24 October 2025).</w:t>
      </w:r>
    </w:p>
    <w:p w14:paraId="107A8FA2" w14:textId="2A14D8EE" w:rsidR="00B71D65" w:rsidRDefault="00B71D65" w:rsidP="00D10029">
      <w:pPr>
        <w:spacing w:line="360" w:lineRule="auto"/>
        <w:rPr>
          <w:rFonts w:ascii="Arial" w:hAnsi="Arial" w:cs="Arial"/>
          <w:sz w:val="24"/>
          <w:szCs w:val="24"/>
        </w:rPr>
      </w:pPr>
      <w:r w:rsidRPr="00B71D65">
        <w:rPr>
          <w:rFonts w:ascii="Arial" w:hAnsi="Arial" w:cs="Arial"/>
          <w:sz w:val="24"/>
          <w:szCs w:val="24"/>
        </w:rPr>
        <w:t>Oxera (2022) ‘The energy crisis: where next for the UK energy retail sector?’, 30 June. Available at: https://www.oxera.com/insights/agenda/articles/the-energy-crisis-where-next-for-the-uk-energy-retail-sector/ (Accessed: 24 October 2025).</w:t>
      </w:r>
    </w:p>
    <w:p w14:paraId="12AFA69C" w14:textId="3380003B" w:rsidR="006A21E1" w:rsidRDefault="006A21E1" w:rsidP="00D10029">
      <w:pPr>
        <w:spacing w:line="360" w:lineRule="auto"/>
        <w:rPr>
          <w:rFonts w:ascii="Arial" w:hAnsi="Arial" w:cs="Arial"/>
          <w:sz w:val="24"/>
          <w:szCs w:val="24"/>
        </w:rPr>
      </w:pPr>
      <w:r w:rsidRPr="006A21E1">
        <w:rPr>
          <w:rFonts w:ascii="Arial" w:hAnsi="Arial" w:cs="Arial"/>
          <w:sz w:val="24"/>
          <w:szCs w:val="24"/>
        </w:rPr>
        <w:t>uSwitch (202</w:t>
      </w:r>
      <w:r>
        <w:rPr>
          <w:rFonts w:ascii="Arial" w:hAnsi="Arial" w:cs="Arial"/>
          <w:sz w:val="24"/>
          <w:szCs w:val="24"/>
        </w:rPr>
        <w:t>5</w:t>
      </w:r>
      <w:r w:rsidRPr="006A21E1">
        <w:rPr>
          <w:rFonts w:ascii="Arial" w:hAnsi="Arial" w:cs="Arial"/>
          <w:sz w:val="24"/>
          <w:szCs w:val="24"/>
        </w:rPr>
        <w:t>) Smart meter statistics. Available at: </w:t>
      </w:r>
      <w:hyperlink r:id="rId12" w:history="1">
        <w:r w:rsidRPr="006A21E1">
          <w:rPr>
            <w:rStyle w:val="Hyperlink"/>
            <w:rFonts w:ascii="Arial" w:hAnsi="Arial" w:cs="Arial"/>
            <w:sz w:val="24"/>
            <w:szCs w:val="24"/>
          </w:rPr>
          <w:t>https://www.uswitch.com/gas-electricity/studies/smart-meter-statistics/</w:t>
        </w:r>
      </w:hyperlink>
      <w:r w:rsidRPr="006A21E1">
        <w:rPr>
          <w:rFonts w:ascii="Arial" w:hAnsi="Arial" w:cs="Arial"/>
          <w:sz w:val="24"/>
          <w:szCs w:val="24"/>
        </w:rPr>
        <w:t> (Accessed: 19 October 2025).</w:t>
      </w:r>
    </w:p>
    <w:p w14:paraId="0AC241BD" w14:textId="2C2BE6B4" w:rsidR="006A21E1" w:rsidRPr="001D7314" w:rsidRDefault="006A21E1" w:rsidP="00D10029">
      <w:pPr>
        <w:spacing w:line="360" w:lineRule="auto"/>
        <w:rPr>
          <w:rFonts w:ascii="Arial" w:hAnsi="Arial" w:cs="Arial"/>
          <w:sz w:val="24"/>
          <w:szCs w:val="24"/>
        </w:rPr>
      </w:pPr>
      <w:r w:rsidRPr="006A21E1">
        <w:rPr>
          <w:rFonts w:ascii="Arial" w:hAnsi="Arial" w:cs="Arial"/>
          <w:sz w:val="24"/>
          <w:szCs w:val="24"/>
        </w:rPr>
        <w:t>Solar Power Portal (2024) 'Octopus Energy officially recognised as Britain's largest electricity supplier', Solar Power Portal. Available at: </w:t>
      </w:r>
      <w:hyperlink r:id="rId13" w:history="1">
        <w:r w:rsidRPr="006A21E1">
          <w:rPr>
            <w:rStyle w:val="Hyperlink"/>
            <w:rFonts w:ascii="Arial" w:hAnsi="Arial" w:cs="Arial"/>
            <w:sz w:val="24"/>
            <w:szCs w:val="24"/>
          </w:rPr>
          <w:t>https://www.solarpowerportal.co.uk/residential-solar/octopus-energy-officially-recognised-as-britain-s-largest-electricity-supplier</w:t>
        </w:r>
      </w:hyperlink>
      <w:r w:rsidRPr="006A21E1">
        <w:rPr>
          <w:rFonts w:ascii="Arial" w:hAnsi="Arial" w:cs="Arial"/>
          <w:sz w:val="24"/>
          <w:szCs w:val="24"/>
        </w:rPr>
        <w:t> (Accessed: 19 October 2025).</w:t>
      </w:r>
    </w:p>
    <w:p w14:paraId="0AF53A4E" w14:textId="77777777" w:rsidR="006A01D4" w:rsidRPr="00D10029" w:rsidRDefault="006A01D4" w:rsidP="00D10029">
      <w:pPr>
        <w:spacing w:line="360" w:lineRule="auto"/>
        <w:rPr>
          <w:rFonts w:ascii="Arial" w:hAnsi="Arial" w:cs="Arial"/>
          <w:sz w:val="24"/>
          <w:szCs w:val="24"/>
        </w:rPr>
      </w:pPr>
    </w:p>
    <w:sectPr w:rsidR="006A01D4" w:rsidRPr="00D10029" w:rsidSect="000200D3">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2B5E08" w14:textId="77777777" w:rsidR="00AB706D" w:rsidRDefault="00AB706D" w:rsidP="00916B48">
      <w:pPr>
        <w:spacing w:after="0" w:line="240" w:lineRule="auto"/>
      </w:pPr>
      <w:r>
        <w:separator/>
      </w:r>
    </w:p>
  </w:endnote>
  <w:endnote w:type="continuationSeparator" w:id="0">
    <w:p w14:paraId="57053273" w14:textId="77777777" w:rsidR="00AB706D" w:rsidRDefault="00AB706D" w:rsidP="00916B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BD5992" w14:textId="77777777" w:rsidR="00A46F29" w:rsidRDefault="00A46F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306136"/>
      <w:docPartObj>
        <w:docPartGallery w:val="Page Numbers (Bottom of Page)"/>
        <w:docPartUnique/>
      </w:docPartObj>
    </w:sdtPr>
    <w:sdtEndPr>
      <w:rPr>
        <w:noProof/>
      </w:rPr>
    </w:sdtEndPr>
    <w:sdtContent>
      <w:p w14:paraId="2C2AE15B" w14:textId="7F80713B" w:rsidR="00916B48" w:rsidRDefault="00916B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AB3D8D" w14:textId="77777777" w:rsidR="00916B48" w:rsidRDefault="00916B4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7D5E75" w14:textId="77777777" w:rsidR="00A46F29" w:rsidRDefault="00A46F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7F8FE6" w14:textId="77777777" w:rsidR="00AB706D" w:rsidRDefault="00AB706D" w:rsidP="00916B48">
      <w:pPr>
        <w:spacing w:after="0" w:line="240" w:lineRule="auto"/>
      </w:pPr>
      <w:r>
        <w:separator/>
      </w:r>
    </w:p>
  </w:footnote>
  <w:footnote w:type="continuationSeparator" w:id="0">
    <w:p w14:paraId="364BE585" w14:textId="77777777" w:rsidR="00AB706D" w:rsidRDefault="00AB706D" w:rsidP="00916B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1014AB" w14:textId="5F9D1637" w:rsidR="00A46F29" w:rsidRDefault="00000000">
    <w:pPr>
      <w:pStyle w:val="Header"/>
    </w:pPr>
    <w:r>
      <w:rPr>
        <w:noProof/>
      </w:rPr>
      <w:pict w14:anchorId="286A228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191082641" o:spid="_x0000_s1026" type="#_x0000_t75" style="position:absolute;margin-left:0;margin-top:0;width:523pt;height:349.85pt;z-index:-251657216;mso-position-horizontal:center;mso-position-horizontal-relative:margin;mso-position-vertical:center;mso-position-vertical-relative:margin" o:allowincell="f">
          <v:imagedata r:id="rId1" o:title="undefined_I_wanted_the_image_t"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4FBF8F" w14:textId="0ABC94FB" w:rsidR="00A46F29" w:rsidRDefault="00000000">
    <w:pPr>
      <w:pStyle w:val="Header"/>
    </w:pPr>
    <w:r>
      <w:rPr>
        <w:noProof/>
      </w:rPr>
      <w:pict w14:anchorId="7FAC0A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191082642" o:spid="_x0000_s1027" type="#_x0000_t75" style="position:absolute;margin-left:0;margin-top:0;width:523pt;height:349.85pt;z-index:-251656192;mso-position-horizontal:center;mso-position-horizontal-relative:margin;mso-position-vertical:center;mso-position-vertical-relative:margin" o:allowincell="f">
          <v:imagedata r:id="rId1" o:title="undefined_I_wanted_the_image_t"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2F20BB" w14:textId="089DB53B" w:rsidR="00A46F29" w:rsidRDefault="00000000">
    <w:pPr>
      <w:pStyle w:val="Header"/>
    </w:pPr>
    <w:r>
      <w:rPr>
        <w:noProof/>
      </w:rPr>
      <w:pict w14:anchorId="253E3C5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191082640" o:spid="_x0000_s1025" type="#_x0000_t75" style="position:absolute;margin-left:0;margin-top:0;width:523pt;height:349.85pt;z-index:-251658240;mso-position-horizontal:center;mso-position-horizontal-relative:margin;mso-position-vertical:center;mso-position-vertical-relative:margin" o:allowincell="f">
          <v:imagedata r:id="rId1" o:title="undefined_I_wanted_the_image_t"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D0D1C"/>
    <w:multiLevelType w:val="multilevel"/>
    <w:tmpl w:val="555C0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7D5B37"/>
    <w:multiLevelType w:val="multilevel"/>
    <w:tmpl w:val="12103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0E16BC9"/>
    <w:multiLevelType w:val="multilevel"/>
    <w:tmpl w:val="BF467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5458BA"/>
    <w:multiLevelType w:val="multilevel"/>
    <w:tmpl w:val="5D003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359299E"/>
    <w:multiLevelType w:val="multilevel"/>
    <w:tmpl w:val="9FE6C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5037AA5"/>
    <w:multiLevelType w:val="multilevel"/>
    <w:tmpl w:val="ACBC3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56A5346"/>
    <w:multiLevelType w:val="multilevel"/>
    <w:tmpl w:val="F7AE6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6547D77"/>
    <w:multiLevelType w:val="multilevel"/>
    <w:tmpl w:val="39A60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9B757FF"/>
    <w:multiLevelType w:val="multilevel"/>
    <w:tmpl w:val="4CDCE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A771986"/>
    <w:multiLevelType w:val="multilevel"/>
    <w:tmpl w:val="AB3A7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E4344DE"/>
    <w:multiLevelType w:val="multilevel"/>
    <w:tmpl w:val="76B0E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F9623F6"/>
    <w:multiLevelType w:val="multilevel"/>
    <w:tmpl w:val="ADBCA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0AC436C"/>
    <w:multiLevelType w:val="multilevel"/>
    <w:tmpl w:val="88EAEE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25C186B"/>
    <w:multiLevelType w:val="hybridMultilevel"/>
    <w:tmpl w:val="F028E00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130733ED"/>
    <w:multiLevelType w:val="multilevel"/>
    <w:tmpl w:val="8F98511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AA01AE6"/>
    <w:multiLevelType w:val="multilevel"/>
    <w:tmpl w:val="531A6AD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AB309DE"/>
    <w:multiLevelType w:val="hybridMultilevel"/>
    <w:tmpl w:val="5888CE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1F0C3F8C"/>
    <w:multiLevelType w:val="multilevel"/>
    <w:tmpl w:val="8A3CB1C4"/>
    <w:lvl w:ilvl="0">
      <w:start w:val="3"/>
      <w:numFmt w:val="decimal"/>
      <w:lvlText w:val="%1.0"/>
      <w:lvlJc w:val="left"/>
      <w:pPr>
        <w:ind w:left="360" w:hanging="360"/>
      </w:pPr>
      <w:rPr>
        <w:rFonts w:hint="default"/>
        <w:b/>
        <w:bCs/>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22C92112"/>
    <w:multiLevelType w:val="multilevel"/>
    <w:tmpl w:val="CFB6F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3DE315D"/>
    <w:multiLevelType w:val="multilevel"/>
    <w:tmpl w:val="0B04F7E6"/>
    <w:lvl w:ilvl="0">
      <w:start w:val="8"/>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26055120"/>
    <w:multiLevelType w:val="multilevel"/>
    <w:tmpl w:val="1D3CE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26606179"/>
    <w:multiLevelType w:val="multilevel"/>
    <w:tmpl w:val="689C9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7535FF0"/>
    <w:multiLevelType w:val="multilevel"/>
    <w:tmpl w:val="A238D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7BA3649"/>
    <w:multiLevelType w:val="multilevel"/>
    <w:tmpl w:val="B4966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292E783E"/>
    <w:multiLevelType w:val="multilevel"/>
    <w:tmpl w:val="55589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BBF7124"/>
    <w:multiLevelType w:val="multilevel"/>
    <w:tmpl w:val="99DE5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D1538DC"/>
    <w:multiLevelType w:val="multilevel"/>
    <w:tmpl w:val="049AD4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2DD861A6"/>
    <w:multiLevelType w:val="multilevel"/>
    <w:tmpl w:val="BCDE0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2F3A7193"/>
    <w:multiLevelType w:val="multilevel"/>
    <w:tmpl w:val="A802EA1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33FE659E"/>
    <w:multiLevelType w:val="multilevel"/>
    <w:tmpl w:val="3C7483F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62F5A72"/>
    <w:multiLevelType w:val="multilevel"/>
    <w:tmpl w:val="30E2A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6BD2E5B"/>
    <w:multiLevelType w:val="multilevel"/>
    <w:tmpl w:val="15E66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6CD0A93"/>
    <w:multiLevelType w:val="multilevel"/>
    <w:tmpl w:val="A5C01F2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37340BE3"/>
    <w:multiLevelType w:val="multilevel"/>
    <w:tmpl w:val="5704B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37903B5D"/>
    <w:multiLevelType w:val="multilevel"/>
    <w:tmpl w:val="2E76AE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392D30EC"/>
    <w:multiLevelType w:val="multilevel"/>
    <w:tmpl w:val="212CE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3A6F6341"/>
    <w:multiLevelType w:val="hybridMultilevel"/>
    <w:tmpl w:val="054A4C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3F7F3B3E"/>
    <w:multiLevelType w:val="multilevel"/>
    <w:tmpl w:val="E340B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02D45C7"/>
    <w:multiLevelType w:val="multilevel"/>
    <w:tmpl w:val="6026EBC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445F304A"/>
    <w:multiLevelType w:val="multilevel"/>
    <w:tmpl w:val="65BA29E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48EC516B"/>
    <w:multiLevelType w:val="multilevel"/>
    <w:tmpl w:val="9196C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A0E3534"/>
    <w:multiLevelType w:val="multilevel"/>
    <w:tmpl w:val="8CF62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4A7F3945"/>
    <w:multiLevelType w:val="multilevel"/>
    <w:tmpl w:val="7A28E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4B8B4ED3"/>
    <w:multiLevelType w:val="multilevel"/>
    <w:tmpl w:val="77EC2C9A"/>
    <w:lvl w:ilvl="0">
      <w:start w:val="9"/>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560" w:hanging="1800"/>
      </w:pPr>
      <w:rPr>
        <w:rFonts w:hint="default"/>
        <w:b/>
      </w:rPr>
    </w:lvl>
  </w:abstractNum>
  <w:abstractNum w:abstractNumId="44" w15:restartNumberingAfterBreak="0">
    <w:nsid w:val="4BB3587C"/>
    <w:multiLevelType w:val="multilevel"/>
    <w:tmpl w:val="C092598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4C0B0CEE"/>
    <w:multiLevelType w:val="multilevel"/>
    <w:tmpl w:val="5A12E4F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4D296EF3"/>
    <w:multiLevelType w:val="multilevel"/>
    <w:tmpl w:val="4E407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513942AA"/>
    <w:multiLevelType w:val="multilevel"/>
    <w:tmpl w:val="4D0AF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519D2AF1"/>
    <w:multiLevelType w:val="hybridMultilevel"/>
    <w:tmpl w:val="28D626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52AA0075"/>
    <w:multiLevelType w:val="multilevel"/>
    <w:tmpl w:val="6590A7D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53291442"/>
    <w:multiLevelType w:val="hybridMultilevel"/>
    <w:tmpl w:val="D966A6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15:restartNumberingAfterBreak="0">
    <w:nsid w:val="549F0C57"/>
    <w:multiLevelType w:val="multilevel"/>
    <w:tmpl w:val="4642C604"/>
    <w:lvl w:ilvl="0">
      <w:start w:val="4"/>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2" w15:restartNumberingAfterBreak="0">
    <w:nsid w:val="55C06534"/>
    <w:multiLevelType w:val="multilevel"/>
    <w:tmpl w:val="83F8426E"/>
    <w:lvl w:ilvl="0">
      <w:start w:val="9"/>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560" w:hanging="1800"/>
      </w:pPr>
      <w:rPr>
        <w:rFonts w:hint="default"/>
        <w:b/>
      </w:rPr>
    </w:lvl>
  </w:abstractNum>
  <w:abstractNum w:abstractNumId="53" w15:restartNumberingAfterBreak="0">
    <w:nsid w:val="56276B97"/>
    <w:multiLevelType w:val="multilevel"/>
    <w:tmpl w:val="C102F10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57546EB6"/>
    <w:multiLevelType w:val="multilevel"/>
    <w:tmpl w:val="05108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57C27280"/>
    <w:multiLevelType w:val="multilevel"/>
    <w:tmpl w:val="DD882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592D61D2"/>
    <w:multiLevelType w:val="multilevel"/>
    <w:tmpl w:val="11288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59375B4E"/>
    <w:multiLevelType w:val="multilevel"/>
    <w:tmpl w:val="287C6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5D9C62BC"/>
    <w:multiLevelType w:val="multilevel"/>
    <w:tmpl w:val="0456C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E191E69"/>
    <w:multiLevelType w:val="multilevel"/>
    <w:tmpl w:val="942CDC5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60C949FC"/>
    <w:multiLevelType w:val="multilevel"/>
    <w:tmpl w:val="22905DD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62A50E2E"/>
    <w:multiLevelType w:val="multilevel"/>
    <w:tmpl w:val="6B04D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66547D06"/>
    <w:multiLevelType w:val="multilevel"/>
    <w:tmpl w:val="370C5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8A84ABD"/>
    <w:multiLevelType w:val="multilevel"/>
    <w:tmpl w:val="E19013B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6D4C5C68"/>
    <w:multiLevelType w:val="multilevel"/>
    <w:tmpl w:val="8AC65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72B54827"/>
    <w:multiLevelType w:val="multilevel"/>
    <w:tmpl w:val="938A96F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735B3B27"/>
    <w:multiLevelType w:val="multilevel"/>
    <w:tmpl w:val="31A4A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5D65AC6"/>
    <w:multiLevelType w:val="multilevel"/>
    <w:tmpl w:val="703E8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76E03E48"/>
    <w:multiLevelType w:val="multilevel"/>
    <w:tmpl w:val="1858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785C233E"/>
    <w:multiLevelType w:val="multilevel"/>
    <w:tmpl w:val="8FAAD0F0"/>
    <w:lvl w:ilvl="0">
      <w:start w:val="7"/>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0" w15:restartNumberingAfterBreak="0">
    <w:nsid w:val="79D47E4F"/>
    <w:multiLevelType w:val="multilevel"/>
    <w:tmpl w:val="F9CE0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7BC20588"/>
    <w:multiLevelType w:val="multilevel"/>
    <w:tmpl w:val="DCCAC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7D80796C"/>
    <w:multiLevelType w:val="multilevel"/>
    <w:tmpl w:val="0F50E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E0D16E1"/>
    <w:multiLevelType w:val="multilevel"/>
    <w:tmpl w:val="D8E21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EC103AE"/>
    <w:multiLevelType w:val="multilevel"/>
    <w:tmpl w:val="D5DC0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8055732">
    <w:abstractNumId w:val="63"/>
  </w:num>
  <w:num w:numId="2" w16cid:durableId="1007709575">
    <w:abstractNumId w:val="26"/>
  </w:num>
  <w:num w:numId="3" w16cid:durableId="180097565">
    <w:abstractNumId w:val="14"/>
  </w:num>
  <w:num w:numId="4" w16cid:durableId="638803708">
    <w:abstractNumId w:val="4"/>
  </w:num>
  <w:num w:numId="5" w16cid:durableId="2125495231">
    <w:abstractNumId w:val="35"/>
  </w:num>
  <w:num w:numId="6" w16cid:durableId="1070493979">
    <w:abstractNumId w:val="29"/>
  </w:num>
  <w:num w:numId="7" w16cid:durableId="1969050341">
    <w:abstractNumId w:val="57"/>
  </w:num>
  <w:num w:numId="8" w16cid:durableId="447050065">
    <w:abstractNumId w:val="51"/>
  </w:num>
  <w:num w:numId="9" w16cid:durableId="176695833">
    <w:abstractNumId w:val="67"/>
  </w:num>
  <w:num w:numId="10" w16cid:durableId="1743213672">
    <w:abstractNumId w:val="44"/>
  </w:num>
  <w:num w:numId="11" w16cid:durableId="90440970">
    <w:abstractNumId w:val="59"/>
  </w:num>
  <w:num w:numId="12" w16cid:durableId="346173107">
    <w:abstractNumId w:val="3"/>
  </w:num>
  <w:num w:numId="13" w16cid:durableId="119106993">
    <w:abstractNumId w:val="45"/>
  </w:num>
  <w:num w:numId="14" w16cid:durableId="1685594371">
    <w:abstractNumId w:val="65"/>
  </w:num>
  <w:num w:numId="15" w16cid:durableId="1917323747">
    <w:abstractNumId w:val="25"/>
  </w:num>
  <w:num w:numId="16" w16cid:durableId="1452626931">
    <w:abstractNumId w:val="38"/>
  </w:num>
  <w:num w:numId="17" w16cid:durableId="1006051274">
    <w:abstractNumId w:val="60"/>
  </w:num>
  <w:num w:numId="18" w16cid:durableId="935595100">
    <w:abstractNumId w:val="32"/>
  </w:num>
  <w:num w:numId="19" w16cid:durableId="404494883">
    <w:abstractNumId w:val="61"/>
  </w:num>
  <w:num w:numId="20" w16cid:durableId="480511536">
    <w:abstractNumId w:val="55"/>
  </w:num>
  <w:num w:numId="21" w16cid:durableId="1878352507">
    <w:abstractNumId w:val="11"/>
  </w:num>
  <w:num w:numId="22" w16cid:durableId="1142842610">
    <w:abstractNumId w:val="54"/>
  </w:num>
  <w:num w:numId="23" w16cid:durableId="651446806">
    <w:abstractNumId w:val="49"/>
  </w:num>
  <w:num w:numId="24" w16cid:durableId="1760366854">
    <w:abstractNumId w:val="64"/>
  </w:num>
  <w:num w:numId="25" w16cid:durableId="545486520">
    <w:abstractNumId w:val="53"/>
  </w:num>
  <w:num w:numId="26" w16cid:durableId="1495032022">
    <w:abstractNumId w:val="47"/>
  </w:num>
  <w:num w:numId="27" w16cid:durableId="1756635002">
    <w:abstractNumId w:val="42"/>
  </w:num>
  <w:num w:numId="28" w16cid:durableId="1956790686">
    <w:abstractNumId w:val="39"/>
  </w:num>
  <w:num w:numId="29" w16cid:durableId="870924383">
    <w:abstractNumId w:val="71"/>
  </w:num>
  <w:num w:numId="30" w16cid:durableId="34745158">
    <w:abstractNumId w:val="28"/>
  </w:num>
  <w:num w:numId="31" w16cid:durableId="39135256">
    <w:abstractNumId w:val="41"/>
  </w:num>
  <w:num w:numId="32" w16cid:durableId="1166701916">
    <w:abstractNumId w:val="46"/>
  </w:num>
  <w:num w:numId="33" w16cid:durableId="779030145">
    <w:abstractNumId w:val="68"/>
  </w:num>
  <w:num w:numId="34" w16cid:durableId="1799030999">
    <w:abstractNumId w:val="12"/>
  </w:num>
  <w:num w:numId="35" w16cid:durableId="504832495">
    <w:abstractNumId w:val="69"/>
  </w:num>
  <w:num w:numId="36" w16cid:durableId="1582908091">
    <w:abstractNumId w:val="19"/>
  </w:num>
  <w:num w:numId="37" w16cid:durableId="1960067855">
    <w:abstractNumId w:val="52"/>
  </w:num>
  <w:num w:numId="38" w16cid:durableId="1296453005">
    <w:abstractNumId w:val="43"/>
  </w:num>
  <w:num w:numId="39" w16cid:durableId="1396467137">
    <w:abstractNumId w:val="30"/>
  </w:num>
  <w:num w:numId="40" w16cid:durableId="1575776437">
    <w:abstractNumId w:val="62"/>
  </w:num>
  <w:num w:numId="41" w16cid:durableId="1564757481">
    <w:abstractNumId w:val="16"/>
  </w:num>
  <w:num w:numId="42" w16cid:durableId="847019256">
    <w:abstractNumId w:val="13"/>
  </w:num>
  <w:num w:numId="43" w16cid:durableId="1509516917">
    <w:abstractNumId w:val="50"/>
  </w:num>
  <w:num w:numId="44" w16cid:durableId="769357351">
    <w:abstractNumId w:val="9"/>
  </w:num>
  <w:num w:numId="45" w16cid:durableId="796995514">
    <w:abstractNumId w:val="7"/>
  </w:num>
  <w:num w:numId="46" w16cid:durableId="619840885">
    <w:abstractNumId w:val="22"/>
  </w:num>
  <w:num w:numId="47" w16cid:durableId="166796642">
    <w:abstractNumId w:val="8"/>
  </w:num>
  <w:num w:numId="48" w16cid:durableId="2146774442">
    <w:abstractNumId w:val="31"/>
  </w:num>
  <w:num w:numId="49" w16cid:durableId="315883609">
    <w:abstractNumId w:val="0"/>
  </w:num>
  <w:num w:numId="50" w16cid:durableId="64302682">
    <w:abstractNumId w:val="72"/>
  </w:num>
  <w:num w:numId="51" w16cid:durableId="272634724">
    <w:abstractNumId w:val="66"/>
  </w:num>
  <w:num w:numId="52" w16cid:durableId="520515494">
    <w:abstractNumId w:val="5"/>
  </w:num>
  <w:num w:numId="53" w16cid:durableId="1873225850">
    <w:abstractNumId w:val="2"/>
  </w:num>
  <w:num w:numId="54" w16cid:durableId="456601946">
    <w:abstractNumId w:val="40"/>
  </w:num>
  <w:num w:numId="55" w16cid:durableId="2051415884">
    <w:abstractNumId w:val="73"/>
  </w:num>
  <w:num w:numId="56" w16cid:durableId="242766695">
    <w:abstractNumId w:val="58"/>
  </w:num>
  <w:num w:numId="57" w16cid:durableId="999768938">
    <w:abstractNumId w:val="37"/>
  </w:num>
  <w:num w:numId="58" w16cid:durableId="1279878038">
    <w:abstractNumId w:val="10"/>
  </w:num>
  <w:num w:numId="59" w16cid:durableId="1895653858">
    <w:abstractNumId w:val="74"/>
  </w:num>
  <w:num w:numId="60" w16cid:durableId="839080828">
    <w:abstractNumId w:val="24"/>
  </w:num>
  <w:num w:numId="61" w16cid:durableId="1754737290">
    <w:abstractNumId w:val="36"/>
  </w:num>
  <w:num w:numId="62" w16cid:durableId="349989593">
    <w:abstractNumId w:val="48"/>
  </w:num>
  <w:num w:numId="63" w16cid:durableId="2029409696">
    <w:abstractNumId w:val="34"/>
  </w:num>
  <w:num w:numId="64" w16cid:durableId="506333786">
    <w:abstractNumId w:val="15"/>
  </w:num>
  <w:num w:numId="65" w16cid:durableId="1074475326">
    <w:abstractNumId w:val="17"/>
  </w:num>
  <w:num w:numId="66" w16cid:durableId="1311985957">
    <w:abstractNumId w:val="70"/>
  </w:num>
  <w:num w:numId="67" w16cid:durableId="1951011181">
    <w:abstractNumId w:val="27"/>
  </w:num>
  <w:num w:numId="68" w16cid:durableId="1191987588">
    <w:abstractNumId w:val="21"/>
  </w:num>
  <w:num w:numId="69" w16cid:durableId="119541804">
    <w:abstractNumId w:val="1"/>
  </w:num>
  <w:num w:numId="70" w16cid:durableId="672225476">
    <w:abstractNumId w:val="18"/>
  </w:num>
  <w:num w:numId="71" w16cid:durableId="1281447958">
    <w:abstractNumId w:val="20"/>
  </w:num>
  <w:num w:numId="72" w16cid:durableId="545603229">
    <w:abstractNumId w:val="6"/>
  </w:num>
  <w:num w:numId="73" w16cid:durableId="1708293749">
    <w:abstractNumId w:val="56"/>
  </w:num>
  <w:num w:numId="74" w16cid:durableId="154762892">
    <w:abstractNumId w:val="33"/>
  </w:num>
  <w:num w:numId="75" w16cid:durableId="78527752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703"/>
    <w:rsid w:val="000200D3"/>
    <w:rsid w:val="00053A1F"/>
    <w:rsid w:val="00086D30"/>
    <w:rsid w:val="000C42DF"/>
    <w:rsid w:val="00173D5B"/>
    <w:rsid w:val="001C7E52"/>
    <w:rsid w:val="001D7314"/>
    <w:rsid w:val="00266477"/>
    <w:rsid w:val="00274BD4"/>
    <w:rsid w:val="002A5174"/>
    <w:rsid w:val="00321103"/>
    <w:rsid w:val="00347CB3"/>
    <w:rsid w:val="00356F08"/>
    <w:rsid w:val="00360913"/>
    <w:rsid w:val="003A2703"/>
    <w:rsid w:val="003A339B"/>
    <w:rsid w:val="003A60FE"/>
    <w:rsid w:val="004725FD"/>
    <w:rsid w:val="004A5D78"/>
    <w:rsid w:val="004C672E"/>
    <w:rsid w:val="00502A34"/>
    <w:rsid w:val="005128FF"/>
    <w:rsid w:val="0056550D"/>
    <w:rsid w:val="005860D3"/>
    <w:rsid w:val="005904D3"/>
    <w:rsid w:val="005D4C52"/>
    <w:rsid w:val="00674ABD"/>
    <w:rsid w:val="006A01D4"/>
    <w:rsid w:val="006A21E1"/>
    <w:rsid w:val="006C7209"/>
    <w:rsid w:val="006E78B2"/>
    <w:rsid w:val="007757E7"/>
    <w:rsid w:val="00797AB9"/>
    <w:rsid w:val="007C7FBA"/>
    <w:rsid w:val="00841283"/>
    <w:rsid w:val="008550E0"/>
    <w:rsid w:val="00871B2E"/>
    <w:rsid w:val="00884A9D"/>
    <w:rsid w:val="00885BC1"/>
    <w:rsid w:val="00916B48"/>
    <w:rsid w:val="00954CC6"/>
    <w:rsid w:val="009813CA"/>
    <w:rsid w:val="009D1E27"/>
    <w:rsid w:val="00A46F29"/>
    <w:rsid w:val="00A72A50"/>
    <w:rsid w:val="00A86C7E"/>
    <w:rsid w:val="00A920DB"/>
    <w:rsid w:val="00A922CC"/>
    <w:rsid w:val="00AB706D"/>
    <w:rsid w:val="00B14652"/>
    <w:rsid w:val="00B53FDF"/>
    <w:rsid w:val="00B629F7"/>
    <w:rsid w:val="00B71D65"/>
    <w:rsid w:val="00B81E99"/>
    <w:rsid w:val="00BD1639"/>
    <w:rsid w:val="00C15C16"/>
    <w:rsid w:val="00C57E73"/>
    <w:rsid w:val="00CF3C8B"/>
    <w:rsid w:val="00D10029"/>
    <w:rsid w:val="00D75518"/>
    <w:rsid w:val="00D96140"/>
    <w:rsid w:val="00E15217"/>
    <w:rsid w:val="00E33F7B"/>
    <w:rsid w:val="00E82FEF"/>
    <w:rsid w:val="00E97E62"/>
    <w:rsid w:val="00EA31DD"/>
    <w:rsid w:val="00F57993"/>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FE1DF9"/>
  <w15:chartTrackingRefBased/>
  <w15:docId w15:val="{21FD311D-E6D9-453A-8249-593B9026D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3A2703"/>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3A2703"/>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unhideWhenUsed/>
    <w:qFormat/>
    <w:rsid w:val="003A2703"/>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3A27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27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27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27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27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27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2703"/>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3A2703"/>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rsid w:val="003A2703"/>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3A27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27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27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27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27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2703"/>
    <w:rPr>
      <w:rFonts w:eastAsiaTheme="majorEastAsia" w:cstheme="majorBidi"/>
      <w:color w:val="272727" w:themeColor="text1" w:themeTint="D8"/>
    </w:rPr>
  </w:style>
  <w:style w:type="paragraph" w:styleId="Title">
    <w:name w:val="Title"/>
    <w:basedOn w:val="Normal"/>
    <w:next w:val="Normal"/>
    <w:link w:val="TitleChar"/>
    <w:uiPriority w:val="10"/>
    <w:qFormat/>
    <w:rsid w:val="003A2703"/>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3A2703"/>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3A2703"/>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3A2703"/>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3A2703"/>
    <w:pPr>
      <w:spacing w:before="160"/>
      <w:jc w:val="center"/>
    </w:pPr>
    <w:rPr>
      <w:i/>
      <w:iCs/>
      <w:color w:val="404040" w:themeColor="text1" w:themeTint="BF"/>
    </w:rPr>
  </w:style>
  <w:style w:type="character" w:customStyle="1" w:styleId="QuoteChar">
    <w:name w:val="Quote Char"/>
    <w:basedOn w:val="DefaultParagraphFont"/>
    <w:link w:val="Quote"/>
    <w:uiPriority w:val="29"/>
    <w:rsid w:val="003A2703"/>
    <w:rPr>
      <w:rFonts w:cs="Vrinda"/>
      <w:i/>
      <w:iCs/>
      <w:color w:val="404040" w:themeColor="text1" w:themeTint="BF"/>
    </w:rPr>
  </w:style>
  <w:style w:type="paragraph" w:styleId="ListParagraph">
    <w:name w:val="List Paragraph"/>
    <w:basedOn w:val="Normal"/>
    <w:uiPriority w:val="34"/>
    <w:qFormat/>
    <w:rsid w:val="003A2703"/>
    <w:pPr>
      <w:ind w:left="720"/>
      <w:contextualSpacing/>
    </w:pPr>
  </w:style>
  <w:style w:type="character" w:styleId="IntenseEmphasis">
    <w:name w:val="Intense Emphasis"/>
    <w:basedOn w:val="DefaultParagraphFont"/>
    <w:uiPriority w:val="21"/>
    <w:qFormat/>
    <w:rsid w:val="003A2703"/>
    <w:rPr>
      <w:i/>
      <w:iCs/>
      <w:color w:val="0F4761" w:themeColor="accent1" w:themeShade="BF"/>
    </w:rPr>
  </w:style>
  <w:style w:type="paragraph" w:styleId="IntenseQuote">
    <w:name w:val="Intense Quote"/>
    <w:basedOn w:val="Normal"/>
    <w:next w:val="Normal"/>
    <w:link w:val="IntenseQuoteChar"/>
    <w:uiPriority w:val="30"/>
    <w:qFormat/>
    <w:rsid w:val="003A27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2703"/>
    <w:rPr>
      <w:rFonts w:cs="Vrinda"/>
      <w:i/>
      <w:iCs/>
      <w:color w:val="0F4761" w:themeColor="accent1" w:themeShade="BF"/>
    </w:rPr>
  </w:style>
  <w:style w:type="character" w:styleId="IntenseReference">
    <w:name w:val="Intense Reference"/>
    <w:basedOn w:val="DefaultParagraphFont"/>
    <w:uiPriority w:val="32"/>
    <w:qFormat/>
    <w:rsid w:val="003A2703"/>
    <w:rPr>
      <w:b/>
      <w:bCs/>
      <w:smallCaps/>
      <w:color w:val="0F4761" w:themeColor="accent1" w:themeShade="BF"/>
      <w:spacing w:val="5"/>
    </w:rPr>
  </w:style>
  <w:style w:type="character" w:styleId="Hyperlink">
    <w:name w:val="Hyperlink"/>
    <w:basedOn w:val="DefaultParagraphFont"/>
    <w:uiPriority w:val="99"/>
    <w:unhideWhenUsed/>
    <w:rsid w:val="00C15C16"/>
    <w:rPr>
      <w:color w:val="467886" w:themeColor="hyperlink"/>
      <w:u w:val="single"/>
    </w:rPr>
  </w:style>
  <w:style w:type="character" w:styleId="UnresolvedMention">
    <w:name w:val="Unresolved Mention"/>
    <w:basedOn w:val="DefaultParagraphFont"/>
    <w:uiPriority w:val="99"/>
    <w:semiHidden/>
    <w:unhideWhenUsed/>
    <w:rsid w:val="00C15C16"/>
    <w:rPr>
      <w:color w:val="605E5C"/>
      <w:shd w:val="clear" w:color="auto" w:fill="E1DFDD"/>
    </w:rPr>
  </w:style>
  <w:style w:type="table" w:styleId="TableGrid">
    <w:name w:val="Table Grid"/>
    <w:basedOn w:val="TableNormal"/>
    <w:uiPriority w:val="39"/>
    <w:rsid w:val="00916B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16B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6B48"/>
    <w:rPr>
      <w:rFonts w:cs="Vrinda"/>
    </w:rPr>
  </w:style>
  <w:style w:type="paragraph" w:styleId="Footer">
    <w:name w:val="footer"/>
    <w:basedOn w:val="Normal"/>
    <w:link w:val="FooterChar"/>
    <w:uiPriority w:val="99"/>
    <w:unhideWhenUsed/>
    <w:rsid w:val="00916B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6B48"/>
    <w:rPr>
      <w:rFonts w:cs="Vrinda"/>
    </w:rPr>
  </w:style>
  <w:style w:type="paragraph" w:styleId="NormalWeb">
    <w:name w:val="Normal (Web)"/>
    <w:basedOn w:val="Normal"/>
    <w:uiPriority w:val="99"/>
    <w:semiHidden/>
    <w:unhideWhenUsed/>
    <w:rsid w:val="003A60FE"/>
    <w:rPr>
      <w:rFonts w:ascii="Times New Roman" w:hAnsi="Times New Roman" w:cs="Times New Roman"/>
      <w:sz w:val="24"/>
      <w:szCs w:val="30"/>
    </w:rPr>
  </w:style>
  <w:style w:type="character" w:styleId="Emphasis">
    <w:name w:val="Emphasis"/>
    <w:basedOn w:val="DefaultParagraphFont"/>
    <w:uiPriority w:val="20"/>
    <w:qFormat/>
    <w:rsid w:val="00B81E9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olarpowerportal.co.uk/residential-solar/octopus-energy-officially-recognised-as-britain-s-largest-electricity-supplier"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hyperlink" Target="https://www.uswitch.com/gas-electricity/studies/smart-meter-statistics/"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4.pn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_rels/header2.xml.rels><?xml version="1.0" encoding="UTF-8" standalone="yes"?>
<Relationships xmlns="http://schemas.openxmlformats.org/package/2006/relationships"><Relationship Id="rId1" Type="http://schemas.openxmlformats.org/officeDocument/2006/relationships/image" Target="media/image6.png"/></Relationships>
</file>

<file path=word/_rels/header3.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1872</TotalTime>
  <Pages>16</Pages>
  <Words>3141</Words>
  <Characters>17907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Sykat Sen</dc:creator>
  <cp:keywords/>
  <dc:description/>
  <cp:lastModifiedBy>Samit Chanda</cp:lastModifiedBy>
  <cp:revision>23</cp:revision>
  <dcterms:created xsi:type="dcterms:W3CDTF">2025-10-02T12:57:00Z</dcterms:created>
  <dcterms:modified xsi:type="dcterms:W3CDTF">2025-10-24T04:52:00Z</dcterms:modified>
</cp:coreProperties>
</file>