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758C5" w14:textId="77777777" w:rsidR="00C27229" w:rsidRPr="00F306A8" w:rsidRDefault="00C27229" w:rsidP="00F306A8">
      <w:pPr>
        <w:spacing w:after="165" w:line="360" w:lineRule="auto"/>
        <w:jc w:val="center"/>
        <w:rPr>
          <w:rFonts w:ascii="Calibri" w:eastAsia="Tahoma" w:hAnsi="Calibri" w:cs="Calibri"/>
          <w:b/>
          <w:sz w:val="24"/>
          <w:szCs w:val="24"/>
        </w:rPr>
      </w:pPr>
      <w:r w:rsidRPr="00F306A8">
        <w:rPr>
          <w:rFonts w:ascii="Calibri" w:hAnsi="Calibri" w:cs="Calibri"/>
          <w:b/>
          <w:noProof/>
          <w:sz w:val="24"/>
          <w:szCs w:val="24"/>
        </w:rPr>
        <w:drawing>
          <wp:inline distT="0" distB="0" distL="0" distR="0" wp14:anchorId="1B9584BA" wp14:editId="52118A7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DE54366" w14:textId="77777777" w:rsidR="00C27229" w:rsidRPr="00F306A8" w:rsidRDefault="00C27229" w:rsidP="00F306A8">
      <w:pPr>
        <w:spacing w:after="165" w:line="360" w:lineRule="auto"/>
        <w:jc w:val="center"/>
        <w:rPr>
          <w:rFonts w:ascii="Calibri" w:eastAsia="Tahoma" w:hAnsi="Calibri" w:cs="Calibri"/>
          <w:b/>
          <w:sz w:val="24"/>
          <w:szCs w:val="24"/>
        </w:rPr>
      </w:pPr>
      <w:r w:rsidRPr="00F306A8">
        <w:rPr>
          <w:rFonts w:ascii="Calibri" w:eastAsia="Tahoma" w:hAnsi="Calibri" w:cs="Calibri"/>
          <w:b/>
          <w:sz w:val="24"/>
          <w:szCs w:val="24"/>
        </w:rPr>
        <w:t>Student Name – Michelle Bradshaw</w:t>
      </w:r>
    </w:p>
    <w:p w14:paraId="3F5784FC" w14:textId="77777777" w:rsidR="00C27229" w:rsidRPr="00F306A8" w:rsidRDefault="00C27229" w:rsidP="00F306A8">
      <w:pPr>
        <w:spacing w:after="165" w:line="360" w:lineRule="auto"/>
        <w:jc w:val="center"/>
        <w:rPr>
          <w:rFonts w:ascii="Calibri" w:eastAsia="Tahoma" w:hAnsi="Calibri" w:cs="Calibri"/>
          <w:b/>
          <w:sz w:val="24"/>
          <w:szCs w:val="24"/>
        </w:rPr>
      </w:pPr>
      <w:r w:rsidRPr="00F306A8">
        <w:rPr>
          <w:rFonts w:ascii="Calibri" w:eastAsia="Tahoma" w:hAnsi="Calibri" w:cs="Calibri"/>
          <w:b/>
          <w:sz w:val="24"/>
          <w:szCs w:val="24"/>
        </w:rPr>
        <w:t>Student Number – 2432614</w:t>
      </w:r>
    </w:p>
    <w:p w14:paraId="36FDDE99" w14:textId="1F49C443" w:rsidR="00C27229" w:rsidRPr="00F306A8" w:rsidRDefault="00C27229" w:rsidP="00F306A8">
      <w:pPr>
        <w:spacing w:after="40" w:line="360" w:lineRule="auto"/>
        <w:jc w:val="center"/>
        <w:rPr>
          <w:rFonts w:ascii="Calibri" w:eastAsia="Calibri" w:hAnsi="Calibri" w:cs="Calibri"/>
          <w:b/>
          <w:color w:val="auto"/>
          <w:sz w:val="24"/>
          <w:szCs w:val="24"/>
        </w:rPr>
      </w:pPr>
      <w:r w:rsidRPr="00F306A8">
        <w:rPr>
          <w:rFonts w:ascii="Calibri" w:eastAsia="Calibri" w:hAnsi="Calibri" w:cs="Calibri"/>
          <w:b/>
          <w:color w:val="auto"/>
          <w:sz w:val="24"/>
          <w:szCs w:val="24"/>
        </w:rPr>
        <w:t xml:space="preserve">Module Number </w:t>
      </w:r>
      <w:proofErr w:type="gramStart"/>
      <w:r w:rsidRPr="00F306A8">
        <w:rPr>
          <w:rFonts w:ascii="Calibri" w:eastAsia="Calibri" w:hAnsi="Calibri" w:cs="Calibri"/>
          <w:b/>
          <w:color w:val="auto"/>
          <w:sz w:val="24"/>
          <w:szCs w:val="24"/>
        </w:rPr>
        <w:t>-  BMSK</w:t>
      </w:r>
      <w:proofErr w:type="gramEnd"/>
      <w:r w:rsidRPr="00F306A8">
        <w:rPr>
          <w:rFonts w:ascii="Calibri" w:eastAsia="Calibri" w:hAnsi="Calibri" w:cs="Calibri"/>
          <w:b/>
          <w:color w:val="auto"/>
          <w:sz w:val="24"/>
          <w:szCs w:val="24"/>
        </w:rPr>
        <w:t>501</w:t>
      </w:r>
      <w:r w:rsidR="008C2943" w:rsidRPr="00F306A8">
        <w:rPr>
          <w:rFonts w:ascii="Calibri" w:eastAsia="Calibri" w:hAnsi="Calibri" w:cs="Calibri"/>
          <w:b/>
          <w:color w:val="auto"/>
          <w:sz w:val="24"/>
          <w:szCs w:val="24"/>
        </w:rPr>
        <w:t>4</w:t>
      </w:r>
    </w:p>
    <w:p w14:paraId="215F44F1" w14:textId="77777777" w:rsidR="003528F8" w:rsidRPr="00F306A8" w:rsidRDefault="003528F8" w:rsidP="00F306A8">
      <w:pPr>
        <w:spacing w:after="100" w:line="360" w:lineRule="auto"/>
        <w:jc w:val="center"/>
        <w:rPr>
          <w:rFonts w:ascii="Calibri" w:hAnsi="Calibri" w:cs="Calibri"/>
          <w:b/>
          <w:sz w:val="24"/>
          <w:szCs w:val="24"/>
        </w:rPr>
      </w:pPr>
      <w:r w:rsidRPr="00F306A8">
        <w:rPr>
          <w:rFonts w:ascii="Calibri" w:hAnsi="Calibri" w:cs="Calibri"/>
          <w:b/>
          <w:sz w:val="24"/>
          <w:szCs w:val="24"/>
        </w:rPr>
        <w:t xml:space="preserve">Project </w:t>
      </w:r>
      <w:proofErr w:type="spellStart"/>
      <w:r w:rsidRPr="00F306A8">
        <w:rPr>
          <w:rFonts w:ascii="Calibri" w:hAnsi="Calibri" w:cs="Calibri"/>
          <w:b/>
          <w:sz w:val="24"/>
          <w:szCs w:val="24"/>
        </w:rPr>
        <w:t>Organisation</w:t>
      </w:r>
      <w:proofErr w:type="spellEnd"/>
      <w:r w:rsidRPr="00F306A8">
        <w:rPr>
          <w:rFonts w:ascii="Calibri" w:hAnsi="Calibri" w:cs="Calibri"/>
          <w:b/>
          <w:sz w:val="24"/>
          <w:szCs w:val="24"/>
        </w:rPr>
        <w:t>: Honey-Love Aesthetics by Michelle / Honey-Love the Beauty Box</w:t>
      </w:r>
    </w:p>
    <w:p w14:paraId="14E7F2EE" w14:textId="77777777" w:rsidR="003528F8" w:rsidRPr="00F306A8" w:rsidRDefault="003528F8" w:rsidP="00F306A8">
      <w:pPr>
        <w:spacing w:after="40" w:line="360" w:lineRule="auto"/>
        <w:jc w:val="center"/>
        <w:rPr>
          <w:rFonts w:ascii="Calibri" w:eastAsia="Calibri" w:hAnsi="Calibri" w:cs="Calibri"/>
          <w:b/>
          <w:color w:val="auto"/>
          <w:sz w:val="24"/>
          <w:szCs w:val="24"/>
        </w:rPr>
      </w:pPr>
    </w:p>
    <w:p w14:paraId="006CF61A" w14:textId="77777777" w:rsidR="00C27229" w:rsidRPr="00F306A8" w:rsidRDefault="00C27229" w:rsidP="00F306A8">
      <w:pPr>
        <w:spacing w:before="160" w:after="80" w:line="360" w:lineRule="auto"/>
        <w:jc w:val="center"/>
        <w:rPr>
          <w:rFonts w:ascii="Calibri" w:eastAsia="Calibri" w:hAnsi="Calibri" w:cs="Calibri"/>
          <w:b/>
          <w:caps/>
          <w:color w:val="auto"/>
          <w:sz w:val="24"/>
          <w:szCs w:val="24"/>
        </w:rPr>
      </w:pPr>
    </w:p>
    <w:p w14:paraId="3A487282" w14:textId="77777777" w:rsidR="00C27229" w:rsidRPr="00F306A8" w:rsidRDefault="00C27229" w:rsidP="00F306A8">
      <w:pPr>
        <w:spacing w:before="160" w:after="80" w:line="360" w:lineRule="auto"/>
        <w:rPr>
          <w:rFonts w:ascii="Calibri" w:eastAsia="Calibri" w:hAnsi="Calibri" w:cs="Calibri"/>
          <w:b/>
          <w:caps/>
          <w:color w:val="auto"/>
          <w:sz w:val="24"/>
          <w:szCs w:val="24"/>
        </w:rPr>
      </w:pPr>
    </w:p>
    <w:p w14:paraId="30CF0EED" w14:textId="77777777" w:rsidR="00B717E3" w:rsidRPr="00F306A8" w:rsidRDefault="00B717E3" w:rsidP="00F306A8">
      <w:pPr>
        <w:spacing w:line="360" w:lineRule="auto"/>
        <w:jc w:val="center"/>
        <w:rPr>
          <w:rFonts w:ascii="Calibri" w:eastAsia="Calibri" w:hAnsi="Calibri" w:cs="Calibri"/>
          <w:b/>
          <w:caps/>
          <w:color w:val="auto"/>
          <w:sz w:val="24"/>
          <w:szCs w:val="24"/>
        </w:rPr>
      </w:pPr>
      <w:r w:rsidRPr="00F306A8">
        <w:rPr>
          <w:rFonts w:ascii="Calibri" w:eastAsia="Calibri" w:hAnsi="Calibri" w:cs="Calibri"/>
          <w:b/>
          <w:caps/>
          <w:color w:val="auto"/>
          <w:sz w:val="24"/>
          <w:szCs w:val="24"/>
        </w:rPr>
        <w:br w:type="page"/>
      </w:r>
    </w:p>
    <w:sdt>
      <w:sdtPr>
        <w:rPr>
          <w:rFonts w:ascii="Calibri" w:eastAsia="Times New Roman" w:hAnsi="Calibri" w:cs="Calibri"/>
          <w:b/>
          <w:bCs/>
          <w:color w:val="auto"/>
          <w:sz w:val="24"/>
          <w:szCs w:val="24"/>
        </w:rPr>
        <w:id w:val="2085108264"/>
        <w:docPartObj>
          <w:docPartGallery w:val="Table of Contents"/>
          <w:docPartUnique/>
        </w:docPartObj>
      </w:sdtPr>
      <w:sdtEndPr>
        <w:rPr>
          <w:rFonts w:eastAsia="Garamond"/>
          <w:b w:val="0"/>
          <w:bCs w:val="0"/>
          <w:noProof/>
          <w:color w:val="1A1A1A"/>
        </w:rPr>
      </w:sdtEndPr>
      <w:sdtContent>
        <w:p w14:paraId="426F3B50" w14:textId="77777777" w:rsidR="002621E5" w:rsidRPr="00F306A8" w:rsidRDefault="002621E5" w:rsidP="00F306A8">
          <w:pPr>
            <w:pStyle w:val="TOCHeading"/>
            <w:spacing w:line="360" w:lineRule="auto"/>
            <w:jc w:val="both"/>
            <w:rPr>
              <w:rFonts w:ascii="Calibri" w:hAnsi="Calibri" w:cs="Calibri"/>
              <w:sz w:val="24"/>
              <w:szCs w:val="24"/>
            </w:rPr>
          </w:pPr>
          <w:r w:rsidRPr="00F306A8">
            <w:rPr>
              <w:rFonts w:ascii="Calibri" w:hAnsi="Calibri" w:cs="Calibri"/>
              <w:sz w:val="24"/>
              <w:szCs w:val="24"/>
            </w:rPr>
            <w:t>Table of Contents</w:t>
          </w:r>
        </w:p>
        <w:p w14:paraId="1D047E18" w14:textId="6B53A45C" w:rsidR="00F306A8" w:rsidRDefault="002621E5">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r w:rsidRPr="00F306A8">
            <w:rPr>
              <w:rFonts w:ascii="Calibri" w:hAnsi="Calibri" w:cs="Calibri"/>
              <w:sz w:val="24"/>
              <w:szCs w:val="24"/>
            </w:rPr>
            <w:fldChar w:fldCharType="begin"/>
          </w:r>
          <w:r w:rsidRPr="00F306A8">
            <w:rPr>
              <w:rFonts w:ascii="Calibri" w:hAnsi="Calibri" w:cs="Calibri"/>
              <w:sz w:val="24"/>
              <w:szCs w:val="24"/>
            </w:rPr>
            <w:instrText xml:space="preserve"> TOC \o "1-3" \h \z \u </w:instrText>
          </w:r>
          <w:r w:rsidRPr="00F306A8">
            <w:rPr>
              <w:rFonts w:ascii="Calibri" w:hAnsi="Calibri" w:cs="Calibri"/>
              <w:sz w:val="24"/>
              <w:szCs w:val="24"/>
            </w:rPr>
            <w:fldChar w:fldCharType="separate"/>
          </w:r>
          <w:hyperlink w:anchor="_Toc238977970" w:history="1">
            <w:r w:rsidR="00F306A8" w:rsidRPr="00C1088A">
              <w:rPr>
                <w:rStyle w:val="Hyperlink"/>
                <w:rFonts w:ascii="Calibri" w:hAnsi="Calibri" w:cs="Calibri"/>
                <w:noProof/>
              </w:rPr>
              <w:t>Executive Summary</w:t>
            </w:r>
            <w:r w:rsidR="00F306A8">
              <w:rPr>
                <w:noProof/>
                <w:webHidden/>
              </w:rPr>
              <w:tab/>
            </w:r>
            <w:r w:rsidR="00F306A8">
              <w:rPr>
                <w:noProof/>
                <w:webHidden/>
              </w:rPr>
              <w:fldChar w:fldCharType="begin"/>
            </w:r>
            <w:r w:rsidR="00F306A8">
              <w:rPr>
                <w:noProof/>
                <w:webHidden/>
              </w:rPr>
              <w:instrText xml:space="preserve"> PAGEREF _Toc238977970 \h </w:instrText>
            </w:r>
            <w:r w:rsidR="00F306A8">
              <w:rPr>
                <w:noProof/>
                <w:webHidden/>
              </w:rPr>
            </w:r>
            <w:r w:rsidR="00F306A8">
              <w:rPr>
                <w:noProof/>
                <w:webHidden/>
              </w:rPr>
              <w:fldChar w:fldCharType="separate"/>
            </w:r>
            <w:r w:rsidR="00F306A8">
              <w:rPr>
                <w:noProof/>
                <w:webHidden/>
              </w:rPr>
              <w:t>3</w:t>
            </w:r>
            <w:r w:rsidR="00F306A8">
              <w:rPr>
                <w:noProof/>
                <w:webHidden/>
              </w:rPr>
              <w:fldChar w:fldCharType="end"/>
            </w:r>
          </w:hyperlink>
        </w:p>
        <w:p w14:paraId="5066241A" w14:textId="49F208DC"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1" w:history="1">
            <w:r w:rsidRPr="00C1088A">
              <w:rPr>
                <w:rStyle w:val="Hyperlink"/>
                <w:rFonts w:ascii="Calibri" w:hAnsi="Calibri" w:cs="Calibri"/>
                <w:noProof/>
              </w:rPr>
              <w:t>1. Introduction and Definition of the Project</w:t>
            </w:r>
            <w:r>
              <w:rPr>
                <w:noProof/>
                <w:webHidden/>
              </w:rPr>
              <w:tab/>
            </w:r>
            <w:r>
              <w:rPr>
                <w:noProof/>
                <w:webHidden/>
              </w:rPr>
              <w:fldChar w:fldCharType="begin"/>
            </w:r>
            <w:r>
              <w:rPr>
                <w:noProof/>
                <w:webHidden/>
              </w:rPr>
              <w:instrText xml:space="preserve"> PAGEREF _Toc238977971 \h </w:instrText>
            </w:r>
            <w:r>
              <w:rPr>
                <w:noProof/>
                <w:webHidden/>
              </w:rPr>
            </w:r>
            <w:r>
              <w:rPr>
                <w:noProof/>
                <w:webHidden/>
              </w:rPr>
              <w:fldChar w:fldCharType="separate"/>
            </w:r>
            <w:r>
              <w:rPr>
                <w:noProof/>
                <w:webHidden/>
              </w:rPr>
              <w:t>3</w:t>
            </w:r>
            <w:r>
              <w:rPr>
                <w:noProof/>
                <w:webHidden/>
              </w:rPr>
              <w:fldChar w:fldCharType="end"/>
            </w:r>
          </w:hyperlink>
        </w:p>
        <w:p w14:paraId="7983DAED" w14:textId="00CD9F1C"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2" w:history="1">
            <w:r w:rsidRPr="00C1088A">
              <w:rPr>
                <w:rStyle w:val="Hyperlink"/>
                <w:rFonts w:ascii="Calibri" w:hAnsi="Calibri" w:cs="Calibri"/>
                <w:noProof/>
              </w:rPr>
              <w:t>2. Business Case, Objectives, Scope and Success Criteria</w:t>
            </w:r>
            <w:r>
              <w:rPr>
                <w:noProof/>
                <w:webHidden/>
              </w:rPr>
              <w:tab/>
            </w:r>
            <w:r>
              <w:rPr>
                <w:noProof/>
                <w:webHidden/>
              </w:rPr>
              <w:fldChar w:fldCharType="begin"/>
            </w:r>
            <w:r>
              <w:rPr>
                <w:noProof/>
                <w:webHidden/>
              </w:rPr>
              <w:instrText xml:space="preserve"> PAGEREF _Toc238977972 \h </w:instrText>
            </w:r>
            <w:r>
              <w:rPr>
                <w:noProof/>
                <w:webHidden/>
              </w:rPr>
            </w:r>
            <w:r>
              <w:rPr>
                <w:noProof/>
                <w:webHidden/>
              </w:rPr>
              <w:fldChar w:fldCharType="separate"/>
            </w:r>
            <w:r>
              <w:rPr>
                <w:noProof/>
                <w:webHidden/>
              </w:rPr>
              <w:t>4</w:t>
            </w:r>
            <w:r>
              <w:rPr>
                <w:noProof/>
                <w:webHidden/>
              </w:rPr>
              <w:fldChar w:fldCharType="end"/>
            </w:r>
          </w:hyperlink>
        </w:p>
        <w:p w14:paraId="52729C00" w14:textId="04E1E58C"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3" w:history="1">
            <w:r w:rsidRPr="00C1088A">
              <w:rPr>
                <w:rStyle w:val="Hyperlink"/>
                <w:rFonts w:ascii="Calibri" w:hAnsi="Calibri" w:cs="Calibri"/>
                <w:noProof/>
              </w:rPr>
              <w:t>3. Project Management Methodology</w:t>
            </w:r>
            <w:r>
              <w:rPr>
                <w:noProof/>
                <w:webHidden/>
              </w:rPr>
              <w:tab/>
            </w:r>
            <w:r>
              <w:rPr>
                <w:noProof/>
                <w:webHidden/>
              </w:rPr>
              <w:fldChar w:fldCharType="begin"/>
            </w:r>
            <w:r>
              <w:rPr>
                <w:noProof/>
                <w:webHidden/>
              </w:rPr>
              <w:instrText xml:space="preserve"> PAGEREF _Toc238977973 \h </w:instrText>
            </w:r>
            <w:r>
              <w:rPr>
                <w:noProof/>
                <w:webHidden/>
              </w:rPr>
            </w:r>
            <w:r>
              <w:rPr>
                <w:noProof/>
                <w:webHidden/>
              </w:rPr>
              <w:fldChar w:fldCharType="separate"/>
            </w:r>
            <w:r>
              <w:rPr>
                <w:noProof/>
                <w:webHidden/>
              </w:rPr>
              <w:t>6</w:t>
            </w:r>
            <w:r>
              <w:rPr>
                <w:noProof/>
                <w:webHidden/>
              </w:rPr>
              <w:fldChar w:fldCharType="end"/>
            </w:r>
          </w:hyperlink>
        </w:p>
        <w:p w14:paraId="11D7870B" w14:textId="6E6962F6"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4" w:history="1">
            <w:r w:rsidRPr="00C1088A">
              <w:rPr>
                <w:rStyle w:val="Hyperlink"/>
                <w:rFonts w:ascii="Calibri" w:hAnsi="Calibri" w:cs="Calibri"/>
                <w:noProof/>
              </w:rPr>
              <w:t>4. Project Initiation, Stakeholders and the Knowledge Economy</w:t>
            </w:r>
            <w:r>
              <w:rPr>
                <w:noProof/>
                <w:webHidden/>
              </w:rPr>
              <w:tab/>
            </w:r>
            <w:r>
              <w:rPr>
                <w:noProof/>
                <w:webHidden/>
              </w:rPr>
              <w:fldChar w:fldCharType="begin"/>
            </w:r>
            <w:r>
              <w:rPr>
                <w:noProof/>
                <w:webHidden/>
              </w:rPr>
              <w:instrText xml:space="preserve"> PAGEREF _Toc238977974 \h </w:instrText>
            </w:r>
            <w:r>
              <w:rPr>
                <w:noProof/>
                <w:webHidden/>
              </w:rPr>
            </w:r>
            <w:r>
              <w:rPr>
                <w:noProof/>
                <w:webHidden/>
              </w:rPr>
              <w:fldChar w:fldCharType="separate"/>
            </w:r>
            <w:r>
              <w:rPr>
                <w:noProof/>
                <w:webHidden/>
              </w:rPr>
              <w:t>7</w:t>
            </w:r>
            <w:r>
              <w:rPr>
                <w:noProof/>
                <w:webHidden/>
              </w:rPr>
              <w:fldChar w:fldCharType="end"/>
            </w:r>
          </w:hyperlink>
        </w:p>
        <w:p w14:paraId="146458B6" w14:textId="7CC48933" w:rsidR="00F306A8" w:rsidRDefault="00F306A8">
          <w:pPr>
            <w:pStyle w:val="TOC2"/>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5" w:history="1">
            <w:r w:rsidRPr="00C1088A">
              <w:rPr>
                <w:rStyle w:val="Hyperlink"/>
                <w:rFonts w:ascii="Calibri" w:hAnsi="Calibri" w:cs="Calibri"/>
                <w:noProof/>
              </w:rPr>
              <w:t>4.1 Stakeholder Analysis</w:t>
            </w:r>
            <w:r>
              <w:rPr>
                <w:noProof/>
                <w:webHidden/>
              </w:rPr>
              <w:tab/>
            </w:r>
            <w:r>
              <w:rPr>
                <w:noProof/>
                <w:webHidden/>
              </w:rPr>
              <w:fldChar w:fldCharType="begin"/>
            </w:r>
            <w:r>
              <w:rPr>
                <w:noProof/>
                <w:webHidden/>
              </w:rPr>
              <w:instrText xml:space="preserve"> PAGEREF _Toc238977975 \h </w:instrText>
            </w:r>
            <w:r>
              <w:rPr>
                <w:noProof/>
                <w:webHidden/>
              </w:rPr>
            </w:r>
            <w:r>
              <w:rPr>
                <w:noProof/>
                <w:webHidden/>
              </w:rPr>
              <w:fldChar w:fldCharType="separate"/>
            </w:r>
            <w:r>
              <w:rPr>
                <w:noProof/>
                <w:webHidden/>
              </w:rPr>
              <w:t>8</w:t>
            </w:r>
            <w:r>
              <w:rPr>
                <w:noProof/>
                <w:webHidden/>
              </w:rPr>
              <w:fldChar w:fldCharType="end"/>
            </w:r>
          </w:hyperlink>
        </w:p>
        <w:p w14:paraId="68ABFBEE" w14:textId="4821A081"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6" w:history="1">
            <w:r w:rsidRPr="00C1088A">
              <w:rPr>
                <w:rStyle w:val="Hyperlink"/>
                <w:rFonts w:ascii="Calibri" w:hAnsi="Calibri" w:cs="Calibri"/>
                <w:noProof/>
              </w:rPr>
              <w:t>5. Environmental Analysis: PESTLE and SWOT</w:t>
            </w:r>
            <w:r>
              <w:rPr>
                <w:noProof/>
                <w:webHidden/>
              </w:rPr>
              <w:tab/>
            </w:r>
            <w:r>
              <w:rPr>
                <w:noProof/>
                <w:webHidden/>
              </w:rPr>
              <w:fldChar w:fldCharType="begin"/>
            </w:r>
            <w:r>
              <w:rPr>
                <w:noProof/>
                <w:webHidden/>
              </w:rPr>
              <w:instrText xml:space="preserve"> PAGEREF _Toc238977976 \h </w:instrText>
            </w:r>
            <w:r>
              <w:rPr>
                <w:noProof/>
                <w:webHidden/>
              </w:rPr>
            </w:r>
            <w:r>
              <w:rPr>
                <w:noProof/>
                <w:webHidden/>
              </w:rPr>
              <w:fldChar w:fldCharType="separate"/>
            </w:r>
            <w:r>
              <w:rPr>
                <w:noProof/>
                <w:webHidden/>
              </w:rPr>
              <w:t>9</w:t>
            </w:r>
            <w:r>
              <w:rPr>
                <w:noProof/>
                <w:webHidden/>
              </w:rPr>
              <w:fldChar w:fldCharType="end"/>
            </w:r>
          </w:hyperlink>
        </w:p>
        <w:p w14:paraId="28ECD40C" w14:textId="14E22228"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7" w:history="1">
            <w:r w:rsidRPr="00C1088A">
              <w:rPr>
                <w:rStyle w:val="Hyperlink"/>
                <w:rFonts w:ascii="Calibri" w:hAnsi="Calibri" w:cs="Calibri"/>
                <w:noProof/>
              </w:rPr>
              <w:t>6. Work Breakdown Structure and Project Planning Tools</w:t>
            </w:r>
            <w:r>
              <w:rPr>
                <w:noProof/>
                <w:webHidden/>
              </w:rPr>
              <w:tab/>
            </w:r>
            <w:r>
              <w:rPr>
                <w:noProof/>
                <w:webHidden/>
              </w:rPr>
              <w:fldChar w:fldCharType="begin"/>
            </w:r>
            <w:r>
              <w:rPr>
                <w:noProof/>
                <w:webHidden/>
              </w:rPr>
              <w:instrText xml:space="preserve"> PAGEREF _Toc238977977 \h </w:instrText>
            </w:r>
            <w:r>
              <w:rPr>
                <w:noProof/>
                <w:webHidden/>
              </w:rPr>
            </w:r>
            <w:r>
              <w:rPr>
                <w:noProof/>
                <w:webHidden/>
              </w:rPr>
              <w:fldChar w:fldCharType="separate"/>
            </w:r>
            <w:r>
              <w:rPr>
                <w:noProof/>
                <w:webHidden/>
              </w:rPr>
              <w:t>10</w:t>
            </w:r>
            <w:r>
              <w:rPr>
                <w:noProof/>
                <w:webHidden/>
              </w:rPr>
              <w:fldChar w:fldCharType="end"/>
            </w:r>
          </w:hyperlink>
        </w:p>
        <w:p w14:paraId="208F8A22" w14:textId="6FB94593" w:rsidR="00F306A8" w:rsidRDefault="00F306A8">
          <w:pPr>
            <w:pStyle w:val="TOC2"/>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8" w:history="1">
            <w:r w:rsidRPr="00C1088A">
              <w:rPr>
                <w:rStyle w:val="Hyperlink"/>
                <w:rFonts w:ascii="Calibri" w:hAnsi="Calibri" w:cs="Calibri"/>
                <w:noProof/>
              </w:rPr>
              <w:t>6.1 RACI Allocation</w:t>
            </w:r>
            <w:r>
              <w:rPr>
                <w:noProof/>
                <w:webHidden/>
              </w:rPr>
              <w:tab/>
            </w:r>
            <w:r>
              <w:rPr>
                <w:noProof/>
                <w:webHidden/>
              </w:rPr>
              <w:fldChar w:fldCharType="begin"/>
            </w:r>
            <w:r>
              <w:rPr>
                <w:noProof/>
                <w:webHidden/>
              </w:rPr>
              <w:instrText xml:space="preserve"> PAGEREF _Toc238977978 \h </w:instrText>
            </w:r>
            <w:r>
              <w:rPr>
                <w:noProof/>
                <w:webHidden/>
              </w:rPr>
            </w:r>
            <w:r>
              <w:rPr>
                <w:noProof/>
                <w:webHidden/>
              </w:rPr>
              <w:fldChar w:fldCharType="separate"/>
            </w:r>
            <w:r>
              <w:rPr>
                <w:noProof/>
                <w:webHidden/>
              </w:rPr>
              <w:t>11</w:t>
            </w:r>
            <w:r>
              <w:rPr>
                <w:noProof/>
                <w:webHidden/>
              </w:rPr>
              <w:fldChar w:fldCharType="end"/>
            </w:r>
          </w:hyperlink>
        </w:p>
        <w:p w14:paraId="3DB2EF8D" w14:textId="238C7870"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79" w:history="1">
            <w:r w:rsidRPr="00C1088A">
              <w:rPr>
                <w:rStyle w:val="Hyperlink"/>
                <w:rFonts w:ascii="Calibri" w:hAnsi="Calibri" w:cs="Calibri"/>
                <w:noProof/>
              </w:rPr>
              <w:t>7. Communication Plan</w:t>
            </w:r>
            <w:r>
              <w:rPr>
                <w:noProof/>
                <w:webHidden/>
              </w:rPr>
              <w:tab/>
            </w:r>
            <w:r>
              <w:rPr>
                <w:noProof/>
                <w:webHidden/>
              </w:rPr>
              <w:fldChar w:fldCharType="begin"/>
            </w:r>
            <w:r>
              <w:rPr>
                <w:noProof/>
                <w:webHidden/>
              </w:rPr>
              <w:instrText xml:space="preserve"> PAGEREF _Toc238977979 \h </w:instrText>
            </w:r>
            <w:r>
              <w:rPr>
                <w:noProof/>
                <w:webHidden/>
              </w:rPr>
            </w:r>
            <w:r>
              <w:rPr>
                <w:noProof/>
                <w:webHidden/>
              </w:rPr>
              <w:fldChar w:fldCharType="separate"/>
            </w:r>
            <w:r>
              <w:rPr>
                <w:noProof/>
                <w:webHidden/>
              </w:rPr>
              <w:t>12</w:t>
            </w:r>
            <w:r>
              <w:rPr>
                <w:noProof/>
                <w:webHidden/>
              </w:rPr>
              <w:fldChar w:fldCharType="end"/>
            </w:r>
          </w:hyperlink>
        </w:p>
        <w:p w14:paraId="149CCCB7" w14:textId="7C527292"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0" w:history="1">
            <w:r w:rsidRPr="00C1088A">
              <w:rPr>
                <w:rStyle w:val="Hyperlink"/>
                <w:rFonts w:ascii="Calibri" w:hAnsi="Calibri" w:cs="Calibri"/>
                <w:noProof/>
              </w:rPr>
              <w:t>8. Risk Identification and Management</w:t>
            </w:r>
            <w:r>
              <w:rPr>
                <w:noProof/>
                <w:webHidden/>
              </w:rPr>
              <w:tab/>
            </w:r>
            <w:r>
              <w:rPr>
                <w:noProof/>
                <w:webHidden/>
              </w:rPr>
              <w:fldChar w:fldCharType="begin"/>
            </w:r>
            <w:r>
              <w:rPr>
                <w:noProof/>
                <w:webHidden/>
              </w:rPr>
              <w:instrText xml:space="preserve"> PAGEREF _Toc238977980 \h </w:instrText>
            </w:r>
            <w:r>
              <w:rPr>
                <w:noProof/>
                <w:webHidden/>
              </w:rPr>
            </w:r>
            <w:r>
              <w:rPr>
                <w:noProof/>
                <w:webHidden/>
              </w:rPr>
              <w:fldChar w:fldCharType="separate"/>
            </w:r>
            <w:r>
              <w:rPr>
                <w:noProof/>
                <w:webHidden/>
              </w:rPr>
              <w:t>13</w:t>
            </w:r>
            <w:r>
              <w:rPr>
                <w:noProof/>
                <w:webHidden/>
              </w:rPr>
              <w:fldChar w:fldCharType="end"/>
            </w:r>
          </w:hyperlink>
        </w:p>
        <w:p w14:paraId="5E664FD0" w14:textId="2D6C36EE"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1" w:history="1">
            <w:r w:rsidRPr="00C1088A">
              <w:rPr>
                <w:rStyle w:val="Hyperlink"/>
                <w:rFonts w:ascii="Calibri" w:hAnsi="Calibri" w:cs="Calibri"/>
                <w:noProof/>
              </w:rPr>
              <w:t>9. Execution, Monitoring, Scope Control and Project Close-Down</w:t>
            </w:r>
            <w:r>
              <w:rPr>
                <w:noProof/>
                <w:webHidden/>
              </w:rPr>
              <w:tab/>
            </w:r>
            <w:r>
              <w:rPr>
                <w:noProof/>
                <w:webHidden/>
              </w:rPr>
              <w:fldChar w:fldCharType="begin"/>
            </w:r>
            <w:r>
              <w:rPr>
                <w:noProof/>
                <w:webHidden/>
              </w:rPr>
              <w:instrText xml:space="preserve"> PAGEREF _Toc238977981 \h </w:instrText>
            </w:r>
            <w:r>
              <w:rPr>
                <w:noProof/>
                <w:webHidden/>
              </w:rPr>
            </w:r>
            <w:r>
              <w:rPr>
                <w:noProof/>
                <w:webHidden/>
              </w:rPr>
              <w:fldChar w:fldCharType="separate"/>
            </w:r>
            <w:r>
              <w:rPr>
                <w:noProof/>
                <w:webHidden/>
              </w:rPr>
              <w:t>15</w:t>
            </w:r>
            <w:r>
              <w:rPr>
                <w:noProof/>
                <w:webHidden/>
              </w:rPr>
              <w:fldChar w:fldCharType="end"/>
            </w:r>
          </w:hyperlink>
        </w:p>
        <w:p w14:paraId="1610B568" w14:textId="03F19182"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2" w:history="1">
            <w:r w:rsidRPr="00C1088A">
              <w:rPr>
                <w:rStyle w:val="Hyperlink"/>
                <w:rFonts w:ascii="Calibri" w:hAnsi="Calibri" w:cs="Calibri"/>
                <w:noProof/>
              </w:rPr>
              <w:t>10. Project Manager Attributes and Personal Self-Audit</w:t>
            </w:r>
            <w:r>
              <w:rPr>
                <w:noProof/>
                <w:webHidden/>
              </w:rPr>
              <w:tab/>
            </w:r>
            <w:r>
              <w:rPr>
                <w:noProof/>
                <w:webHidden/>
              </w:rPr>
              <w:fldChar w:fldCharType="begin"/>
            </w:r>
            <w:r>
              <w:rPr>
                <w:noProof/>
                <w:webHidden/>
              </w:rPr>
              <w:instrText xml:space="preserve"> PAGEREF _Toc238977982 \h </w:instrText>
            </w:r>
            <w:r>
              <w:rPr>
                <w:noProof/>
                <w:webHidden/>
              </w:rPr>
            </w:r>
            <w:r>
              <w:rPr>
                <w:noProof/>
                <w:webHidden/>
              </w:rPr>
              <w:fldChar w:fldCharType="separate"/>
            </w:r>
            <w:r>
              <w:rPr>
                <w:noProof/>
                <w:webHidden/>
              </w:rPr>
              <w:t>16</w:t>
            </w:r>
            <w:r>
              <w:rPr>
                <w:noProof/>
                <w:webHidden/>
              </w:rPr>
              <w:fldChar w:fldCharType="end"/>
            </w:r>
          </w:hyperlink>
        </w:p>
        <w:p w14:paraId="1A0C1E44" w14:textId="5E80C1BF" w:rsidR="00F306A8" w:rsidRDefault="00F306A8">
          <w:pPr>
            <w:pStyle w:val="TOC2"/>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3" w:history="1">
            <w:r w:rsidRPr="00C1088A">
              <w:rPr>
                <w:rStyle w:val="Hyperlink"/>
                <w:rFonts w:ascii="Calibri" w:hAnsi="Calibri" w:cs="Calibri"/>
                <w:noProof/>
              </w:rPr>
              <w:t>10.1 Personal Development Plan</w:t>
            </w:r>
            <w:r>
              <w:rPr>
                <w:noProof/>
                <w:webHidden/>
              </w:rPr>
              <w:tab/>
            </w:r>
            <w:r>
              <w:rPr>
                <w:noProof/>
                <w:webHidden/>
              </w:rPr>
              <w:fldChar w:fldCharType="begin"/>
            </w:r>
            <w:r>
              <w:rPr>
                <w:noProof/>
                <w:webHidden/>
              </w:rPr>
              <w:instrText xml:space="preserve"> PAGEREF _Toc238977983 \h </w:instrText>
            </w:r>
            <w:r>
              <w:rPr>
                <w:noProof/>
                <w:webHidden/>
              </w:rPr>
            </w:r>
            <w:r>
              <w:rPr>
                <w:noProof/>
                <w:webHidden/>
              </w:rPr>
              <w:fldChar w:fldCharType="separate"/>
            </w:r>
            <w:r>
              <w:rPr>
                <w:noProof/>
                <w:webHidden/>
              </w:rPr>
              <w:t>17</w:t>
            </w:r>
            <w:r>
              <w:rPr>
                <w:noProof/>
                <w:webHidden/>
              </w:rPr>
              <w:fldChar w:fldCharType="end"/>
            </w:r>
          </w:hyperlink>
        </w:p>
        <w:p w14:paraId="5DF1D51E" w14:textId="66400C3C"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4" w:history="1">
            <w:r w:rsidRPr="00C1088A">
              <w:rPr>
                <w:rStyle w:val="Hyperlink"/>
                <w:rFonts w:ascii="Calibri" w:hAnsi="Calibri" w:cs="Calibri"/>
                <w:noProof/>
              </w:rPr>
              <w:t>11. Conclusion</w:t>
            </w:r>
            <w:r>
              <w:rPr>
                <w:noProof/>
                <w:webHidden/>
              </w:rPr>
              <w:tab/>
            </w:r>
            <w:r>
              <w:rPr>
                <w:noProof/>
                <w:webHidden/>
              </w:rPr>
              <w:fldChar w:fldCharType="begin"/>
            </w:r>
            <w:r>
              <w:rPr>
                <w:noProof/>
                <w:webHidden/>
              </w:rPr>
              <w:instrText xml:space="preserve"> PAGEREF _Toc238977984 \h </w:instrText>
            </w:r>
            <w:r>
              <w:rPr>
                <w:noProof/>
                <w:webHidden/>
              </w:rPr>
            </w:r>
            <w:r>
              <w:rPr>
                <w:noProof/>
                <w:webHidden/>
              </w:rPr>
              <w:fldChar w:fldCharType="separate"/>
            </w:r>
            <w:r>
              <w:rPr>
                <w:noProof/>
                <w:webHidden/>
              </w:rPr>
              <w:t>18</w:t>
            </w:r>
            <w:r>
              <w:rPr>
                <w:noProof/>
                <w:webHidden/>
              </w:rPr>
              <w:fldChar w:fldCharType="end"/>
            </w:r>
          </w:hyperlink>
        </w:p>
        <w:p w14:paraId="2189C581" w14:textId="374BAD0F"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5" w:history="1">
            <w:r w:rsidRPr="00C1088A">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_Toc238977985 \h </w:instrText>
            </w:r>
            <w:r>
              <w:rPr>
                <w:noProof/>
                <w:webHidden/>
              </w:rPr>
            </w:r>
            <w:r>
              <w:rPr>
                <w:noProof/>
                <w:webHidden/>
              </w:rPr>
              <w:fldChar w:fldCharType="separate"/>
            </w:r>
            <w:r>
              <w:rPr>
                <w:noProof/>
                <w:webHidden/>
              </w:rPr>
              <w:t>20</w:t>
            </w:r>
            <w:r>
              <w:rPr>
                <w:noProof/>
                <w:webHidden/>
              </w:rPr>
              <w:fldChar w:fldCharType="end"/>
            </w:r>
          </w:hyperlink>
        </w:p>
        <w:p w14:paraId="3D6AA507" w14:textId="05C4BCB8"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6" w:history="1">
            <w:r w:rsidRPr="00C1088A">
              <w:rPr>
                <w:rStyle w:val="Hyperlink"/>
                <w:rFonts w:ascii="Calibri" w:hAnsi="Calibri" w:cs="Calibri"/>
                <w:noProof/>
              </w:rPr>
              <w:t>Appendix A. Indicative 14-Week Gantt Plan</w:t>
            </w:r>
            <w:r>
              <w:rPr>
                <w:noProof/>
                <w:webHidden/>
              </w:rPr>
              <w:tab/>
            </w:r>
            <w:r>
              <w:rPr>
                <w:noProof/>
                <w:webHidden/>
              </w:rPr>
              <w:fldChar w:fldCharType="begin"/>
            </w:r>
            <w:r>
              <w:rPr>
                <w:noProof/>
                <w:webHidden/>
              </w:rPr>
              <w:instrText xml:space="preserve"> PAGEREF _Toc238977986 \h </w:instrText>
            </w:r>
            <w:r>
              <w:rPr>
                <w:noProof/>
                <w:webHidden/>
              </w:rPr>
            </w:r>
            <w:r>
              <w:rPr>
                <w:noProof/>
                <w:webHidden/>
              </w:rPr>
              <w:fldChar w:fldCharType="separate"/>
            </w:r>
            <w:r>
              <w:rPr>
                <w:noProof/>
                <w:webHidden/>
              </w:rPr>
              <w:t>23</w:t>
            </w:r>
            <w:r>
              <w:rPr>
                <w:noProof/>
                <w:webHidden/>
              </w:rPr>
              <w:fldChar w:fldCharType="end"/>
            </w:r>
          </w:hyperlink>
        </w:p>
        <w:p w14:paraId="3F49DC1A" w14:textId="7D6DA4F1"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7" w:history="1">
            <w:r w:rsidRPr="00C1088A">
              <w:rPr>
                <w:rStyle w:val="Hyperlink"/>
                <w:rFonts w:ascii="Calibri" w:hAnsi="Calibri" w:cs="Calibri"/>
                <w:noProof/>
              </w:rPr>
              <w:t>Appendix B. Risk Scoring Guide</w:t>
            </w:r>
            <w:r>
              <w:rPr>
                <w:noProof/>
                <w:webHidden/>
              </w:rPr>
              <w:tab/>
            </w:r>
            <w:r>
              <w:rPr>
                <w:noProof/>
                <w:webHidden/>
              </w:rPr>
              <w:fldChar w:fldCharType="begin"/>
            </w:r>
            <w:r>
              <w:rPr>
                <w:noProof/>
                <w:webHidden/>
              </w:rPr>
              <w:instrText xml:space="preserve"> PAGEREF _Toc238977987 \h </w:instrText>
            </w:r>
            <w:r>
              <w:rPr>
                <w:noProof/>
                <w:webHidden/>
              </w:rPr>
            </w:r>
            <w:r>
              <w:rPr>
                <w:noProof/>
                <w:webHidden/>
              </w:rPr>
              <w:fldChar w:fldCharType="separate"/>
            </w:r>
            <w:r>
              <w:rPr>
                <w:noProof/>
                <w:webHidden/>
              </w:rPr>
              <w:t>24</w:t>
            </w:r>
            <w:r>
              <w:rPr>
                <w:noProof/>
                <w:webHidden/>
              </w:rPr>
              <w:fldChar w:fldCharType="end"/>
            </w:r>
          </w:hyperlink>
        </w:p>
        <w:p w14:paraId="0F8DB421" w14:textId="0CEF6817" w:rsidR="00F306A8" w:rsidRDefault="00F306A8">
          <w:pPr>
            <w:pStyle w:val="TOC1"/>
            <w:tabs>
              <w:tab w:val="right" w:leader="dot" w:pos="8777"/>
            </w:tabs>
            <w:rPr>
              <w:rFonts w:asciiTheme="minorHAnsi" w:eastAsiaTheme="minorEastAsia" w:hAnsiTheme="minorHAnsi" w:cstheme="minorBidi"/>
              <w:noProof/>
              <w:color w:val="auto"/>
              <w:kern w:val="2"/>
              <w:sz w:val="24"/>
              <w:szCs w:val="24"/>
              <w:lang w:val="en-GB" w:eastAsia="en-GB"/>
              <w14:ligatures w14:val="standardContextual"/>
            </w:rPr>
          </w:pPr>
          <w:hyperlink w:anchor="_Toc238977988" w:history="1">
            <w:r w:rsidRPr="00C1088A">
              <w:rPr>
                <w:rStyle w:val="Hyperlink"/>
                <w:rFonts w:ascii="Calibri" w:hAnsi="Calibri" w:cs="Calibri"/>
                <w:noProof/>
              </w:rPr>
              <w:t>Appendix C. Confidentiality and Knowledge-Management Principles</w:t>
            </w:r>
            <w:r>
              <w:rPr>
                <w:noProof/>
                <w:webHidden/>
              </w:rPr>
              <w:tab/>
            </w:r>
            <w:r>
              <w:rPr>
                <w:noProof/>
                <w:webHidden/>
              </w:rPr>
              <w:fldChar w:fldCharType="begin"/>
            </w:r>
            <w:r>
              <w:rPr>
                <w:noProof/>
                <w:webHidden/>
              </w:rPr>
              <w:instrText xml:space="preserve"> PAGEREF _Toc238977988 \h </w:instrText>
            </w:r>
            <w:r>
              <w:rPr>
                <w:noProof/>
                <w:webHidden/>
              </w:rPr>
            </w:r>
            <w:r>
              <w:rPr>
                <w:noProof/>
                <w:webHidden/>
              </w:rPr>
              <w:fldChar w:fldCharType="separate"/>
            </w:r>
            <w:r>
              <w:rPr>
                <w:noProof/>
                <w:webHidden/>
              </w:rPr>
              <w:t>24</w:t>
            </w:r>
            <w:r>
              <w:rPr>
                <w:noProof/>
                <w:webHidden/>
              </w:rPr>
              <w:fldChar w:fldCharType="end"/>
            </w:r>
          </w:hyperlink>
        </w:p>
        <w:p w14:paraId="48BD9978" w14:textId="4A4411EE"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bCs/>
              <w:noProof/>
              <w:sz w:val="24"/>
              <w:szCs w:val="24"/>
            </w:rPr>
            <w:fldChar w:fldCharType="end"/>
          </w:r>
        </w:p>
      </w:sdtContent>
    </w:sdt>
    <w:p w14:paraId="2CB57E2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br w:type="page"/>
      </w:r>
    </w:p>
    <w:p w14:paraId="49B4F3FC" w14:textId="77777777" w:rsidR="002621E5" w:rsidRPr="00F306A8" w:rsidRDefault="002621E5" w:rsidP="00F306A8">
      <w:pPr>
        <w:pStyle w:val="Heading1"/>
        <w:spacing w:line="360" w:lineRule="auto"/>
        <w:jc w:val="both"/>
        <w:rPr>
          <w:rFonts w:ascii="Calibri" w:hAnsi="Calibri" w:cs="Calibri"/>
          <w:sz w:val="24"/>
          <w:szCs w:val="24"/>
        </w:rPr>
      </w:pPr>
      <w:bookmarkStart w:id="0" w:name="_Toc238977970"/>
      <w:r w:rsidRPr="00F306A8">
        <w:rPr>
          <w:rFonts w:ascii="Calibri" w:hAnsi="Calibri" w:cs="Calibri"/>
          <w:sz w:val="24"/>
          <w:szCs w:val="24"/>
        </w:rPr>
        <w:lastRenderedPageBreak/>
        <w:t>Executive Summary</w:t>
      </w:r>
      <w:bookmarkEnd w:id="0"/>
    </w:p>
    <w:p w14:paraId="3E00DA4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This report critically reviews the expansion of Honey-Love Aesthetics into the larger salon, Honey-Love the Beauty Box, by Michelle. The existing established ‘beauty &amp; aesthetics' business has been around for over 4 years and offers dermal fillers, lip fillers, snatched contouring packages, Botox, fat-dissolving treatments, professional training and vitamin B12 treatments. The chosen expansion is suitable for project-management analysis, as it involves a short-term, complex change to an expanded premises/service platform with specifications and planned end-of-project criteria, resources, stakeholders and risks.</w:t>
      </w:r>
    </w:p>
    <w:p w14:paraId="41C26D1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use of a </w:t>
      </w:r>
      <w:proofErr w:type="spellStart"/>
      <w:r w:rsidRPr="00F306A8">
        <w:rPr>
          <w:rFonts w:ascii="Calibri" w:hAnsi="Calibri" w:cs="Calibri"/>
          <w:sz w:val="24"/>
          <w:szCs w:val="24"/>
        </w:rPr>
        <w:t>customised</w:t>
      </w:r>
      <w:proofErr w:type="spellEnd"/>
      <w:r w:rsidRPr="00F306A8">
        <w:rPr>
          <w:rFonts w:ascii="Calibri" w:hAnsi="Calibri" w:cs="Calibri"/>
          <w:sz w:val="24"/>
          <w:szCs w:val="24"/>
        </w:rPr>
        <w:t xml:space="preserve"> hybrid (PM) model is suggested. Predictive controls are suitable for premises, budget, procurement, readiness and launch dependencies and selected agile practices are suitable for flexibility in marketing, training content and communication and services development. The report uses a business case, stakeholder analysis, a PESTLE and SWOT analysis, a Work Breakdown Structure (WBS), Gantt scheduling, critical-path thinking, risk management, communication planning, </w:t>
      </w:r>
      <w:proofErr w:type="gramStart"/>
      <w:r w:rsidRPr="00F306A8">
        <w:rPr>
          <w:rFonts w:ascii="Calibri" w:hAnsi="Calibri" w:cs="Calibri"/>
          <w:sz w:val="24"/>
          <w:szCs w:val="24"/>
        </w:rPr>
        <w:t>a RACI</w:t>
      </w:r>
      <w:proofErr w:type="gramEnd"/>
      <w:r w:rsidRPr="00F306A8">
        <w:rPr>
          <w:rFonts w:ascii="Calibri" w:hAnsi="Calibri" w:cs="Calibri"/>
          <w:sz w:val="24"/>
          <w:szCs w:val="24"/>
        </w:rPr>
        <w:t xml:space="preserve"> allocation and monitoring and </w:t>
      </w:r>
      <w:proofErr w:type="gramStart"/>
      <w:r w:rsidRPr="00F306A8">
        <w:rPr>
          <w:rFonts w:ascii="Calibri" w:hAnsi="Calibri" w:cs="Calibri"/>
          <w:sz w:val="24"/>
          <w:szCs w:val="24"/>
        </w:rPr>
        <w:t>a formal</w:t>
      </w:r>
      <w:proofErr w:type="gramEnd"/>
      <w:r w:rsidRPr="00F306A8">
        <w:rPr>
          <w:rFonts w:ascii="Calibri" w:hAnsi="Calibri" w:cs="Calibri"/>
          <w:sz w:val="24"/>
          <w:szCs w:val="24"/>
        </w:rPr>
        <w:t xml:space="preserve"> close-down. Specialist knowledge, practical experience, training capability, reputation, procedures and relationships are all critical to Honey-Love's competitive advantage and are associated with the knowledge economy. Client information is explicitly exempted from the sharing of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knowledge as confidential. The report finishes with a self-audit and Personal Development Plan (PDP) related to formal planning, delegation, financial control, risk management and leadership.</w:t>
      </w:r>
    </w:p>
    <w:p w14:paraId="5AE01E5D" w14:textId="77777777" w:rsidR="002621E5" w:rsidRPr="00F306A8" w:rsidRDefault="002621E5" w:rsidP="00F306A8">
      <w:pPr>
        <w:pStyle w:val="Heading1"/>
        <w:spacing w:line="360" w:lineRule="auto"/>
        <w:jc w:val="both"/>
        <w:rPr>
          <w:rFonts w:ascii="Calibri" w:hAnsi="Calibri" w:cs="Calibri"/>
          <w:sz w:val="24"/>
          <w:szCs w:val="24"/>
        </w:rPr>
      </w:pPr>
      <w:bookmarkStart w:id="1" w:name="_Toc238977971"/>
      <w:r w:rsidRPr="00F306A8">
        <w:rPr>
          <w:rFonts w:ascii="Calibri" w:hAnsi="Calibri" w:cs="Calibri"/>
          <w:sz w:val="24"/>
          <w:szCs w:val="24"/>
        </w:rPr>
        <w:t>1. Introduction and Definition of the Project</w:t>
      </w:r>
      <w:bookmarkEnd w:id="1"/>
    </w:p>
    <w:p w14:paraId="62F9BE2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Business opportunity. According to Wysocki (2019), projects are time-limited activities which include multiple and interrelated activities, scope, quality, time, cost and risk. Value delivery, stakeholder engagement, tailoring, leadership and uncertainty management are also items that are highlighted by the Project Management Institute (PMI, 2021). The principles will be especially relevant for small businesses, as the same person could be the owner, sponsor, project manager and operational practitioner.</w:t>
      </w:r>
    </w:p>
    <w:p w14:paraId="220105B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This report will be on the expansion of Honey-Love Aesthetics by Michelle to become Honey-Love the Beauty Box. It has been in business for over 4 years and offers a variety of aesthetic procedures such as dermal fillers, lip fillers, snatched contouring packages, botulinum toxin treatments, vitamin B12 treatments and fat-dissolving treatments. The business also provides training. The project is therefore more significant than just moving </w:t>
      </w:r>
      <w:r w:rsidRPr="00F306A8">
        <w:rPr>
          <w:rFonts w:ascii="Calibri" w:hAnsi="Calibri" w:cs="Calibri"/>
          <w:sz w:val="24"/>
          <w:szCs w:val="24"/>
        </w:rPr>
        <w:lastRenderedPageBreak/>
        <w:t>premises, as it is a salon and training platform that will expand, enabling more activity to take place on site whilst maintaining quality, confidentiality, reputation and financial sustainability.</w:t>
      </w:r>
    </w:p>
    <w:p w14:paraId="1C44D04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WHAT of the project is to design and implement the launch of Honey-Love the Beauty Box as a larger training studio and aesthetics space. The WHY is to add capacity to a proven business; enhance market visibility; offer a professional setting for clients and trainees; diversify revenue streams with training; and build infrastructure to sustain expansion. This is different from the business-as-usual activity. Routine </w:t>
      </w:r>
      <w:proofErr w:type="gramStart"/>
      <w:r w:rsidRPr="00F306A8">
        <w:rPr>
          <w:rFonts w:ascii="Calibri" w:hAnsi="Calibri" w:cs="Calibri"/>
          <w:sz w:val="24"/>
          <w:szCs w:val="24"/>
        </w:rPr>
        <w:t>appointment is</w:t>
      </w:r>
      <w:proofErr w:type="gramEnd"/>
      <w:r w:rsidRPr="00F306A8">
        <w:rPr>
          <w:rFonts w:ascii="Calibri" w:hAnsi="Calibri" w:cs="Calibri"/>
          <w:sz w:val="24"/>
          <w:szCs w:val="24"/>
        </w:rPr>
        <w:t xml:space="preserve"> continuous work, and creating and launching the expanded salon has a clear point of beginning, deliverables and point of completion. The expansion is thus quite complex and unique, so it is worthwhile for it to take on the form of formal project management.</w:t>
      </w:r>
    </w:p>
    <w:p w14:paraId="16F7711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report reconstructs the expansion as a formal project-management plan and critically examines the tools that should be used from concept to completion, as the larger salon has already opened. There </w:t>
      </w:r>
      <w:proofErr w:type="gramStart"/>
      <w:r w:rsidRPr="00F306A8">
        <w:rPr>
          <w:rFonts w:ascii="Calibri" w:hAnsi="Calibri" w:cs="Calibri"/>
          <w:sz w:val="24"/>
          <w:szCs w:val="24"/>
        </w:rPr>
        <w:t>are</w:t>
      </w:r>
      <w:proofErr w:type="gramEnd"/>
      <w:r w:rsidRPr="00F306A8">
        <w:rPr>
          <w:rFonts w:ascii="Calibri" w:hAnsi="Calibri" w:cs="Calibri"/>
          <w:sz w:val="24"/>
          <w:szCs w:val="24"/>
        </w:rPr>
        <w:t xml:space="preserve"> no identifiable client data used. If historic commercial figures are not available or commercially sensitive, other historical commercial figures are not invented, but historic planning percentages and control principles are used for analysis.</w:t>
      </w:r>
    </w:p>
    <w:p w14:paraId="2DB945E9" w14:textId="77777777" w:rsidR="002621E5" w:rsidRPr="00F306A8" w:rsidRDefault="002621E5" w:rsidP="00F306A8">
      <w:pPr>
        <w:pStyle w:val="Heading1"/>
        <w:spacing w:line="360" w:lineRule="auto"/>
        <w:jc w:val="both"/>
        <w:rPr>
          <w:rFonts w:ascii="Calibri" w:hAnsi="Calibri" w:cs="Calibri"/>
          <w:sz w:val="24"/>
          <w:szCs w:val="24"/>
        </w:rPr>
      </w:pPr>
      <w:bookmarkStart w:id="2" w:name="_Toc238977972"/>
      <w:r w:rsidRPr="00F306A8">
        <w:rPr>
          <w:rFonts w:ascii="Calibri" w:hAnsi="Calibri" w:cs="Calibri"/>
          <w:sz w:val="24"/>
          <w:szCs w:val="24"/>
        </w:rPr>
        <w:t>2. Business Case, Objectives, Scope and Success Criteria</w:t>
      </w:r>
      <w:bookmarkEnd w:id="2"/>
    </w:p>
    <w:p w14:paraId="37BBBFF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business case is required to determine if an idea is worth the investment and strategic commitment. Kerzner (2022) states that project planning should be aligned to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strategy and the measurable business value. This is especially crucial for an owner-managed business where the excitement of growth can lead to </w:t>
      </w:r>
      <w:proofErr w:type="gramStart"/>
      <w:r w:rsidRPr="00F306A8">
        <w:rPr>
          <w:rFonts w:ascii="Calibri" w:hAnsi="Calibri" w:cs="Calibri"/>
          <w:sz w:val="24"/>
          <w:szCs w:val="24"/>
        </w:rPr>
        <w:t>optimism</w:t>
      </w:r>
      <w:proofErr w:type="gramEnd"/>
      <w:r w:rsidRPr="00F306A8">
        <w:rPr>
          <w:rFonts w:ascii="Calibri" w:hAnsi="Calibri" w:cs="Calibri"/>
          <w:sz w:val="24"/>
          <w:szCs w:val="24"/>
        </w:rPr>
        <w:t xml:space="preserve"> bias and the neglect of the overheads.</w:t>
      </w:r>
    </w:p>
    <w:p w14:paraId="38C0CCD6" w14:textId="1853234C" w:rsid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strategic case for Honey-Love the Beauty Box is based on over 4 years of operation. The business is not trying to develop demand for a new service, but it is trying to create more platform based </w:t>
      </w:r>
      <w:proofErr w:type="gramStart"/>
      <w:r w:rsidRPr="00F306A8">
        <w:rPr>
          <w:rFonts w:ascii="Calibri" w:hAnsi="Calibri" w:cs="Calibri"/>
          <w:sz w:val="24"/>
          <w:szCs w:val="24"/>
        </w:rPr>
        <w:t>on the basis of</w:t>
      </w:r>
      <w:proofErr w:type="gramEnd"/>
      <w:r w:rsidRPr="00F306A8">
        <w:rPr>
          <w:rFonts w:ascii="Calibri" w:hAnsi="Calibri" w:cs="Calibri"/>
          <w:sz w:val="24"/>
          <w:szCs w:val="24"/>
        </w:rPr>
        <w:t xml:space="preserve"> the existing knowledge, reputation, customer base, service experience and capability. This mitigates some of the uncertainty in the market but creates additional risks due to greater capacity, more complexity in operations and coordination of treatment and training activities.</w:t>
      </w:r>
    </w:p>
    <w:p w14:paraId="487DE5C3" w14:textId="77777777" w:rsidR="00F306A8" w:rsidRDefault="00F306A8">
      <w:pPr>
        <w:rPr>
          <w:rFonts w:ascii="Calibri" w:hAnsi="Calibri" w:cs="Calibri"/>
          <w:sz w:val="24"/>
          <w:szCs w:val="24"/>
        </w:rPr>
      </w:pPr>
      <w:r>
        <w:rPr>
          <w:rFonts w:ascii="Calibri" w:hAnsi="Calibri" w:cs="Calibri"/>
          <w:sz w:val="24"/>
          <w:szCs w:val="24"/>
        </w:rPr>
        <w:br w:type="page"/>
      </w:r>
    </w:p>
    <w:p w14:paraId="7A187BD2" w14:textId="77777777" w:rsidR="002621E5" w:rsidRPr="00F306A8" w:rsidRDefault="002621E5" w:rsidP="00F306A8">
      <w:pPr>
        <w:spacing w:line="360" w:lineRule="auto"/>
        <w:jc w:val="both"/>
        <w:rPr>
          <w:rFonts w:ascii="Calibri" w:hAnsi="Calibri" w:cs="Calibri"/>
          <w:sz w:val="24"/>
          <w:szCs w:val="24"/>
        </w:rPr>
      </w:pPr>
    </w:p>
    <w:p w14:paraId="577F009D"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1</w:t>
      </w:r>
      <w:r w:rsidRPr="00F306A8">
        <w:rPr>
          <w:rFonts w:ascii="Calibri" w:hAnsi="Calibri" w:cs="Calibri"/>
          <w:noProof/>
          <w:sz w:val="24"/>
          <w:szCs w:val="24"/>
        </w:rPr>
        <w:fldChar w:fldCharType="end"/>
      </w:r>
      <w:r w:rsidRPr="00F306A8">
        <w:rPr>
          <w:rFonts w:ascii="Calibri" w:hAnsi="Calibri" w:cs="Calibri"/>
          <w:sz w:val="24"/>
          <w:szCs w:val="24"/>
        </w:rPr>
        <w:t>. Project Charter</w:t>
      </w:r>
    </w:p>
    <w:tbl>
      <w:tblPr>
        <w:tblStyle w:val="TableGrid"/>
        <w:tblW w:w="0" w:type="auto"/>
        <w:jc w:val="center"/>
        <w:tblLook w:val="04A0" w:firstRow="1" w:lastRow="0" w:firstColumn="1" w:lastColumn="0" w:noHBand="0" w:noVBand="1"/>
      </w:tblPr>
      <w:tblGrid>
        <w:gridCol w:w="2381"/>
        <w:gridCol w:w="6236"/>
      </w:tblGrid>
      <w:tr w:rsidR="002621E5" w:rsidRPr="00F306A8" w14:paraId="52AAA6A7" w14:textId="77777777" w:rsidTr="003406A0">
        <w:trPr>
          <w:jc w:val="center"/>
        </w:trPr>
        <w:tc>
          <w:tcPr>
            <w:tcW w:w="2381" w:type="dxa"/>
            <w:shd w:val="clear" w:color="auto" w:fill="D9EAD3"/>
            <w:vAlign w:val="center"/>
          </w:tcPr>
          <w:p w14:paraId="3E475CD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Element</w:t>
            </w:r>
          </w:p>
        </w:tc>
        <w:tc>
          <w:tcPr>
            <w:tcW w:w="6236" w:type="dxa"/>
            <w:shd w:val="clear" w:color="auto" w:fill="D9EAD3"/>
            <w:vAlign w:val="center"/>
          </w:tcPr>
          <w:p w14:paraId="52C10A0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Project Definition</w:t>
            </w:r>
          </w:p>
        </w:tc>
      </w:tr>
      <w:tr w:rsidR="002621E5" w:rsidRPr="00F306A8" w14:paraId="63430781" w14:textId="77777777" w:rsidTr="003406A0">
        <w:trPr>
          <w:jc w:val="center"/>
        </w:trPr>
        <w:tc>
          <w:tcPr>
            <w:tcW w:w="2381" w:type="dxa"/>
            <w:vAlign w:val="center"/>
          </w:tcPr>
          <w:p w14:paraId="77C8350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Project purpose</w:t>
            </w:r>
          </w:p>
        </w:tc>
        <w:tc>
          <w:tcPr>
            <w:tcW w:w="6236" w:type="dxa"/>
            <w:vAlign w:val="center"/>
          </w:tcPr>
          <w:p w14:paraId="56A717A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Expand Honey-Love Aesthetics by Michelle into Honey-Love the Beauty Box.</w:t>
            </w:r>
          </w:p>
        </w:tc>
      </w:tr>
      <w:tr w:rsidR="002621E5" w:rsidRPr="00F306A8" w14:paraId="003F886C" w14:textId="77777777" w:rsidTr="003406A0">
        <w:trPr>
          <w:jc w:val="center"/>
        </w:trPr>
        <w:tc>
          <w:tcPr>
            <w:tcW w:w="2381" w:type="dxa"/>
            <w:vAlign w:val="center"/>
          </w:tcPr>
          <w:p w14:paraId="1D83D5A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 sponsor</w:t>
            </w:r>
          </w:p>
        </w:tc>
        <w:tc>
          <w:tcPr>
            <w:tcW w:w="6236" w:type="dxa"/>
            <w:vAlign w:val="center"/>
          </w:tcPr>
          <w:p w14:paraId="65A82FD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Michelle, business owner.</w:t>
            </w:r>
          </w:p>
        </w:tc>
      </w:tr>
      <w:tr w:rsidR="002621E5" w:rsidRPr="00F306A8" w14:paraId="56069B22" w14:textId="77777777" w:rsidTr="003406A0">
        <w:trPr>
          <w:jc w:val="center"/>
        </w:trPr>
        <w:tc>
          <w:tcPr>
            <w:tcW w:w="2381" w:type="dxa"/>
            <w:vAlign w:val="center"/>
          </w:tcPr>
          <w:p w14:paraId="206157C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Project manager</w:t>
            </w:r>
          </w:p>
        </w:tc>
        <w:tc>
          <w:tcPr>
            <w:tcW w:w="6236" w:type="dxa"/>
            <w:vAlign w:val="center"/>
          </w:tcPr>
          <w:p w14:paraId="5170234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Michelle, supported by specialist external </w:t>
            </w:r>
            <w:proofErr w:type="gramStart"/>
            <w:r w:rsidRPr="00F306A8">
              <w:rPr>
                <w:rFonts w:ascii="Calibri" w:hAnsi="Calibri" w:cs="Calibri"/>
                <w:sz w:val="24"/>
                <w:szCs w:val="24"/>
              </w:rPr>
              <w:t>providers</w:t>
            </w:r>
            <w:proofErr w:type="gramEnd"/>
            <w:r w:rsidRPr="00F306A8">
              <w:rPr>
                <w:rFonts w:ascii="Calibri" w:hAnsi="Calibri" w:cs="Calibri"/>
                <w:sz w:val="24"/>
                <w:szCs w:val="24"/>
              </w:rPr>
              <w:t xml:space="preserve"> where required.</w:t>
            </w:r>
          </w:p>
        </w:tc>
      </w:tr>
      <w:tr w:rsidR="002621E5" w:rsidRPr="00F306A8" w14:paraId="76BD6825" w14:textId="77777777" w:rsidTr="003406A0">
        <w:trPr>
          <w:jc w:val="center"/>
        </w:trPr>
        <w:tc>
          <w:tcPr>
            <w:tcW w:w="2381" w:type="dxa"/>
            <w:vAlign w:val="center"/>
          </w:tcPr>
          <w:p w14:paraId="567A4B9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Main deliverable</w:t>
            </w:r>
          </w:p>
        </w:tc>
        <w:tc>
          <w:tcPr>
            <w:tcW w:w="6236" w:type="dxa"/>
            <w:vAlign w:val="center"/>
          </w:tcPr>
          <w:p w14:paraId="2CB3547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Fully operational larger aesthetics and training salon.</w:t>
            </w:r>
          </w:p>
        </w:tc>
      </w:tr>
      <w:tr w:rsidR="002621E5" w:rsidRPr="00F306A8" w14:paraId="44417F3C" w14:textId="77777777" w:rsidTr="003406A0">
        <w:trPr>
          <w:jc w:val="center"/>
        </w:trPr>
        <w:tc>
          <w:tcPr>
            <w:tcW w:w="2381" w:type="dxa"/>
            <w:vAlign w:val="center"/>
          </w:tcPr>
          <w:p w14:paraId="5B5155B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Included scope</w:t>
            </w:r>
          </w:p>
        </w:tc>
        <w:tc>
          <w:tcPr>
            <w:tcW w:w="6236" w:type="dxa"/>
            <w:vAlign w:val="center"/>
          </w:tcPr>
          <w:p w14:paraId="5A532F1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Premises preparation, equipment, systems, branding, training readiness, data controls, supplier readiness, launch and handover.</w:t>
            </w:r>
          </w:p>
        </w:tc>
      </w:tr>
      <w:tr w:rsidR="002621E5" w:rsidRPr="00F306A8" w14:paraId="5209B982" w14:textId="77777777" w:rsidTr="003406A0">
        <w:trPr>
          <w:jc w:val="center"/>
        </w:trPr>
        <w:tc>
          <w:tcPr>
            <w:tcW w:w="2381" w:type="dxa"/>
            <w:vAlign w:val="center"/>
          </w:tcPr>
          <w:p w14:paraId="1FBAF56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Excluded scope</w:t>
            </w:r>
          </w:p>
        </w:tc>
        <w:tc>
          <w:tcPr>
            <w:tcW w:w="6236" w:type="dxa"/>
            <w:vAlign w:val="center"/>
          </w:tcPr>
          <w:p w14:paraId="6264D9F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Routine individual client treatments after formal launch and unrelated future expansions.</w:t>
            </w:r>
          </w:p>
        </w:tc>
      </w:tr>
      <w:tr w:rsidR="002621E5" w:rsidRPr="00F306A8" w14:paraId="7F596674" w14:textId="77777777" w:rsidTr="003406A0">
        <w:trPr>
          <w:jc w:val="center"/>
        </w:trPr>
        <w:tc>
          <w:tcPr>
            <w:tcW w:w="2381" w:type="dxa"/>
            <w:vAlign w:val="center"/>
          </w:tcPr>
          <w:p w14:paraId="5A1E8A9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Indicative duration</w:t>
            </w:r>
          </w:p>
        </w:tc>
        <w:tc>
          <w:tcPr>
            <w:tcW w:w="6236" w:type="dxa"/>
            <w:vAlign w:val="center"/>
          </w:tcPr>
          <w:p w14:paraId="60B79EF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14-week controlled implementation </w:t>
            </w:r>
            <w:proofErr w:type="spellStart"/>
            <w:r w:rsidRPr="00F306A8">
              <w:rPr>
                <w:rFonts w:ascii="Calibri" w:hAnsi="Calibri" w:cs="Calibri"/>
                <w:sz w:val="24"/>
                <w:szCs w:val="24"/>
              </w:rPr>
              <w:t>programme</w:t>
            </w:r>
            <w:proofErr w:type="spellEnd"/>
            <w:r w:rsidRPr="00F306A8">
              <w:rPr>
                <w:rFonts w:ascii="Calibri" w:hAnsi="Calibri" w:cs="Calibri"/>
                <w:sz w:val="24"/>
                <w:szCs w:val="24"/>
              </w:rPr>
              <w:t>.</w:t>
            </w:r>
          </w:p>
        </w:tc>
      </w:tr>
      <w:tr w:rsidR="002621E5" w:rsidRPr="00F306A8" w14:paraId="5C62F6F5" w14:textId="77777777" w:rsidTr="003406A0">
        <w:trPr>
          <w:jc w:val="center"/>
        </w:trPr>
        <w:tc>
          <w:tcPr>
            <w:tcW w:w="2381" w:type="dxa"/>
            <w:vAlign w:val="center"/>
          </w:tcPr>
          <w:p w14:paraId="23BC675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Cost control</w:t>
            </w:r>
          </w:p>
        </w:tc>
        <w:tc>
          <w:tcPr>
            <w:tcW w:w="6236" w:type="dxa"/>
            <w:vAlign w:val="center"/>
          </w:tcPr>
          <w:p w14:paraId="0DD5C13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Owner-approved baseline budget with contingency and formal change approval.</w:t>
            </w:r>
          </w:p>
        </w:tc>
      </w:tr>
      <w:tr w:rsidR="002621E5" w:rsidRPr="00F306A8" w14:paraId="1FD21112" w14:textId="77777777" w:rsidTr="003406A0">
        <w:trPr>
          <w:jc w:val="center"/>
        </w:trPr>
        <w:tc>
          <w:tcPr>
            <w:tcW w:w="2381" w:type="dxa"/>
            <w:vAlign w:val="center"/>
          </w:tcPr>
          <w:p w14:paraId="5BA8FEE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Quality objective</w:t>
            </w:r>
          </w:p>
        </w:tc>
        <w:tc>
          <w:tcPr>
            <w:tcW w:w="6236" w:type="dxa"/>
            <w:vAlign w:val="center"/>
          </w:tcPr>
          <w:p w14:paraId="7D46CA7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All critical readiness, service, confidentiality and operational checks completed before full launch.</w:t>
            </w:r>
          </w:p>
        </w:tc>
      </w:tr>
      <w:tr w:rsidR="002621E5" w:rsidRPr="00F306A8" w14:paraId="6ABA0AD7" w14:textId="77777777" w:rsidTr="003406A0">
        <w:trPr>
          <w:jc w:val="center"/>
        </w:trPr>
        <w:tc>
          <w:tcPr>
            <w:tcW w:w="2381" w:type="dxa"/>
            <w:vAlign w:val="center"/>
          </w:tcPr>
          <w:p w14:paraId="58E5B14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Privacy objective</w:t>
            </w:r>
          </w:p>
        </w:tc>
        <w:tc>
          <w:tcPr>
            <w:tcW w:w="6236" w:type="dxa"/>
            <w:vAlign w:val="center"/>
          </w:tcPr>
          <w:p w14:paraId="7ECF1DE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Zero </w:t>
            </w:r>
            <w:proofErr w:type="spellStart"/>
            <w:r w:rsidRPr="00F306A8">
              <w:rPr>
                <w:rFonts w:ascii="Calibri" w:hAnsi="Calibri" w:cs="Calibri"/>
                <w:sz w:val="24"/>
                <w:szCs w:val="24"/>
              </w:rPr>
              <w:t>unauthorised</w:t>
            </w:r>
            <w:proofErr w:type="spellEnd"/>
            <w:r w:rsidRPr="00F306A8">
              <w:rPr>
                <w:rFonts w:ascii="Calibri" w:hAnsi="Calibri" w:cs="Calibri"/>
                <w:sz w:val="24"/>
                <w:szCs w:val="24"/>
              </w:rPr>
              <w:t xml:space="preserve"> disclosure of identifiable client information.</w:t>
            </w:r>
          </w:p>
        </w:tc>
      </w:tr>
      <w:tr w:rsidR="002621E5" w:rsidRPr="00F306A8" w14:paraId="623BFFCC" w14:textId="77777777" w:rsidTr="003406A0">
        <w:trPr>
          <w:jc w:val="center"/>
        </w:trPr>
        <w:tc>
          <w:tcPr>
            <w:tcW w:w="2381" w:type="dxa"/>
            <w:vAlign w:val="center"/>
          </w:tcPr>
          <w:p w14:paraId="7E3ECCA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Close criterion</w:t>
            </w:r>
          </w:p>
        </w:tc>
        <w:tc>
          <w:tcPr>
            <w:tcW w:w="6236" w:type="dxa"/>
            <w:vAlign w:val="center"/>
          </w:tcPr>
          <w:p w14:paraId="4A3EB1E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Premises and systems operational, critical defects closed, handover accepted and benefits baseline recorded.</w:t>
            </w:r>
          </w:p>
        </w:tc>
      </w:tr>
    </w:tbl>
    <w:p w14:paraId="32D1323E" w14:textId="77777777" w:rsidR="002621E5" w:rsidRPr="00F306A8" w:rsidRDefault="002621E5" w:rsidP="00F306A8">
      <w:pPr>
        <w:spacing w:after="40" w:line="360" w:lineRule="auto"/>
        <w:jc w:val="both"/>
        <w:rPr>
          <w:rFonts w:ascii="Calibri" w:hAnsi="Calibri" w:cs="Calibri"/>
          <w:sz w:val="24"/>
          <w:szCs w:val="24"/>
        </w:rPr>
      </w:pPr>
    </w:p>
    <w:p w14:paraId="1E81350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Financial control should not only be on the reduction of expenditure. The extension would be a false economy if it were at a high cost and compromised the quality, usability or reputation. The approved budget should be distributed accordingly as facilities</w:t>
      </w:r>
      <w:proofErr w:type="gramStart"/>
      <w:r w:rsidRPr="00F306A8">
        <w:rPr>
          <w:rFonts w:ascii="Calibri" w:hAnsi="Calibri" w:cs="Calibri"/>
          <w:sz w:val="24"/>
          <w:szCs w:val="24"/>
        </w:rPr>
        <w:t>/ fit</w:t>
      </w:r>
      <w:proofErr w:type="gramEnd"/>
      <w:r w:rsidRPr="00F306A8">
        <w:rPr>
          <w:rFonts w:ascii="Calibri" w:hAnsi="Calibri" w:cs="Calibri"/>
          <w:sz w:val="24"/>
          <w:szCs w:val="24"/>
        </w:rPr>
        <w:t xml:space="preserve"> out, equipment/furniture, treatment stock, information systems, training materials/professional services, marketing, contingency. Allocation based on percentage might be able to safeguard commercially sensitive information without compromising variance analysis.</w:t>
      </w:r>
    </w:p>
    <w:p w14:paraId="5DDC832B" w14:textId="77777777" w:rsidR="002621E5"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 xml:space="preserve">Measurements of success should be </w:t>
      </w:r>
      <w:proofErr w:type="gramStart"/>
      <w:r w:rsidRPr="00F306A8">
        <w:rPr>
          <w:rFonts w:ascii="Calibri" w:hAnsi="Calibri" w:cs="Calibri"/>
          <w:sz w:val="24"/>
          <w:szCs w:val="24"/>
        </w:rPr>
        <w:t>done</w:t>
      </w:r>
      <w:proofErr w:type="gramEnd"/>
      <w:r w:rsidRPr="00F306A8">
        <w:rPr>
          <w:rFonts w:ascii="Calibri" w:hAnsi="Calibri" w:cs="Calibri"/>
          <w:sz w:val="24"/>
          <w:szCs w:val="24"/>
        </w:rPr>
        <w:t xml:space="preserve"> at both the project and business level. Project success would be evidenced by opening within time tolerance, operating within the budget, meeting 100% of critical readiness checks, having no confidentiality issues identified, testing booking and payment systems and preparing the training environment. Then the benefits of the business should be reviewed after one month, three months, and six months have passed, such as aggregate measures such as capacity </w:t>
      </w:r>
      <w:proofErr w:type="spellStart"/>
      <w:r w:rsidRPr="00F306A8">
        <w:rPr>
          <w:rFonts w:ascii="Calibri" w:hAnsi="Calibri" w:cs="Calibri"/>
          <w:sz w:val="24"/>
          <w:szCs w:val="24"/>
        </w:rPr>
        <w:t>utilisation</w:t>
      </w:r>
      <w:proofErr w:type="spellEnd"/>
      <w:r w:rsidRPr="00F306A8">
        <w:rPr>
          <w:rFonts w:ascii="Calibri" w:hAnsi="Calibri" w:cs="Calibri"/>
          <w:sz w:val="24"/>
          <w:szCs w:val="24"/>
        </w:rPr>
        <w:t>, revenue trend, training enrolment and satisfaction. The difference is important because the opening of the salon is an output, whereas sustainable commercial improvement is the outcome. The results from the SMEs showed that the goal is clearly defined, clients are consulted, and the project manager's skills and stakeholder involvement are closely related to project success (Bjelica et al., 2023).</w:t>
      </w:r>
    </w:p>
    <w:p w14:paraId="05130D6B" w14:textId="77777777" w:rsidR="008D7A0E" w:rsidRPr="00F306A8" w:rsidRDefault="008D7A0E" w:rsidP="00F306A8">
      <w:pPr>
        <w:spacing w:line="360" w:lineRule="auto"/>
        <w:jc w:val="both"/>
        <w:rPr>
          <w:rFonts w:ascii="Calibri" w:hAnsi="Calibri" w:cs="Calibri"/>
          <w:sz w:val="24"/>
          <w:szCs w:val="24"/>
        </w:rPr>
      </w:pPr>
    </w:p>
    <w:p w14:paraId="6FA0EDD9" w14:textId="77777777" w:rsidR="002621E5" w:rsidRPr="00F306A8" w:rsidRDefault="002621E5" w:rsidP="00F306A8">
      <w:pPr>
        <w:pStyle w:val="Heading1"/>
        <w:spacing w:line="360" w:lineRule="auto"/>
        <w:jc w:val="both"/>
        <w:rPr>
          <w:rFonts w:ascii="Calibri" w:hAnsi="Calibri" w:cs="Calibri"/>
          <w:sz w:val="24"/>
          <w:szCs w:val="24"/>
        </w:rPr>
      </w:pPr>
      <w:bookmarkStart w:id="3" w:name="_Toc238977973"/>
      <w:r w:rsidRPr="00F306A8">
        <w:rPr>
          <w:rFonts w:ascii="Calibri" w:hAnsi="Calibri" w:cs="Calibri"/>
          <w:sz w:val="24"/>
          <w:szCs w:val="24"/>
        </w:rPr>
        <w:t>3. Project Management Methodology</w:t>
      </w:r>
      <w:bookmarkEnd w:id="3"/>
    </w:p>
    <w:p w14:paraId="0BD186E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No single project-management methodology is automatically superior. The right way to do this will be determined by uncertainty, needs of stakeholders, dependencies and the type of deliverables. The sequential methods are very good at providing a high level of control when requirements are likely to remain stable, whereas the Agile methods can be employed when learning and change are likely (Wysocki, 2019).</w:t>
      </w:r>
    </w:p>
    <w:p w14:paraId="0030590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pure Waterfall approach would provide valuable discipline to Honey-Love. Sometimes, the installation of the equipment must be done after the premises have been approved; the physical environment needs to be in place before the equipment is set up; and important systems need to be in place before the salon opens. These dependencies would be apparent in a Gantt and in a stage-by-stage approval process. The downside is its lack of flexibility: </w:t>
      </w:r>
      <w:proofErr w:type="gramStart"/>
      <w:r w:rsidRPr="00F306A8">
        <w:rPr>
          <w:rFonts w:ascii="Calibri" w:hAnsi="Calibri" w:cs="Calibri"/>
          <w:sz w:val="24"/>
          <w:szCs w:val="24"/>
        </w:rPr>
        <w:t>if</w:t>
      </w:r>
      <w:proofErr w:type="gramEnd"/>
      <w:r w:rsidRPr="00F306A8">
        <w:rPr>
          <w:rFonts w:ascii="Calibri" w:hAnsi="Calibri" w:cs="Calibri"/>
          <w:sz w:val="24"/>
          <w:szCs w:val="24"/>
        </w:rPr>
        <w:t xml:space="preserve"> planned actions can no longer be taken due to client feedback, the availability of suppliers or the emergence of new marketing opportunities.</w:t>
      </w:r>
    </w:p>
    <w:p w14:paraId="59D5367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completely Agile model would also be inappropriate. The owner is never able to re-design physical premises or continuously change critical readiness requirements without costs or schedule consequences. Formal controls are required for the following expenditure, quality, suppliers and professional responsibilities. A hybrid approach is thus the most suitable approach. The business case, premises, budget, procurement, equipment, readiness and opening milestone should be controlled by predictive controls. Marketing, </w:t>
      </w:r>
      <w:r w:rsidRPr="00F306A8">
        <w:rPr>
          <w:rFonts w:ascii="Calibri" w:hAnsi="Calibri" w:cs="Calibri"/>
          <w:sz w:val="24"/>
          <w:szCs w:val="24"/>
        </w:rPr>
        <w:lastRenderedPageBreak/>
        <w:t>customer communications, training materials, layout refinements and booking workflows can all be done using iterative approaches.</w:t>
      </w:r>
    </w:p>
    <w:p w14:paraId="63975EE7" w14:textId="77777777" w:rsidR="002621E5"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Studies conducted in non-software SMEs reveal that some Agile practices can enhance communication, flexibility and </w:t>
      </w:r>
      <w:proofErr w:type="gramStart"/>
      <w:r w:rsidRPr="00F306A8">
        <w:rPr>
          <w:rFonts w:ascii="Calibri" w:hAnsi="Calibri" w:cs="Calibri"/>
          <w:sz w:val="24"/>
          <w:szCs w:val="24"/>
        </w:rPr>
        <w:t>early problem</w:t>
      </w:r>
      <w:proofErr w:type="gramEnd"/>
      <w:r w:rsidRPr="00F306A8">
        <w:rPr>
          <w:rFonts w:ascii="Calibri" w:hAnsi="Calibri" w:cs="Calibri"/>
          <w:sz w:val="24"/>
          <w:szCs w:val="24"/>
        </w:rPr>
        <w:t xml:space="preserve"> detection without the necessity to adopt an entire Agile framework (Žužek et al., 2020). But in some cases, hybrid methods can be ineffective if the methodology is not well understood or when it is not linked to business goals and stakeholder ability (</w:t>
      </w:r>
      <w:proofErr w:type="spellStart"/>
      <w:r w:rsidRPr="00F306A8">
        <w:rPr>
          <w:rFonts w:ascii="Calibri" w:hAnsi="Calibri" w:cs="Calibri"/>
          <w:sz w:val="24"/>
          <w:szCs w:val="24"/>
        </w:rPr>
        <w:t>Sithambaram</w:t>
      </w:r>
      <w:proofErr w:type="spellEnd"/>
      <w:r w:rsidRPr="00F306A8">
        <w:rPr>
          <w:rFonts w:ascii="Calibri" w:hAnsi="Calibri" w:cs="Calibri"/>
          <w:sz w:val="24"/>
          <w:szCs w:val="24"/>
        </w:rPr>
        <w:t xml:space="preserve"> et al., 2021). Therefore, Honey-Love needs to </w:t>
      </w:r>
      <w:proofErr w:type="spellStart"/>
      <w:r w:rsidRPr="00F306A8">
        <w:rPr>
          <w:rFonts w:ascii="Calibri" w:hAnsi="Calibri" w:cs="Calibri"/>
          <w:sz w:val="24"/>
          <w:szCs w:val="24"/>
        </w:rPr>
        <w:t>customise</w:t>
      </w:r>
      <w:proofErr w:type="spellEnd"/>
      <w:r w:rsidRPr="00F306A8">
        <w:rPr>
          <w:rFonts w:ascii="Calibri" w:hAnsi="Calibri" w:cs="Calibri"/>
          <w:sz w:val="24"/>
          <w:szCs w:val="24"/>
        </w:rPr>
        <w:t xml:space="preserve"> its methods as opposed to mechanically applying them. In a microbusiness, proportionalism is an especially crucial aspect of governance as it needs to give control without adding unnecessary administration. The importance of leadership is also highlighted: Ansari et al (2024) identified that leadership </w:t>
      </w:r>
      <w:proofErr w:type="spellStart"/>
      <w:r w:rsidRPr="00F306A8">
        <w:rPr>
          <w:rFonts w:ascii="Calibri" w:hAnsi="Calibri" w:cs="Calibri"/>
          <w:sz w:val="24"/>
          <w:szCs w:val="24"/>
        </w:rPr>
        <w:t>behaviours</w:t>
      </w:r>
      <w:proofErr w:type="spellEnd"/>
      <w:r w:rsidRPr="00F306A8">
        <w:rPr>
          <w:rFonts w:ascii="Calibri" w:hAnsi="Calibri" w:cs="Calibri"/>
          <w:sz w:val="24"/>
          <w:szCs w:val="24"/>
        </w:rPr>
        <w:t xml:space="preserve"> contribute to project excellence, to stakeholder satisfaction and to the delivery of projects against the key constraints.</w:t>
      </w:r>
    </w:p>
    <w:p w14:paraId="01EBF1A1" w14:textId="77777777" w:rsidR="00223C71" w:rsidRPr="00F306A8" w:rsidRDefault="00223C71" w:rsidP="00F306A8">
      <w:pPr>
        <w:spacing w:line="360" w:lineRule="auto"/>
        <w:jc w:val="both"/>
        <w:rPr>
          <w:rFonts w:ascii="Calibri" w:hAnsi="Calibri" w:cs="Calibri"/>
          <w:sz w:val="24"/>
          <w:szCs w:val="24"/>
        </w:rPr>
      </w:pPr>
    </w:p>
    <w:p w14:paraId="4120ACD1" w14:textId="77777777" w:rsidR="002621E5" w:rsidRPr="00F306A8" w:rsidRDefault="002621E5" w:rsidP="00F306A8">
      <w:pPr>
        <w:pStyle w:val="Heading1"/>
        <w:spacing w:line="360" w:lineRule="auto"/>
        <w:jc w:val="both"/>
        <w:rPr>
          <w:rFonts w:ascii="Calibri" w:hAnsi="Calibri" w:cs="Calibri"/>
          <w:sz w:val="24"/>
          <w:szCs w:val="24"/>
        </w:rPr>
      </w:pPr>
      <w:bookmarkStart w:id="4" w:name="_Toc238977974"/>
      <w:r w:rsidRPr="00F306A8">
        <w:rPr>
          <w:rFonts w:ascii="Calibri" w:hAnsi="Calibri" w:cs="Calibri"/>
          <w:sz w:val="24"/>
          <w:szCs w:val="24"/>
        </w:rPr>
        <w:t>4. Project Initiation, Stakeholders and the Knowledge Economy</w:t>
      </w:r>
      <w:bookmarkEnd w:id="4"/>
    </w:p>
    <w:p w14:paraId="1D92B32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initiation process takes a business opportunity and turns it into an </w:t>
      </w:r>
      <w:proofErr w:type="spellStart"/>
      <w:r w:rsidRPr="00F306A8">
        <w:rPr>
          <w:rFonts w:ascii="Calibri" w:hAnsi="Calibri" w:cs="Calibri"/>
          <w:sz w:val="24"/>
          <w:szCs w:val="24"/>
        </w:rPr>
        <w:t>authorised</w:t>
      </w:r>
      <w:proofErr w:type="spellEnd"/>
      <w:r w:rsidRPr="00F306A8">
        <w:rPr>
          <w:rFonts w:ascii="Calibri" w:hAnsi="Calibri" w:cs="Calibri"/>
          <w:sz w:val="24"/>
          <w:szCs w:val="24"/>
        </w:rPr>
        <w:t xml:space="preserve"> and </w:t>
      </w:r>
      <w:proofErr w:type="spellStart"/>
      <w:r w:rsidRPr="00F306A8">
        <w:rPr>
          <w:rFonts w:ascii="Calibri" w:hAnsi="Calibri" w:cs="Calibri"/>
          <w:sz w:val="24"/>
          <w:szCs w:val="24"/>
        </w:rPr>
        <w:t>recognised</w:t>
      </w:r>
      <w:proofErr w:type="spellEnd"/>
      <w:r w:rsidRPr="00F306A8">
        <w:rPr>
          <w:rFonts w:ascii="Calibri" w:hAnsi="Calibri" w:cs="Calibri"/>
          <w:sz w:val="24"/>
          <w:szCs w:val="24"/>
        </w:rPr>
        <w:t xml:space="preserve"> project. The initial actions should lay out the project mandate, project scope, project objectives, project assumptions, stakeholder requirements, budget boundary and project success criteria. In Honey-Love, these activities must also be aware that the business is in the knowledge economy.</w:t>
      </w:r>
    </w:p>
    <w:p w14:paraId="1FEFC83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knowledge economy is defined by Powell and Snellman (2004) as a knowledge-based economy that relies more on knowledge-intensive skill sets to gain competitive advantage than on physical resources. This directly relates to </w:t>
      </w:r>
      <w:proofErr w:type="gramStart"/>
      <w:r w:rsidRPr="00F306A8">
        <w:rPr>
          <w:rFonts w:ascii="Calibri" w:hAnsi="Calibri" w:cs="Calibri"/>
          <w:sz w:val="24"/>
          <w:szCs w:val="24"/>
        </w:rPr>
        <w:t>an aesthetics</w:t>
      </w:r>
      <w:proofErr w:type="gramEnd"/>
      <w:r w:rsidRPr="00F306A8">
        <w:rPr>
          <w:rFonts w:ascii="Calibri" w:hAnsi="Calibri" w:cs="Calibri"/>
          <w:sz w:val="24"/>
          <w:szCs w:val="24"/>
        </w:rPr>
        <w:t xml:space="preserve"> and training business. Treatment beds, furniture or premises are not the most valuable resources; they are specialist skills, judgement, experience, teaching ability, service protocols, brand recognition and professional relationships.</w:t>
      </w:r>
    </w:p>
    <w:p w14:paraId="4CE0D92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Three kinds of intellectual capital could be used for Honey-</w:t>
      </w:r>
      <w:proofErr w:type="spellStart"/>
      <w:r w:rsidRPr="00F306A8">
        <w:rPr>
          <w:rFonts w:ascii="Calibri" w:hAnsi="Calibri" w:cs="Calibri"/>
          <w:sz w:val="24"/>
          <w:szCs w:val="24"/>
        </w:rPr>
        <w:t>Love</w:t>
      </w:r>
      <w:proofErr w:type="gramStart"/>
      <w:r w:rsidRPr="00F306A8">
        <w:rPr>
          <w:rFonts w:ascii="Calibri" w:hAnsi="Calibri" w:cs="Calibri"/>
          <w:sz w:val="24"/>
          <w:szCs w:val="24"/>
        </w:rPr>
        <w:t>.The</w:t>
      </w:r>
      <w:proofErr w:type="spellEnd"/>
      <w:proofErr w:type="gramEnd"/>
      <w:r w:rsidRPr="00F306A8">
        <w:rPr>
          <w:rFonts w:ascii="Calibri" w:hAnsi="Calibri" w:cs="Calibri"/>
          <w:sz w:val="24"/>
          <w:szCs w:val="24"/>
        </w:rPr>
        <w:t xml:space="preserve"> intellectual capital that could be used for Honey-Love could be </w:t>
      </w:r>
      <w:proofErr w:type="spellStart"/>
      <w:r w:rsidRPr="00F306A8">
        <w:rPr>
          <w:rFonts w:ascii="Calibri" w:hAnsi="Calibri" w:cs="Calibri"/>
          <w:sz w:val="24"/>
          <w:szCs w:val="24"/>
        </w:rPr>
        <w:t>categorised</w:t>
      </w:r>
      <w:proofErr w:type="spellEnd"/>
      <w:r w:rsidRPr="00F306A8">
        <w:rPr>
          <w:rFonts w:ascii="Calibri" w:hAnsi="Calibri" w:cs="Calibri"/>
          <w:sz w:val="24"/>
          <w:szCs w:val="24"/>
        </w:rPr>
        <w:t xml:space="preserve"> in three ways. Michelle's specialist knowledge, business experience and training capability are examples of human capital. Structural capital consists of procedures, policies, booking systems, checklists, training resources, course materials and brand systems. Relational capital includes aspects like trust with clients, trainees, suppliers and professional contacts. The literature indicates that </w:t>
      </w:r>
      <w:r w:rsidRPr="00F306A8">
        <w:rPr>
          <w:rFonts w:ascii="Calibri" w:hAnsi="Calibri" w:cs="Calibri"/>
          <w:sz w:val="24"/>
          <w:szCs w:val="24"/>
        </w:rPr>
        <w:lastRenderedPageBreak/>
        <w:t>knowledge management and intellectual capital can contribute to innovation, planning effectiveness and sustainable SME performance (Cardoni et al., 2020; Giampaoli et al., 2021; Jordão &amp; Novas, 2022; Yu et al., 2022).</w:t>
      </w:r>
    </w:p>
    <w:p w14:paraId="68F7413F" w14:textId="77777777" w:rsidR="002621E5"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There are, however, definite limits to knowledge sharing. Information gathered by the client is private and not seen as freely shared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knowledge. There is no need to include names, identifiable photographs, treatment histories or personal records for this project report. Project learning and training should be based on generic, anonymous or suitably </w:t>
      </w:r>
      <w:proofErr w:type="spellStart"/>
      <w:r w:rsidRPr="00F306A8">
        <w:rPr>
          <w:rFonts w:ascii="Calibri" w:hAnsi="Calibri" w:cs="Calibri"/>
          <w:sz w:val="24"/>
          <w:szCs w:val="24"/>
        </w:rPr>
        <w:t>authorised</w:t>
      </w:r>
      <w:proofErr w:type="spellEnd"/>
      <w:r w:rsidRPr="00F306A8">
        <w:rPr>
          <w:rFonts w:ascii="Calibri" w:hAnsi="Calibri" w:cs="Calibri"/>
          <w:sz w:val="24"/>
          <w:szCs w:val="24"/>
        </w:rPr>
        <w:t xml:space="preserve"> material. Purpose limitation, data </w:t>
      </w:r>
      <w:proofErr w:type="spellStart"/>
      <w:r w:rsidRPr="00F306A8">
        <w:rPr>
          <w:rFonts w:ascii="Calibri" w:hAnsi="Calibri" w:cs="Calibri"/>
          <w:sz w:val="24"/>
          <w:szCs w:val="24"/>
        </w:rPr>
        <w:t>minimisation</w:t>
      </w:r>
      <w:proofErr w:type="spellEnd"/>
      <w:r w:rsidRPr="00F306A8">
        <w:rPr>
          <w:rFonts w:ascii="Calibri" w:hAnsi="Calibri" w:cs="Calibri"/>
          <w:sz w:val="24"/>
          <w:szCs w:val="24"/>
        </w:rPr>
        <w:t xml:space="preserve">, integrity, confidentiality and accountability (Information Commissioner's Office [ICO], 2026) are principles that UK data protection regulations focus on. Securing client information is thus an ethical pledge and a project need. The right objective is to capture valid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knowledge as SOPs, checklists, templates and lessons learned and at the same time ensure the safe handling of personal information (Durst et al., 2022; Oliveira et al., 2020).</w:t>
      </w:r>
    </w:p>
    <w:p w14:paraId="25AEB1A7" w14:textId="77777777" w:rsidR="00910047" w:rsidRPr="00F306A8" w:rsidRDefault="00910047" w:rsidP="00F306A8">
      <w:pPr>
        <w:spacing w:line="360" w:lineRule="auto"/>
        <w:jc w:val="both"/>
        <w:rPr>
          <w:rFonts w:ascii="Calibri" w:hAnsi="Calibri" w:cs="Calibri"/>
          <w:sz w:val="24"/>
          <w:szCs w:val="24"/>
        </w:rPr>
      </w:pPr>
    </w:p>
    <w:p w14:paraId="708F01CC" w14:textId="77777777" w:rsidR="002621E5" w:rsidRPr="00F306A8" w:rsidRDefault="002621E5" w:rsidP="00F306A8">
      <w:pPr>
        <w:pStyle w:val="Heading2"/>
        <w:spacing w:line="360" w:lineRule="auto"/>
        <w:jc w:val="both"/>
        <w:rPr>
          <w:rFonts w:ascii="Calibri" w:hAnsi="Calibri" w:cs="Calibri"/>
          <w:sz w:val="24"/>
          <w:szCs w:val="24"/>
        </w:rPr>
      </w:pPr>
      <w:bookmarkStart w:id="5" w:name="_Toc238977975"/>
      <w:r w:rsidRPr="00F306A8">
        <w:rPr>
          <w:rFonts w:ascii="Calibri" w:hAnsi="Calibri" w:cs="Calibri"/>
          <w:sz w:val="24"/>
          <w:szCs w:val="24"/>
        </w:rPr>
        <w:t>4.1 Stakeholder Analysis</w:t>
      </w:r>
      <w:bookmarkEnd w:id="5"/>
    </w:p>
    <w:p w14:paraId="3944EF3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stakeholders should be </w:t>
      </w:r>
      <w:proofErr w:type="spellStart"/>
      <w:r w:rsidRPr="00F306A8">
        <w:rPr>
          <w:rFonts w:ascii="Calibri" w:hAnsi="Calibri" w:cs="Calibri"/>
          <w:sz w:val="24"/>
          <w:szCs w:val="24"/>
        </w:rPr>
        <w:t>prioritised</w:t>
      </w:r>
      <w:proofErr w:type="spellEnd"/>
      <w:r w:rsidRPr="00F306A8">
        <w:rPr>
          <w:rFonts w:ascii="Calibri" w:hAnsi="Calibri" w:cs="Calibri"/>
          <w:sz w:val="24"/>
          <w:szCs w:val="24"/>
        </w:rPr>
        <w:t xml:space="preserve"> based on their influence and interest. Additionally, Mitchell et al (1997) </w:t>
      </w:r>
      <w:proofErr w:type="gramStart"/>
      <w:r w:rsidRPr="00F306A8">
        <w:rPr>
          <w:rFonts w:ascii="Calibri" w:hAnsi="Calibri" w:cs="Calibri"/>
          <w:sz w:val="24"/>
          <w:szCs w:val="24"/>
        </w:rPr>
        <w:t>explain</w:t>
      </w:r>
      <w:proofErr w:type="gramEnd"/>
      <w:r w:rsidRPr="00F306A8">
        <w:rPr>
          <w:rFonts w:ascii="Calibri" w:hAnsi="Calibri" w:cs="Calibri"/>
          <w:sz w:val="24"/>
          <w:szCs w:val="24"/>
        </w:rPr>
        <w:t xml:space="preserve"> that the salience of a stakeholder is based on power, legitimacy and urgency. In a small business, the owner's power and interest is high, but other people like contractors, advisers, clients, trainees and technology providers are each important at specific points.</w:t>
      </w:r>
    </w:p>
    <w:p w14:paraId="249AC204"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2</w:t>
      </w:r>
      <w:r w:rsidRPr="00F306A8">
        <w:rPr>
          <w:rFonts w:ascii="Calibri" w:hAnsi="Calibri" w:cs="Calibri"/>
          <w:noProof/>
          <w:sz w:val="24"/>
          <w:szCs w:val="24"/>
        </w:rPr>
        <w:fldChar w:fldCharType="end"/>
      </w:r>
      <w:r w:rsidRPr="00F306A8">
        <w:rPr>
          <w:rFonts w:ascii="Calibri" w:hAnsi="Calibri" w:cs="Calibri"/>
          <w:sz w:val="24"/>
          <w:szCs w:val="24"/>
        </w:rPr>
        <w:t>. Stakeholder Power-Interest Analysis</w:t>
      </w:r>
    </w:p>
    <w:tbl>
      <w:tblPr>
        <w:tblStyle w:val="TableGrid"/>
        <w:tblW w:w="0" w:type="auto"/>
        <w:jc w:val="center"/>
        <w:tblLook w:val="04A0" w:firstRow="1" w:lastRow="0" w:firstColumn="1" w:lastColumn="0" w:noHBand="0" w:noVBand="1"/>
      </w:tblPr>
      <w:tblGrid>
        <w:gridCol w:w="2130"/>
        <w:gridCol w:w="1576"/>
        <w:gridCol w:w="1355"/>
        <w:gridCol w:w="3716"/>
      </w:tblGrid>
      <w:tr w:rsidR="002621E5" w:rsidRPr="00F306A8" w14:paraId="70472CB7" w14:textId="77777777" w:rsidTr="003406A0">
        <w:trPr>
          <w:jc w:val="center"/>
        </w:trPr>
        <w:tc>
          <w:tcPr>
            <w:tcW w:w="2268" w:type="dxa"/>
            <w:shd w:val="clear" w:color="auto" w:fill="D9EAD3"/>
            <w:vAlign w:val="center"/>
          </w:tcPr>
          <w:p w14:paraId="6011D88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Stakeholder</w:t>
            </w:r>
          </w:p>
        </w:tc>
        <w:tc>
          <w:tcPr>
            <w:tcW w:w="1417" w:type="dxa"/>
            <w:shd w:val="clear" w:color="auto" w:fill="D9EAD3"/>
            <w:vAlign w:val="center"/>
          </w:tcPr>
          <w:p w14:paraId="27ACEBB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Power</w:t>
            </w:r>
          </w:p>
        </w:tc>
        <w:tc>
          <w:tcPr>
            <w:tcW w:w="1417" w:type="dxa"/>
            <w:shd w:val="clear" w:color="auto" w:fill="D9EAD3"/>
            <w:vAlign w:val="center"/>
          </w:tcPr>
          <w:p w14:paraId="2FDCA80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Interest</w:t>
            </w:r>
          </w:p>
        </w:tc>
        <w:tc>
          <w:tcPr>
            <w:tcW w:w="3969" w:type="dxa"/>
            <w:shd w:val="clear" w:color="auto" w:fill="D9EAD3"/>
            <w:vAlign w:val="center"/>
          </w:tcPr>
          <w:p w14:paraId="3F27ADE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Management Strategy</w:t>
            </w:r>
          </w:p>
        </w:tc>
      </w:tr>
      <w:tr w:rsidR="002621E5" w:rsidRPr="00F306A8" w14:paraId="3DFE1493" w14:textId="77777777" w:rsidTr="003406A0">
        <w:trPr>
          <w:jc w:val="center"/>
        </w:trPr>
        <w:tc>
          <w:tcPr>
            <w:tcW w:w="2268" w:type="dxa"/>
            <w:vAlign w:val="center"/>
          </w:tcPr>
          <w:p w14:paraId="758B525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Michelle – owner / PM</w:t>
            </w:r>
          </w:p>
        </w:tc>
        <w:tc>
          <w:tcPr>
            <w:tcW w:w="1417" w:type="dxa"/>
            <w:vAlign w:val="center"/>
          </w:tcPr>
          <w:p w14:paraId="7CE339D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1417" w:type="dxa"/>
            <w:vAlign w:val="center"/>
          </w:tcPr>
          <w:p w14:paraId="342F8DC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1F5FEC6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Manage directly and continuously.</w:t>
            </w:r>
          </w:p>
        </w:tc>
      </w:tr>
      <w:tr w:rsidR="002621E5" w:rsidRPr="00F306A8" w14:paraId="73C2A753" w14:textId="77777777" w:rsidTr="003406A0">
        <w:trPr>
          <w:jc w:val="center"/>
        </w:trPr>
        <w:tc>
          <w:tcPr>
            <w:tcW w:w="2268" w:type="dxa"/>
            <w:vAlign w:val="center"/>
          </w:tcPr>
          <w:p w14:paraId="5768125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Clients collectively</w:t>
            </w:r>
          </w:p>
        </w:tc>
        <w:tc>
          <w:tcPr>
            <w:tcW w:w="1417" w:type="dxa"/>
            <w:vAlign w:val="center"/>
          </w:tcPr>
          <w:p w14:paraId="4E952DC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Medium/High</w:t>
            </w:r>
          </w:p>
        </w:tc>
        <w:tc>
          <w:tcPr>
            <w:tcW w:w="1417" w:type="dxa"/>
            <w:vAlign w:val="center"/>
          </w:tcPr>
          <w:p w14:paraId="4C0A541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434972B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Keep informed; use anonymous/aggregate feedback.</w:t>
            </w:r>
          </w:p>
        </w:tc>
      </w:tr>
      <w:tr w:rsidR="002621E5" w:rsidRPr="00F306A8" w14:paraId="42806C4B" w14:textId="77777777" w:rsidTr="003406A0">
        <w:trPr>
          <w:jc w:val="center"/>
        </w:trPr>
        <w:tc>
          <w:tcPr>
            <w:tcW w:w="2268" w:type="dxa"/>
            <w:vAlign w:val="center"/>
          </w:tcPr>
          <w:p w14:paraId="0D9A1AF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Trainees</w:t>
            </w:r>
          </w:p>
        </w:tc>
        <w:tc>
          <w:tcPr>
            <w:tcW w:w="1417" w:type="dxa"/>
            <w:vAlign w:val="center"/>
          </w:tcPr>
          <w:p w14:paraId="6C09E48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417" w:type="dxa"/>
            <w:vAlign w:val="center"/>
          </w:tcPr>
          <w:p w14:paraId="5290E49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1B9F1F4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Keep informed and consult on learning experience.</w:t>
            </w:r>
          </w:p>
        </w:tc>
      </w:tr>
      <w:tr w:rsidR="002621E5" w:rsidRPr="00F306A8" w14:paraId="3A5D05A3" w14:textId="77777777" w:rsidTr="003406A0">
        <w:trPr>
          <w:jc w:val="center"/>
        </w:trPr>
        <w:tc>
          <w:tcPr>
            <w:tcW w:w="2268" w:type="dxa"/>
            <w:vAlign w:val="center"/>
          </w:tcPr>
          <w:p w14:paraId="53C7503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Landlord / premises provider</w:t>
            </w:r>
          </w:p>
        </w:tc>
        <w:tc>
          <w:tcPr>
            <w:tcW w:w="1417" w:type="dxa"/>
            <w:vAlign w:val="center"/>
          </w:tcPr>
          <w:p w14:paraId="205E099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1417" w:type="dxa"/>
            <w:vAlign w:val="center"/>
          </w:tcPr>
          <w:p w14:paraId="52A24F4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37C9235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Keep satisfied and manage closely during fit-out.</w:t>
            </w:r>
          </w:p>
        </w:tc>
      </w:tr>
      <w:tr w:rsidR="002621E5" w:rsidRPr="00F306A8" w14:paraId="65989C5A" w14:textId="77777777" w:rsidTr="003406A0">
        <w:trPr>
          <w:jc w:val="center"/>
        </w:trPr>
        <w:tc>
          <w:tcPr>
            <w:tcW w:w="2268" w:type="dxa"/>
            <w:vAlign w:val="center"/>
          </w:tcPr>
          <w:p w14:paraId="1DAE19E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Contractors / suppliers</w:t>
            </w:r>
          </w:p>
        </w:tc>
        <w:tc>
          <w:tcPr>
            <w:tcW w:w="1417" w:type="dxa"/>
            <w:vAlign w:val="center"/>
          </w:tcPr>
          <w:p w14:paraId="3B257F8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Medium/High</w:t>
            </w:r>
          </w:p>
        </w:tc>
        <w:tc>
          <w:tcPr>
            <w:tcW w:w="1417" w:type="dxa"/>
            <w:vAlign w:val="center"/>
          </w:tcPr>
          <w:p w14:paraId="289A1D2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3B5C78F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Use clear specifications, milestones and escalation routes.</w:t>
            </w:r>
          </w:p>
        </w:tc>
      </w:tr>
      <w:tr w:rsidR="002621E5" w:rsidRPr="00F306A8" w14:paraId="3BF95B66" w14:textId="77777777" w:rsidTr="003406A0">
        <w:trPr>
          <w:jc w:val="center"/>
        </w:trPr>
        <w:tc>
          <w:tcPr>
            <w:tcW w:w="2268" w:type="dxa"/>
            <w:vAlign w:val="center"/>
          </w:tcPr>
          <w:p w14:paraId="2AB30AA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Insurer / professional advisers</w:t>
            </w:r>
          </w:p>
        </w:tc>
        <w:tc>
          <w:tcPr>
            <w:tcW w:w="1417" w:type="dxa"/>
            <w:vAlign w:val="center"/>
          </w:tcPr>
          <w:p w14:paraId="31AB857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 on specialist matters</w:t>
            </w:r>
          </w:p>
        </w:tc>
        <w:tc>
          <w:tcPr>
            <w:tcW w:w="1417" w:type="dxa"/>
            <w:vAlign w:val="center"/>
          </w:tcPr>
          <w:p w14:paraId="1C2C5BA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6CC4262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Consult at relevant decision gates.</w:t>
            </w:r>
          </w:p>
        </w:tc>
      </w:tr>
      <w:tr w:rsidR="002621E5" w:rsidRPr="00F306A8" w14:paraId="7C060448" w14:textId="77777777" w:rsidTr="003406A0">
        <w:trPr>
          <w:jc w:val="center"/>
        </w:trPr>
        <w:tc>
          <w:tcPr>
            <w:tcW w:w="2268" w:type="dxa"/>
            <w:vAlign w:val="center"/>
          </w:tcPr>
          <w:p w14:paraId="683423C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Booking / IT / payment providers</w:t>
            </w:r>
          </w:p>
        </w:tc>
        <w:tc>
          <w:tcPr>
            <w:tcW w:w="1417" w:type="dxa"/>
            <w:vAlign w:val="center"/>
          </w:tcPr>
          <w:p w14:paraId="334E882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417" w:type="dxa"/>
            <w:vAlign w:val="center"/>
          </w:tcPr>
          <w:p w14:paraId="66CB073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15E136F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Test systems and monitor service performance.</w:t>
            </w:r>
          </w:p>
        </w:tc>
      </w:tr>
      <w:tr w:rsidR="002621E5" w:rsidRPr="00F306A8" w14:paraId="4C002085" w14:textId="77777777" w:rsidTr="003406A0">
        <w:trPr>
          <w:jc w:val="center"/>
        </w:trPr>
        <w:tc>
          <w:tcPr>
            <w:tcW w:w="2268" w:type="dxa"/>
            <w:vAlign w:val="center"/>
          </w:tcPr>
          <w:p w14:paraId="0DDF2F9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Accountant / financial adviser</w:t>
            </w:r>
          </w:p>
        </w:tc>
        <w:tc>
          <w:tcPr>
            <w:tcW w:w="1417" w:type="dxa"/>
            <w:vAlign w:val="center"/>
          </w:tcPr>
          <w:p w14:paraId="4631DAB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417" w:type="dxa"/>
            <w:vAlign w:val="center"/>
          </w:tcPr>
          <w:p w14:paraId="01A0B26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0CE86F3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Consult on affordability, cash flow and benefits.</w:t>
            </w:r>
          </w:p>
        </w:tc>
      </w:tr>
      <w:tr w:rsidR="002621E5" w:rsidRPr="00F306A8" w14:paraId="43CA04A7" w14:textId="77777777" w:rsidTr="003406A0">
        <w:trPr>
          <w:jc w:val="center"/>
        </w:trPr>
        <w:tc>
          <w:tcPr>
            <w:tcW w:w="2268" w:type="dxa"/>
            <w:vAlign w:val="center"/>
          </w:tcPr>
          <w:p w14:paraId="3BEC7DD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Wider public / social audience</w:t>
            </w:r>
          </w:p>
        </w:tc>
        <w:tc>
          <w:tcPr>
            <w:tcW w:w="1417" w:type="dxa"/>
            <w:vAlign w:val="center"/>
          </w:tcPr>
          <w:p w14:paraId="7AA4C2C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Low individually</w:t>
            </w:r>
          </w:p>
        </w:tc>
        <w:tc>
          <w:tcPr>
            <w:tcW w:w="1417" w:type="dxa"/>
            <w:vAlign w:val="center"/>
          </w:tcPr>
          <w:p w14:paraId="1DD20B9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1E126C1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Monitor reputation and communicate consistently.</w:t>
            </w:r>
          </w:p>
        </w:tc>
      </w:tr>
    </w:tbl>
    <w:p w14:paraId="38214107" w14:textId="77777777" w:rsidR="002621E5" w:rsidRPr="00F306A8" w:rsidRDefault="002621E5" w:rsidP="00F306A8">
      <w:pPr>
        <w:spacing w:after="40" w:line="360" w:lineRule="auto"/>
        <w:jc w:val="both"/>
        <w:rPr>
          <w:rFonts w:ascii="Calibri" w:hAnsi="Calibri" w:cs="Calibri"/>
          <w:sz w:val="24"/>
          <w:szCs w:val="24"/>
        </w:rPr>
      </w:pPr>
    </w:p>
    <w:p w14:paraId="6EC8728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Since Michelle is both the owner and the project manager, the PM authority is combined with the </w:t>
      </w:r>
      <w:proofErr w:type="gramStart"/>
      <w:r w:rsidRPr="00F306A8">
        <w:rPr>
          <w:rFonts w:ascii="Calibri" w:hAnsi="Calibri" w:cs="Calibri"/>
          <w:sz w:val="24"/>
          <w:szCs w:val="24"/>
        </w:rPr>
        <w:t>sponsor's</w:t>
      </w:r>
      <w:proofErr w:type="gramEnd"/>
      <w:r w:rsidRPr="00F306A8">
        <w:rPr>
          <w:rFonts w:ascii="Calibri" w:hAnsi="Calibri" w:cs="Calibri"/>
          <w:sz w:val="24"/>
          <w:szCs w:val="24"/>
        </w:rPr>
        <w:t>. This increases speed whilst decreasing independent challenge. All major expenses and scope changes need to be discussed with an accountant, experienced mentor and/or an appropriate professional adviser. This does not relieve the owner's responsibility; it enhances the quality of decision-making.</w:t>
      </w:r>
    </w:p>
    <w:p w14:paraId="1ADE5560" w14:textId="77777777" w:rsidR="002621E5" w:rsidRPr="00F306A8" w:rsidRDefault="002621E5" w:rsidP="00F306A8">
      <w:pPr>
        <w:pStyle w:val="Heading1"/>
        <w:spacing w:line="360" w:lineRule="auto"/>
        <w:jc w:val="both"/>
        <w:rPr>
          <w:rFonts w:ascii="Calibri" w:hAnsi="Calibri" w:cs="Calibri"/>
          <w:sz w:val="24"/>
          <w:szCs w:val="24"/>
        </w:rPr>
      </w:pPr>
      <w:bookmarkStart w:id="6" w:name="_Toc238977976"/>
      <w:r w:rsidRPr="00F306A8">
        <w:rPr>
          <w:rFonts w:ascii="Calibri" w:hAnsi="Calibri" w:cs="Calibri"/>
          <w:sz w:val="24"/>
          <w:szCs w:val="24"/>
        </w:rPr>
        <w:t>5. Environmental Analysis: PESTLE and SWOT</w:t>
      </w:r>
      <w:bookmarkEnd w:id="6"/>
    </w:p>
    <w:p w14:paraId="5E7DFD7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Environmental analysis is used to avoid a project being only concerned with internal activity. The conditions (legal, economic, social, technological, environmental and competitive) under which a salon is expanding are beyond the control of the salon owner. PESTLE is useful as it widens the scope of </w:t>
      </w:r>
      <w:proofErr w:type="gramStart"/>
      <w:r w:rsidRPr="00F306A8">
        <w:rPr>
          <w:rFonts w:ascii="Calibri" w:hAnsi="Calibri" w:cs="Calibri"/>
          <w:sz w:val="24"/>
          <w:szCs w:val="24"/>
        </w:rPr>
        <w:t>the risk</w:t>
      </w:r>
      <w:proofErr w:type="gramEnd"/>
      <w:r w:rsidRPr="00F306A8">
        <w:rPr>
          <w:rFonts w:ascii="Calibri" w:hAnsi="Calibri" w:cs="Calibri"/>
          <w:sz w:val="24"/>
          <w:szCs w:val="24"/>
        </w:rPr>
        <w:t xml:space="preserve"> identification; the downside is that it is a snapshot and should be updated as assumptions change.</w:t>
      </w:r>
    </w:p>
    <w:p w14:paraId="2272BEC4"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3</w:t>
      </w:r>
      <w:r w:rsidRPr="00F306A8">
        <w:rPr>
          <w:rFonts w:ascii="Calibri" w:hAnsi="Calibri" w:cs="Calibri"/>
          <w:noProof/>
          <w:sz w:val="24"/>
          <w:szCs w:val="24"/>
        </w:rPr>
        <w:fldChar w:fldCharType="end"/>
      </w:r>
      <w:r w:rsidRPr="00F306A8">
        <w:rPr>
          <w:rFonts w:ascii="Calibri" w:hAnsi="Calibri" w:cs="Calibri"/>
          <w:sz w:val="24"/>
          <w:szCs w:val="24"/>
        </w:rPr>
        <w:t>. PESTLE Analysis</w:t>
      </w:r>
    </w:p>
    <w:tbl>
      <w:tblPr>
        <w:tblStyle w:val="TableGrid"/>
        <w:tblW w:w="0" w:type="auto"/>
        <w:jc w:val="center"/>
        <w:tblLook w:val="04A0" w:firstRow="1" w:lastRow="0" w:firstColumn="1" w:lastColumn="0" w:noHBand="0" w:noVBand="1"/>
      </w:tblPr>
      <w:tblGrid>
        <w:gridCol w:w="1983"/>
        <w:gridCol w:w="6794"/>
      </w:tblGrid>
      <w:tr w:rsidR="002621E5" w:rsidRPr="00F306A8" w14:paraId="1B75716F" w14:textId="77777777" w:rsidTr="003406A0">
        <w:trPr>
          <w:jc w:val="center"/>
        </w:trPr>
        <w:tc>
          <w:tcPr>
            <w:tcW w:w="1984" w:type="dxa"/>
            <w:shd w:val="clear" w:color="auto" w:fill="D9EAD3"/>
            <w:vAlign w:val="center"/>
          </w:tcPr>
          <w:p w14:paraId="270D1F9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Dimension</w:t>
            </w:r>
          </w:p>
        </w:tc>
        <w:tc>
          <w:tcPr>
            <w:tcW w:w="6803" w:type="dxa"/>
            <w:shd w:val="clear" w:color="auto" w:fill="D9EAD3"/>
            <w:vAlign w:val="center"/>
          </w:tcPr>
          <w:p w14:paraId="3D8110F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Implication for Honey-Love the Beauty Box</w:t>
            </w:r>
          </w:p>
        </w:tc>
      </w:tr>
      <w:tr w:rsidR="002621E5" w:rsidRPr="00F306A8" w14:paraId="1B9FA17C" w14:textId="77777777" w:rsidTr="003406A0">
        <w:trPr>
          <w:jc w:val="center"/>
        </w:trPr>
        <w:tc>
          <w:tcPr>
            <w:tcW w:w="1984" w:type="dxa"/>
            <w:vAlign w:val="center"/>
          </w:tcPr>
          <w:p w14:paraId="038D79A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Political / legal</w:t>
            </w:r>
          </w:p>
        </w:tc>
        <w:tc>
          <w:tcPr>
            <w:tcW w:w="6803" w:type="dxa"/>
            <w:vAlign w:val="center"/>
          </w:tcPr>
          <w:p w14:paraId="6580DCB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Changing requirements for non-surgical aesthetics, data protection, health and safety, insurance and jurisdiction-specific professional requirements must be monitored.</w:t>
            </w:r>
          </w:p>
        </w:tc>
      </w:tr>
      <w:tr w:rsidR="002621E5" w:rsidRPr="00F306A8" w14:paraId="71FAAF40" w14:textId="77777777" w:rsidTr="003406A0">
        <w:trPr>
          <w:jc w:val="center"/>
        </w:trPr>
        <w:tc>
          <w:tcPr>
            <w:tcW w:w="1984" w:type="dxa"/>
            <w:vAlign w:val="center"/>
          </w:tcPr>
          <w:p w14:paraId="5602DF7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Economic</w:t>
            </w:r>
          </w:p>
        </w:tc>
        <w:tc>
          <w:tcPr>
            <w:tcW w:w="6803" w:type="dxa"/>
            <w:vAlign w:val="center"/>
          </w:tcPr>
          <w:p w14:paraId="47430A9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Inflation, rent, disposable income, supplier prices and finance costs can alter both demand and project affordability.</w:t>
            </w:r>
          </w:p>
        </w:tc>
      </w:tr>
      <w:tr w:rsidR="002621E5" w:rsidRPr="00F306A8" w14:paraId="284B676E" w14:textId="77777777" w:rsidTr="003406A0">
        <w:trPr>
          <w:jc w:val="center"/>
        </w:trPr>
        <w:tc>
          <w:tcPr>
            <w:tcW w:w="1984" w:type="dxa"/>
            <w:vAlign w:val="center"/>
          </w:tcPr>
          <w:p w14:paraId="39222D6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Social</w:t>
            </w:r>
          </w:p>
        </w:tc>
        <w:tc>
          <w:tcPr>
            <w:tcW w:w="6803" w:type="dxa"/>
            <w:vAlign w:val="center"/>
          </w:tcPr>
          <w:p w14:paraId="6F3390E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Beauty trends, social-media influence, client expectations, ethics and demand for aesthetics education affect reputation and service demand.</w:t>
            </w:r>
          </w:p>
        </w:tc>
      </w:tr>
      <w:tr w:rsidR="002621E5" w:rsidRPr="00F306A8" w14:paraId="1965266B" w14:textId="77777777" w:rsidTr="003406A0">
        <w:trPr>
          <w:jc w:val="center"/>
        </w:trPr>
        <w:tc>
          <w:tcPr>
            <w:tcW w:w="1984" w:type="dxa"/>
            <w:vAlign w:val="center"/>
          </w:tcPr>
          <w:p w14:paraId="6FCBBBB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Technological</w:t>
            </w:r>
          </w:p>
        </w:tc>
        <w:tc>
          <w:tcPr>
            <w:tcW w:w="6803" w:type="dxa"/>
            <w:vAlign w:val="center"/>
          </w:tcPr>
          <w:p w14:paraId="75ECD2F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Booking systems, digital payments, cybersecurity, treatment technology and social media improve efficiency but create dependency and data risks.</w:t>
            </w:r>
          </w:p>
        </w:tc>
      </w:tr>
      <w:tr w:rsidR="002621E5" w:rsidRPr="00F306A8" w14:paraId="509F4373" w14:textId="77777777" w:rsidTr="003406A0">
        <w:trPr>
          <w:jc w:val="center"/>
        </w:trPr>
        <w:tc>
          <w:tcPr>
            <w:tcW w:w="1984" w:type="dxa"/>
            <w:vAlign w:val="center"/>
          </w:tcPr>
          <w:p w14:paraId="587F99A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Environmental</w:t>
            </w:r>
          </w:p>
        </w:tc>
        <w:tc>
          <w:tcPr>
            <w:tcW w:w="6803" w:type="dxa"/>
            <w:vAlign w:val="center"/>
          </w:tcPr>
          <w:p w14:paraId="3235AF9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Energy use, consumables, waste and responsible procurement influence cost and sustainability.</w:t>
            </w:r>
          </w:p>
        </w:tc>
      </w:tr>
      <w:tr w:rsidR="002621E5" w:rsidRPr="00F306A8" w14:paraId="4803B650" w14:textId="77777777" w:rsidTr="003406A0">
        <w:trPr>
          <w:jc w:val="center"/>
        </w:trPr>
        <w:tc>
          <w:tcPr>
            <w:tcW w:w="1984" w:type="dxa"/>
            <w:vAlign w:val="center"/>
          </w:tcPr>
          <w:p w14:paraId="08EB60B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Competitive</w:t>
            </w:r>
          </w:p>
        </w:tc>
        <w:tc>
          <w:tcPr>
            <w:tcW w:w="6803" w:type="dxa"/>
            <w:vAlign w:val="center"/>
          </w:tcPr>
          <w:p w14:paraId="48E9AFA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New salons, competing training providers, price competition and changing service portfolios require differentiation through quality, knowledge and trust.</w:t>
            </w:r>
          </w:p>
        </w:tc>
      </w:tr>
    </w:tbl>
    <w:p w14:paraId="5175FA72" w14:textId="77777777" w:rsidR="002621E5" w:rsidRPr="00F306A8" w:rsidRDefault="002621E5" w:rsidP="00F306A8">
      <w:pPr>
        <w:spacing w:after="40" w:line="360" w:lineRule="auto"/>
        <w:jc w:val="both"/>
        <w:rPr>
          <w:rFonts w:ascii="Calibri" w:hAnsi="Calibri" w:cs="Calibri"/>
          <w:sz w:val="24"/>
          <w:szCs w:val="24"/>
        </w:rPr>
      </w:pPr>
    </w:p>
    <w:p w14:paraId="3615CA0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complementary SWOT reveals strengths, including over four years of operating experience, solid brand recognition, service portfolio and a built-up specialist knowledge with the capacity to offer training. Lack of self-reliance, lack of time to manage and limited time in the </w:t>
      </w:r>
      <w:proofErr w:type="gramStart"/>
      <w:r w:rsidRPr="00F306A8">
        <w:rPr>
          <w:rFonts w:ascii="Calibri" w:hAnsi="Calibri" w:cs="Calibri"/>
          <w:sz w:val="24"/>
          <w:szCs w:val="24"/>
        </w:rPr>
        <w:t>service delivery</w:t>
      </w:r>
      <w:proofErr w:type="gramEnd"/>
      <w:r w:rsidRPr="00F306A8">
        <w:rPr>
          <w:rFonts w:ascii="Calibri" w:hAnsi="Calibri" w:cs="Calibri"/>
          <w:sz w:val="24"/>
          <w:szCs w:val="24"/>
        </w:rPr>
        <w:t xml:space="preserve"> area, high fixed costs and lack of formal documentation are some of its weaknesses. The advantages are higher treatment capacity, training revenue, more brand visibility, codification of IP and future employees. Economic pressure for discretionary spending, regulatory change, competition, failure of suppliers, reputational damage, data breaches and scope creep are threats.</w:t>
      </w:r>
    </w:p>
    <w:p w14:paraId="7CF3FD2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SWOT is the most easily understood, and this ease may lead to subjective statements, which can be beneficial to a small business. The results should therefore be inputted into the risk register and action </w:t>
      </w:r>
      <w:proofErr w:type="gramStart"/>
      <w:r w:rsidRPr="00F306A8">
        <w:rPr>
          <w:rFonts w:ascii="Calibri" w:hAnsi="Calibri" w:cs="Calibri"/>
          <w:sz w:val="24"/>
          <w:szCs w:val="24"/>
        </w:rPr>
        <w:t>plan, and</w:t>
      </w:r>
      <w:proofErr w:type="gramEnd"/>
      <w:r w:rsidRPr="00F306A8">
        <w:rPr>
          <w:rFonts w:ascii="Calibri" w:hAnsi="Calibri" w:cs="Calibri"/>
          <w:sz w:val="24"/>
          <w:szCs w:val="24"/>
        </w:rPr>
        <w:t xml:space="preserve"> not be just a four-box exercise.</w:t>
      </w:r>
    </w:p>
    <w:p w14:paraId="3743AB1E" w14:textId="77777777" w:rsidR="002621E5" w:rsidRPr="00F306A8" w:rsidRDefault="002621E5" w:rsidP="00F306A8">
      <w:pPr>
        <w:pStyle w:val="Heading1"/>
        <w:spacing w:line="360" w:lineRule="auto"/>
        <w:jc w:val="both"/>
        <w:rPr>
          <w:rFonts w:ascii="Calibri" w:hAnsi="Calibri" w:cs="Calibri"/>
          <w:sz w:val="24"/>
          <w:szCs w:val="24"/>
        </w:rPr>
      </w:pPr>
      <w:bookmarkStart w:id="7" w:name="_Toc238977977"/>
      <w:r w:rsidRPr="00F306A8">
        <w:rPr>
          <w:rFonts w:ascii="Calibri" w:hAnsi="Calibri" w:cs="Calibri"/>
          <w:sz w:val="24"/>
          <w:szCs w:val="24"/>
        </w:rPr>
        <w:t>6. Work Breakdown Structure and Project Planning Tools</w:t>
      </w:r>
      <w:bookmarkEnd w:id="7"/>
    </w:p>
    <w:p w14:paraId="3A0871B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Work Breakdown Structure (WBS) breaks down the project into smaller work packages. Larson and Gray (2021) state that work decomposition enhances the process of planning, assigning responsibility, costing and scheduling. Honey-Love's best option is a top-down WBS, as the owner is already familiar with the service environment, but if there </w:t>
      </w:r>
      <w:proofErr w:type="gramStart"/>
      <w:r w:rsidRPr="00F306A8">
        <w:rPr>
          <w:rFonts w:ascii="Calibri" w:hAnsi="Calibri" w:cs="Calibri"/>
          <w:sz w:val="24"/>
          <w:szCs w:val="24"/>
        </w:rPr>
        <w:t>are things that are</w:t>
      </w:r>
      <w:proofErr w:type="gramEnd"/>
      <w:r w:rsidRPr="00F306A8">
        <w:rPr>
          <w:rFonts w:ascii="Calibri" w:hAnsi="Calibri" w:cs="Calibri"/>
          <w:sz w:val="24"/>
          <w:szCs w:val="24"/>
        </w:rPr>
        <w:t xml:space="preserve"> not familiar, they should be handled by experts.</w:t>
      </w:r>
    </w:p>
    <w:p w14:paraId="710069AD"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4</w:t>
      </w:r>
      <w:r w:rsidRPr="00F306A8">
        <w:rPr>
          <w:rFonts w:ascii="Calibri" w:hAnsi="Calibri" w:cs="Calibri"/>
          <w:noProof/>
          <w:sz w:val="24"/>
          <w:szCs w:val="24"/>
        </w:rPr>
        <w:fldChar w:fldCharType="end"/>
      </w:r>
      <w:r w:rsidRPr="00F306A8">
        <w:rPr>
          <w:rFonts w:ascii="Calibri" w:hAnsi="Calibri" w:cs="Calibri"/>
          <w:sz w:val="24"/>
          <w:szCs w:val="24"/>
        </w:rPr>
        <w:t>. High-Level Work Breakdown Structure</w:t>
      </w:r>
    </w:p>
    <w:tbl>
      <w:tblPr>
        <w:tblStyle w:val="TableGrid"/>
        <w:tblW w:w="0" w:type="auto"/>
        <w:jc w:val="center"/>
        <w:tblLook w:val="04A0" w:firstRow="1" w:lastRow="0" w:firstColumn="1" w:lastColumn="0" w:noHBand="0" w:noVBand="1"/>
      </w:tblPr>
      <w:tblGrid>
        <w:gridCol w:w="2267"/>
        <w:gridCol w:w="6510"/>
      </w:tblGrid>
      <w:tr w:rsidR="002621E5" w:rsidRPr="00F306A8" w14:paraId="654AAD59" w14:textId="77777777" w:rsidTr="003406A0">
        <w:trPr>
          <w:jc w:val="center"/>
        </w:trPr>
        <w:tc>
          <w:tcPr>
            <w:tcW w:w="2268" w:type="dxa"/>
            <w:shd w:val="clear" w:color="auto" w:fill="D9EAD3"/>
            <w:vAlign w:val="center"/>
          </w:tcPr>
          <w:p w14:paraId="37E3020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Work Package</w:t>
            </w:r>
          </w:p>
        </w:tc>
        <w:tc>
          <w:tcPr>
            <w:tcW w:w="6520" w:type="dxa"/>
            <w:shd w:val="clear" w:color="auto" w:fill="D9EAD3"/>
            <w:vAlign w:val="center"/>
          </w:tcPr>
          <w:p w14:paraId="1AD12A2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Principal Activities / Deliverables</w:t>
            </w:r>
          </w:p>
        </w:tc>
      </w:tr>
      <w:tr w:rsidR="002621E5" w:rsidRPr="00F306A8" w14:paraId="6ED02094" w14:textId="77777777" w:rsidTr="003406A0">
        <w:trPr>
          <w:jc w:val="center"/>
        </w:trPr>
        <w:tc>
          <w:tcPr>
            <w:tcW w:w="2268" w:type="dxa"/>
            <w:vAlign w:val="center"/>
          </w:tcPr>
          <w:p w14:paraId="7CE91C5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1. Initiation</w:t>
            </w:r>
          </w:p>
        </w:tc>
        <w:tc>
          <w:tcPr>
            <w:tcW w:w="6520" w:type="dxa"/>
            <w:vAlign w:val="center"/>
          </w:tcPr>
          <w:p w14:paraId="15F18D8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Business case, objectives, scope, budget, stakeholder register and success criteria.</w:t>
            </w:r>
          </w:p>
        </w:tc>
      </w:tr>
      <w:tr w:rsidR="002621E5" w:rsidRPr="00F306A8" w14:paraId="789F0AEE" w14:textId="77777777" w:rsidTr="003406A0">
        <w:trPr>
          <w:jc w:val="center"/>
        </w:trPr>
        <w:tc>
          <w:tcPr>
            <w:tcW w:w="2268" w:type="dxa"/>
            <w:vAlign w:val="center"/>
          </w:tcPr>
          <w:p w14:paraId="417EBD1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2. Premises</w:t>
            </w:r>
          </w:p>
        </w:tc>
        <w:tc>
          <w:tcPr>
            <w:tcW w:w="6520" w:type="dxa"/>
            <w:vAlign w:val="center"/>
          </w:tcPr>
          <w:p w14:paraId="3629B20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Layout, fit-out, utilities, furniture, signage and snagging.</w:t>
            </w:r>
          </w:p>
        </w:tc>
      </w:tr>
      <w:tr w:rsidR="002621E5" w:rsidRPr="00F306A8" w14:paraId="00F68443" w14:textId="77777777" w:rsidTr="003406A0">
        <w:trPr>
          <w:jc w:val="center"/>
        </w:trPr>
        <w:tc>
          <w:tcPr>
            <w:tcW w:w="2268" w:type="dxa"/>
            <w:vAlign w:val="center"/>
          </w:tcPr>
          <w:p w14:paraId="0873579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3. Service readiness</w:t>
            </w:r>
          </w:p>
        </w:tc>
        <w:tc>
          <w:tcPr>
            <w:tcW w:w="6520" w:type="dxa"/>
            <w:vAlign w:val="center"/>
          </w:tcPr>
          <w:p w14:paraId="4BF4949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Equipment, stock, procedures, insurance and readiness documentation.</w:t>
            </w:r>
          </w:p>
        </w:tc>
      </w:tr>
      <w:tr w:rsidR="002621E5" w:rsidRPr="00F306A8" w14:paraId="72E5D198" w14:textId="77777777" w:rsidTr="003406A0">
        <w:trPr>
          <w:jc w:val="center"/>
        </w:trPr>
        <w:tc>
          <w:tcPr>
            <w:tcW w:w="2268" w:type="dxa"/>
            <w:vAlign w:val="center"/>
          </w:tcPr>
          <w:p w14:paraId="0C3CB26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4. Digital/data systems</w:t>
            </w:r>
          </w:p>
        </w:tc>
        <w:tc>
          <w:tcPr>
            <w:tcW w:w="6520" w:type="dxa"/>
            <w:vAlign w:val="center"/>
          </w:tcPr>
          <w:p w14:paraId="0F956F9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Booking, payment, access permissions, privacy controls and system testing.</w:t>
            </w:r>
          </w:p>
        </w:tc>
      </w:tr>
      <w:tr w:rsidR="002621E5" w:rsidRPr="00F306A8" w14:paraId="2EA5ADE1" w14:textId="77777777" w:rsidTr="003406A0">
        <w:trPr>
          <w:jc w:val="center"/>
        </w:trPr>
        <w:tc>
          <w:tcPr>
            <w:tcW w:w="2268" w:type="dxa"/>
            <w:vAlign w:val="center"/>
          </w:tcPr>
          <w:p w14:paraId="75A6BA7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5. Training provision</w:t>
            </w:r>
          </w:p>
        </w:tc>
        <w:tc>
          <w:tcPr>
            <w:tcW w:w="6520" w:type="dxa"/>
            <w:vAlign w:val="center"/>
          </w:tcPr>
          <w:p w14:paraId="184BCA8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Training area, materials, course processes and scheduling.</w:t>
            </w:r>
          </w:p>
        </w:tc>
      </w:tr>
      <w:tr w:rsidR="002621E5" w:rsidRPr="00F306A8" w14:paraId="0D5D12D9" w14:textId="77777777" w:rsidTr="003406A0">
        <w:trPr>
          <w:jc w:val="center"/>
        </w:trPr>
        <w:tc>
          <w:tcPr>
            <w:tcW w:w="2268" w:type="dxa"/>
            <w:vAlign w:val="center"/>
          </w:tcPr>
          <w:p w14:paraId="250C6ED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6. Brand/marketing</w:t>
            </w:r>
          </w:p>
        </w:tc>
        <w:tc>
          <w:tcPr>
            <w:tcW w:w="6520" w:type="dxa"/>
            <w:vAlign w:val="center"/>
          </w:tcPr>
          <w:p w14:paraId="69055A1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Honey-Love the Beauty Box identity, client communication and launch campaign.</w:t>
            </w:r>
          </w:p>
        </w:tc>
      </w:tr>
      <w:tr w:rsidR="002621E5" w:rsidRPr="00F306A8" w14:paraId="6B7C35AF" w14:textId="77777777" w:rsidTr="003406A0">
        <w:trPr>
          <w:jc w:val="center"/>
        </w:trPr>
        <w:tc>
          <w:tcPr>
            <w:tcW w:w="2268" w:type="dxa"/>
            <w:vAlign w:val="center"/>
          </w:tcPr>
          <w:p w14:paraId="46A8CC0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7. Testing</w:t>
            </w:r>
          </w:p>
        </w:tc>
        <w:tc>
          <w:tcPr>
            <w:tcW w:w="6520" w:type="dxa"/>
            <w:vAlign w:val="center"/>
          </w:tcPr>
          <w:p w14:paraId="54A8D18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Systems testing, supplier checks, customer journey review and defect closure.</w:t>
            </w:r>
          </w:p>
        </w:tc>
      </w:tr>
      <w:tr w:rsidR="002621E5" w:rsidRPr="00F306A8" w14:paraId="1AEF95B9" w14:textId="77777777" w:rsidTr="003406A0">
        <w:trPr>
          <w:jc w:val="center"/>
        </w:trPr>
        <w:tc>
          <w:tcPr>
            <w:tcW w:w="2268" w:type="dxa"/>
            <w:vAlign w:val="center"/>
          </w:tcPr>
          <w:p w14:paraId="1724798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8. Launch/close</w:t>
            </w:r>
          </w:p>
        </w:tc>
        <w:tc>
          <w:tcPr>
            <w:tcW w:w="6520" w:type="dxa"/>
            <w:vAlign w:val="center"/>
          </w:tcPr>
          <w:p w14:paraId="6D56185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Opening, acceptance, handover, financial closure and lessons learned.</w:t>
            </w:r>
          </w:p>
        </w:tc>
      </w:tr>
    </w:tbl>
    <w:p w14:paraId="744F99F8" w14:textId="77777777" w:rsidR="002621E5" w:rsidRPr="00F306A8" w:rsidRDefault="002621E5" w:rsidP="00F306A8">
      <w:pPr>
        <w:spacing w:after="40" w:line="360" w:lineRule="auto"/>
        <w:jc w:val="both"/>
        <w:rPr>
          <w:rFonts w:ascii="Calibri" w:hAnsi="Calibri" w:cs="Calibri"/>
          <w:sz w:val="24"/>
          <w:szCs w:val="24"/>
        </w:rPr>
      </w:pPr>
    </w:p>
    <w:p w14:paraId="2CD2AF0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WBS is great because it requires the owner to define work that may not have been thought of otherwise. But sequence and timing will not be revealed by the process of decomposition. Dependencies will then be converted to a network and Gantt schedule. A suggested 14-week </w:t>
      </w:r>
      <w:proofErr w:type="spellStart"/>
      <w:r w:rsidRPr="00F306A8">
        <w:rPr>
          <w:rFonts w:ascii="Calibri" w:hAnsi="Calibri" w:cs="Calibri"/>
          <w:sz w:val="24"/>
          <w:szCs w:val="24"/>
        </w:rPr>
        <w:t>programme</w:t>
      </w:r>
      <w:proofErr w:type="spellEnd"/>
      <w:r w:rsidRPr="00F306A8">
        <w:rPr>
          <w:rFonts w:ascii="Calibri" w:hAnsi="Calibri" w:cs="Calibri"/>
          <w:sz w:val="24"/>
          <w:szCs w:val="24"/>
        </w:rPr>
        <w:t xml:space="preserve"> is outlined in Appendix A. The most likely critical sequence is likely to be premises approval, fit-out, essential installation, readiness testing and opening. A postponement of any of this can push back the opening date even if marketing or administrative activities are still scheduled.</w:t>
      </w:r>
    </w:p>
    <w:p w14:paraId="2991D47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 long activity list is less informative than the critical-path analysis, since it identifies tasks that do not have any helpful scheduling flexibility. A Gantt chart can then be used to visually show the length of the tasks, their overlaps, and who is responsible for what. The downside is that a slick chart can lull people into a false sense of security if the estimates are incorrect. The </w:t>
      </w:r>
      <w:proofErr w:type="spellStart"/>
      <w:r w:rsidRPr="00F306A8">
        <w:rPr>
          <w:rFonts w:ascii="Calibri" w:hAnsi="Calibri" w:cs="Calibri"/>
          <w:sz w:val="24"/>
          <w:szCs w:val="24"/>
        </w:rPr>
        <w:t>programme</w:t>
      </w:r>
      <w:proofErr w:type="spellEnd"/>
      <w:r w:rsidRPr="00F306A8">
        <w:rPr>
          <w:rFonts w:ascii="Calibri" w:hAnsi="Calibri" w:cs="Calibri"/>
          <w:sz w:val="24"/>
          <w:szCs w:val="24"/>
        </w:rPr>
        <w:t xml:space="preserve"> should thus be revised to reflect achievements, not simply a static display.</w:t>
      </w:r>
    </w:p>
    <w:p w14:paraId="5A91D903" w14:textId="77777777" w:rsidR="002621E5" w:rsidRPr="00F306A8" w:rsidRDefault="002621E5" w:rsidP="00F306A8">
      <w:pPr>
        <w:pStyle w:val="Heading2"/>
        <w:spacing w:line="360" w:lineRule="auto"/>
        <w:jc w:val="both"/>
        <w:rPr>
          <w:rFonts w:ascii="Calibri" w:hAnsi="Calibri" w:cs="Calibri"/>
          <w:sz w:val="24"/>
          <w:szCs w:val="24"/>
        </w:rPr>
      </w:pPr>
      <w:bookmarkStart w:id="8" w:name="_Toc238977978"/>
      <w:r w:rsidRPr="00F306A8">
        <w:rPr>
          <w:rFonts w:ascii="Calibri" w:hAnsi="Calibri" w:cs="Calibri"/>
          <w:sz w:val="24"/>
          <w:szCs w:val="24"/>
        </w:rPr>
        <w:t>6.1 RACI Allocation</w:t>
      </w:r>
      <w:bookmarkEnd w:id="8"/>
    </w:p>
    <w:p w14:paraId="283F2FD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RACI is a method of delineating Responsible, Accountable, Consulted and Informed. This is helpful in Honey-Love as the owner's role is essentially multiple. The matrix is not intended </w:t>
      </w:r>
      <w:r w:rsidRPr="00F306A8">
        <w:rPr>
          <w:rFonts w:ascii="Calibri" w:hAnsi="Calibri" w:cs="Calibri"/>
          <w:sz w:val="24"/>
          <w:szCs w:val="24"/>
        </w:rPr>
        <w:lastRenderedPageBreak/>
        <w:t>to substitute for owner responsibility or to specify any work to be delegated or assisted by specialists.</w:t>
      </w:r>
    </w:p>
    <w:p w14:paraId="1B1C2115"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5</w:t>
      </w:r>
      <w:r w:rsidRPr="00F306A8">
        <w:rPr>
          <w:rFonts w:ascii="Calibri" w:hAnsi="Calibri" w:cs="Calibri"/>
          <w:noProof/>
          <w:sz w:val="24"/>
          <w:szCs w:val="24"/>
        </w:rPr>
        <w:fldChar w:fldCharType="end"/>
      </w:r>
      <w:r w:rsidRPr="00F306A8">
        <w:rPr>
          <w:rFonts w:ascii="Calibri" w:hAnsi="Calibri" w:cs="Calibri"/>
          <w:sz w:val="24"/>
          <w:szCs w:val="24"/>
        </w:rPr>
        <w:t>. RACI Matrix</w:t>
      </w:r>
    </w:p>
    <w:tbl>
      <w:tblPr>
        <w:tblStyle w:val="TableGrid"/>
        <w:tblW w:w="0" w:type="auto"/>
        <w:jc w:val="center"/>
        <w:tblLook w:val="04A0" w:firstRow="1" w:lastRow="0" w:firstColumn="1" w:lastColumn="0" w:noHBand="0" w:noVBand="1"/>
      </w:tblPr>
      <w:tblGrid>
        <w:gridCol w:w="1645"/>
        <w:gridCol w:w="1146"/>
        <w:gridCol w:w="1541"/>
        <w:gridCol w:w="1348"/>
        <w:gridCol w:w="1528"/>
        <w:gridCol w:w="1569"/>
      </w:tblGrid>
      <w:tr w:rsidR="002621E5" w:rsidRPr="00F724A4" w14:paraId="56E931B4" w14:textId="77777777" w:rsidTr="003406A0">
        <w:trPr>
          <w:jc w:val="center"/>
        </w:trPr>
        <w:tc>
          <w:tcPr>
            <w:tcW w:w="1814" w:type="dxa"/>
            <w:shd w:val="clear" w:color="auto" w:fill="D9EAD3"/>
            <w:vAlign w:val="center"/>
          </w:tcPr>
          <w:p w14:paraId="212DD668"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Deliverable</w:t>
            </w:r>
          </w:p>
        </w:tc>
        <w:tc>
          <w:tcPr>
            <w:tcW w:w="1191" w:type="dxa"/>
            <w:shd w:val="clear" w:color="auto" w:fill="D9EAD3"/>
            <w:vAlign w:val="center"/>
          </w:tcPr>
          <w:p w14:paraId="76871AF6"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Michelle</w:t>
            </w:r>
          </w:p>
        </w:tc>
        <w:tc>
          <w:tcPr>
            <w:tcW w:w="1701" w:type="dxa"/>
            <w:shd w:val="clear" w:color="auto" w:fill="D9EAD3"/>
            <w:vAlign w:val="center"/>
          </w:tcPr>
          <w:p w14:paraId="38223EA3"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Contractor / Supplier</w:t>
            </w:r>
          </w:p>
        </w:tc>
        <w:tc>
          <w:tcPr>
            <w:tcW w:w="1531" w:type="dxa"/>
            <w:shd w:val="clear" w:color="auto" w:fill="D9EAD3"/>
            <w:vAlign w:val="center"/>
          </w:tcPr>
          <w:p w14:paraId="14C9C304"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Adviser / Insurer</w:t>
            </w:r>
          </w:p>
        </w:tc>
        <w:tc>
          <w:tcPr>
            <w:tcW w:w="1701" w:type="dxa"/>
            <w:shd w:val="clear" w:color="auto" w:fill="D9EAD3"/>
            <w:vAlign w:val="center"/>
          </w:tcPr>
          <w:p w14:paraId="1B4B3517"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IT / Marketing Support</w:t>
            </w:r>
          </w:p>
        </w:tc>
        <w:tc>
          <w:tcPr>
            <w:tcW w:w="1701" w:type="dxa"/>
            <w:shd w:val="clear" w:color="auto" w:fill="D9EAD3"/>
            <w:vAlign w:val="center"/>
          </w:tcPr>
          <w:p w14:paraId="2F407585"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b/>
                <w:sz w:val="24"/>
                <w:szCs w:val="24"/>
              </w:rPr>
              <w:t>Clients / Trainees</w:t>
            </w:r>
          </w:p>
        </w:tc>
      </w:tr>
      <w:tr w:rsidR="002621E5" w:rsidRPr="00F724A4" w14:paraId="0B08EC8B" w14:textId="77777777" w:rsidTr="003406A0">
        <w:trPr>
          <w:jc w:val="center"/>
        </w:trPr>
        <w:tc>
          <w:tcPr>
            <w:tcW w:w="1814" w:type="dxa"/>
            <w:vAlign w:val="center"/>
          </w:tcPr>
          <w:p w14:paraId="4B249DAF"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Business case</w:t>
            </w:r>
          </w:p>
        </w:tc>
        <w:tc>
          <w:tcPr>
            <w:tcW w:w="1191" w:type="dxa"/>
            <w:vAlign w:val="center"/>
          </w:tcPr>
          <w:p w14:paraId="56C20D80"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A/R</w:t>
            </w:r>
          </w:p>
        </w:tc>
        <w:tc>
          <w:tcPr>
            <w:tcW w:w="1701" w:type="dxa"/>
            <w:vAlign w:val="center"/>
          </w:tcPr>
          <w:p w14:paraId="6D8CD9E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531" w:type="dxa"/>
            <w:vAlign w:val="center"/>
          </w:tcPr>
          <w:p w14:paraId="4F90CDDC"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701" w:type="dxa"/>
            <w:vAlign w:val="center"/>
          </w:tcPr>
          <w:p w14:paraId="0136417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701" w:type="dxa"/>
            <w:vAlign w:val="center"/>
          </w:tcPr>
          <w:p w14:paraId="197A7C8D"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r w:rsidR="002621E5" w:rsidRPr="00F724A4" w14:paraId="2E110DB4" w14:textId="77777777" w:rsidTr="003406A0">
        <w:trPr>
          <w:jc w:val="center"/>
        </w:trPr>
        <w:tc>
          <w:tcPr>
            <w:tcW w:w="1814" w:type="dxa"/>
            <w:vAlign w:val="center"/>
          </w:tcPr>
          <w:p w14:paraId="70673BC4"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 xml:space="preserve">Premises </w:t>
            </w:r>
            <w:proofErr w:type="gramStart"/>
            <w:r w:rsidRPr="00F724A4">
              <w:rPr>
                <w:rFonts w:ascii="Calibri" w:hAnsi="Calibri" w:cs="Calibri"/>
                <w:sz w:val="24"/>
                <w:szCs w:val="24"/>
              </w:rPr>
              <w:t>fit-out</w:t>
            </w:r>
            <w:proofErr w:type="gramEnd"/>
          </w:p>
        </w:tc>
        <w:tc>
          <w:tcPr>
            <w:tcW w:w="1191" w:type="dxa"/>
            <w:vAlign w:val="center"/>
          </w:tcPr>
          <w:p w14:paraId="436CB74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w:t>
            </w:r>
          </w:p>
        </w:tc>
        <w:tc>
          <w:tcPr>
            <w:tcW w:w="1701" w:type="dxa"/>
            <w:vAlign w:val="center"/>
          </w:tcPr>
          <w:p w14:paraId="3CC07577"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R</w:t>
            </w:r>
          </w:p>
        </w:tc>
        <w:tc>
          <w:tcPr>
            <w:tcW w:w="1531" w:type="dxa"/>
            <w:vAlign w:val="center"/>
          </w:tcPr>
          <w:p w14:paraId="3E671911"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 where relevant</w:t>
            </w:r>
          </w:p>
        </w:tc>
        <w:tc>
          <w:tcPr>
            <w:tcW w:w="1701" w:type="dxa"/>
            <w:vAlign w:val="center"/>
          </w:tcPr>
          <w:p w14:paraId="14397BEB"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701" w:type="dxa"/>
            <w:vAlign w:val="center"/>
          </w:tcPr>
          <w:p w14:paraId="7C539892"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r w:rsidR="002621E5" w:rsidRPr="00F724A4" w14:paraId="48C81B7D" w14:textId="77777777" w:rsidTr="003406A0">
        <w:trPr>
          <w:jc w:val="center"/>
        </w:trPr>
        <w:tc>
          <w:tcPr>
            <w:tcW w:w="1814" w:type="dxa"/>
            <w:vAlign w:val="center"/>
          </w:tcPr>
          <w:p w14:paraId="5F47852F"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Equipment / stock</w:t>
            </w:r>
          </w:p>
        </w:tc>
        <w:tc>
          <w:tcPr>
            <w:tcW w:w="1191" w:type="dxa"/>
            <w:vAlign w:val="center"/>
          </w:tcPr>
          <w:p w14:paraId="55CD5143"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w:t>
            </w:r>
          </w:p>
        </w:tc>
        <w:tc>
          <w:tcPr>
            <w:tcW w:w="1701" w:type="dxa"/>
            <w:vAlign w:val="center"/>
          </w:tcPr>
          <w:p w14:paraId="40B3547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R</w:t>
            </w:r>
          </w:p>
        </w:tc>
        <w:tc>
          <w:tcPr>
            <w:tcW w:w="1531" w:type="dxa"/>
            <w:vAlign w:val="center"/>
          </w:tcPr>
          <w:p w14:paraId="3ABC9DB1"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 where relevant</w:t>
            </w:r>
          </w:p>
        </w:tc>
        <w:tc>
          <w:tcPr>
            <w:tcW w:w="1701" w:type="dxa"/>
            <w:vAlign w:val="center"/>
          </w:tcPr>
          <w:p w14:paraId="70FA732D"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701" w:type="dxa"/>
            <w:vAlign w:val="center"/>
          </w:tcPr>
          <w:p w14:paraId="53218A6B"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r w:rsidR="002621E5" w:rsidRPr="00F724A4" w14:paraId="2F6A12F6" w14:textId="77777777" w:rsidTr="003406A0">
        <w:trPr>
          <w:jc w:val="center"/>
        </w:trPr>
        <w:tc>
          <w:tcPr>
            <w:tcW w:w="1814" w:type="dxa"/>
            <w:vAlign w:val="center"/>
          </w:tcPr>
          <w:p w14:paraId="3FD3647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Digital systems</w:t>
            </w:r>
          </w:p>
        </w:tc>
        <w:tc>
          <w:tcPr>
            <w:tcW w:w="1191" w:type="dxa"/>
            <w:vAlign w:val="center"/>
          </w:tcPr>
          <w:p w14:paraId="2BC25C8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w:t>
            </w:r>
          </w:p>
        </w:tc>
        <w:tc>
          <w:tcPr>
            <w:tcW w:w="1701" w:type="dxa"/>
            <w:vAlign w:val="center"/>
          </w:tcPr>
          <w:p w14:paraId="5A64C0CB"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531" w:type="dxa"/>
            <w:vAlign w:val="center"/>
          </w:tcPr>
          <w:p w14:paraId="66452175"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701" w:type="dxa"/>
            <w:vAlign w:val="center"/>
          </w:tcPr>
          <w:p w14:paraId="05216D0F"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R</w:t>
            </w:r>
          </w:p>
        </w:tc>
        <w:tc>
          <w:tcPr>
            <w:tcW w:w="1701" w:type="dxa"/>
            <w:vAlign w:val="center"/>
          </w:tcPr>
          <w:p w14:paraId="6E618CF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r w:rsidR="002621E5" w:rsidRPr="00F724A4" w14:paraId="54F02D97" w14:textId="77777777" w:rsidTr="003406A0">
        <w:trPr>
          <w:jc w:val="center"/>
        </w:trPr>
        <w:tc>
          <w:tcPr>
            <w:tcW w:w="1814" w:type="dxa"/>
            <w:vAlign w:val="center"/>
          </w:tcPr>
          <w:p w14:paraId="13662D6E"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Training preparation</w:t>
            </w:r>
          </w:p>
        </w:tc>
        <w:tc>
          <w:tcPr>
            <w:tcW w:w="1191" w:type="dxa"/>
            <w:vAlign w:val="center"/>
          </w:tcPr>
          <w:p w14:paraId="51E98211"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A/R</w:t>
            </w:r>
          </w:p>
        </w:tc>
        <w:tc>
          <w:tcPr>
            <w:tcW w:w="1701" w:type="dxa"/>
            <w:vAlign w:val="center"/>
          </w:tcPr>
          <w:p w14:paraId="062FAD5B"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531" w:type="dxa"/>
            <w:vAlign w:val="center"/>
          </w:tcPr>
          <w:p w14:paraId="6E1A341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 as required</w:t>
            </w:r>
          </w:p>
        </w:tc>
        <w:tc>
          <w:tcPr>
            <w:tcW w:w="1701" w:type="dxa"/>
            <w:vAlign w:val="center"/>
          </w:tcPr>
          <w:p w14:paraId="7E4DC48D"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701" w:type="dxa"/>
            <w:vAlign w:val="center"/>
          </w:tcPr>
          <w:p w14:paraId="087A3FD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I/C via anonymous feedback</w:t>
            </w:r>
          </w:p>
        </w:tc>
      </w:tr>
      <w:tr w:rsidR="002621E5" w:rsidRPr="00F724A4" w14:paraId="31C7072A" w14:textId="77777777" w:rsidTr="003406A0">
        <w:trPr>
          <w:jc w:val="center"/>
        </w:trPr>
        <w:tc>
          <w:tcPr>
            <w:tcW w:w="1814" w:type="dxa"/>
            <w:vAlign w:val="center"/>
          </w:tcPr>
          <w:p w14:paraId="1D11D7D1"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Marketing / launch</w:t>
            </w:r>
          </w:p>
        </w:tc>
        <w:tc>
          <w:tcPr>
            <w:tcW w:w="1191" w:type="dxa"/>
            <w:vAlign w:val="center"/>
          </w:tcPr>
          <w:p w14:paraId="50913E3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w:t>
            </w:r>
          </w:p>
        </w:tc>
        <w:tc>
          <w:tcPr>
            <w:tcW w:w="1701" w:type="dxa"/>
            <w:vAlign w:val="center"/>
          </w:tcPr>
          <w:p w14:paraId="6F0CED9E"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531" w:type="dxa"/>
            <w:vAlign w:val="center"/>
          </w:tcPr>
          <w:p w14:paraId="5E04A93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c>
          <w:tcPr>
            <w:tcW w:w="1701" w:type="dxa"/>
            <w:vAlign w:val="center"/>
          </w:tcPr>
          <w:p w14:paraId="73DD0663"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 xml:space="preserve">R </w:t>
            </w:r>
            <w:proofErr w:type="gramStart"/>
            <w:r w:rsidRPr="00F724A4">
              <w:rPr>
                <w:rFonts w:ascii="Calibri" w:hAnsi="Calibri" w:cs="Calibri"/>
                <w:sz w:val="24"/>
                <w:szCs w:val="24"/>
              </w:rPr>
              <w:t>where</w:t>
            </w:r>
            <w:proofErr w:type="gramEnd"/>
            <w:r w:rsidRPr="00F724A4">
              <w:rPr>
                <w:rFonts w:ascii="Calibri" w:hAnsi="Calibri" w:cs="Calibri"/>
                <w:sz w:val="24"/>
                <w:szCs w:val="24"/>
              </w:rPr>
              <w:t xml:space="preserve"> used</w:t>
            </w:r>
          </w:p>
        </w:tc>
        <w:tc>
          <w:tcPr>
            <w:tcW w:w="1701" w:type="dxa"/>
            <w:vAlign w:val="center"/>
          </w:tcPr>
          <w:p w14:paraId="014AE886"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r w:rsidR="002621E5" w:rsidRPr="00F724A4" w14:paraId="04CFBDA2" w14:textId="77777777" w:rsidTr="003406A0">
        <w:trPr>
          <w:jc w:val="center"/>
        </w:trPr>
        <w:tc>
          <w:tcPr>
            <w:tcW w:w="1814" w:type="dxa"/>
            <w:vAlign w:val="center"/>
          </w:tcPr>
          <w:p w14:paraId="3B6AAFB9"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Final acceptance</w:t>
            </w:r>
          </w:p>
        </w:tc>
        <w:tc>
          <w:tcPr>
            <w:tcW w:w="1191" w:type="dxa"/>
            <w:vAlign w:val="center"/>
          </w:tcPr>
          <w:p w14:paraId="06E42CE8"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A/R</w:t>
            </w:r>
          </w:p>
        </w:tc>
        <w:tc>
          <w:tcPr>
            <w:tcW w:w="1701" w:type="dxa"/>
            <w:vAlign w:val="center"/>
          </w:tcPr>
          <w:p w14:paraId="7A9B703B"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531" w:type="dxa"/>
            <w:vAlign w:val="center"/>
          </w:tcPr>
          <w:p w14:paraId="382D913A"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701" w:type="dxa"/>
            <w:vAlign w:val="center"/>
          </w:tcPr>
          <w:p w14:paraId="47293968"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C</w:t>
            </w:r>
          </w:p>
        </w:tc>
        <w:tc>
          <w:tcPr>
            <w:tcW w:w="1701" w:type="dxa"/>
            <w:vAlign w:val="center"/>
          </w:tcPr>
          <w:p w14:paraId="138C34BC" w14:textId="77777777" w:rsidR="002621E5" w:rsidRPr="00F724A4" w:rsidRDefault="002621E5" w:rsidP="00F306A8">
            <w:pPr>
              <w:spacing w:line="360" w:lineRule="auto"/>
              <w:jc w:val="both"/>
              <w:rPr>
                <w:rFonts w:ascii="Calibri" w:hAnsi="Calibri" w:cs="Calibri"/>
                <w:sz w:val="24"/>
                <w:szCs w:val="24"/>
              </w:rPr>
            </w:pPr>
            <w:r w:rsidRPr="00F724A4">
              <w:rPr>
                <w:rFonts w:ascii="Calibri" w:hAnsi="Calibri" w:cs="Calibri"/>
                <w:sz w:val="24"/>
                <w:szCs w:val="24"/>
              </w:rPr>
              <w:t>I</w:t>
            </w:r>
          </w:p>
        </w:tc>
      </w:tr>
    </w:tbl>
    <w:p w14:paraId="30AA9F35" w14:textId="77777777" w:rsidR="002621E5" w:rsidRPr="00F306A8" w:rsidRDefault="002621E5" w:rsidP="00F306A8">
      <w:pPr>
        <w:spacing w:after="40" w:line="360" w:lineRule="auto"/>
        <w:jc w:val="both"/>
        <w:rPr>
          <w:rFonts w:ascii="Calibri" w:hAnsi="Calibri" w:cs="Calibri"/>
          <w:sz w:val="24"/>
          <w:szCs w:val="24"/>
        </w:rPr>
      </w:pPr>
    </w:p>
    <w:p w14:paraId="1CAA864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In a microbusiness, Michelle will be held to multiple A and R roles. Key person dependency is the primary risk. The best use of RACI is therefore when it is used to determine which of the non-specialist activities can be delegated to </w:t>
      </w:r>
      <w:proofErr w:type="spellStart"/>
      <w:r w:rsidRPr="00F306A8">
        <w:rPr>
          <w:rFonts w:ascii="Calibri" w:hAnsi="Calibri" w:cs="Calibri"/>
          <w:sz w:val="24"/>
          <w:szCs w:val="24"/>
        </w:rPr>
        <w:t>minimise</w:t>
      </w:r>
      <w:proofErr w:type="spellEnd"/>
      <w:r w:rsidRPr="00F306A8">
        <w:rPr>
          <w:rFonts w:ascii="Calibri" w:hAnsi="Calibri" w:cs="Calibri"/>
          <w:sz w:val="24"/>
          <w:szCs w:val="24"/>
        </w:rPr>
        <w:t xml:space="preserve"> the time the owner spends on unproductive activities.</w:t>
      </w:r>
    </w:p>
    <w:p w14:paraId="54EF0DD7" w14:textId="77777777" w:rsidR="002621E5" w:rsidRPr="00F306A8" w:rsidRDefault="002621E5" w:rsidP="00F306A8">
      <w:pPr>
        <w:pStyle w:val="Heading1"/>
        <w:spacing w:line="360" w:lineRule="auto"/>
        <w:jc w:val="both"/>
        <w:rPr>
          <w:rFonts w:ascii="Calibri" w:hAnsi="Calibri" w:cs="Calibri"/>
          <w:sz w:val="24"/>
          <w:szCs w:val="24"/>
        </w:rPr>
      </w:pPr>
      <w:bookmarkStart w:id="9" w:name="_Toc238977979"/>
      <w:r w:rsidRPr="00F306A8">
        <w:rPr>
          <w:rFonts w:ascii="Calibri" w:hAnsi="Calibri" w:cs="Calibri"/>
          <w:sz w:val="24"/>
          <w:szCs w:val="24"/>
        </w:rPr>
        <w:t>7. Communication Plan</w:t>
      </w:r>
      <w:bookmarkEnd w:id="9"/>
    </w:p>
    <w:p w14:paraId="71F2D11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Effective communication </w:t>
      </w:r>
      <w:proofErr w:type="gramStart"/>
      <w:r w:rsidRPr="00F306A8">
        <w:rPr>
          <w:rFonts w:ascii="Calibri" w:hAnsi="Calibri" w:cs="Calibri"/>
          <w:sz w:val="24"/>
          <w:szCs w:val="24"/>
        </w:rPr>
        <w:t>is providing</w:t>
      </w:r>
      <w:proofErr w:type="gramEnd"/>
      <w:r w:rsidRPr="00F306A8">
        <w:rPr>
          <w:rFonts w:ascii="Calibri" w:hAnsi="Calibri" w:cs="Calibri"/>
          <w:sz w:val="24"/>
          <w:szCs w:val="24"/>
        </w:rPr>
        <w:t xml:space="preserve"> information to stakeholders when they need it, in the information they need, and at the right level of detail. Bjelica et al. (2023) </w:t>
      </w:r>
      <w:proofErr w:type="gramStart"/>
      <w:r w:rsidRPr="00F306A8">
        <w:rPr>
          <w:rFonts w:ascii="Calibri" w:hAnsi="Calibri" w:cs="Calibri"/>
          <w:sz w:val="24"/>
          <w:szCs w:val="24"/>
        </w:rPr>
        <w:t>state</w:t>
      </w:r>
      <w:proofErr w:type="gramEnd"/>
      <w:r w:rsidRPr="00F306A8">
        <w:rPr>
          <w:rFonts w:ascii="Calibri" w:hAnsi="Calibri" w:cs="Calibri"/>
          <w:sz w:val="24"/>
          <w:szCs w:val="24"/>
        </w:rPr>
        <w:t xml:space="preserve"> that client consultation and project-manager soft skills are key factors for SME success. To this end, the structured communication of the Honey-Love is necessary without making confidential treatment information project information.</w:t>
      </w:r>
    </w:p>
    <w:p w14:paraId="0B4C2CFC"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lastRenderedPageBreak/>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6</w:t>
      </w:r>
      <w:r w:rsidRPr="00F306A8">
        <w:rPr>
          <w:rFonts w:ascii="Calibri" w:hAnsi="Calibri" w:cs="Calibri"/>
          <w:noProof/>
          <w:sz w:val="24"/>
          <w:szCs w:val="24"/>
        </w:rPr>
        <w:fldChar w:fldCharType="end"/>
      </w:r>
      <w:r w:rsidRPr="00F306A8">
        <w:rPr>
          <w:rFonts w:ascii="Calibri" w:hAnsi="Calibri" w:cs="Calibri"/>
          <w:sz w:val="24"/>
          <w:szCs w:val="24"/>
        </w:rPr>
        <w:t>. Communication Plan</w:t>
      </w:r>
    </w:p>
    <w:tbl>
      <w:tblPr>
        <w:tblStyle w:val="TableGrid"/>
        <w:tblW w:w="0" w:type="auto"/>
        <w:jc w:val="center"/>
        <w:tblLook w:val="04A0" w:firstRow="1" w:lastRow="0" w:firstColumn="1" w:lastColumn="0" w:noHBand="0" w:noVBand="1"/>
      </w:tblPr>
      <w:tblGrid>
        <w:gridCol w:w="1954"/>
        <w:gridCol w:w="1876"/>
        <w:gridCol w:w="1849"/>
        <w:gridCol w:w="3098"/>
      </w:tblGrid>
      <w:tr w:rsidR="002621E5" w:rsidRPr="00F306A8" w14:paraId="45CD068B" w14:textId="77777777" w:rsidTr="003406A0">
        <w:trPr>
          <w:jc w:val="center"/>
        </w:trPr>
        <w:tc>
          <w:tcPr>
            <w:tcW w:w="1984" w:type="dxa"/>
            <w:shd w:val="clear" w:color="auto" w:fill="D9EAD3"/>
            <w:vAlign w:val="center"/>
          </w:tcPr>
          <w:p w14:paraId="046679E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Communication</w:t>
            </w:r>
          </w:p>
        </w:tc>
        <w:tc>
          <w:tcPr>
            <w:tcW w:w="1984" w:type="dxa"/>
            <w:shd w:val="clear" w:color="auto" w:fill="D9EAD3"/>
            <w:vAlign w:val="center"/>
          </w:tcPr>
          <w:p w14:paraId="6A5FF2F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Audience</w:t>
            </w:r>
          </w:p>
        </w:tc>
        <w:tc>
          <w:tcPr>
            <w:tcW w:w="1871" w:type="dxa"/>
            <w:shd w:val="clear" w:color="auto" w:fill="D9EAD3"/>
            <w:vAlign w:val="center"/>
          </w:tcPr>
          <w:p w14:paraId="7DF8588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Method</w:t>
            </w:r>
          </w:p>
        </w:tc>
        <w:tc>
          <w:tcPr>
            <w:tcW w:w="3402" w:type="dxa"/>
            <w:shd w:val="clear" w:color="auto" w:fill="D9EAD3"/>
            <w:vAlign w:val="center"/>
          </w:tcPr>
          <w:p w14:paraId="3B68FD5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Frequency / Purpose</w:t>
            </w:r>
          </w:p>
        </w:tc>
      </w:tr>
      <w:tr w:rsidR="002621E5" w:rsidRPr="00F306A8" w14:paraId="172F8A59" w14:textId="77777777" w:rsidTr="003406A0">
        <w:trPr>
          <w:jc w:val="center"/>
        </w:trPr>
        <w:tc>
          <w:tcPr>
            <w:tcW w:w="1984" w:type="dxa"/>
            <w:vAlign w:val="center"/>
          </w:tcPr>
          <w:p w14:paraId="6580E4F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Project progress review</w:t>
            </w:r>
          </w:p>
        </w:tc>
        <w:tc>
          <w:tcPr>
            <w:tcW w:w="1984" w:type="dxa"/>
            <w:vAlign w:val="center"/>
          </w:tcPr>
          <w:p w14:paraId="1CDC320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and key contractors</w:t>
            </w:r>
          </w:p>
        </w:tc>
        <w:tc>
          <w:tcPr>
            <w:tcW w:w="1871" w:type="dxa"/>
            <w:vAlign w:val="center"/>
          </w:tcPr>
          <w:p w14:paraId="46789BD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Meeting / call</w:t>
            </w:r>
          </w:p>
        </w:tc>
        <w:tc>
          <w:tcPr>
            <w:tcW w:w="3402" w:type="dxa"/>
            <w:vAlign w:val="center"/>
          </w:tcPr>
          <w:p w14:paraId="1BFEC09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Weekly during fit-out; monitor milestones and issues.</w:t>
            </w:r>
          </w:p>
        </w:tc>
      </w:tr>
      <w:tr w:rsidR="002621E5" w:rsidRPr="00F306A8" w14:paraId="3ACBD557" w14:textId="77777777" w:rsidTr="003406A0">
        <w:trPr>
          <w:jc w:val="center"/>
        </w:trPr>
        <w:tc>
          <w:tcPr>
            <w:tcW w:w="1984" w:type="dxa"/>
            <w:vAlign w:val="center"/>
          </w:tcPr>
          <w:p w14:paraId="15DB26D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Budget review</w:t>
            </w:r>
          </w:p>
        </w:tc>
        <w:tc>
          <w:tcPr>
            <w:tcW w:w="1984" w:type="dxa"/>
            <w:vAlign w:val="center"/>
          </w:tcPr>
          <w:p w14:paraId="136EBE6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 accountant</w:t>
            </w:r>
          </w:p>
        </w:tc>
        <w:tc>
          <w:tcPr>
            <w:tcW w:w="1871" w:type="dxa"/>
            <w:vAlign w:val="center"/>
          </w:tcPr>
          <w:p w14:paraId="1A8B789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Secure financial review</w:t>
            </w:r>
          </w:p>
        </w:tc>
        <w:tc>
          <w:tcPr>
            <w:tcW w:w="3402" w:type="dxa"/>
            <w:vAlign w:val="center"/>
          </w:tcPr>
          <w:p w14:paraId="739F214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Fortnightly or monthly; monitor commitments and forecast.</w:t>
            </w:r>
          </w:p>
        </w:tc>
      </w:tr>
      <w:tr w:rsidR="002621E5" w:rsidRPr="00F306A8" w14:paraId="1840C0BF" w14:textId="77777777" w:rsidTr="003406A0">
        <w:trPr>
          <w:jc w:val="center"/>
        </w:trPr>
        <w:tc>
          <w:tcPr>
            <w:tcW w:w="1984" w:type="dxa"/>
            <w:vAlign w:val="center"/>
          </w:tcPr>
          <w:p w14:paraId="38C447E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Supplier update</w:t>
            </w:r>
          </w:p>
        </w:tc>
        <w:tc>
          <w:tcPr>
            <w:tcW w:w="1984" w:type="dxa"/>
            <w:vAlign w:val="center"/>
          </w:tcPr>
          <w:p w14:paraId="5D06D52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Key suppliers</w:t>
            </w:r>
          </w:p>
        </w:tc>
        <w:tc>
          <w:tcPr>
            <w:tcW w:w="1871" w:type="dxa"/>
            <w:vAlign w:val="center"/>
          </w:tcPr>
          <w:p w14:paraId="6A2B7B5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Email / phone</w:t>
            </w:r>
          </w:p>
        </w:tc>
        <w:tc>
          <w:tcPr>
            <w:tcW w:w="3402" w:type="dxa"/>
            <w:vAlign w:val="center"/>
          </w:tcPr>
          <w:p w14:paraId="21280B2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At milestones and when delivery risk changes.</w:t>
            </w:r>
          </w:p>
        </w:tc>
      </w:tr>
      <w:tr w:rsidR="002621E5" w:rsidRPr="00F306A8" w14:paraId="087C2E36" w14:textId="77777777" w:rsidTr="003406A0">
        <w:trPr>
          <w:jc w:val="center"/>
        </w:trPr>
        <w:tc>
          <w:tcPr>
            <w:tcW w:w="1984" w:type="dxa"/>
            <w:vAlign w:val="center"/>
          </w:tcPr>
          <w:p w14:paraId="072F103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 opening information</w:t>
            </w:r>
          </w:p>
        </w:tc>
        <w:tc>
          <w:tcPr>
            <w:tcW w:w="1984" w:type="dxa"/>
            <w:vAlign w:val="center"/>
          </w:tcPr>
          <w:p w14:paraId="338EDE7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Clients</w:t>
            </w:r>
          </w:p>
        </w:tc>
        <w:tc>
          <w:tcPr>
            <w:tcW w:w="1871" w:type="dxa"/>
            <w:vAlign w:val="center"/>
          </w:tcPr>
          <w:p w14:paraId="0AFA0B3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Social media / direct communication</w:t>
            </w:r>
          </w:p>
        </w:tc>
        <w:tc>
          <w:tcPr>
            <w:tcW w:w="3402" w:type="dxa"/>
            <w:vAlign w:val="center"/>
          </w:tcPr>
          <w:p w14:paraId="358D4AD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Planned pre-launch stages; no confidential data.</w:t>
            </w:r>
          </w:p>
        </w:tc>
      </w:tr>
      <w:tr w:rsidR="002621E5" w:rsidRPr="00F306A8" w14:paraId="667FCDF2" w14:textId="77777777" w:rsidTr="003406A0">
        <w:trPr>
          <w:jc w:val="center"/>
        </w:trPr>
        <w:tc>
          <w:tcPr>
            <w:tcW w:w="1984" w:type="dxa"/>
            <w:vAlign w:val="center"/>
          </w:tcPr>
          <w:p w14:paraId="1F0591E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Training information</w:t>
            </w:r>
          </w:p>
        </w:tc>
        <w:tc>
          <w:tcPr>
            <w:tcW w:w="1984" w:type="dxa"/>
            <w:vAlign w:val="center"/>
          </w:tcPr>
          <w:p w14:paraId="33BA2A6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Trainees</w:t>
            </w:r>
          </w:p>
        </w:tc>
        <w:tc>
          <w:tcPr>
            <w:tcW w:w="1871" w:type="dxa"/>
            <w:vAlign w:val="center"/>
          </w:tcPr>
          <w:p w14:paraId="07FA483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Formal joining information</w:t>
            </w:r>
          </w:p>
        </w:tc>
        <w:tc>
          <w:tcPr>
            <w:tcW w:w="3402" w:type="dxa"/>
            <w:vAlign w:val="center"/>
          </w:tcPr>
          <w:p w14:paraId="27B1AE7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Before each training event.</w:t>
            </w:r>
          </w:p>
        </w:tc>
      </w:tr>
      <w:tr w:rsidR="002621E5" w:rsidRPr="00F306A8" w14:paraId="2ECF87E3" w14:textId="77777777" w:rsidTr="003406A0">
        <w:trPr>
          <w:jc w:val="center"/>
        </w:trPr>
        <w:tc>
          <w:tcPr>
            <w:tcW w:w="1984" w:type="dxa"/>
            <w:vAlign w:val="center"/>
          </w:tcPr>
          <w:p w14:paraId="500CA34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Risk / issues review</w:t>
            </w:r>
          </w:p>
        </w:tc>
        <w:tc>
          <w:tcPr>
            <w:tcW w:w="1984" w:type="dxa"/>
            <w:vAlign w:val="center"/>
          </w:tcPr>
          <w:p w14:paraId="0FE0463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and relevant adviser</w:t>
            </w:r>
          </w:p>
        </w:tc>
        <w:tc>
          <w:tcPr>
            <w:tcW w:w="1871" w:type="dxa"/>
            <w:vAlign w:val="center"/>
          </w:tcPr>
          <w:p w14:paraId="29F17B2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Risk register / review</w:t>
            </w:r>
          </w:p>
        </w:tc>
        <w:tc>
          <w:tcPr>
            <w:tcW w:w="3402" w:type="dxa"/>
            <w:vAlign w:val="center"/>
          </w:tcPr>
          <w:p w14:paraId="300E473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Weekly and when a trigger occurs.</w:t>
            </w:r>
          </w:p>
        </w:tc>
      </w:tr>
      <w:tr w:rsidR="002621E5" w:rsidRPr="00F306A8" w14:paraId="2633EC4F" w14:textId="77777777" w:rsidTr="003406A0">
        <w:trPr>
          <w:jc w:val="center"/>
        </w:trPr>
        <w:tc>
          <w:tcPr>
            <w:tcW w:w="1984" w:type="dxa"/>
            <w:vAlign w:val="center"/>
          </w:tcPr>
          <w:p w14:paraId="6A9CE70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Confidential treatment information</w:t>
            </w:r>
          </w:p>
        </w:tc>
        <w:tc>
          <w:tcPr>
            <w:tcW w:w="1984" w:type="dxa"/>
            <w:vAlign w:val="center"/>
          </w:tcPr>
          <w:p w14:paraId="2058EAE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Individual client / </w:t>
            </w:r>
            <w:proofErr w:type="spellStart"/>
            <w:r w:rsidRPr="00F306A8">
              <w:rPr>
                <w:rFonts w:ascii="Calibri" w:hAnsi="Calibri" w:cs="Calibri"/>
                <w:sz w:val="24"/>
                <w:szCs w:val="24"/>
              </w:rPr>
              <w:t>authorised</w:t>
            </w:r>
            <w:proofErr w:type="spellEnd"/>
            <w:r w:rsidRPr="00F306A8">
              <w:rPr>
                <w:rFonts w:ascii="Calibri" w:hAnsi="Calibri" w:cs="Calibri"/>
                <w:sz w:val="24"/>
                <w:szCs w:val="24"/>
              </w:rPr>
              <w:t xml:space="preserve"> personnel</w:t>
            </w:r>
          </w:p>
        </w:tc>
        <w:tc>
          <w:tcPr>
            <w:tcW w:w="1871" w:type="dxa"/>
            <w:vAlign w:val="center"/>
          </w:tcPr>
          <w:p w14:paraId="0E37E86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Approved secure process</w:t>
            </w:r>
          </w:p>
        </w:tc>
        <w:tc>
          <w:tcPr>
            <w:tcW w:w="3402" w:type="dxa"/>
            <w:vAlign w:val="center"/>
          </w:tcPr>
          <w:p w14:paraId="11DB540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Need-to-know only.</w:t>
            </w:r>
          </w:p>
        </w:tc>
      </w:tr>
    </w:tbl>
    <w:p w14:paraId="30FD6306" w14:textId="77777777" w:rsidR="002621E5" w:rsidRPr="00F306A8" w:rsidRDefault="002621E5" w:rsidP="00F306A8">
      <w:pPr>
        <w:spacing w:after="40" w:line="360" w:lineRule="auto"/>
        <w:jc w:val="both"/>
        <w:rPr>
          <w:rFonts w:ascii="Calibri" w:hAnsi="Calibri" w:cs="Calibri"/>
          <w:sz w:val="24"/>
          <w:szCs w:val="24"/>
        </w:rPr>
      </w:pPr>
    </w:p>
    <w:p w14:paraId="03CCAC3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The last row is important. A communication plan does not imply that all stakeholders are notified of all information. There is no justification for using trends in aggregate demand or anonymous satisfaction data for decisions, and identifiable treatment information is limited. The separation enables the company to have access to the knowledge economy without compromising client confidentiality.</w:t>
      </w:r>
    </w:p>
    <w:p w14:paraId="5DF81F1C" w14:textId="77777777" w:rsidR="002621E5" w:rsidRPr="00F306A8" w:rsidRDefault="002621E5" w:rsidP="00F306A8">
      <w:pPr>
        <w:pStyle w:val="Heading1"/>
        <w:spacing w:line="360" w:lineRule="auto"/>
        <w:jc w:val="both"/>
        <w:rPr>
          <w:rFonts w:ascii="Calibri" w:hAnsi="Calibri" w:cs="Calibri"/>
          <w:sz w:val="24"/>
          <w:szCs w:val="24"/>
        </w:rPr>
      </w:pPr>
      <w:bookmarkStart w:id="10" w:name="_Toc238977980"/>
      <w:r w:rsidRPr="00F306A8">
        <w:rPr>
          <w:rFonts w:ascii="Calibri" w:hAnsi="Calibri" w:cs="Calibri"/>
          <w:sz w:val="24"/>
          <w:szCs w:val="24"/>
        </w:rPr>
        <w:t>8. Risk Identification and Management</w:t>
      </w:r>
      <w:bookmarkEnd w:id="10"/>
    </w:p>
    <w:p w14:paraId="12CE608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According to ISO 31000, risk management is an ongoing process that involves identifying, </w:t>
      </w:r>
      <w:proofErr w:type="spellStart"/>
      <w:r w:rsidRPr="00F306A8">
        <w:rPr>
          <w:rFonts w:ascii="Calibri" w:hAnsi="Calibri" w:cs="Calibri"/>
          <w:sz w:val="24"/>
          <w:szCs w:val="24"/>
        </w:rPr>
        <w:t>analysing</w:t>
      </w:r>
      <w:proofErr w:type="spellEnd"/>
      <w:r w:rsidRPr="00F306A8">
        <w:rPr>
          <w:rFonts w:ascii="Calibri" w:hAnsi="Calibri" w:cs="Calibri"/>
          <w:sz w:val="24"/>
          <w:szCs w:val="24"/>
        </w:rPr>
        <w:t xml:space="preserve">, evaluating and treating uncertainty (International </w:t>
      </w:r>
      <w:proofErr w:type="spellStart"/>
      <w:r w:rsidRPr="00F306A8">
        <w:rPr>
          <w:rFonts w:ascii="Calibri" w:hAnsi="Calibri" w:cs="Calibri"/>
          <w:sz w:val="24"/>
          <w:szCs w:val="24"/>
        </w:rPr>
        <w:t>Organisation</w:t>
      </w:r>
      <w:proofErr w:type="spellEnd"/>
      <w:r w:rsidRPr="00F306A8">
        <w:rPr>
          <w:rFonts w:ascii="Calibri" w:hAnsi="Calibri" w:cs="Calibri"/>
          <w:sz w:val="24"/>
          <w:szCs w:val="24"/>
        </w:rPr>
        <w:t xml:space="preserve"> for </w:t>
      </w:r>
      <w:proofErr w:type="spellStart"/>
      <w:r w:rsidRPr="00F306A8">
        <w:rPr>
          <w:rFonts w:ascii="Calibri" w:hAnsi="Calibri" w:cs="Calibri"/>
          <w:sz w:val="24"/>
          <w:szCs w:val="24"/>
        </w:rPr>
        <w:t>Standardisation</w:t>
      </w:r>
      <w:proofErr w:type="spellEnd"/>
      <w:r w:rsidRPr="00F306A8">
        <w:rPr>
          <w:rFonts w:ascii="Calibri" w:hAnsi="Calibri" w:cs="Calibri"/>
          <w:sz w:val="24"/>
          <w:szCs w:val="24"/>
        </w:rPr>
        <w:t xml:space="preserve">, 2018). Risk Management is a process that should be started at initiation and is part of closing a project when formal </w:t>
      </w:r>
      <w:proofErr w:type="gramStart"/>
      <w:r w:rsidRPr="00F306A8">
        <w:rPr>
          <w:rFonts w:ascii="Calibri" w:hAnsi="Calibri" w:cs="Calibri"/>
          <w:sz w:val="24"/>
          <w:szCs w:val="24"/>
        </w:rPr>
        <w:t>close</w:t>
      </w:r>
      <w:proofErr w:type="gramEnd"/>
      <w:r w:rsidRPr="00F306A8">
        <w:rPr>
          <w:rFonts w:ascii="Calibri" w:hAnsi="Calibri" w:cs="Calibri"/>
          <w:sz w:val="24"/>
          <w:szCs w:val="24"/>
        </w:rPr>
        <w:t xml:space="preserve"> occurs. A simple likelihood-by-impact </w:t>
      </w:r>
      <w:r w:rsidRPr="00F306A8">
        <w:rPr>
          <w:rFonts w:ascii="Calibri" w:hAnsi="Calibri" w:cs="Calibri"/>
          <w:sz w:val="24"/>
          <w:szCs w:val="24"/>
        </w:rPr>
        <w:lastRenderedPageBreak/>
        <w:t>approach is proportionate in a small enterprise, if high-impact events are not ignored because of their relatively low likelihood.</w:t>
      </w:r>
    </w:p>
    <w:p w14:paraId="125A9981"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7</w:t>
      </w:r>
      <w:r w:rsidRPr="00F306A8">
        <w:rPr>
          <w:rFonts w:ascii="Calibri" w:hAnsi="Calibri" w:cs="Calibri"/>
          <w:noProof/>
          <w:sz w:val="24"/>
          <w:szCs w:val="24"/>
        </w:rPr>
        <w:fldChar w:fldCharType="end"/>
      </w:r>
      <w:r w:rsidRPr="00F306A8">
        <w:rPr>
          <w:rFonts w:ascii="Calibri" w:hAnsi="Calibri" w:cs="Calibri"/>
          <w:sz w:val="24"/>
          <w:szCs w:val="24"/>
        </w:rPr>
        <w:t>. Project Risk Register</w:t>
      </w:r>
    </w:p>
    <w:tbl>
      <w:tblPr>
        <w:tblStyle w:val="TableGrid"/>
        <w:tblW w:w="0" w:type="auto"/>
        <w:jc w:val="center"/>
        <w:tblLook w:val="04A0" w:firstRow="1" w:lastRow="0" w:firstColumn="1" w:lastColumn="0" w:noHBand="0" w:noVBand="1"/>
      </w:tblPr>
      <w:tblGrid>
        <w:gridCol w:w="2141"/>
        <w:gridCol w:w="1532"/>
        <w:gridCol w:w="1576"/>
        <w:gridCol w:w="3528"/>
      </w:tblGrid>
      <w:tr w:rsidR="002621E5" w:rsidRPr="00F306A8" w14:paraId="13B1D3AF" w14:textId="77777777" w:rsidTr="003406A0">
        <w:trPr>
          <w:jc w:val="center"/>
        </w:trPr>
        <w:tc>
          <w:tcPr>
            <w:tcW w:w="2268" w:type="dxa"/>
            <w:shd w:val="clear" w:color="auto" w:fill="D9EAD3"/>
            <w:vAlign w:val="center"/>
          </w:tcPr>
          <w:p w14:paraId="38BF97A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Risk</w:t>
            </w:r>
          </w:p>
        </w:tc>
        <w:tc>
          <w:tcPr>
            <w:tcW w:w="1247" w:type="dxa"/>
            <w:shd w:val="clear" w:color="auto" w:fill="D9EAD3"/>
            <w:vAlign w:val="center"/>
          </w:tcPr>
          <w:p w14:paraId="29296E1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Likelihood</w:t>
            </w:r>
          </w:p>
        </w:tc>
        <w:tc>
          <w:tcPr>
            <w:tcW w:w="1247" w:type="dxa"/>
            <w:shd w:val="clear" w:color="auto" w:fill="D9EAD3"/>
            <w:vAlign w:val="center"/>
          </w:tcPr>
          <w:p w14:paraId="3571E17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Impact</w:t>
            </w:r>
          </w:p>
        </w:tc>
        <w:tc>
          <w:tcPr>
            <w:tcW w:w="3969" w:type="dxa"/>
            <w:shd w:val="clear" w:color="auto" w:fill="D9EAD3"/>
            <w:vAlign w:val="center"/>
          </w:tcPr>
          <w:p w14:paraId="6CE476E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Treatment / Response</w:t>
            </w:r>
          </w:p>
        </w:tc>
      </w:tr>
      <w:tr w:rsidR="002621E5" w:rsidRPr="00F306A8" w14:paraId="2D79D344" w14:textId="77777777" w:rsidTr="003406A0">
        <w:trPr>
          <w:jc w:val="center"/>
        </w:trPr>
        <w:tc>
          <w:tcPr>
            <w:tcW w:w="2268" w:type="dxa"/>
            <w:vAlign w:val="center"/>
          </w:tcPr>
          <w:p w14:paraId="2812A5B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Cost overrun</w:t>
            </w:r>
          </w:p>
        </w:tc>
        <w:tc>
          <w:tcPr>
            <w:tcW w:w="1247" w:type="dxa"/>
            <w:vAlign w:val="center"/>
          </w:tcPr>
          <w:p w14:paraId="6E6CE9D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6355024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4F4537C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Baseline budget, quotations, contingency and approval threshold.</w:t>
            </w:r>
          </w:p>
        </w:tc>
      </w:tr>
      <w:tr w:rsidR="002621E5" w:rsidRPr="00F306A8" w14:paraId="1C1F773F" w14:textId="77777777" w:rsidTr="003406A0">
        <w:trPr>
          <w:jc w:val="center"/>
        </w:trPr>
        <w:tc>
          <w:tcPr>
            <w:tcW w:w="2268" w:type="dxa"/>
            <w:vAlign w:val="center"/>
          </w:tcPr>
          <w:p w14:paraId="35AAA8D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Fit-out / opening delay</w:t>
            </w:r>
          </w:p>
        </w:tc>
        <w:tc>
          <w:tcPr>
            <w:tcW w:w="1247" w:type="dxa"/>
            <w:vAlign w:val="center"/>
          </w:tcPr>
          <w:p w14:paraId="6F1C822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33BA96B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1833F3D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Critical-path monitoring, early orders and supplier alternatives.</w:t>
            </w:r>
          </w:p>
        </w:tc>
      </w:tr>
      <w:tr w:rsidR="002621E5" w:rsidRPr="00F306A8" w14:paraId="10237A7D" w14:textId="77777777" w:rsidTr="003406A0">
        <w:trPr>
          <w:jc w:val="center"/>
        </w:trPr>
        <w:tc>
          <w:tcPr>
            <w:tcW w:w="2268" w:type="dxa"/>
            <w:vAlign w:val="center"/>
          </w:tcPr>
          <w:p w14:paraId="7E2E7F6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Scope creep</w:t>
            </w:r>
          </w:p>
        </w:tc>
        <w:tc>
          <w:tcPr>
            <w:tcW w:w="1247" w:type="dxa"/>
            <w:vAlign w:val="center"/>
          </w:tcPr>
          <w:p w14:paraId="58DB8D1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79C11F3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00D896F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Formal change log and impact assessment before approval.</w:t>
            </w:r>
          </w:p>
        </w:tc>
      </w:tr>
      <w:tr w:rsidR="002621E5" w:rsidRPr="00F306A8" w14:paraId="32EC244B" w14:textId="77777777" w:rsidTr="003406A0">
        <w:trPr>
          <w:jc w:val="center"/>
        </w:trPr>
        <w:tc>
          <w:tcPr>
            <w:tcW w:w="2268" w:type="dxa"/>
            <w:vAlign w:val="center"/>
          </w:tcPr>
          <w:p w14:paraId="3C1EC63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Supplier / equipment delay</w:t>
            </w:r>
          </w:p>
        </w:tc>
        <w:tc>
          <w:tcPr>
            <w:tcW w:w="1247" w:type="dxa"/>
            <w:vAlign w:val="center"/>
          </w:tcPr>
          <w:p w14:paraId="03A6B87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2DFF308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Medium/High</w:t>
            </w:r>
          </w:p>
        </w:tc>
        <w:tc>
          <w:tcPr>
            <w:tcW w:w="3969" w:type="dxa"/>
            <w:vAlign w:val="center"/>
          </w:tcPr>
          <w:p w14:paraId="31F5849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Confirm lead times and identify approved alternatives.</w:t>
            </w:r>
          </w:p>
        </w:tc>
      </w:tr>
      <w:tr w:rsidR="002621E5" w:rsidRPr="00F306A8" w14:paraId="3DDBA1B3" w14:textId="77777777" w:rsidTr="003406A0">
        <w:trPr>
          <w:jc w:val="center"/>
        </w:trPr>
        <w:tc>
          <w:tcPr>
            <w:tcW w:w="2268" w:type="dxa"/>
            <w:vAlign w:val="center"/>
          </w:tcPr>
          <w:p w14:paraId="283914C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Demand below forecast</w:t>
            </w:r>
          </w:p>
        </w:tc>
        <w:tc>
          <w:tcPr>
            <w:tcW w:w="1247" w:type="dxa"/>
            <w:vAlign w:val="center"/>
          </w:tcPr>
          <w:p w14:paraId="30DE233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54F95BB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Medium/High</w:t>
            </w:r>
          </w:p>
        </w:tc>
        <w:tc>
          <w:tcPr>
            <w:tcW w:w="3969" w:type="dxa"/>
            <w:vAlign w:val="center"/>
          </w:tcPr>
          <w:p w14:paraId="7D40E69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Phased promotion and post-launch benefit monitoring.</w:t>
            </w:r>
          </w:p>
        </w:tc>
      </w:tr>
      <w:tr w:rsidR="002621E5" w:rsidRPr="00F306A8" w14:paraId="1CD4401E" w14:textId="77777777" w:rsidTr="003406A0">
        <w:trPr>
          <w:jc w:val="center"/>
        </w:trPr>
        <w:tc>
          <w:tcPr>
            <w:tcW w:w="2268" w:type="dxa"/>
            <w:vAlign w:val="center"/>
          </w:tcPr>
          <w:p w14:paraId="2DD71E5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 key-person unavailability</w:t>
            </w:r>
          </w:p>
        </w:tc>
        <w:tc>
          <w:tcPr>
            <w:tcW w:w="1247" w:type="dxa"/>
            <w:vAlign w:val="center"/>
          </w:tcPr>
          <w:p w14:paraId="30B34F3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69F39F0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42283DB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Delegation, documented processes and contingency planning.</w:t>
            </w:r>
          </w:p>
        </w:tc>
      </w:tr>
      <w:tr w:rsidR="002621E5" w:rsidRPr="00F306A8" w14:paraId="5FDA94DC" w14:textId="77777777" w:rsidTr="003406A0">
        <w:trPr>
          <w:jc w:val="center"/>
        </w:trPr>
        <w:tc>
          <w:tcPr>
            <w:tcW w:w="2268" w:type="dxa"/>
            <w:vAlign w:val="center"/>
          </w:tcPr>
          <w:p w14:paraId="15AC7FF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Booking / payment system failure</w:t>
            </w:r>
          </w:p>
        </w:tc>
        <w:tc>
          <w:tcPr>
            <w:tcW w:w="1247" w:type="dxa"/>
            <w:vAlign w:val="center"/>
          </w:tcPr>
          <w:p w14:paraId="15B4E72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Low/Medium</w:t>
            </w:r>
          </w:p>
        </w:tc>
        <w:tc>
          <w:tcPr>
            <w:tcW w:w="1247" w:type="dxa"/>
            <w:vAlign w:val="center"/>
          </w:tcPr>
          <w:p w14:paraId="5814187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3969" w:type="dxa"/>
            <w:vAlign w:val="center"/>
          </w:tcPr>
          <w:p w14:paraId="15FB2C2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Pre-launch testing and fallback arrangements.</w:t>
            </w:r>
          </w:p>
        </w:tc>
      </w:tr>
      <w:tr w:rsidR="002621E5" w:rsidRPr="00F306A8" w14:paraId="13C2BF9A" w14:textId="77777777" w:rsidTr="003406A0">
        <w:trPr>
          <w:jc w:val="center"/>
        </w:trPr>
        <w:tc>
          <w:tcPr>
            <w:tcW w:w="2268" w:type="dxa"/>
            <w:vAlign w:val="center"/>
          </w:tcPr>
          <w:p w14:paraId="5F8DA5F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Reputational / service-quality event</w:t>
            </w:r>
          </w:p>
        </w:tc>
        <w:tc>
          <w:tcPr>
            <w:tcW w:w="1247" w:type="dxa"/>
            <w:vAlign w:val="center"/>
          </w:tcPr>
          <w:p w14:paraId="58240F9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Low</w:t>
            </w:r>
          </w:p>
        </w:tc>
        <w:tc>
          <w:tcPr>
            <w:tcW w:w="1247" w:type="dxa"/>
            <w:vAlign w:val="center"/>
          </w:tcPr>
          <w:p w14:paraId="7A76725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2D0E2C3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Appropriate professional processes, insurance, documentation and escalation.</w:t>
            </w:r>
          </w:p>
        </w:tc>
      </w:tr>
      <w:tr w:rsidR="002621E5" w:rsidRPr="00F306A8" w14:paraId="5541C394" w14:textId="77777777" w:rsidTr="003406A0">
        <w:trPr>
          <w:jc w:val="center"/>
        </w:trPr>
        <w:tc>
          <w:tcPr>
            <w:tcW w:w="2268" w:type="dxa"/>
            <w:vAlign w:val="center"/>
          </w:tcPr>
          <w:p w14:paraId="313D425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 data / confidentiality breach</w:t>
            </w:r>
          </w:p>
        </w:tc>
        <w:tc>
          <w:tcPr>
            <w:tcW w:w="1247" w:type="dxa"/>
            <w:vAlign w:val="center"/>
          </w:tcPr>
          <w:p w14:paraId="162639A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Low</w:t>
            </w:r>
          </w:p>
        </w:tc>
        <w:tc>
          <w:tcPr>
            <w:tcW w:w="1247" w:type="dxa"/>
            <w:vAlign w:val="center"/>
          </w:tcPr>
          <w:p w14:paraId="537E8AC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Very High</w:t>
            </w:r>
          </w:p>
        </w:tc>
        <w:tc>
          <w:tcPr>
            <w:tcW w:w="3969" w:type="dxa"/>
            <w:vAlign w:val="center"/>
          </w:tcPr>
          <w:p w14:paraId="389F606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Access controls, secure systems, data </w:t>
            </w:r>
            <w:proofErr w:type="spellStart"/>
            <w:r w:rsidRPr="00F306A8">
              <w:rPr>
                <w:rFonts w:ascii="Calibri" w:hAnsi="Calibri" w:cs="Calibri"/>
                <w:sz w:val="24"/>
                <w:szCs w:val="24"/>
              </w:rPr>
              <w:t>minimisation</w:t>
            </w:r>
            <w:proofErr w:type="spellEnd"/>
            <w:r w:rsidRPr="00F306A8">
              <w:rPr>
                <w:rFonts w:ascii="Calibri" w:hAnsi="Calibri" w:cs="Calibri"/>
                <w:sz w:val="24"/>
                <w:szCs w:val="24"/>
              </w:rPr>
              <w:t xml:space="preserve"> and no unnecessary sharing.</w:t>
            </w:r>
          </w:p>
        </w:tc>
      </w:tr>
      <w:tr w:rsidR="002621E5" w:rsidRPr="00F306A8" w14:paraId="68B3F710" w14:textId="77777777" w:rsidTr="003406A0">
        <w:trPr>
          <w:jc w:val="center"/>
        </w:trPr>
        <w:tc>
          <w:tcPr>
            <w:tcW w:w="2268" w:type="dxa"/>
            <w:vAlign w:val="center"/>
          </w:tcPr>
          <w:p w14:paraId="56F8EA2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External regulatory change</w:t>
            </w:r>
          </w:p>
        </w:tc>
        <w:tc>
          <w:tcPr>
            <w:tcW w:w="1247" w:type="dxa"/>
            <w:vAlign w:val="center"/>
          </w:tcPr>
          <w:p w14:paraId="263B5E1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Medium</w:t>
            </w:r>
          </w:p>
        </w:tc>
        <w:tc>
          <w:tcPr>
            <w:tcW w:w="1247" w:type="dxa"/>
            <w:vAlign w:val="center"/>
          </w:tcPr>
          <w:p w14:paraId="4E9476B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High</w:t>
            </w:r>
          </w:p>
        </w:tc>
        <w:tc>
          <w:tcPr>
            <w:tcW w:w="3969" w:type="dxa"/>
            <w:vAlign w:val="center"/>
          </w:tcPr>
          <w:p w14:paraId="309BEBD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Regular review of applicable professional and legal requirements.</w:t>
            </w:r>
          </w:p>
        </w:tc>
      </w:tr>
    </w:tbl>
    <w:p w14:paraId="5B1A1E17" w14:textId="77777777" w:rsidR="002621E5" w:rsidRPr="00F306A8" w:rsidRDefault="002621E5" w:rsidP="00F306A8">
      <w:pPr>
        <w:spacing w:after="40" w:line="360" w:lineRule="auto"/>
        <w:jc w:val="both"/>
        <w:rPr>
          <w:rFonts w:ascii="Calibri" w:hAnsi="Calibri" w:cs="Calibri"/>
          <w:sz w:val="24"/>
          <w:szCs w:val="24"/>
        </w:rPr>
      </w:pPr>
    </w:p>
    <w:p w14:paraId="14014D2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 xml:space="preserve">While the risk matrix is useful in directing limited management time and effort, scoring is somewhat subjective. A confidentiality breach may have a low estimated probability but be intolerable due to the consequences. The answer must then </w:t>
      </w:r>
      <w:proofErr w:type="gramStart"/>
      <w:r w:rsidRPr="00F306A8">
        <w:rPr>
          <w:rFonts w:ascii="Calibri" w:hAnsi="Calibri" w:cs="Calibri"/>
          <w:sz w:val="24"/>
          <w:szCs w:val="24"/>
        </w:rPr>
        <w:t>take into account</w:t>
      </w:r>
      <w:proofErr w:type="gramEnd"/>
      <w:r w:rsidRPr="00F306A8">
        <w:rPr>
          <w:rFonts w:ascii="Calibri" w:hAnsi="Calibri" w:cs="Calibri"/>
          <w:sz w:val="24"/>
          <w:szCs w:val="24"/>
        </w:rPr>
        <w:t xml:space="preserve"> the absolute impact as well as the computed ranking. Zaleski and Michalski (2021) and Michalski and Zaleski (2024) underline the role of stakeholders, people, and risks in the success of projects, and Vrchota et al. (2020) name leadership, flexibility, and finance as factors affecting project sustainability.</w:t>
      </w:r>
    </w:p>
    <w:p w14:paraId="10FA4B48" w14:textId="77777777" w:rsidR="002621E5" w:rsidRPr="00F306A8" w:rsidRDefault="002621E5" w:rsidP="00F306A8">
      <w:pPr>
        <w:pStyle w:val="Heading1"/>
        <w:spacing w:line="360" w:lineRule="auto"/>
        <w:jc w:val="both"/>
        <w:rPr>
          <w:rFonts w:ascii="Calibri" w:hAnsi="Calibri" w:cs="Calibri"/>
          <w:sz w:val="24"/>
          <w:szCs w:val="24"/>
        </w:rPr>
      </w:pPr>
      <w:bookmarkStart w:id="11" w:name="_Toc238977981"/>
      <w:r w:rsidRPr="00F306A8">
        <w:rPr>
          <w:rFonts w:ascii="Calibri" w:hAnsi="Calibri" w:cs="Calibri"/>
          <w:sz w:val="24"/>
          <w:szCs w:val="24"/>
        </w:rPr>
        <w:t>9. Execution, Monitoring, Scope Control and Project Close-Down</w:t>
      </w:r>
      <w:bookmarkEnd w:id="11"/>
    </w:p>
    <w:p w14:paraId="6D26C8C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Actual performance should be compared to the baseline when executing, not just at the opening, and not at the end of the process. The contents of a </w:t>
      </w:r>
      <w:proofErr w:type="gramStart"/>
      <w:r w:rsidRPr="00F306A8">
        <w:rPr>
          <w:rFonts w:ascii="Calibri" w:hAnsi="Calibri" w:cs="Calibri"/>
          <w:sz w:val="24"/>
          <w:szCs w:val="24"/>
        </w:rPr>
        <w:t>microbusiness's</w:t>
      </w:r>
      <w:proofErr w:type="gramEnd"/>
      <w:r w:rsidRPr="00F306A8">
        <w:rPr>
          <w:rFonts w:ascii="Calibri" w:hAnsi="Calibri" w:cs="Calibri"/>
          <w:sz w:val="24"/>
          <w:szCs w:val="24"/>
        </w:rPr>
        <w:t xml:space="preserve"> compact dashboard are milestone completion, budget committed, unresolved defects, supplier status, risk movements, system-test results, training readiness and any data-security incidents.</w:t>
      </w:r>
    </w:p>
    <w:p w14:paraId="03F10F9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time-cost-scope/quality relationship helps to understand why corrective decisions have a trade-off. Where fit-out is postponed, and the opening date is set, the owner may require further resources or </w:t>
      </w:r>
      <w:proofErr w:type="gramStart"/>
      <w:r w:rsidRPr="00F306A8">
        <w:rPr>
          <w:rFonts w:ascii="Calibri" w:hAnsi="Calibri" w:cs="Calibri"/>
          <w:sz w:val="24"/>
          <w:szCs w:val="24"/>
        </w:rPr>
        <w:t>have to</w:t>
      </w:r>
      <w:proofErr w:type="gramEnd"/>
      <w:r w:rsidRPr="00F306A8">
        <w:rPr>
          <w:rFonts w:ascii="Calibri" w:hAnsi="Calibri" w:cs="Calibri"/>
          <w:sz w:val="24"/>
          <w:szCs w:val="24"/>
        </w:rPr>
        <w:t xml:space="preserve"> postpone non-essential scope. Optional features should be deferred rather than sacrificed if the budget is not going up. This is better than sacrificing readiness or financial control for all planned features.</w:t>
      </w:r>
    </w:p>
    <w:p w14:paraId="51EF445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Scope creep is especially important </w:t>
      </w:r>
      <w:proofErr w:type="gramStart"/>
      <w:r w:rsidRPr="00F306A8">
        <w:rPr>
          <w:rFonts w:ascii="Calibri" w:hAnsi="Calibri" w:cs="Calibri"/>
          <w:sz w:val="24"/>
          <w:szCs w:val="24"/>
        </w:rPr>
        <w:t>to</w:t>
      </w:r>
      <w:proofErr w:type="gramEnd"/>
      <w:r w:rsidRPr="00F306A8">
        <w:rPr>
          <w:rFonts w:ascii="Calibri" w:hAnsi="Calibri" w:cs="Calibri"/>
          <w:sz w:val="24"/>
          <w:szCs w:val="24"/>
        </w:rPr>
        <w:t xml:space="preserve"> salon expansion as new ideas come in with ease: extra rooms, equipment upgrades, new services, promotion features, additional furniture. A change-control process should record the requested change, reason, benefit, cost, schedule impact, risk impact and decision. Changes that are approved must be added to the baseline. This generates evidence for decision-making and stops </w:t>
      </w:r>
      <w:proofErr w:type="gramStart"/>
      <w:r w:rsidRPr="00F306A8">
        <w:rPr>
          <w:rFonts w:ascii="Calibri" w:hAnsi="Calibri" w:cs="Calibri"/>
          <w:sz w:val="24"/>
          <w:szCs w:val="24"/>
        </w:rPr>
        <w:t>more and more</w:t>
      </w:r>
      <w:proofErr w:type="gramEnd"/>
      <w:r w:rsidRPr="00F306A8">
        <w:rPr>
          <w:rFonts w:ascii="Calibri" w:hAnsi="Calibri" w:cs="Calibri"/>
          <w:sz w:val="24"/>
          <w:szCs w:val="24"/>
        </w:rPr>
        <w:t xml:space="preserve"> contingency being creatively absorbed by informal additions.</w:t>
      </w:r>
    </w:p>
    <w:p w14:paraId="631E3B9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There should be monitoring of benefits as well as activities. Cardoni et al. (2020) state that the measurement of performance is correlated to the economic sustainability of knowledge-intensive SMEs. So post-launch metrics for Honey-Love should include things like aggregate appointment usage, training enrollments, revenue trends, repeat bookings, operating cost performance, client satisfaction, and trainee satisfaction. In strategic analysis, the identities of individual clients are not required.</w:t>
      </w:r>
    </w:p>
    <w:p w14:paraId="19E1C6B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Ending the project doesn't simply mean one has to open the beauty shop. Formal closure should validate the agreed work, outstanding defects, supplier records/final payments, </w:t>
      </w:r>
      <w:r w:rsidRPr="00F306A8">
        <w:rPr>
          <w:rFonts w:ascii="Calibri" w:hAnsi="Calibri" w:cs="Calibri"/>
          <w:sz w:val="24"/>
          <w:szCs w:val="24"/>
        </w:rPr>
        <w:lastRenderedPageBreak/>
        <w:t xml:space="preserve">operational documents and capture lessons learned, and schedule benefit review dates. A </w:t>
      </w:r>
      <w:proofErr w:type="gramStart"/>
      <w:r w:rsidRPr="00F306A8">
        <w:rPr>
          <w:rFonts w:ascii="Calibri" w:hAnsi="Calibri" w:cs="Calibri"/>
          <w:sz w:val="24"/>
          <w:szCs w:val="24"/>
        </w:rPr>
        <w:t>lessons</w:t>
      </w:r>
      <w:proofErr w:type="gramEnd"/>
      <w:r w:rsidRPr="00F306A8">
        <w:rPr>
          <w:rFonts w:ascii="Calibri" w:hAnsi="Calibri" w:cs="Calibri"/>
          <w:sz w:val="24"/>
          <w:szCs w:val="24"/>
        </w:rPr>
        <w:t xml:space="preserve">-learned review is particularly relevant in a knowledge-intensive business as it transforms personal experience into structural knowledge. When learning is retained in the memory of the owner, dependency will increase. Lesson coding into procedures, templates and checklists enhances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ability (Durst et al., 2022; Jordão &amp; Novas, 2022).</w:t>
      </w:r>
    </w:p>
    <w:p w14:paraId="0591E5D4" w14:textId="77777777" w:rsidR="002621E5" w:rsidRPr="00F306A8" w:rsidRDefault="002621E5" w:rsidP="00F306A8">
      <w:pPr>
        <w:pStyle w:val="Heading1"/>
        <w:spacing w:line="360" w:lineRule="auto"/>
        <w:jc w:val="both"/>
        <w:rPr>
          <w:rFonts w:ascii="Calibri" w:hAnsi="Calibri" w:cs="Calibri"/>
          <w:sz w:val="24"/>
          <w:szCs w:val="24"/>
        </w:rPr>
      </w:pPr>
      <w:bookmarkStart w:id="12" w:name="_Toc238977982"/>
      <w:r w:rsidRPr="00F306A8">
        <w:rPr>
          <w:rFonts w:ascii="Calibri" w:hAnsi="Calibri" w:cs="Calibri"/>
          <w:sz w:val="24"/>
          <w:szCs w:val="24"/>
        </w:rPr>
        <w:t>10. Project Manager Attributes and Personal Self-Audit</w:t>
      </w:r>
      <w:bookmarkEnd w:id="12"/>
    </w:p>
    <w:p w14:paraId="492AAD1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Project management is a mixture of technical and interpersonal skills. Planning instruments will not overcome poor communication, weak leadership and poor decision-making. Important factors affecting project results, identified by research, include leadership, flexibility, client involvement, and soft skills (Bjelica et al., 2023; Ansari et al., 2024; Vrchota et al., 2020).</w:t>
      </w:r>
    </w:p>
    <w:p w14:paraId="053F123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My self-audit is based on my experience as the self-employed owner of Honey-Love Aesthetics by Michelle for over 4 years, and the Honey-Love the Beauty Box expansion. The assessment should be viewed in a reflective way, not as definitive, and can be enhanced by feedback from collaborators, trainees, advisers and other professional contacts.</w:t>
      </w:r>
    </w:p>
    <w:p w14:paraId="5FAB818E"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8</w:t>
      </w:r>
      <w:r w:rsidRPr="00F306A8">
        <w:rPr>
          <w:rFonts w:ascii="Calibri" w:hAnsi="Calibri" w:cs="Calibri"/>
          <w:noProof/>
          <w:sz w:val="24"/>
          <w:szCs w:val="24"/>
        </w:rPr>
        <w:fldChar w:fldCharType="end"/>
      </w:r>
      <w:r w:rsidRPr="00F306A8">
        <w:rPr>
          <w:rFonts w:ascii="Calibri" w:hAnsi="Calibri" w:cs="Calibri"/>
          <w:sz w:val="24"/>
          <w:szCs w:val="24"/>
        </w:rPr>
        <w:t>. Project Manager Self-Audit</w:t>
      </w:r>
    </w:p>
    <w:tbl>
      <w:tblPr>
        <w:tblStyle w:val="TableGrid"/>
        <w:tblW w:w="0" w:type="auto"/>
        <w:jc w:val="center"/>
        <w:tblLook w:val="04A0" w:firstRow="1" w:lastRow="0" w:firstColumn="1" w:lastColumn="0" w:noHBand="0" w:noVBand="1"/>
      </w:tblPr>
      <w:tblGrid>
        <w:gridCol w:w="2267"/>
        <w:gridCol w:w="1700"/>
        <w:gridCol w:w="4810"/>
      </w:tblGrid>
      <w:tr w:rsidR="002621E5" w:rsidRPr="00F306A8" w14:paraId="050DFCF8" w14:textId="77777777" w:rsidTr="003406A0">
        <w:trPr>
          <w:jc w:val="center"/>
        </w:trPr>
        <w:tc>
          <w:tcPr>
            <w:tcW w:w="2268" w:type="dxa"/>
            <w:shd w:val="clear" w:color="auto" w:fill="D9EAD3"/>
            <w:vAlign w:val="center"/>
          </w:tcPr>
          <w:p w14:paraId="519604C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Competence</w:t>
            </w:r>
          </w:p>
        </w:tc>
        <w:tc>
          <w:tcPr>
            <w:tcW w:w="1701" w:type="dxa"/>
            <w:shd w:val="clear" w:color="auto" w:fill="D9EAD3"/>
            <w:vAlign w:val="center"/>
          </w:tcPr>
          <w:p w14:paraId="0342C24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Self-Evaluation</w:t>
            </w:r>
          </w:p>
        </w:tc>
        <w:tc>
          <w:tcPr>
            <w:tcW w:w="4819" w:type="dxa"/>
            <w:shd w:val="clear" w:color="auto" w:fill="D9EAD3"/>
            <w:vAlign w:val="center"/>
          </w:tcPr>
          <w:p w14:paraId="3323F22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Evidence / Development Need</w:t>
            </w:r>
          </w:p>
        </w:tc>
      </w:tr>
      <w:tr w:rsidR="002621E5" w:rsidRPr="00F306A8" w14:paraId="60FA480F" w14:textId="77777777" w:rsidTr="003406A0">
        <w:trPr>
          <w:jc w:val="center"/>
        </w:trPr>
        <w:tc>
          <w:tcPr>
            <w:tcW w:w="2268" w:type="dxa"/>
            <w:vAlign w:val="center"/>
          </w:tcPr>
          <w:p w14:paraId="04AE7A0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Subject knowledge</w:t>
            </w:r>
          </w:p>
        </w:tc>
        <w:tc>
          <w:tcPr>
            <w:tcW w:w="1701" w:type="dxa"/>
            <w:vAlign w:val="center"/>
          </w:tcPr>
          <w:p w14:paraId="348D3B4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Strong</w:t>
            </w:r>
          </w:p>
        </w:tc>
        <w:tc>
          <w:tcPr>
            <w:tcW w:w="4819" w:type="dxa"/>
            <w:vAlign w:val="center"/>
          </w:tcPr>
          <w:p w14:paraId="29273A7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Four-plus years' business experience and ability to offer both services and training.</w:t>
            </w:r>
          </w:p>
        </w:tc>
      </w:tr>
      <w:tr w:rsidR="002621E5" w:rsidRPr="00F306A8" w14:paraId="3B513F35" w14:textId="77777777" w:rsidTr="003406A0">
        <w:trPr>
          <w:jc w:val="center"/>
        </w:trPr>
        <w:tc>
          <w:tcPr>
            <w:tcW w:w="2268" w:type="dxa"/>
            <w:vAlign w:val="center"/>
          </w:tcPr>
          <w:p w14:paraId="7CAB521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Entrepreneurship / initiative</w:t>
            </w:r>
          </w:p>
        </w:tc>
        <w:tc>
          <w:tcPr>
            <w:tcW w:w="1701" w:type="dxa"/>
            <w:vAlign w:val="center"/>
          </w:tcPr>
          <w:p w14:paraId="5378689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Strong</w:t>
            </w:r>
          </w:p>
        </w:tc>
        <w:tc>
          <w:tcPr>
            <w:tcW w:w="4819" w:type="dxa"/>
            <w:vAlign w:val="center"/>
          </w:tcPr>
          <w:p w14:paraId="4D5119A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Expanded an established business into a larger salon.</w:t>
            </w:r>
          </w:p>
        </w:tc>
      </w:tr>
      <w:tr w:rsidR="002621E5" w:rsidRPr="00F306A8" w14:paraId="2AA63311" w14:textId="77777777" w:rsidTr="003406A0">
        <w:trPr>
          <w:jc w:val="center"/>
        </w:trPr>
        <w:tc>
          <w:tcPr>
            <w:tcW w:w="2268" w:type="dxa"/>
            <w:vAlign w:val="center"/>
          </w:tcPr>
          <w:p w14:paraId="36F2A88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 communication</w:t>
            </w:r>
          </w:p>
        </w:tc>
        <w:tc>
          <w:tcPr>
            <w:tcW w:w="1701" w:type="dxa"/>
            <w:vAlign w:val="center"/>
          </w:tcPr>
          <w:p w14:paraId="1638E9F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Strong</w:t>
            </w:r>
          </w:p>
        </w:tc>
        <w:tc>
          <w:tcPr>
            <w:tcW w:w="4819" w:type="dxa"/>
            <w:vAlign w:val="center"/>
          </w:tcPr>
          <w:p w14:paraId="207459D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Client-facing business requires ongoing communication and trust.</w:t>
            </w:r>
          </w:p>
        </w:tc>
      </w:tr>
      <w:tr w:rsidR="002621E5" w:rsidRPr="00F306A8" w14:paraId="7109E123" w14:textId="77777777" w:rsidTr="003406A0">
        <w:trPr>
          <w:jc w:val="center"/>
        </w:trPr>
        <w:tc>
          <w:tcPr>
            <w:tcW w:w="2268" w:type="dxa"/>
            <w:vAlign w:val="center"/>
          </w:tcPr>
          <w:p w14:paraId="4501D6F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Confidentiality / professionalism</w:t>
            </w:r>
          </w:p>
        </w:tc>
        <w:tc>
          <w:tcPr>
            <w:tcW w:w="1701" w:type="dxa"/>
            <w:vAlign w:val="center"/>
          </w:tcPr>
          <w:p w14:paraId="72A16A2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Strong</w:t>
            </w:r>
          </w:p>
        </w:tc>
        <w:tc>
          <w:tcPr>
            <w:tcW w:w="4819" w:type="dxa"/>
            <w:vAlign w:val="center"/>
          </w:tcPr>
          <w:p w14:paraId="3571FD2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Client information is not shared; privacy is treated as </w:t>
            </w:r>
            <w:proofErr w:type="gramStart"/>
            <w:r w:rsidRPr="00F306A8">
              <w:rPr>
                <w:rFonts w:ascii="Calibri" w:hAnsi="Calibri" w:cs="Calibri"/>
                <w:sz w:val="24"/>
                <w:szCs w:val="24"/>
              </w:rPr>
              <w:t>a project</w:t>
            </w:r>
            <w:proofErr w:type="gramEnd"/>
            <w:r w:rsidRPr="00F306A8">
              <w:rPr>
                <w:rFonts w:ascii="Calibri" w:hAnsi="Calibri" w:cs="Calibri"/>
                <w:sz w:val="24"/>
                <w:szCs w:val="24"/>
              </w:rPr>
              <w:t xml:space="preserve"> control.</w:t>
            </w:r>
          </w:p>
        </w:tc>
      </w:tr>
      <w:tr w:rsidR="002621E5" w:rsidRPr="00F306A8" w14:paraId="7069EE7D" w14:textId="77777777" w:rsidTr="003406A0">
        <w:trPr>
          <w:jc w:val="center"/>
        </w:trPr>
        <w:tc>
          <w:tcPr>
            <w:tcW w:w="2268" w:type="dxa"/>
            <w:vAlign w:val="center"/>
          </w:tcPr>
          <w:p w14:paraId="230EF45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Decision-making</w:t>
            </w:r>
          </w:p>
        </w:tc>
        <w:tc>
          <w:tcPr>
            <w:tcW w:w="1701" w:type="dxa"/>
            <w:vAlign w:val="center"/>
          </w:tcPr>
          <w:p w14:paraId="0FC0E54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Strong / Developing</w:t>
            </w:r>
          </w:p>
        </w:tc>
        <w:tc>
          <w:tcPr>
            <w:tcW w:w="4819" w:type="dxa"/>
            <w:vAlign w:val="center"/>
          </w:tcPr>
          <w:p w14:paraId="7627D02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Self-employment requires frequent decisions; larger projects need more formal evidence.</w:t>
            </w:r>
          </w:p>
        </w:tc>
      </w:tr>
      <w:tr w:rsidR="002621E5" w:rsidRPr="00F306A8" w14:paraId="3CF55DDA" w14:textId="77777777" w:rsidTr="003406A0">
        <w:trPr>
          <w:jc w:val="center"/>
        </w:trPr>
        <w:tc>
          <w:tcPr>
            <w:tcW w:w="2268" w:type="dxa"/>
            <w:vAlign w:val="center"/>
          </w:tcPr>
          <w:p w14:paraId="2AEF2EC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Planning / documentation</w:t>
            </w:r>
          </w:p>
        </w:tc>
        <w:tc>
          <w:tcPr>
            <w:tcW w:w="1701" w:type="dxa"/>
            <w:vAlign w:val="center"/>
          </w:tcPr>
          <w:p w14:paraId="34E1EAB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Developing</w:t>
            </w:r>
          </w:p>
        </w:tc>
        <w:tc>
          <w:tcPr>
            <w:tcW w:w="4819" w:type="dxa"/>
            <w:vAlign w:val="center"/>
          </w:tcPr>
          <w:p w14:paraId="59F5922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WBS, Gantt, RACI and risk registers should be used more consistently.</w:t>
            </w:r>
          </w:p>
        </w:tc>
      </w:tr>
      <w:tr w:rsidR="002621E5" w:rsidRPr="00F306A8" w14:paraId="7A1FC75C" w14:textId="77777777" w:rsidTr="003406A0">
        <w:trPr>
          <w:jc w:val="center"/>
        </w:trPr>
        <w:tc>
          <w:tcPr>
            <w:tcW w:w="2268" w:type="dxa"/>
            <w:vAlign w:val="center"/>
          </w:tcPr>
          <w:p w14:paraId="2C1E530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Delegation</w:t>
            </w:r>
          </w:p>
        </w:tc>
        <w:tc>
          <w:tcPr>
            <w:tcW w:w="1701" w:type="dxa"/>
            <w:vAlign w:val="center"/>
          </w:tcPr>
          <w:p w14:paraId="2265184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Developing</w:t>
            </w:r>
          </w:p>
        </w:tc>
        <w:tc>
          <w:tcPr>
            <w:tcW w:w="4819" w:type="dxa"/>
            <w:vAlign w:val="center"/>
          </w:tcPr>
          <w:p w14:paraId="1B612D9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Owner dependence can restrict growth and resilience.</w:t>
            </w:r>
          </w:p>
        </w:tc>
      </w:tr>
      <w:tr w:rsidR="002621E5" w:rsidRPr="00F306A8" w14:paraId="49A870C6" w14:textId="77777777" w:rsidTr="003406A0">
        <w:trPr>
          <w:jc w:val="center"/>
        </w:trPr>
        <w:tc>
          <w:tcPr>
            <w:tcW w:w="2268" w:type="dxa"/>
            <w:vAlign w:val="center"/>
          </w:tcPr>
          <w:p w14:paraId="303000C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Financial project control</w:t>
            </w:r>
          </w:p>
        </w:tc>
        <w:tc>
          <w:tcPr>
            <w:tcW w:w="1701" w:type="dxa"/>
            <w:vAlign w:val="center"/>
          </w:tcPr>
          <w:p w14:paraId="3C9A523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Developing</w:t>
            </w:r>
          </w:p>
        </w:tc>
        <w:tc>
          <w:tcPr>
            <w:tcW w:w="4819" w:type="dxa"/>
            <w:vAlign w:val="center"/>
          </w:tcPr>
          <w:p w14:paraId="0751013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More systematic budget variance and benefits tracking would improve decisions.</w:t>
            </w:r>
          </w:p>
        </w:tc>
      </w:tr>
      <w:tr w:rsidR="002621E5" w:rsidRPr="00F306A8" w14:paraId="572EBE37" w14:textId="77777777" w:rsidTr="003406A0">
        <w:trPr>
          <w:jc w:val="center"/>
        </w:trPr>
        <w:tc>
          <w:tcPr>
            <w:tcW w:w="2268" w:type="dxa"/>
            <w:vAlign w:val="center"/>
          </w:tcPr>
          <w:p w14:paraId="5DFB34F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Risk management</w:t>
            </w:r>
          </w:p>
        </w:tc>
        <w:tc>
          <w:tcPr>
            <w:tcW w:w="1701" w:type="dxa"/>
            <w:vAlign w:val="center"/>
          </w:tcPr>
          <w:p w14:paraId="092AF9A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Developing</w:t>
            </w:r>
          </w:p>
        </w:tc>
        <w:tc>
          <w:tcPr>
            <w:tcW w:w="4819" w:type="dxa"/>
            <w:vAlign w:val="center"/>
          </w:tcPr>
          <w:p w14:paraId="50B8A8C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Practical judgement should be converted into a formal review process.</w:t>
            </w:r>
          </w:p>
        </w:tc>
      </w:tr>
      <w:tr w:rsidR="002621E5" w:rsidRPr="00F306A8" w14:paraId="4AF6F369" w14:textId="77777777" w:rsidTr="003406A0">
        <w:trPr>
          <w:jc w:val="center"/>
        </w:trPr>
        <w:tc>
          <w:tcPr>
            <w:tcW w:w="2268" w:type="dxa"/>
            <w:vAlign w:val="center"/>
          </w:tcPr>
          <w:p w14:paraId="3744367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Leadership of a growing network</w:t>
            </w:r>
          </w:p>
        </w:tc>
        <w:tc>
          <w:tcPr>
            <w:tcW w:w="1701" w:type="dxa"/>
            <w:vAlign w:val="center"/>
          </w:tcPr>
          <w:p w14:paraId="4EEA886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Developing</w:t>
            </w:r>
          </w:p>
        </w:tc>
        <w:tc>
          <w:tcPr>
            <w:tcW w:w="4819" w:type="dxa"/>
            <w:vAlign w:val="center"/>
          </w:tcPr>
          <w:p w14:paraId="168016C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Expansion and training increase the need for role clarity, delegation and feedback.</w:t>
            </w:r>
          </w:p>
        </w:tc>
      </w:tr>
    </w:tbl>
    <w:p w14:paraId="7EE4ED8A" w14:textId="77777777" w:rsidR="002621E5" w:rsidRPr="00F306A8" w:rsidRDefault="002621E5" w:rsidP="00F306A8">
      <w:pPr>
        <w:spacing w:after="40" w:line="360" w:lineRule="auto"/>
        <w:jc w:val="both"/>
        <w:rPr>
          <w:rFonts w:ascii="Calibri" w:hAnsi="Calibri" w:cs="Calibri"/>
          <w:sz w:val="24"/>
          <w:szCs w:val="24"/>
        </w:rPr>
      </w:pPr>
    </w:p>
    <w:p w14:paraId="2F79C4A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Practical experience is the best skill. Service familiarity refers to not only familiarity with the service, but also the expectations of the client, which is not theoretical. But experience can breed complacency, too. Formal project tools provide a structure that challenges assumptions and records decisions. Another strength is the ability to maintain confidentiality, which fosters trust and relational capital, but this must be secured with the aid of secure systems and access rules, not just personal discretion.</w:t>
      </w:r>
    </w:p>
    <w:p w14:paraId="6D7984A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The primary development risk is key-person dependency. If one person is the practitioner, trainer, sponsor, and project manager, then a potential issue is the workload and decision-making bottlenecks. Effective teamwork requires team development, not assuming it will just happen naturally, as shown in Tuckman's (1965) model of team development. Even if the permanent team is small, the roles, communication and feedback that contractors, suppliers and training collaborators have must be specified.</w:t>
      </w:r>
    </w:p>
    <w:p w14:paraId="69E28934" w14:textId="77777777" w:rsidR="002621E5" w:rsidRPr="00F306A8" w:rsidRDefault="002621E5" w:rsidP="00F306A8">
      <w:pPr>
        <w:pStyle w:val="Heading2"/>
        <w:spacing w:line="360" w:lineRule="auto"/>
        <w:jc w:val="both"/>
        <w:rPr>
          <w:rFonts w:ascii="Calibri" w:hAnsi="Calibri" w:cs="Calibri"/>
          <w:sz w:val="24"/>
          <w:szCs w:val="24"/>
        </w:rPr>
      </w:pPr>
      <w:bookmarkStart w:id="13" w:name="_Toc238977983"/>
      <w:r w:rsidRPr="00F306A8">
        <w:rPr>
          <w:rFonts w:ascii="Calibri" w:hAnsi="Calibri" w:cs="Calibri"/>
          <w:sz w:val="24"/>
          <w:szCs w:val="24"/>
        </w:rPr>
        <w:t>10.1 Personal Development Plan</w:t>
      </w:r>
      <w:bookmarkEnd w:id="13"/>
    </w:p>
    <w:p w14:paraId="32B67306" w14:textId="77777777" w:rsidR="002621E5" w:rsidRPr="00F306A8" w:rsidRDefault="002621E5" w:rsidP="00F306A8">
      <w:pPr>
        <w:pStyle w:val="Caption"/>
        <w:spacing w:line="360" w:lineRule="auto"/>
        <w:rPr>
          <w:rFonts w:ascii="Calibri" w:hAnsi="Calibri" w:cs="Calibri"/>
          <w:sz w:val="24"/>
          <w:szCs w:val="24"/>
        </w:rPr>
      </w:pPr>
      <w:r w:rsidRPr="00F306A8">
        <w:rPr>
          <w:rFonts w:ascii="Calibri" w:hAnsi="Calibri" w:cs="Calibri"/>
          <w:sz w:val="24"/>
          <w:szCs w:val="24"/>
        </w:rPr>
        <w:t xml:space="preserve">Table </w:t>
      </w:r>
      <w:r w:rsidRPr="00F306A8">
        <w:rPr>
          <w:rFonts w:ascii="Calibri" w:hAnsi="Calibri" w:cs="Calibri"/>
          <w:sz w:val="24"/>
          <w:szCs w:val="24"/>
        </w:rPr>
        <w:fldChar w:fldCharType="begin"/>
      </w:r>
      <w:r w:rsidRPr="00F306A8">
        <w:rPr>
          <w:rFonts w:ascii="Calibri" w:hAnsi="Calibri" w:cs="Calibri"/>
          <w:sz w:val="24"/>
          <w:szCs w:val="24"/>
        </w:rPr>
        <w:instrText xml:space="preserve"> SEQ Table \* ARABIC </w:instrText>
      </w:r>
      <w:r w:rsidRPr="00F306A8">
        <w:rPr>
          <w:rFonts w:ascii="Calibri" w:hAnsi="Calibri" w:cs="Calibri"/>
          <w:sz w:val="24"/>
          <w:szCs w:val="24"/>
        </w:rPr>
        <w:fldChar w:fldCharType="separate"/>
      </w:r>
      <w:r w:rsidRPr="00F306A8">
        <w:rPr>
          <w:rFonts w:ascii="Calibri" w:hAnsi="Calibri" w:cs="Calibri"/>
          <w:noProof/>
          <w:sz w:val="24"/>
          <w:szCs w:val="24"/>
        </w:rPr>
        <w:t>9</w:t>
      </w:r>
      <w:r w:rsidRPr="00F306A8">
        <w:rPr>
          <w:rFonts w:ascii="Calibri" w:hAnsi="Calibri" w:cs="Calibri"/>
          <w:noProof/>
          <w:sz w:val="24"/>
          <w:szCs w:val="24"/>
        </w:rPr>
        <w:fldChar w:fldCharType="end"/>
      </w:r>
      <w:r w:rsidRPr="00F306A8">
        <w:rPr>
          <w:rFonts w:ascii="Calibri" w:hAnsi="Calibri" w:cs="Calibri"/>
          <w:sz w:val="24"/>
          <w:szCs w:val="24"/>
        </w:rPr>
        <w:t>. Personal Development Plan (PDP)</w:t>
      </w:r>
    </w:p>
    <w:tbl>
      <w:tblPr>
        <w:tblStyle w:val="TableGrid"/>
        <w:tblW w:w="0" w:type="auto"/>
        <w:jc w:val="center"/>
        <w:tblLook w:val="04A0" w:firstRow="1" w:lastRow="0" w:firstColumn="1" w:lastColumn="0" w:noHBand="0" w:noVBand="1"/>
      </w:tblPr>
      <w:tblGrid>
        <w:gridCol w:w="2088"/>
        <w:gridCol w:w="3141"/>
        <w:gridCol w:w="2186"/>
        <w:gridCol w:w="1362"/>
      </w:tblGrid>
      <w:tr w:rsidR="002621E5" w:rsidRPr="00F306A8" w14:paraId="2F839387" w14:textId="77777777" w:rsidTr="003406A0">
        <w:trPr>
          <w:jc w:val="center"/>
        </w:trPr>
        <w:tc>
          <w:tcPr>
            <w:tcW w:w="2268" w:type="dxa"/>
            <w:shd w:val="clear" w:color="auto" w:fill="D9EAD3"/>
            <w:vAlign w:val="center"/>
          </w:tcPr>
          <w:p w14:paraId="1C676C9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Development Objective</w:t>
            </w:r>
          </w:p>
        </w:tc>
        <w:tc>
          <w:tcPr>
            <w:tcW w:w="3402" w:type="dxa"/>
            <w:shd w:val="clear" w:color="auto" w:fill="D9EAD3"/>
            <w:vAlign w:val="center"/>
          </w:tcPr>
          <w:p w14:paraId="46BCEA2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Action</w:t>
            </w:r>
          </w:p>
        </w:tc>
        <w:tc>
          <w:tcPr>
            <w:tcW w:w="2438" w:type="dxa"/>
            <w:shd w:val="clear" w:color="auto" w:fill="D9EAD3"/>
            <w:vAlign w:val="center"/>
          </w:tcPr>
          <w:p w14:paraId="586F3D6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Measure</w:t>
            </w:r>
          </w:p>
        </w:tc>
        <w:tc>
          <w:tcPr>
            <w:tcW w:w="1417" w:type="dxa"/>
            <w:shd w:val="clear" w:color="auto" w:fill="D9EAD3"/>
            <w:vAlign w:val="center"/>
          </w:tcPr>
          <w:p w14:paraId="3E932F1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Timescale</w:t>
            </w:r>
          </w:p>
        </w:tc>
      </w:tr>
      <w:tr w:rsidR="002621E5" w:rsidRPr="00F306A8" w14:paraId="40BB263E" w14:textId="77777777" w:rsidTr="003406A0">
        <w:trPr>
          <w:jc w:val="center"/>
        </w:trPr>
        <w:tc>
          <w:tcPr>
            <w:tcW w:w="2268" w:type="dxa"/>
            <w:vAlign w:val="center"/>
          </w:tcPr>
          <w:p w14:paraId="65BF5EA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Strengthen formal PM capability</w:t>
            </w:r>
          </w:p>
        </w:tc>
        <w:tc>
          <w:tcPr>
            <w:tcW w:w="3402" w:type="dxa"/>
            <w:vAlign w:val="center"/>
          </w:tcPr>
          <w:p w14:paraId="799F513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Use WBS, Gantt, risk log and close-out review for each significant business project.</w:t>
            </w:r>
          </w:p>
        </w:tc>
        <w:tc>
          <w:tcPr>
            <w:tcW w:w="2438" w:type="dxa"/>
            <w:vAlign w:val="center"/>
          </w:tcPr>
          <w:p w14:paraId="6FFB59F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Complete project file for the next major initiative.</w:t>
            </w:r>
          </w:p>
        </w:tc>
        <w:tc>
          <w:tcPr>
            <w:tcW w:w="1417" w:type="dxa"/>
            <w:vAlign w:val="center"/>
          </w:tcPr>
          <w:p w14:paraId="18B7080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Within 3 months</w:t>
            </w:r>
          </w:p>
        </w:tc>
      </w:tr>
      <w:tr w:rsidR="002621E5" w:rsidRPr="00F306A8" w14:paraId="3F0383AE" w14:textId="77777777" w:rsidTr="003406A0">
        <w:trPr>
          <w:jc w:val="center"/>
        </w:trPr>
        <w:tc>
          <w:tcPr>
            <w:tcW w:w="2268" w:type="dxa"/>
            <w:vAlign w:val="center"/>
          </w:tcPr>
          <w:p w14:paraId="66B6F97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Improve delegation</w:t>
            </w:r>
          </w:p>
        </w:tc>
        <w:tc>
          <w:tcPr>
            <w:tcW w:w="3402" w:type="dxa"/>
            <w:vAlign w:val="center"/>
          </w:tcPr>
          <w:p w14:paraId="148DBF2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Use RACI and delegate suitable non-specialist activities.</w:t>
            </w:r>
          </w:p>
        </w:tc>
        <w:tc>
          <w:tcPr>
            <w:tcW w:w="2438" w:type="dxa"/>
            <w:vAlign w:val="center"/>
          </w:tcPr>
          <w:p w14:paraId="1CEBCC8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At least two recurring activities </w:t>
            </w:r>
            <w:r w:rsidRPr="00F306A8">
              <w:rPr>
                <w:rFonts w:ascii="Calibri" w:hAnsi="Calibri" w:cs="Calibri"/>
                <w:sz w:val="24"/>
                <w:szCs w:val="24"/>
              </w:rPr>
              <w:lastRenderedPageBreak/>
              <w:t>have documented ownership.</w:t>
            </w:r>
          </w:p>
        </w:tc>
        <w:tc>
          <w:tcPr>
            <w:tcW w:w="1417" w:type="dxa"/>
            <w:vAlign w:val="center"/>
          </w:tcPr>
          <w:p w14:paraId="1D1162A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lastRenderedPageBreak/>
              <w:t>Within 8 weeks</w:t>
            </w:r>
          </w:p>
        </w:tc>
      </w:tr>
      <w:tr w:rsidR="002621E5" w:rsidRPr="00F306A8" w14:paraId="28A9C540" w14:textId="77777777" w:rsidTr="003406A0">
        <w:trPr>
          <w:jc w:val="center"/>
        </w:trPr>
        <w:tc>
          <w:tcPr>
            <w:tcW w:w="2268" w:type="dxa"/>
            <w:vAlign w:val="center"/>
          </w:tcPr>
          <w:p w14:paraId="04DF753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Improve financial control</w:t>
            </w:r>
          </w:p>
        </w:tc>
        <w:tc>
          <w:tcPr>
            <w:tcW w:w="3402" w:type="dxa"/>
            <w:vAlign w:val="center"/>
          </w:tcPr>
          <w:p w14:paraId="0BA0920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Conduct structured budget, forecast and variance reviews with appropriate support.</w:t>
            </w:r>
          </w:p>
        </w:tc>
        <w:tc>
          <w:tcPr>
            <w:tcW w:w="2438" w:type="dxa"/>
            <w:vAlign w:val="center"/>
          </w:tcPr>
          <w:p w14:paraId="2A0DEDB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Monthly documented review.</w:t>
            </w:r>
          </w:p>
        </w:tc>
        <w:tc>
          <w:tcPr>
            <w:tcW w:w="1417" w:type="dxa"/>
            <w:vAlign w:val="center"/>
          </w:tcPr>
          <w:p w14:paraId="7365EFB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Monthly for 6 months</w:t>
            </w:r>
          </w:p>
        </w:tc>
      </w:tr>
      <w:tr w:rsidR="002621E5" w:rsidRPr="00F306A8" w14:paraId="2B993843" w14:textId="77777777" w:rsidTr="003406A0">
        <w:trPr>
          <w:jc w:val="center"/>
        </w:trPr>
        <w:tc>
          <w:tcPr>
            <w:tcW w:w="2268" w:type="dxa"/>
            <w:vAlign w:val="center"/>
          </w:tcPr>
          <w:p w14:paraId="140101A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Strengthen data governance</w:t>
            </w:r>
          </w:p>
        </w:tc>
        <w:tc>
          <w:tcPr>
            <w:tcW w:w="3402" w:type="dxa"/>
            <w:vAlign w:val="center"/>
          </w:tcPr>
          <w:p w14:paraId="05A8BEC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Review access, retention, privacy processes and confidentiality expectations.</w:t>
            </w:r>
          </w:p>
        </w:tc>
        <w:tc>
          <w:tcPr>
            <w:tcW w:w="2438" w:type="dxa"/>
            <w:vAlign w:val="center"/>
          </w:tcPr>
          <w:p w14:paraId="35ACB09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Recorded privacy check with actions closed.</w:t>
            </w:r>
          </w:p>
        </w:tc>
        <w:tc>
          <w:tcPr>
            <w:tcW w:w="1417" w:type="dxa"/>
            <w:vAlign w:val="center"/>
          </w:tcPr>
          <w:p w14:paraId="3CFF5CD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Quarterly</w:t>
            </w:r>
          </w:p>
        </w:tc>
      </w:tr>
      <w:tr w:rsidR="002621E5" w:rsidRPr="00F306A8" w14:paraId="7BF5F6CB" w14:textId="77777777" w:rsidTr="003406A0">
        <w:trPr>
          <w:jc w:val="center"/>
        </w:trPr>
        <w:tc>
          <w:tcPr>
            <w:tcW w:w="2268" w:type="dxa"/>
            <w:vAlign w:val="center"/>
          </w:tcPr>
          <w:p w14:paraId="301036D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Develop leadership</w:t>
            </w:r>
          </w:p>
        </w:tc>
        <w:tc>
          <w:tcPr>
            <w:tcW w:w="3402" w:type="dxa"/>
            <w:vAlign w:val="center"/>
          </w:tcPr>
          <w:p w14:paraId="79156B9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Obtain anonymous feedback from trainees/collaborators and review recurring themes.</w:t>
            </w:r>
          </w:p>
        </w:tc>
        <w:tc>
          <w:tcPr>
            <w:tcW w:w="2438" w:type="dxa"/>
            <w:vAlign w:val="center"/>
          </w:tcPr>
          <w:p w14:paraId="45CC64C1"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Quarterly feedback summary and action plan.</w:t>
            </w:r>
          </w:p>
        </w:tc>
        <w:tc>
          <w:tcPr>
            <w:tcW w:w="1417" w:type="dxa"/>
            <w:vAlign w:val="center"/>
          </w:tcPr>
          <w:p w14:paraId="4D421A4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Every 3 months</w:t>
            </w:r>
          </w:p>
        </w:tc>
      </w:tr>
      <w:tr w:rsidR="002621E5" w:rsidRPr="00F306A8" w14:paraId="47C121F8" w14:textId="77777777" w:rsidTr="003406A0">
        <w:trPr>
          <w:jc w:val="center"/>
        </w:trPr>
        <w:tc>
          <w:tcPr>
            <w:tcW w:w="2268" w:type="dxa"/>
            <w:vAlign w:val="center"/>
          </w:tcPr>
          <w:p w14:paraId="2609B904"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Improve benefits management</w:t>
            </w:r>
          </w:p>
        </w:tc>
        <w:tc>
          <w:tcPr>
            <w:tcW w:w="3402" w:type="dxa"/>
            <w:vAlign w:val="center"/>
          </w:tcPr>
          <w:p w14:paraId="5E0B9E40"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Track post-project KPIs rather than judging success only at opening.</w:t>
            </w:r>
          </w:p>
        </w:tc>
        <w:tc>
          <w:tcPr>
            <w:tcW w:w="2438" w:type="dxa"/>
            <w:vAlign w:val="center"/>
          </w:tcPr>
          <w:p w14:paraId="7EC2E83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One-, three- and six-month benefits reviews.</w:t>
            </w:r>
          </w:p>
        </w:tc>
        <w:tc>
          <w:tcPr>
            <w:tcW w:w="1417" w:type="dxa"/>
            <w:vAlign w:val="center"/>
          </w:tcPr>
          <w:p w14:paraId="1654A16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Within 6 months</w:t>
            </w:r>
          </w:p>
        </w:tc>
      </w:tr>
    </w:tbl>
    <w:p w14:paraId="5741055A" w14:textId="77777777" w:rsidR="002621E5" w:rsidRPr="00F306A8" w:rsidRDefault="002621E5" w:rsidP="00F306A8">
      <w:pPr>
        <w:spacing w:after="40" w:line="360" w:lineRule="auto"/>
        <w:jc w:val="both"/>
        <w:rPr>
          <w:rFonts w:ascii="Calibri" w:hAnsi="Calibri" w:cs="Calibri"/>
          <w:sz w:val="24"/>
          <w:szCs w:val="24"/>
        </w:rPr>
      </w:pPr>
    </w:p>
    <w:p w14:paraId="74773ADD"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PDP focuses on measurable improvement instead of describing weaknesses without action. It also demonstrates the principle of the knowledge economy that learning and professional growth are a productive asset. In the context of the combined service and training model of Honey-Love, structured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learning is relevant to knowledge creation, knowledge capture and the use of knowledge in the service sector context, as found by Alharbi and Aloud (2024).</w:t>
      </w:r>
    </w:p>
    <w:p w14:paraId="1D1A2314" w14:textId="77777777" w:rsidR="002621E5" w:rsidRPr="00F306A8" w:rsidRDefault="002621E5" w:rsidP="00F306A8">
      <w:pPr>
        <w:pStyle w:val="Heading1"/>
        <w:spacing w:line="360" w:lineRule="auto"/>
        <w:jc w:val="both"/>
        <w:rPr>
          <w:rFonts w:ascii="Calibri" w:hAnsi="Calibri" w:cs="Calibri"/>
          <w:sz w:val="24"/>
          <w:szCs w:val="24"/>
        </w:rPr>
      </w:pPr>
      <w:bookmarkStart w:id="14" w:name="_Toc238977984"/>
      <w:r w:rsidRPr="00F306A8">
        <w:rPr>
          <w:rFonts w:ascii="Calibri" w:hAnsi="Calibri" w:cs="Calibri"/>
          <w:sz w:val="24"/>
          <w:szCs w:val="24"/>
        </w:rPr>
        <w:t>11. Conclusion</w:t>
      </w:r>
      <w:bookmarkEnd w:id="14"/>
    </w:p>
    <w:p w14:paraId="0EC0743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expansion of Honey-Love Aesthetics into Honey-Love the Beauty Box is an appropriate complex workplace project as it involves strategic growth, physical expansion, service readiness, technology, training, stakeholder management, financial control and reputational risk in a defined change process. The analysis reveals that no single project management tool can guarantee success. The business case provides a basis for justification; PESTLE and SWOT create a sense of ‘environmental awareness’; the WBS sets out the work; Gantt and critical-path analysis structure the time; RACI define accountability; stakeholder and communication plans create alignment; and the risk </w:t>
      </w:r>
      <w:r w:rsidRPr="00F306A8">
        <w:rPr>
          <w:rFonts w:ascii="Calibri" w:hAnsi="Calibri" w:cs="Calibri"/>
          <w:sz w:val="24"/>
          <w:szCs w:val="24"/>
        </w:rPr>
        <w:lastRenderedPageBreak/>
        <w:t>register structures uncertainty. They are useful not because they are documents produced for their own sake, but because they are integrated and used regularly.</w:t>
      </w:r>
    </w:p>
    <w:p w14:paraId="0837DD9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most appropriate is a </w:t>
      </w:r>
      <w:proofErr w:type="spellStart"/>
      <w:r w:rsidRPr="00F306A8">
        <w:rPr>
          <w:rFonts w:ascii="Calibri" w:hAnsi="Calibri" w:cs="Calibri"/>
          <w:sz w:val="24"/>
          <w:szCs w:val="24"/>
        </w:rPr>
        <w:t>customised</w:t>
      </w:r>
      <w:proofErr w:type="spellEnd"/>
      <w:r w:rsidRPr="00F306A8">
        <w:rPr>
          <w:rFonts w:ascii="Calibri" w:hAnsi="Calibri" w:cs="Calibri"/>
          <w:sz w:val="24"/>
          <w:szCs w:val="24"/>
        </w:rPr>
        <w:t xml:space="preserve"> hybrid solution. Predictive controls put discipline on premises, costs and critical dependencies, and iterative practices put flexibility in the place of learning. The knowledge-economic one is of equal importance, as the sustainable edge of Honey-love depends on knowledge and training, procedures and trusted relationships. Client information remains confidential and should never be treated as freely shareable </w:t>
      </w:r>
      <w:proofErr w:type="spellStart"/>
      <w:r w:rsidRPr="00F306A8">
        <w:rPr>
          <w:rFonts w:ascii="Calibri" w:hAnsi="Calibri" w:cs="Calibri"/>
          <w:sz w:val="24"/>
          <w:szCs w:val="24"/>
        </w:rPr>
        <w:t>organisational</w:t>
      </w:r>
      <w:proofErr w:type="spellEnd"/>
      <w:r w:rsidRPr="00F306A8">
        <w:rPr>
          <w:rFonts w:ascii="Calibri" w:hAnsi="Calibri" w:cs="Calibri"/>
          <w:sz w:val="24"/>
          <w:szCs w:val="24"/>
        </w:rPr>
        <w:t xml:space="preserve"> knowledge.</w:t>
      </w:r>
    </w:p>
    <w:p w14:paraId="623CC1B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Finally, the self-audit demonstrates substantial strengths arising from more than four years of entrepreneurship and client-facing practice while identifying formal planning, delegation, financial control and structured risk management as priorities for continuing development. The PDP therefore ensures that the expansion contributes not only to a larger salon but also to stronger long-term managerial capability.</w:t>
      </w:r>
    </w:p>
    <w:p w14:paraId="4FE198B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br w:type="page"/>
      </w:r>
    </w:p>
    <w:p w14:paraId="1CABDC7A" w14:textId="77777777" w:rsidR="002621E5" w:rsidRPr="00F306A8" w:rsidRDefault="002621E5" w:rsidP="00F306A8">
      <w:pPr>
        <w:pStyle w:val="Heading1"/>
        <w:spacing w:line="360" w:lineRule="auto"/>
        <w:jc w:val="both"/>
        <w:rPr>
          <w:rFonts w:ascii="Calibri" w:hAnsi="Calibri" w:cs="Calibri"/>
          <w:sz w:val="24"/>
          <w:szCs w:val="24"/>
        </w:rPr>
      </w:pPr>
      <w:bookmarkStart w:id="15" w:name="_Toc238977985"/>
      <w:r w:rsidRPr="00F306A8">
        <w:rPr>
          <w:rFonts w:ascii="Calibri" w:hAnsi="Calibri" w:cs="Calibri"/>
          <w:sz w:val="24"/>
          <w:szCs w:val="24"/>
        </w:rPr>
        <w:lastRenderedPageBreak/>
        <w:t>References</w:t>
      </w:r>
      <w:bookmarkEnd w:id="15"/>
    </w:p>
    <w:p w14:paraId="0835F8CF"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Alharbi, G. L., &amp; Aloud, M. E. (2024). The effects of knowledge management processes on service sector performance: evidence from Saudi Arabia. </w:t>
      </w:r>
      <w:r w:rsidRPr="00F306A8">
        <w:rPr>
          <w:rFonts w:ascii="Calibri" w:hAnsi="Calibri" w:cs="Calibri"/>
          <w:i/>
          <w:iCs/>
          <w:sz w:val="24"/>
          <w:szCs w:val="24"/>
        </w:rPr>
        <w:t>Humanities and Social Sciences Communications</w:t>
      </w:r>
      <w:r w:rsidRPr="00F306A8">
        <w:rPr>
          <w:rFonts w:ascii="Calibri" w:hAnsi="Calibri" w:cs="Calibri"/>
          <w:sz w:val="24"/>
          <w:szCs w:val="24"/>
        </w:rPr>
        <w:t>, </w:t>
      </w:r>
      <w:r w:rsidRPr="00F306A8">
        <w:rPr>
          <w:rFonts w:ascii="Calibri" w:hAnsi="Calibri" w:cs="Calibri"/>
          <w:i/>
          <w:iCs/>
          <w:sz w:val="24"/>
          <w:szCs w:val="24"/>
        </w:rPr>
        <w:t>11</w:t>
      </w:r>
      <w:r w:rsidRPr="00F306A8">
        <w:rPr>
          <w:rFonts w:ascii="Calibri" w:hAnsi="Calibri" w:cs="Calibri"/>
          <w:sz w:val="24"/>
          <w:szCs w:val="24"/>
        </w:rPr>
        <w:t xml:space="preserve">(1), 378. </w:t>
      </w:r>
      <w:hyperlink r:id="rId9" w:history="1">
        <w:r w:rsidRPr="00F306A8">
          <w:rPr>
            <w:rStyle w:val="Hyperlink"/>
            <w:rFonts w:ascii="Calibri" w:hAnsi="Calibri" w:cs="Calibri"/>
            <w:sz w:val="24"/>
            <w:szCs w:val="24"/>
          </w:rPr>
          <w:t>https://doi.org/10.1057/s41599-024-02876-y</w:t>
        </w:r>
      </w:hyperlink>
      <w:r w:rsidRPr="00F306A8">
        <w:rPr>
          <w:rFonts w:ascii="Calibri" w:hAnsi="Calibri" w:cs="Calibri"/>
          <w:sz w:val="24"/>
          <w:szCs w:val="24"/>
        </w:rPr>
        <w:t xml:space="preserve"> </w:t>
      </w:r>
    </w:p>
    <w:p w14:paraId="1996D16D"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Ansari, M. S. A., </w:t>
      </w:r>
      <w:proofErr w:type="spellStart"/>
      <w:r w:rsidRPr="00F306A8">
        <w:rPr>
          <w:rFonts w:ascii="Calibri" w:hAnsi="Calibri" w:cs="Calibri"/>
          <w:sz w:val="24"/>
          <w:szCs w:val="24"/>
        </w:rPr>
        <w:t>Abouraia</w:t>
      </w:r>
      <w:proofErr w:type="spellEnd"/>
      <w:r w:rsidRPr="00F306A8">
        <w:rPr>
          <w:rFonts w:ascii="Calibri" w:hAnsi="Calibri" w:cs="Calibri"/>
          <w:sz w:val="24"/>
          <w:szCs w:val="24"/>
        </w:rPr>
        <w:t xml:space="preserve">, M., El Morsy, R., &amp; </w:t>
      </w:r>
      <w:proofErr w:type="spellStart"/>
      <w:r w:rsidRPr="00F306A8">
        <w:rPr>
          <w:rFonts w:ascii="Calibri" w:hAnsi="Calibri" w:cs="Calibri"/>
          <w:sz w:val="24"/>
          <w:szCs w:val="24"/>
        </w:rPr>
        <w:t>Thumiki</w:t>
      </w:r>
      <w:proofErr w:type="spellEnd"/>
      <w:r w:rsidRPr="00F306A8">
        <w:rPr>
          <w:rFonts w:ascii="Calibri" w:hAnsi="Calibri" w:cs="Calibri"/>
          <w:sz w:val="24"/>
          <w:szCs w:val="24"/>
        </w:rPr>
        <w:t>, V. R. R. (2024). Influence of transformational and transactional leadership on agile project success. </w:t>
      </w:r>
      <w:r w:rsidRPr="00F306A8">
        <w:rPr>
          <w:rFonts w:ascii="Calibri" w:hAnsi="Calibri" w:cs="Calibri"/>
          <w:i/>
          <w:iCs/>
          <w:sz w:val="24"/>
          <w:szCs w:val="24"/>
        </w:rPr>
        <w:t>Project Leadership and Society</w:t>
      </w:r>
      <w:r w:rsidRPr="00F306A8">
        <w:rPr>
          <w:rFonts w:ascii="Calibri" w:hAnsi="Calibri" w:cs="Calibri"/>
          <w:sz w:val="24"/>
          <w:szCs w:val="24"/>
        </w:rPr>
        <w:t>, </w:t>
      </w:r>
      <w:r w:rsidRPr="00F306A8">
        <w:rPr>
          <w:rFonts w:ascii="Calibri" w:hAnsi="Calibri" w:cs="Calibri"/>
          <w:i/>
          <w:iCs/>
          <w:sz w:val="24"/>
          <w:szCs w:val="24"/>
        </w:rPr>
        <w:t>5</w:t>
      </w:r>
      <w:r w:rsidRPr="00F306A8">
        <w:rPr>
          <w:rFonts w:ascii="Calibri" w:hAnsi="Calibri" w:cs="Calibri"/>
          <w:sz w:val="24"/>
          <w:szCs w:val="24"/>
        </w:rPr>
        <w:t xml:space="preserve">, </w:t>
      </w:r>
      <w:proofErr w:type="gramStart"/>
      <w:r w:rsidRPr="00F306A8">
        <w:rPr>
          <w:rFonts w:ascii="Calibri" w:hAnsi="Calibri" w:cs="Calibri"/>
          <w:sz w:val="24"/>
          <w:szCs w:val="24"/>
        </w:rPr>
        <w:t>100136..</w:t>
      </w:r>
      <w:proofErr w:type="gramEnd"/>
      <w:r w:rsidRPr="00F306A8">
        <w:rPr>
          <w:rFonts w:ascii="Calibri" w:hAnsi="Calibri" w:cs="Calibri"/>
          <w:sz w:val="24"/>
          <w:szCs w:val="24"/>
        </w:rPr>
        <w:t xml:space="preserve"> </w:t>
      </w:r>
      <w:hyperlink r:id="rId10" w:history="1">
        <w:r w:rsidRPr="00F306A8">
          <w:rPr>
            <w:rStyle w:val="Hyperlink"/>
            <w:rFonts w:ascii="Calibri" w:hAnsi="Calibri" w:cs="Calibri"/>
            <w:sz w:val="24"/>
            <w:szCs w:val="24"/>
          </w:rPr>
          <w:t>https://doi.org/10.1016/j.plas.2024.100136</w:t>
        </w:r>
      </w:hyperlink>
      <w:r w:rsidRPr="00F306A8">
        <w:rPr>
          <w:rFonts w:ascii="Calibri" w:hAnsi="Calibri" w:cs="Calibri"/>
          <w:sz w:val="24"/>
          <w:szCs w:val="24"/>
        </w:rPr>
        <w:t xml:space="preserve"> </w:t>
      </w:r>
    </w:p>
    <w:p w14:paraId="49ED0D3A"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Bjelica, D. L. J., </w:t>
      </w:r>
      <w:proofErr w:type="spellStart"/>
      <w:r w:rsidRPr="00F306A8">
        <w:rPr>
          <w:rFonts w:ascii="Calibri" w:hAnsi="Calibri" w:cs="Calibri"/>
          <w:sz w:val="24"/>
          <w:szCs w:val="24"/>
        </w:rPr>
        <w:t>Mihić</w:t>
      </w:r>
      <w:proofErr w:type="spellEnd"/>
      <w:r w:rsidRPr="00F306A8">
        <w:rPr>
          <w:rFonts w:ascii="Calibri" w:hAnsi="Calibri" w:cs="Calibri"/>
          <w:sz w:val="24"/>
          <w:szCs w:val="24"/>
        </w:rPr>
        <w:t xml:space="preserve">, M., Kavčič, K., &amp; </w:t>
      </w:r>
      <w:proofErr w:type="spellStart"/>
      <w:r w:rsidRPr="00F306A8">
        <w:rPr>
          <w:rFonts w:ascii="Calibri" w:hAnsi="Calibri" w:cs="Calibri"/>
          <w:sz w:val="24"/>
          <w:szCs w:val="24"/>
        </w:rPr>
        <w:t>Gošnik</w:t>
      </w:r>
      <w:proofErr w:type="spellEnd"/>
      <w:r w:rsidRPr="00F306A8">
        <w:rPr>
          <w:rFonts w:ascii="Calibri" w:hAnsi="Calibri" w:cs="Calibri"/>
          <w:sz w:val="24"/>
          <w:szCs w:val="24"/>
        </w:rPr>
        <w:t>, D. (2023). Relationship between project success factors, project success criteria and project success in SME: Evidence from selected European transitional economies. </w:t>
      </w:r>
      <w:r w:rsidRPr="00F306A8">
        <w:rPr>
          <w:rFonts w:ascii="Calibri" w:hAnsi="Calibri" w:cs="Calibri"/>
          <w:i/>
          <w:iCs/>
          <w:sz w:val="24"/>
          <w:szCs w:val="24"/>
        </w:rPr>
        <w:t>International Journal of Industrial Engineering and Management</w:t>
      </w:r>
      <w:r w:rsidRPr="00F306A8">
        <w:rPr>
          <w:rFonts w:ascii="Calibri" w:hAnsi="Calibri" w:cs="Calibri"/>
          <w:sz w:val="24"/>
          <w:szCs w:val="24"/>
        </w:rPr>
        <w:t>, </w:t>
      </w:r>
      <w:r w:rsidRPr="00F306A8">
        <w:rPr>
          <w:rFonts w:ascii="Calibri" w:hAnsi="Calibri" w:cs="Calibri"/>
          <w:i/>
          <w:iCs/>
          <w:sz w:val="24"/>
          <w:szCs w:val="24"/>
        </w:rPr>
        <w:t>14</w:t>
      </w:r>
      <w:r w:rsidRPr="00F306A8">
        <w:rPr>
          <w:rFonts w:ascii="Calibri" w:hAnsi="Calibri" w:cs="Calibri"/>
          <w:sz w:val="24"/>
          <w:szCs w:val="24"/>
        </w:rPr>
        <w:t xml:space="preserve">(4), 297-310. </w:t>
      </w:r>
      <w:hyperlink r:id="rId11" w:history="1">
        <w:r w:rsidRPr="00F306A8">
          <w:rPr>
            <w:rStyle w:val="Hyperlink"/>
            <w:rFonts w:ascii="Calibri" w:hAnsi="Calibri" w:cs="Calibri"/>
            <w:sz w:val="24"/>
            <w:szCs w:val="24"/>
          </w:rPr>
          <w:t>https://doi.org/10.24867/ijiem-2023-4-340</w:t>
        </w:r>
      </w:hyperlink>
      <w:r w:rsidRPr="00F306A8">
        <w:rPr>
          <w:rFonts w:ascii="Calibri" w:hAnsi="Calibri" w:cs="Calibri"/>
          <w:sz w:val="24"/>
          <w:szCs w:val="24"/>
        </w:rPr>
        <w:t xml:space="preserve"> </w:t>
      </w:r>
    </w:p>
    <w:p w14:paraId="2621409D"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Cardoni, A., Zanin, F., Corazza, G., &amp; Paradisi, A. (2020). Knowledge management and performance measurement systems for SMEs’ economic sustainability. </w:t>
      </w:r>
      <w:r w:rsidRPr="00F306A8">
        <w:rPr>
          <w:rFonts w:ascii="Calibri" w:hAnsi="Calibri" w:cs="Calibri"/>
          <w:i/>
          <w:iCs/>
          <w:sz w:val="24"/>
          <w:szCs w:val="24"/>
        </w:rPr>
        <w:t>Sustainability</w:t>
      </w:r>
      <w:r w:rsidRPr="00F306A8">
        <w:rPr>
          <w:rFonts w:ascii="Calibri" w:hAnsi="Calibri" w:cs="Calibri"/>
          <w:sz w:val="24"/>
          <w:szCs w:val="24"/>
        </w:rPr>
        <w:t>, </w:t>
      </w:r>
      <w:r w:rsidRPr="00F306A8">
        <w:rPr>
          <w:rFonts w:ascii="Calibri" w:hAnsi="Calibri" w:cs="Calibri"/>
          <w:i/>
          <w:iCs/>
          <w:sz w:val="24"/>
          <w:szCs w:val="24"/>
        </w:rPr>
        <w:t>12</w:t>
      </w:r>
      <w:r w:rsidRPr="00F306A8">
        <w:rPr>
          <w:rFonts w:ascii="Calibri" w:hAnsi="Calibri" w:cs="Calibri"/>
          <w:sz w:val="24"/>
          <w:szCs w:val="24"/>
        </w:rPr>
        <w:t xml:space="preserve">(7), 2594. </w:t>
      </w:r>
      <w:hyperlink r:id="rId12" w:history="1">
        <w:r w:rsidRPr="00F306A8">
          <w:rPr>
            <w:rStyle w:val="Hyperlink"/>
            <w:rFonts w:ascii="Calibri" w:hAnsi="Calibri" w:cs="Calibri"/>
            <w:sz w:val="24"/>
            <w:szCs w:val="24"/>
          </w:rPr>
          <w:t>https://doi.org/10.3390/su12072594</w:t>
        </w:r>
      </w:hyperlink>
      <w:r w:rsidRPr="00F306A8">
        <w:rPr>
          <w:rFonts w:ascii="Calibri" w:hAnsi="Calibri" w:cs="Calibri"/>
          <w:sz w:val="24"/>
          <w:szCs w:val="24"/>
        </w:rPr>
        <w:t xml:space="preserve"> </w:t>
      </w:r>
    </w:p>
    <w:p w14:paraId="64B89901"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Durst, S., Foli, S., &amp; Edvardsson, I. R. (2024). A systematic literature review on knowledge management in SMEs: current trends and future directions. </w:t>
      </w:r>
      <w:r w:rsidRPr="00F306A8">
        <w:rPr>
          <w:rFonts w:ascii="Calibri" w:hAnsi="Calibri" w:cs="Calibri"/>
          <w:i/>
          <w:iCs/>
          <w:sz w:val="24"/>
          <w:szCs w:val="24"/>
        </w:rPr>
        <w:t>Management Review Quarterly</w:t>
      </w:r>
      <w:r w:rsidRPr="00F306A8">
        <w:rPr>
          <w:rFonts w:ascii="Calibri" w:hAnsi="Calibri" w:cs="Calibri"/>
          <w:sz w:val="24"/>
          <w:szCs w:val="24"/>
        </w:rPr>
        <w:t>, </w:t>
      </w:r>
      <w:r w:rsidRPr="00F306A8">
        <w:rPr>
          <w:rFonts w:ascii="Calibri" w:hAnsi="Calibri" w:cs="Calibri"/>
          <w:i/>
          <w:iCs/>
          <w:sz w:val="24"/>
          <w:szCs w:val="24"/>
        </w:rPr>
        <w:t>74</w:t>
      </w:r>
      <w:r w:rsidRPr="00F306A8">
        <w:rPr>
          <w:rFonts w:ascii="Calibri" w:hAnsi="Calibri" w:cs="Calibri"/>
          <w:sz w:val="24"/>
          <w:szCs w:val="24"/>
        </w:rPr>
        <w:t xml:space="preserve">(1), 263-288. </w:t>
      </w:r>
      <w:hyperlink r:id="rId13" w:history="1">
        <w:r w:rsidRPr="00F306A8">
          <w:rPr>
            <w:rStyle w:val="Hyperlink"/>
            <w:rFonts w:ascii="Calibri" w:hAnsi="Calibri" w:cs="Calibri"/>
            <w:sz w:val="24"/>
            <w:szCs w:val="24"/>
          </w:rPr>
          <w:t>https://doi.org/10.1007/s11301-022-00299-0</w:t>
        </w:r>
      </w:hyperlink>
      <w:r w:rsidRPr="00F306A8">
        <w:rPr>
          <w:rFonts w:ascii="Calibri" w:hAnsi="Calibri" w:cs="Calibri"/>
          <w:sz w:val="24"/>
          <w:szCs w:val="24"/>
        </w:rPr>
        <w:t xml:space="preserve"> </w:t>
      </w:r>
    </w:p>
    <w:p w14:paraId="18D2B0A1"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Giampaoli, D., </w:t>
      </w:r>
      <w:proofErr w:type="spellStart"/>
      <w:r w:rsidRPr="00F306A8">
        <w:rPr>
          <w:rFonts w:ascii="Calibri" w:hAnsi="Calibri" w:cs="Calibri"/>
          <w:sz w:val="24"/>
          <w:szCs w:val="24"/>
        </w:rPr>
        <w:t>Sgrò</w:t>
      </w:r>
      <w:proofErr w:type="spellEnd"/>
      <w:r w:rsidRPr="00F306A8">
        <w:rPr>
          <w:rFonts w:ascii="Calibri" w:hAnsi="Calibri" w:cs="Calibri"/>
          <w:sz w:val="24"/>
          <w:szCs w:val="24"/>
        </w:rPr>
        <w:t xml:space="preserve">, F., Ciambotti, M., &amp; </w:t>
      </w:r>
      <w:proofErr w:type="spellStart"/>
      <w:r w:rsidRPr="00F306A8">
        <w:rPr>
          <w:rFonts w:ascii="Calibri" w:hAnsi="Calibri" w:cs="Calibri"/>
          <w:sz w:val="24"/>
          <w:szCs w:val="24"/>
        </w:rPr>
        <w:t>Bontis</w:t>
      </w:r>
      <w:proofErr w:type="spellEnd"/>
      <w:r w:rsidRPr="00F306A8">
        <w:rPr>
          <w:rFonts w:ascii="Calibri" w:hAnsi="Calibri" w:cs="Calibri"/>
          <w:sz w:val="24"/>
          <w:szCs w:val="24"/>
        </w:rPr>
        <w:t>, N. (2024). Integrating knowledge management with intellectual capital to drive strategy: a focus on Italian SMEs. </w:t>
      </w:r>
      <w:r w:rsidRPr="00F306A8">
        <w:rPr>
          <w:rFonts w:ascii="Calibri" w:hAnsi="Calibri" w:cs="Calibri"/>
          <w:i/>
          <w:iCs/>
          <w:sz w:val="24"/>
          <w:szCs w:val="24"/>
        </w:rPr>
        <w:t>VINE Journal of Information and Knowledge Management Systems</w:t>
      </w:r>
      <w:r w:rsidRPr="00F306A8">
        <w:rPr>
          <w:rFonts w:ascii="Calibri" w:hAnsi="Calibri" w:cs="Calibri"/>
          <w:sz w:val="24"/>
          <w:szCs w:val="24"/>
        </w:rPr>
        <w:t>, </w:t>
      </w:r>
      <w:r w:rsidRPr="00F306A8">
        <w:rPr>
          <w:rFonts w:ascii="Calibri" w:hAnsi="Calibri" w:cs="Calibri"/>
          <w:i/>
          <w:iCs/>
          <w:sz w:val="24"/>
          <w:szCs w:val="24"/>
        </w:rPr>
        <w:t>54</w:t>
      </w:r>
      <w:r w:rsidRPr="00F306A8">
        <w:rPr>
          <w:rFonts w:ascii="Calibri" w:hAnsi="Calibri" w:cs="Calibri"/>
          <w:sz w:val="24"/>
          <w:szCs w:val="24"/>
        </w:rPr>
        <w:t xml:space="preserve">(1), 22-42. </w:t>
      </w:r>
      <w:hyperlink r:id="rId14" w:history="1">
        <w:r w:rsidRPr="00F306A8">
          <w:rPr>
            <w:rStyle w:val="Hyperlink"/>
            <w:rFonts w:ascii="Calibri" w:hAnsi="Calibri" w:cs="Calibri"/>
            <w:sz w:val="24"/>
            <w:szCs w:val="24"/>
          </w:rPr>
          <w:t>https://doi.org/10.1108/VJIKMS-04-2021-0059</w:t>
        </w:r>
      </w:hyperlink>
      <w:r w:rsidRPr="00F306A8">
        <w:rPr>
          <w:rFonts w:ascii="Calibri" w:hAnsi="Calibri" w:cs="Calibri"/>
          <w:sz w:val="24"/>
          <w:szCs w:val="24"/>
        </w:rPr>
        <w:t xml:space="preserve"> </w:t>
      </w:r>
    </w:p>
    <w:p w14:paraId="65CECE3A"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Information Commissioner’s Office. (2026). A guide to </w:t>
      </w:r>
      <w:proofErr w:type="gramStart"/>
      <w:r w:rsidRPr="00F306A8">
        <w:rPr>
          <w:rFonts w:ascii="Calibri" w:hAnsi="Calibri" w:cs="Calibri"/>
          <w:sz w:val="24"/>
          <w:szCs w:val="24"/>
        </w:rPr>
        <w:t>the data</w:t>
      </w:r>
      <w:proofErr w:type="gramEnd"/>
      <w:r w:rsidRPr="00F306A8">
        <w:rPr>
          <w:rFonts w:ascii="Calibri" w:hAnsi="Calibri" w:cs="Calibri"/>
          <w:sz w:val="24"/>
          <w:szCs w:val="24"/>
        </w:rPr>
        <w:t xml:space="preserve"> protection principles. </w:t>
      </w:r>
      <w:hyperlink r:id="rId15" w:history="1">
        <w:r w:rsidRPr="00F306A8">
          <w:rPr>
            <w:rStyle w:val="Hyperlink"/>
            <w:rFonts w:ascii="Calibri" w:hAnsi="Calibri" w:cs="Calibri"/>
            <w:sz w:val="24"/>
            <w:szCs w:val="24"/>
          </w:rPr>
          <w:t>https://ico.org.uk/for-organisations/uk-gdpr-guidance-and-resources/data-protection-principles/</w:t>
        </w:r>
      </w:hyperlink>
    </w:p>
    <w:p w14:paraId="49CA7AAF"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International Organization for Standardization. (2018). ISO 31000:2018 risk management—Guidelines. ISO. </w:t>
      </w:r>
      <w:hyperlink r:id="rId16" w:history="1">
        <w:r w:rsidRPr="00F306A8">
          <w:rPr>
            <w:rStyle w:val="Hyperlink"/>
            <w:rFonts w:ascii="Calibri" w:hAnsi="Calibri" w:cs="Calibri"/>
            <w:sz w:val="24"/>
            <w:szCs w:val="24"/>
          </w:rPr>
          <w:t>https://www.iso.org/standard/65694.html</w:t>
        </w:r>
      </w:hyperlink>
      <w:r w:rsidRPr="00F306A8">
        <w:rPr>
          <w:rFonts w:ascii="Calibri" w:hAnsi="Calibri" w:cs="Calibri"/>
          <w:sz w:val="24"/>
          <w:szCs w:val="24"/>
        </w:rPr>
        <w:t xml:space="preserve"> </w:t>
      </w:r>
    </w:p>
    <w:p w14:paraId="77D16FD3"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Jordão, R. V. D., &amp; Novas, J. C. (2024). Information and knowledge management, intellectual capital, and sustainable growth in networked small and medium </w:t>
      </w:r>
      <w:r w:rsidRPr="00F306A8">
        <w:rPr>
          <w:rFonts w:ascii="Calibri" w:hAnsi="Calibri" w:cs="Calibri"/>
          <w:sz w:val="24"/>
          <w:szCs w:val="24"/>
        </w:rPr>
        <w:lastRenderedPageBreak/>
        <w:t>enterprises. </w:t>
      </w:r>
      <w:r w:rsidRPr="00F306A8">
        <w:rPr>
          <w:rFonts w:ascii="Calibri" w:hAnsi="Calibri" w:cs="Calibri"/>
          <w:i/>
          <w:iCs/>
          <w:sz w:val="24"/>
          <w:szCs w:val="24"/>
        </w:rPr>
        <w:t>Journal of the Knowledge Economy</w:t>
      </w:r>
      <w:r w:rsidRPr="00F306A8">
        <w:rPr>
          <w:rFonts w:ascii="Calibri" w:hAnsi="Calibri" w:cs="Calibri"/>
          <w:sz w:val="24"/>
          <w:szCs w:val="24"/>
        </w:rPr>
        <w:t>, </w:t>
      </w:r>
      <w:r w:rsidRPr="00F306A8">
        <w:rPr>
          <w:rFonts w:ascii="Calibri" w:hAnsi="Calibri" w:cs="Calibri"/>
          <w:i/>
          <w:iCs/>
          <w:sz w:val="24"/>
          <w:szCs w:val="24"/>
        </w:rPr>
        <w:t>15</w:t>
      </w:r>
      <w:r w:rsidRPr="00F306A8">
        <w:rPr>
          <w:rFonts w:ascii="Calibri" w:hAnsi="Calibri" w:cs="Calibri"/>
          <w:sz w:val="24"/>
          <w:szCs w:val="24"/>
        </w:rPr>
        <w:t xml:space="preserve">(1), 563-595. </w:t>
      </w:r>
      <w:hyperlink r:id="rId17" w:history="1">
        <w:r w:rsidRPr="00F306A8">
          <w:rPr>
            <w:rStyle w:val="Hyperlink"/>
            <w:rFonts w:ascii="Calibri" w:hAnsi="Calibri" w:cs="Calibri"/>
            <w:sz w:val="24"/>
            <w:szCs w:val="24"/>
          </w:rPr>
          <w:t>https://doi.org/10.1007/s13132-022-01043-5</w:t>
        </w:r>
      </w:hyperlink>
      <w:r w:rsidRPr="00F306A8">
        <w:rPr>
          <w:rFonts w:ascii="Calibri" w:hAnsi="Calibri" w:cs="Calibri"/>
          <w:sz w:val="24"/>
          <w:szCs w:val="24"/>
        </w:rPr>
        <w:t xml:space="preserve"> </w:t>
      </w:r>
    </w:p>
    <w:p w14:paraId="38BBF334"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Kerzner, H. (2022). Project management: A systems approach to planning, scheduling, and controlling (13th ed.). Wiley.</w:t>
      </w:r>
    </w:p>
    <w:p w14:paraId="1D6DEDFB"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Larson, E. W., &amp; Gray, C. F. (2021). Project management: The managerial process (8th ed.). McGraw Hill.</w:t>
      </w:r>
    </w:p>
    <w:p w14:paraId="1D4F72BA"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Michalski, R., &amp; Zaleski, S. (2024). Success factors in management of IT service projects: regression, confirmatory factor analysis, and structural equation models. </w:t>
      </w:r>
      <w:r w:rsidRPr="00F306A8">
        <w:rPr>
          <w:rFonts w:ascii="Calibri" w:hAnsi="Calibri" w:cs="Calibri"/>
          <w:i/>
          <w:iCs/>
          <w:sz w:val="24"/>
          <w:szCs w:val="24"/>
        </w:rPr>
        <w:t>Information</w:t>
      </w:r>
      <w:r w:rsidRPr="00F306A8">
        <w:rPr>
          <w:rFonts w:ascii="Calibri" w:hAnsi="Calibri" w:cs="Calibri"/>
          <w:sz w:val="24"/>
          <w:szCs w:val="24"/>
        </w:rPr>
        <w:t>, </w:t>
      </w:r>
      <w:r w:rsidRPr="00F306A8">
        <w:rPr>
          <w:rFonts w:ascii="Calibri" w:hAnsi="Calibri" w:cs="Calibri"/>
          <w:i/>
          <w:iCs/>
          <w:sz w:val="24"/>
          <w:szCs w:val="24"/>
        </w:rPr>
        <w:t>15</w:t>
      </w:r>
      <w:r w:rsidRPr="00F306A8">
        <w:rPr>
          <w:rFonts w:ascii="Calibri" w:hAnsi="Calibri" w:cs="Calibri"/>
          <w:sz w:val="24"/>
          <w:szCs w:val="24"/>
        </w:rPr>
        <w:t xml:space="preserve">(2), 105. </w:t>
      </w:r>
      <w:hyperlink r:id="rId18" w:history="1">
        <w:r w:rsidRPr="00F306A8">
          <w:rPr>
            <w:rStyle w:val="Hyperlink"/>
            <w:rFonts w:ascii="Calibri" w:hAnsi="Calibri" w:cs="Calibri"/>
            <w:sz w:val="24"/>
            <w:szCs w:val="24"/>
          </w:rPr>
          <w:t>https://doi.org/10.3390/info15020105</w:t>
        </w:r>
      </w:hyperlink>
      <w:r w:rsidRPr="00F306A8">
        <w:rPr>
          <w:rFonts w:ascii="Calibri" w:hAnsi="Calibri" w:cs="Calibri"/>
          <w:sz w:val="24"/>
          <w:szCs w:val="24"/>
        </w:rPr>
        <w:t xml:space="preserve"> </w:t>
      </w:r>
    </w:p>
    <w:p w14:paraId="0BF11A6C"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Mitchell, R. K., Agle, B. R., &amp; Wood, D. J. (1997). Toward a theory of stakeholder identification and salience: Defining the principle of who and what really counts. </w:t>
      </w:r>
      <w:r w:rsidRPr="00F306A8">
        <w:rPr>
          <w:rFonts w:ascii="Calibri" w:hAnsi="Calibri" w:cs="Calibri"/>
          <w:i/>
          <w:iCs/>
          <w:sz w:val="24"/>
          <w:szCs w:val="24"/>
        </w:rPr>
        <w:t>Academy of management review</w:t>
      </w:r>
      <w:r w:rsidRPr="00F306A8">
        <w:rPr>
          <w:rFonts w:ascii="Calibri" w:hAnsi="Calibri" w:cs="Calibri"/>
          <w:sz w:val="24"/>
          <w:szCs w:val="24"/>
        </w:rPr>
        <w:t>, </w:t>
      </w:r>
      <w:r w:rsidRPr="00F306A8">
        <w:rPr>
          <w:rFonts w:ascii="Calibri" w:hAnsi="Calibri" w:cs="Calibri"/>
          <w:i/>
          <w:iCs/>
          <w:sz w:val="24"/>
          <w:szCs w:val="24"/>
        </w:rPr>
        <w:t>22</w:t>
      </w:r>
      <w:r w:rsidRPr="00F306A8">
        <w:rPr>
          <w:rFonts w:ascii="Calibri" w:hAnsi="Calibri" w:cs="Calibri"/>
          <w:sz w:val="24"/>
          <w:szCs w:val="24"/>
        </w:rPr>
        <w:t>(4), 853-886.</w:t>
      </w:r>
    </w:p>
    <w:p w14:paraId="3B8F5456"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Oliveira, M., Curado, C., Balle, A. R., &amp; </w:t>
      </w:r>
      <w:proofErr w:type="spellStart"/>
      <w:r w:rsidRPr="00F306A8">
        <w:rPr>
          <w:rFonts w:ascii="Calibri" w:hAnsi="Calibri" w:cs="Calibri"/>
          <w:sz w:val="24"/>
          <w:szCs w:val="24"/>
        </w:rPr>
        <w:t>Kianto</w:t>
      </w:r>
      <w:proofErr w:type="spellEnd"/>
      <w:r w:rsidRPr="00F306A8">
        <w:rPr>
          <w:rFonts w:ascii="Calibri" w:hAnsi="Calibri" w:cs="Calibri"/>
          <w:sz w:val="24"/>
          <w:szCs w:val="24"/>
        </w:rPr>
        <w:t xml:space="preserve">, A. (2020). Knowledge sharing, intellectual capital and organizational results in SMES: are they </w:t>
      </w:r>
      <w:proofErr w:type="gramStart"/>
      <w:r w:rsidRPr="00F306A8">
        <w:rPr>
          <w:rFonts w:ascii="Calibri" w:hAnsi="Calibri" w:cs="Calibri"/>
          <w:sz w:val="24"/>
          <w:szCs w:val="24"/>
        </w:rPr>
        <w:t>related?.</w:t>
      </w:r>
      <w:proofErr w:type="gramEnd"/>
      <w:r w:rsidRPr="00F306A8">
        <w:rPr>
          <w:rFonts w:ascii="Calibri" w:hAnsi="Calibri" w:cs="Calibri"/>
          <w:sz w:val="24"/>
          <w:szCs w:val="24"/>
        </w:rPr>
        <w:t> </w:t>
      </w:r>
      <w:r w:rsidRPr="00F306A8">
        <w:rPr>
          <w:rFonts w:ascii="Calibri" w:hAnsi="Calibri" w:cs="Calibri"/>
          <w:i/>
          <w:iCs/>
          <w:sz w:val="24"/>
          <w:szCs w:val="24"/>
        </w:rPr>
        <w:t>Journal of intellectual capital</w:t>
      </w:r>
      <w:r w:rsidRPr="00F306A8">
        <w:rPr>
          <w:rFonts w:ascii="Calibri" w:hAnsi="Calibri" w:cs="Calibri"/>
          <w:sz w:val="24"/>
          <w:szCs w:val="24"/>
        </w:rPr>
        <w:t>, </w:t>
      </w:r>
      <w:r w:rsidRPr="00F306A8">
        <w:rPr>
          <w:rFonts w:ascii="Calibri" w:hAnsi="Calibri" w:cs="Calibri"/>
          <w:i/>
          <w:iCs/>
          <w:sz w:val="24"/>
          <w:szCs w:val="24"/>
        </w:rPr>
        <w:t>21</w:t>
      </w:r>
      <w:r w:rsidRPr="00F306A8">
        <w:rPr>
          <w:rFonts w:ascii="Calibri" w:hAnsi="Calibri" w:cs="Calibri"/>
          <w:sz w:val="24"/>
          <w:szCs w:val="24"/>
        </w:rPr>
        <w:t xml:space="preserve">(6), 893-911. </w:t>
      </w:r>
      <w:hyperlink r:id="rId19" w:history="1">
        <w:r w:rsidRPr="00F306A8">
          <w:rPr>
            <w:rStyle w:val="Hyperlink"/>
            <w:rFonts w:ascii="Calibri" w:hAnsi="Calibri" w:cs="Calibri"/>
            <w:sz w:val="24"/>
            <w:szCs w:val="24"/>
          </w:rPr>
          <w:t>https://doi.org/10.1108/JIC-04-2019-0077</w:t>
        </w:r>
      </w:hyperlink>
      <w:r w:rsidRPr="00F306A8">
        <w:rPr>
          <w:rFonts w:ascii="Calibri" w:hAnsi="Calibri" w:cs="Calibri"/>
          <w:sz w:val="24"/>
          <w:szCs w:val="24"/>
        </w:rPr>
        <w:t xml:space="preserve"> </w:t>
      </w:r>
    </w:p>
    <w:p w14:paraId="04A33C71"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Powell, W. W., &amp; Snellman, K. (2004). The knowledge economy. Annual Review of Sociology, 30, 199–220. </w:t>
      </w:r>
      <w:hyperlink r:id="rId20" w:history="1">
        <w:r w:rsidRPr="00F306A8">
          <w:rPr>
            <w:rStyle w:val="Hyperlink"/>
            <w:rFonts w:ascii="Calibri" w:hAnsi="Calibri" w:cs="Calibri"/>
            <w:sz w:val="24"/>
            <w:szCs w:val="24"/>
          </w:rPr>
          <w:t>https://doi.org/10.1146/annurev.soc.29.010202.100037</w:t>
        </w:r>
      </w:hyperlink>
      <w:r w:rsidRPr="00F306A8">
        <w:rPr>
          <w:rFonts w:ascii="Calibri" w:hAnsi="Calibri" w:cs="Calibri"/>
          <w:sz w:val="24"/>
          <w:szCs w:val="24"/>
        </w:rPr>
        <w:t xml:space="preserve"> </w:t>
      </w:r>
    </w:p>
    <w:p w14:paraId="05525C53"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Project Management Institute. (2021). A guide to the project management body of knowledge (PMBOK guide) and the standard for project management (7th ed.). Project Management Institute.</w:t>
      </w:r>
    </w:p>
    <w:p w14:paraId="43AC8224" w14:textId="77777777" w:rsidR="002621E5" w:rsidRPr="00F306A8" w:rsidRDefault="002621E5" w:rsidP="00F306A8">
      <w:pPr>
        <w:pStyle w:val="References"/>
        <w:spacing w:after="120" w:line="360" w:lineRule="auto"/>
        <w:jc w:val="both"/>
        <w:rPr>
          <w:rFonts w:ascii="Calibri" w:hAnsi="Calibri" w:cs="Calibri"/>
          <w:sz w:val="24"/>
          <w:szCs w:val="24"/>
        </w:rPr>
      </w:pPr>
      <w:proofErr w:type="spellStart"/>
      <w:r w:rsidRPr="00F306A8">
        <w:rPr>
          <w:rFonts w:ascii="Calibri" w:hAnsi="Calibri" w:cs="Calibri"/>
          <w:sz w:val="24"/>
          <w:szCs w:val="24"/>
        </w:rPr>
        <w:t>Sithambaram</w:t>
      </w:r>
      <w:proofErr w:type="spellEnd"/>
      <w:r w:rsidRPr="00F306A8">
        <w:rPr>
          <w:rFonts w:ascii="Calibri" w:hAnsi="Calibri" w:cs="Calibri"/>
          <w:sz w:val="24"/>
          <w:szCs w:val="24"/>
        </w:rPr>
        <w:t>, J., Nasir, M. H. N. B. M., &amp; Ahmad, R. (2021). Issues and challenges impacting the successful management of agile-hybrid projects: A grounded theory approach. </w:t>
      </w:r>
      <w:r w:rsidRPr="00F306A8">
        <w:rPr>
          <w:rFonts w:ascii="Calibri" w:hAnsi="Calibri" w:cs="Calibri"/>
          <w:i/>
          <w:iCs/>
          <w:sz w:val="24"/>
          <w:szCs w:val="24"/>
        </w:rPr>
        <w:t>International journal of project management</w:t>
      </w:r>
      <w:r w:rsidRPr="00F306A8">
        <w:rPr>
          <w:rFonts w:ascii="Calibri" w:hAnsi="Calibri" w:cs="Calibri"/>
          <w:sz w:val="24"/>
          <w:szCs w:val="24"/>
        </w:rPr>
        <w:t>, </w:t>
      </w:r>
      <w:r w:rsidRPr="00F306A8">
        <w:rPr>
          <w:rFonts w:ascii="Calibri" w:hAnsi="Calibri" w:cs="Calibri"/>
          <w:i/>
          <w:iCs/>
          <w:sz w:val="24"/>
          <w:szCs w:val="24"/>
        </w:rPr>
        <w:t>39</w:t>
      </w:r>
      <w:r w:rsidRPr="00F306A8">
        <w:rPr>
          <w:rFonts w:ascii="Calibri" w:hAnsi="Calibri" w:cs="Calibri"/>
          <w:sz w:val="24"/>
          <w:szCs w:val="24"/>
        </w:rPr>
        <w:t xml:space="preserve">(5), 474-495. </w:t>
      </w:r>
      <w:hyperlink r:id="rId21" w:history="1">
        <w:r w:rsidRPr="00F306A8">
          <w:rPr>
            <w:rStyle w:val="Hyperlink"/>
            <w:rFonts w:ascii="Calibri" w:hAnsi="Calibri" w:cs="Calibri"/>
            <w:sz w:val="24"/>
            <w:szCs w:val="24"/>
          </w:rPr>
          <w:t>https://doi.org/10.1016/j.ijproman.2021.03.002</w:t>
        </w:r>
      </w:hyperlink>
      <w:r w:rsidRPr="00F306A8">
        <w:rPr>
          <w:rFonts w:ascii="Calibri" w:hAnsi="Calibri" w:cs="Calibri"/>
          <w:sz w:val="24"/>
          <w:szCs w:val="24"/>
        </w:rPr>
        <w:t xml:space="preserve"> </w:t>
      </w:r>
    </w:p>
    <w:p w14:paraId="4C097C70"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Trzeciak, M. (2021). Sustainable risk management in </w:t>
      </w:r>
      <w:proofErr w:type="gramStart"/>
      <w:r w:rsidRPr="00F306A8">
        <w:rPr>
          <w:rFonts w:ascii="Calibri" w:hAnsi="Calibri" w:cs="Calibri"/>
          <w:sz w:val="24"/>
          <w:szCs w:val="24"/>
        </w:rPr>
        <w:t>it</w:t>
      </w:r>
      <w:proofErr w:type="gramEnd"/>
      <w:r w:rsidRPr="00F306A8">
        <w:rPr>
          <w:rFonts w:ascii="Calibri" w:hAnsi="Calibri" w:cs="Calibri"/>
          <w:sz w:val="24"/>
          <w:szCs w:val="24"/>
        </w:rPr>
        <w:t xml:space="preserve"> enterprises. </w:t>
      </w:r>
      <w:r w:rsidRPr="00F306A8">
        <w:rPr>
          <w:rFonts w:ascii="Calibri" w:hAnsi="Calibri" w:cs="Calibri"/>
          <w:i/>
          <w:iCs/>
          <w:sz w:val="24"/>
          <w:szCs w:val="24"/>
        </w:rPr>
        <w:t>Risks</w:t>
      </w:r>
      <w:r w:rsidRPr="00F306A8">
        <w:rPr>
          <w:rFonts w:ascii="Calibri" w:hAnsi="Calibri" w:cs="Calibri"/>
          <w:sz w:val="24"/>
          <w:szCs w:val="24"/>
        </w:rPr>
        <w:t>, </w:t>
      </w:r>
      <w:r w:rsidRPr="00F306A8">
        <w:rPr>
          <w:rFonts w:ascii="Calibri" w:hAnsi="Calibri" w:cs="Calibri"/>
          <w:i/>
          <w:iCs/>
          <w:sz w:val="24"/>
          <w:szCs w:val="24"/>
        </w:rPr>
        <w:t>9</w:t>
      </w:r>
      <w:r w:rsidRPr="00F306A8">
        <w:rPr>
          <w:rFonts w:ascii="Calibri" w:hAnsi="Calibri" w:cs="Calibri"/>
          <w:sz w:val="24"/>
          <w:szCs w:val="24"/>
        </w:rPr>
        <w:t>(7), 135. https://doi.org/10.3390/risks9070135</w:t>
      </w:r>
    </w:p>
    <w:p w14:paraId="22F7BAF7"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Tuckman, B. W. (1965). Developmental sequence in small groups. </w:t>
      </w:r>
      <w:r w:rsidRPr="00F306A8">
        <w:rPr>
          <w:rFonts w:ascii="Calibri" w:hAnsi="Calibri" w:cs="Calibri"/>
          <w:i/>
          <w:iCs/>
          <w:sz w:val="24"/>
          <w:szCs w:val="24"/>
        </w:rPr>
        <w:t>Psychological bulletin</w:t>
      </w:r>
      <w:r w:rsidRPr="00F306A8">
        <w:rPr>
          <w:rFonts w:ascii="Calibri" w:hAnsi="Calibri" w:cs="Calibri"/>
          <w:sz w:val="24"/>
          <w:szCs w:val="24"/>
        </w:rPr>
        <w:t>, </w:t>
      </w:r>
      <w:r w:rsidRPr="00F306A8">
        <w:rPr>
          <w:rFonts w:ascii="Calibri" w:hAnsi="Calibri" w:cs="Calibri"/>
          <w:i/>
          <w:iCs/>
          <w:sz w:val="24"/>
          <w:szCs w:val="24"/>
        </w:rPr>
        <w:t>63</w:t>
      </w:r>
      <w:r w:rsidRPr="00F306A8">
        <w:rPr>
          <w:rFonts w:ascii="Calibri" w:hAnsi="Calibri" w:cs="Calibri"/>
          <w:sz w:val="24"/>
          <w:szCs w:val="24"/>
        </w:rPr>
        <w:t>(6), 384.</w:t>
      </w:r>
    </w:p>
    <w:p w14:paraId="14CC6D40"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lastRenderedPageBreak/>
        <w:t xml:space="preserve">Vrchota, J., </w:t>
      </w:r>
      <w:proofErr w:type="spellStart"/>
      <w:r w:rsidRPr="00F306A8">
        <w:rPr>
          <w:rFonts w:ascii="Calibri" w:hAnsi="Calibri" w:cs="Calibri"/>
          <w:sz w:val="24"/>
          <w:szCs w:val="24"/>
        </w:rPr>
        <w:t>Řehoř</w:t>
      </w:r>
      <w:proofErr w:type="spellEnd"/>
      <w:r w:rsidRPr="00F306A8">
        <w:rPr>
          <w:rFonts w:ascii="Calibri" w:hAnsi="Calibri" w:cs="Calibri"/>
          <w:sz w:val="24"/>
          <w:szCs w:val="24"/>
        </w:rPr>
        <w:t>, P., Maříková, M., &amp; Pech, M. (2020). Critical success factors of the project management in relation to industry 4.0 for sustainability of projects. </w:t>
      </w:r>
      <w:r w:rsidRPr="00F306A8">
        <w:rPr>
          <w:rFonts w:ascii="Calibri" w:hAnsi="Calibri" w:cs="Calibri"/>
          <w:i/>
          <w:iCs/>
          <w:sz w:val="24"/>
          <w:szCs w:val="24"/>
        </w:rPr>
        <w:t>Sustainability</w:t>
      </w:r>
      <w:r w:rsidRPr="00F306A8">
        <w:rPr>
          <w:rFonts w:ascii="Calibri" w:hAnsi="Calibri" w:cs="Calibri"/>
          <w:sz w:val="24"/>
          <w:szCs w:val="24"/>
        </w:rPr>
        <w:t>, </w:t>
      </w:r>
      <w:r w:rsidRPr="00F306A8">
        <w:rPr>
          <w:rFonts w:ascii="Calibri" w:hAnsi="Calibri" w:cs="Calibri"/>
          <w:i/>
          <w:iCs/>
          <w:sz w:val="24"/>
          <w:szCs w:val="24"/>
        </w:rPr>
        <w:t>13</w:t>
      </w:r>
      <w:r w:rsidRPr="00F306A8">
        <w:rPr>
          <w:rFonts w:ascii="Calibri" w:hAnsi="Calibri" w:cs="Calibri"/>
          <w:sz w:val="24"/>
          <w:szCs w:val="24"/>
        </w:rPr>
        <w:t xml:space="preserve">(1), 281. </w:t>
      </w:r>
      <w:hyperlink r:id="rId22" w:history="1">
        <w:r w:rsidRPr="00F306A8">
          <w:rPr>
            <w:rStyle w:val="Hyperlink"/>
            <w:rFonts w:ascii="Calibri" w:hAnsi="Calibri" w:cs="Calibri"/>
            <w:sz w:val="24"/>
            <w:szCs w:val="24"/>
          </w:rPr>
          <w:t>https://doi.org/10.3390/su13010281</w:t>
        </w:r>
      </w:hyperlink>
      <w:r w:rsidRPr="00F306A8">
        <w:rPr>
          <w:rFonts w:ascii="Calibri" w:hAnsi="Calibri" w:cs="Calibri"/>
          <w:sz w:val="24"/>
          <w:szCs w:val="24"/>
        </w:rPr>
        <w:t xml:space="preserve"> </w:t>
      </w:r>
    </w:p>
    <w:p w14:paraId="0187E9B9"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Wysocki, R. K. (2011). </w:t>
      </w:r>
      <w:r w:rsidRPr="00F306A8">
        <w:rPr>
          <w:rFonts w:ascii="Calibri" w:hAnsi="Calibri" w:cs="Calibri"/>
          <w:i/>
          <w:iCs/>
          <w:sz w:val="24"/>
          <w:szCs w:val="24"/>
        </w:rPr>
        <w:t>Effective project management: traditional, agile, extreme</w:t>
      </w:r>
      <w:r w:rsidRPr="00F306A8">
        <w:rPr>
          <w:rFonts w:ascii="Calibri" w:hAnsi="Calibri" w:cs="Calibri"/>
          <w:sz w:val="24"/>
          <w:szCs w:val="24"/>
        </w:rPr>
        <w:t>. John Wiley &amp; Sons.</w:t>
      </w:r>
    </w:p>
    <w:p w14:paraId="561E1DE5"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Yu, Q., Aslam, S., Murad, M., Jiatong, W., &amp; Syed, N. (2022). The impact of knowledge management process and intellectual capital on entrepreneurial orientation and innovation. </w:t>
      </w:r>
      <w:r w:rsidRPr="00F306A8">
        <w:rPr>
          <w:rFonts w:ascii="Calibri" w:hAnsi="Calibri" w:cs="Calibri"/>
          <w:i/>
          <w:iCs/>
          <w:sz w:val="24"/>
          <w:szCs w:val="24"/>
        </w:rPr>
        <w:t>Frontiers in psychology</w:t>
      </w:r>
      <w:r w:rsidRPr="00F306A8">
        <w:rPr>
          <w:rFonts w:ascii="Calibri" w:hAnsi="Calibri" w:cs="Calibri"/>
          <w:sz w:val="24"/>
          <w:szCs w:val="24"/>
        </w:rPr>
        <w:t>, </w:t>
      </w:r>
      <w:r w:rsidRPr="00F306A8">
        <w:rPr>
          <w:rFonts w:ascii="Calibri" w:hAnsi="Calibri" w:cs="Calibri"/>
          <w:i/>
          <w:iCs/>
          <w:sz w:val="24"/>
          <w:szCs w:val="24"/>
        </w:rPr>
        <w:t>13</w:t>
      </w:r>
      <w:r w:rsidRPr="00F306A8">
        <w:rPr>
          <w:rFonts w:ascii="Calibri" w:hAnsi="Calibri" w:cs="Calibri"/>
          <w:sz w:val="24"/>
          <w:szCs w:val="24"/>
        </w:rPr>
        <w:t xml:space="preserve">, 772668. </w:t>
      </w:r>
      <w:hyperlink r:id="rId23" w:history="1">
        <w:r w:rsidRPr="00F306A8">
          <w:rPr>
            <w:rStyle w:val="Hyperlink"/>
            <w:rFonts w:ascii="Calibri" w:hAnsi="Calibri" w:cs="Calibri"/>
            <w:sz w:val="24"/>
            <w:szCs w:val="24"/>
          </w:rPr>
          <w:t>https://doi.org/10.3389/fpsyg.2022.772668</w:t>
        </w:r>
      </w:hyperlink>
      <w:r w:rsidRPr="00F306A8">
        <w:rPr>
          <w:rFonts w:ascii="Calibri" w:hAnsi="Calibri" w:cs="Calibri"/>
          <w:sz w:val="24"/>
          <w:szCs w:val="24"/>
        </w:rPr>
        <w:t xml:space="preserve"> </w:t>
      </w:r>
    </w:p>
    <w:p w14:paraId="5C6DC32A"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Zaleski, S., &amp; Michalski, R. (2021). Success factors in sustainable management of IT service projects: exploratory factor analysis. </w:t>
      </w:r>
      <w:r w:rsidRPr="00F306A8">
        <w:rPr>
          <w:rFonts w:ascii="Calibri" w:hAnsi="Calibri" w:cs="Calibri"/>
          <w:i/>
          <w:iCs/>
          <w:sz w:val="24"/>
          <w:szCs w:val="24"/>
        </w:rPr>
        <w:t>Sustainability</w:t>
      </w:r>
      <w:r w:rsidRPr="00F306A8">
        <w:rPr>
          <w:rFonts w:ascii="Calibri" w:hAnsi="Calibri" w:cs="Calibri"/>
          <w:sz w:val="24"/>
          <w:szCs w:val="24"/>
        </w:rPr>
        <w:t>, </w:t>
      </w:r>
      <w:r w:rsidRPr="00F306A8">
        <w:rPr>
          <w:rFonts w:ascii="Calibri" w:hAnsi="Calibri" w:cs="Calibri"/>
          <w:i/>
          <w:iCs/>
          <w:sz w:val="24"/>
          <w:szCs w:val="24"/>
        </w:rPr>
        <w:t>13</w:t>
      </w:r>
      <w:r w:rsidRPr="00F306A8">
        <w:rPr>
          <w:rFonts w:ascii="Calibri" w:hAnsi="Calibri" w:cs="Calibri"/>
          <w:sz w:val="24"/>
          <w:szCs w:val="24"/>
        </w:rPr>
        <w:t xml:space="preserve">(8), 4457. </w:t>
      </w:r>
      <w:hyperlink r:id="rId24" w:history="1">
        <w:r w:rsidRPr="00F306A8">
          <w:rPr>
            <w:rStyle w:val="Hyperlink"/>
            <w:rFonts w:ascii="Calibri" w:hAnsi="Calibri" w:cs="Calibri"/>
            <w:sz w:val="24"/>
            <w:szCs w:val="24"/>
          </w:rPr>
          <w:t>https://doi.org/10.3390/su13084457</w:t>
        </w:r>
      </w:hyperlink>
      <w:r w:rsidRPr="00F306A8">
        <w:rPr>
          <w:rFonts w:ascii="Calibri" w:hAnsi="Calibri" w:cs="Calibri"/>
          <w:sz w:val="24"/>
          <w:szCs w:val="24"/>
        </w:rPr>
        <w:t xml:space="preserve"> </w:t>
      </w:r>
    </w:p>
    <w:p w14:paraId="79E519EA" w14:textId="77777777" w:rsidR="002621E5" w:rsidRPr="00F306A8" w:rsidRDefault="002621E5" w:rsidP="00F306A8">
      <w:pPr>
        <w:pStyle w:val="References"/>
        <w:spacing w:after="120" w:line="360" w:lineRule="auto"/>
        <w:jc w:val="both"/>
        <w:rPr>
          <w:rFonts w:ascii="Calibri" w:hAnsi="Calibri" w:cs="Calibri"/>
          <w:sz w:val="24"/>
          <w:szCs w:val="24"/>
        </w:rPr>
      </w:pPr>
      <w:r w:rsidRPr="00F306A8">
        <w:rPr>
          <w:rFonts w:ascii="Calibri" w:hAnsi="Calibri" w:cs="Calibri"/>
          <w:sz w:val="24"/>
          <w:szCs w:val="24"/>
        </w:rPr>
        <w:t xml:space="preserve">Žužek, T., Gosar, Ž., Kušar, J., &amp; </w:t>
      </w:r>
      <w:proofErr w:type="spellStart"/>
      <w:r w:rsidRPr="00F306A8">
        <w:rPr>
          <w:rFonts w:ascii="Calibri" w:hAnsi="Calibri" w:cs="Calibri"/>
          <w:sz w:val="24"/>
          <w:szCs w:val="24"/>
        </w:rPr>
        <w:t>Berlec</w:t>
      </w:r>
      <w:proofErr w:type="spellEnd"/>
      <w:r w:rsidRPr="00F306A8">
        <w:rPr>
          <w:rFonts w:ascii="Calibri" w:hAnsi="Calibri" w:cs="Calibri"/>
          <w:sz w:val="24"/>
          <w:szCs w:val="24"/>
        </w:rPr>
        <w:t>, T. (2020). Adopting agile project management practices in non-software SMEs: A case study of a Slovenian medium-sized manufacturing company. </w:t>
      </w:r>
      <w:r w:rsidRPr="00F306A8">
        <w:rPr>
          <w:rFonts w:ascii="Calibri" w:hAnsi="Calibri" w:cs="Calibri"/>
          <w:i/>
          <w:iCs/>
          <w:sz w:val="24"/>
          <w:szCs w:val="24"/>
        </w:rPr>
        <w:t>Sustainability</w:t>
      </w:r>
      <w:r w:rsidRPr="00F306A8">
        <w:rPr>
          <w:rFonts w:ascii="Calibri" w:hAnsi="Calibri" w:cs="Calibri"/>
          <w:sz w:val="24"/>
          <w:szCs w:val="24"/>
        </w:rPr>
        <w:t>, </w:t>
      </w:r>
      <w:r w:rsidRPr="00F306A8">
        <w:rPr>
          <w:rFonts w:ascii="Calibri" w:hAnsi="Calibri" w:cs="Calibri"/>
          <w:i/>
          <w:iCs/>
          <w:sz w:val="24"/>
          <w:szCs w:val="24"/>
        </w:rPr>
        <w:t>12</w:t>
      </w:r>
      <w:r w:rsidRPr="00F306A8">
        <w:rPr>
          <w:rFonts w:ascii="Calibri" w:hAnsi="Calibri" w:cs="Calibri"/>
          <w:sz w:val="24"/>
          <w:szCs w:val="24"/>
        </w:rPr>
        <w:t xml:space="preserve">(21), 9245. </w:t>
      </w:r>
      <w:hyperlink r:id="rId25" w:history="1">
        <w:r w:rsidRPr="00F306A8">
          <w:rPr>
            <w:rStyle w:val="Hyperlink"/>
            <w:rFonts w:ascii="Calibri" w:hAnsi="Calibri" w:cs="Calibri"/>
            <w:sz w:val="24"/>
            <w:szCs w:val="24"/>
          </w:rPr>
          <w:t>https://doi.org/10.3390/su12219245</w:t>
        </w:r>
      </w:hyperlink>
      <w:r w:rsidRPr="00F306A8">
        <w:rPr>
          <w:rFonts w:ascii="Calibri" w:hAnsi="Calibri" w:cs="Calibri"/>
          <w:sz w:val="24"/>
          <w:szCs w:val="24"/>
        </w:rPr>
        <w:t xml:space="preserve"> </w:t>
      </w:r>
    </w:p>
    <w:p w14:paraId="6520294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br w:type="page"/>
      </w:r>
    </w:p>
    <w:p w14:paraId="1DDC91FD" w14:textId="77777777" w:rsidR="002621E5" w:rsidRPr="00F306A8" w:rsidRDefault="002621E5" w:rsidP="00F306A8">
      <w:pPr>
        <w:pStyle w:val="Heading1"/>
        <w:spacing w:line="360" w:lineRule="auto"/>
        <w:jc w:val="both"/>
        <w:rPr>
          <w:rFonts w:ascii="Calibri" w:hAnsi="Calibri" w:cs="Calibri"/>
          <w:sz w:val="24"/>
          <w:szCs w:val="24"/>
        </w:rPr>
      </w:pPr>
      <w:bookmarkStart w:id="16" w:name="_Toc238977986"/>
      <w:r w:rsidRPr="00F306A8">
        <w:rPr>
          <w:rFonts w:ascii="Calibri" w:hAnsi="Calibri" w:cs="Calibri"/>
          <w:sz w:val="24"/>
          <w:szCs w:val="24"/>
        </w:rPr>
        <w:lastRenderedPageBreak/>
        <w:t>Appendix A. Indicative 14-Week Gantt Plan</w:t>
      </w:r>
      <w:bookmarkEnd w:id="16"/>
    </w:p>
    <w:p w14:paraId="31D960C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 xml:space="preserve">The Gantt plan below illustrates the sequencing and </w:t>
      </w:r>
      <w:proofErr w:type="gramStart"/>
      <w:r w:rsidRPr="00F306A8">
        <w:rPr>
          <w:rFonts w:ascii="Calibri" w:hAnsi="Calibri" w:cs="Calibri"/>
          <w:sz w:val="24"/>
          <w:szCs w:val="24"/>
        </w:rPr>
        <w:t>overlap</w:t>
      </w:r>
      <w:proofErr w:type="gramEnd"/>
      <w:r w:rsidRPr="00F306A8">
        <w:rPr>
          <w:rFonts w:ascii="Calibri" w:hAnsi="Calibri" w:cs="Calibri"/>
          <w:sz w:val="24"/>
          <w:szCs w:val="24"/>
        </w:rPr>
        <w:t xml:space="preserve"> of the principal work packages. Shaded cells indicate active work periods.</w:t>
      </w:r>
    </w:p>
    <w:p w14:paraId="7B6302F7" w14:textId="77777777" w:rsidR="002621E5" w:rsidRPr="00F306A8" w:rsidRDefault="002621E5" w:rsidP="00F306A8">
      <w:pPr>
        <w:spacing w:after="80" w:line="360" w:lineRule="auto"/>
        <w:jc w:val="both"/>
        <w:rPr>
          <w:rFonts w:ascii="Calibri" w:hAnsi="Calibri" w:cs="Calibri"/>
          <w:sz w:val="24"/>
          <w:szCs w:val="24"/>
        </w:rPr>
      </w:pPr>
      <w:r w:rsidRPr="00F306A8">
        <w:rPr>
          <w:rFonts w:ascii="Calibri" w:hAnsi="Calibri" w:cs="Calibri"/>
          <w:noProof/>
          <w:sz w:val="24"/>
          <w:szCs w:val="24"/>
        </w:rPr>
        <w:drawing>
          <wp:inline distT="0" distB="0" distL="0" distR="0" wp14:anchorId="17718707" wp14:editId="7955CD90">
            <wp:extent cx="5989320" cy="3735468"/>
            <wp:effectExtent l="0" t="0" r="0" b="0"/>
            <wp:docPr id="1446527023" name="Picture 1446527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ney-Love_Gantt_Plan.png"/>
                    <pic:cNvPicPr/>
                  </pic:nvPicPr>
                  <pic:blipFill>
                    <a:blip r:embed="rId26"/>
                    <a:stretch>
                      <a:fillRect/>
                    </a:stretch>
                  </pic:blipFill>
                  <pic:spPr>
                    <a:xfrm>
                      <a:off x="0" y="0"/>
                      <a:ext cx="5989320" cy="3735468"/>
                    </a:xfrm>
                    <a:prstGeom prst="rect">
                      <a:avLst/>
                    </a:prstGeom>
                  </pic:spPr>
                </pic:pic>
              </a:graphicData>
            </a:graphic>
          </wp:inline>
        </w:drawing>
      </w:r>
    </w:p>
    <w:p w14:paraId="2075B8EA" w14:textId="07EEDCF3" w:rsidR="00AF254B" w:rsidRPr="00F306A8" w:rsidRDefault="002621E5" w:rsidP="00F306A8">
      <w:pPr>
        <w:spacing w:line="360" w:lineRule="auto"/>
        <w:jc w:val="both"/>
        <w:rPr>
          <w:rFonts w:ascii="Calibri" w:hAnsi="Calibri" w:cs="Calibri"/>
          <w:i/>
          <w:sz w:val="24"/>
          <w:szCs w:val="24"/>
        </w:rPr>
      </w:pPr>
      <w:r w:rsidRPr="00F306A8">
        <w:rPr>
          <w:rFonts w:ascii="Calibri" w:hAnsi="Calibri" w:cs="Calibri"/>
          <w:i/>
          <w:sz w:val="24"/>
          <w:szCs w:val="24"/>
        </w:rPr>
        <w:t xml:space="preserve">Figure A1. Indicative sequencing and </w:t>
      </w:r>
      <w:proofErr w:type="gramStart"/>
      <w:r w:rsidRPr="00F306A8">
        <w:rPr>
          <w:rFonts w:ascii="Calibri" w:hAnsi="Calibri" w:cs="Calibri"/>
          <w:i/>
          <w:sz w:val="24"/>
          <w:szCs w:val="24"/>
        </w:rPr>
        <w:t>overlap</w:t>
      </w:r>
      <w:proofErr w:type="gramEnd"/>
      <w:r w:rsidRPr="00F306A8">
        <w:rPr>
          <w:rFonts w:ascii="Calibri" w:hAnsi="Calibri" w:cs="Calibri"/>
          <w:i/>
          <w:sz w:val="24"/>
          <w:szCs w:val="24"/>
        </w:rPr>
        <w:t xml:space="preserve"> of project activities.</w:t>
      </w:r>
    </w:p>
    <w:p w14:paraId="719F155D" w14:textId="77777777" w:rsidR="00AF254B" w:rsidRPr="00F306A8" w:rsidRDefault="00AF254B" w:rsidP="00F306A8">
      <w:pPr>
        <w:spacing w:line="360" w:lineRule="auto"/>
        <w:jc w:val="both"/>
        <w:rPr>
          <w:rFonts w:ascii="Calibri" w:hAnsi="Calibri" w:cs="Calibri"/>
          <w:i/>
          <w:sz w:val="24"/>
          <w:szCs w:val="24"/>
        </w:rPr>
      </w:pPr>
      <w:r w:rsidRPr="00F306A8">
        <w:rPr>
          <w:rFonts w:ascii="Calibri" w:hAnsi="Calibri" w:cs="Calibri"/>
          <w:i/>
          <w:sz w:val="24"/>
          <w:szCs w:val="24"/>
        </w:rPr>
        <w:br w:type="page"/>
      </w:r>
    </w:p>
    <w:p w14:paraId="0FF6BE4A" w14:textId="77777777" w:rsidR="002621E5" w:rsidRPr="00F306A8" w:rsidRDefault="002621E5" w:rsidP="00F306A8">
      <w:pPr>
        <w:spacing w:line="360" w:lineRule="auto"/>
        <w:jc w:val="both"/>
        <w:rPr>
          <w:rFonts w:ascii="Calibri" w:hAnsi="Calibri" w:cs="Calibri"/>
          <w:sz w:val="24"/>
          <w:szCs w:val="24"/>
        </w:rPr>
      </w:pPr>
    </w:p>
    <w:p w14:paraId="5F43B429" w14:textId="77777777" w:rsidR="002621E5" w:rsidRPr="00F306A8" w:rsidRDefault="002621E5" w:rsidP="00F306A8">
      <w:pPr>
        <w:spacing w:line="360" w:lineRule="auto"/>
        <w:jc w:val="both"/>
        <w:rPr>
          <w:rFonts w:ascii="Calibri" w:hAnsi="Calibri" w:cs="Calibri"/>
          <w:sz w:val="24"/>
          <w:szCs w:val="24"/>
        </w:rPr>
      </w:pPr>
    </w:p>
    <w:p w14:paraId="436369DA" w14:textId="77777777" w:rsidR="002621E5" w:rsidRPr="00F306A8" w:rsidRDefault="002621E5" w:rsidP="00F306A8">
      <w:pPr>
        <w:pStyle w:val="Heading1"/>
        <w:spacing w:line="360" w:lineRule="auto"/>
        <w:jc w:val="both"/>
        <w:rPr>
          <w:rFonts w:ascii="Calibri" w:hAnsi="Calibri" w:cs="Calibri"/>
          <w:sz w:val="24"/>
          <w:szCs w:val="24"/>
        </w:rPr>
      </w:pPr>
      <w:bookmarkStart w:id="17" w:name="_Toc238977987"/>
      <w:r w:rsidRPr="00F306A8">
        <w:rPr>
          <w:rFonts w:ascii="Calibri" w:hAnsi="Calibri" w:cs="Calibri"/>
          <w:sz w:val="24"/>
          <w:szCs w:val="24"/>
        </w:rPr>
        <w:t>Appendix B. Risk Scoring Guide</w:t>
      </w:r>
      <w:bookmarkEnd w:id="17"/>
    </w:p>
    <w:p w14:paraId="57E0ABA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For practical use, likelihood and impact can each be rated from 1 (low) to 5 (very high). The product of the two scores provides an initial priority. A high-impact confidentiality, safety or reputational risk should still receive management attention even if the calculated score is moderate.</w:t>
      </w:r>
    </w:p>
    <w:tbl>
      <w:tblPr>
        <w:tblStyle w:val="TableGrid"/>
        <w:tblW w:w="0" w:type="auto"/>
        <w:jc w:val="center"/>
        <w:tblLook w:val="04A0" w:firstRow="1" w:lastRow="0" w:firstColumn="1" w:lastColumn="0" w:noHBand="0" w:noVBand="1"/>
      </w:tblPr>
      <w:tblGrid>
        <w:gridCol w:w="1134"/>
        <w:gridCol w:w="3685"/>
        <w:gridCol w:w="3685"/>
      </w:tblGrid>
      <w:tr w:rsidR="002621E5" w:rsidRPr="00F306A8" w14:paraId="729B4129" w14:textId="77777777" w:rsidTr="003406A0">
        <w:trPr>
          <w:jc w:val="center"/>
        </w:trPr>
        <w:tc>
          <w:tcPr>
            <w:tcW w:w="1134" w:type="dxa"/>
            <w:shd w:val="clear" w:color="auto" w:fill="D9EAD3"/>
            <w:vAlign w:val="center"/>
          </w:tcPr>
          <w:p w14:paraId="61272A18"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Score</w:t>
            </w:r>
          </w:p>
        </w:tc>
        <w:tc>
          <w:tcPr>
            <w:tcW w:w="3685" w:type="dxa"/>
            <w:shd w:val="clear" w:color="auto" w:fill="D9EAD3"/>
            <w:vAlign w:val="center"/>
          </w:tcPr>
          <w:p w14:paraId="3686CC8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Likelihood</w:t>
            </w:r>
          </w:p>
        </w:tc>
        <w:tc>
          <w:tcPr>
            <w:tcW w:w="3685" w:type="dxa"/>
            <w:shd w:val="clear" w:color="auto" w:fill="D9EAD3"/>
            <w:vAlign w:val="center"/>
          </w:tcPr>
          <w:p w14:paraId="6C617A3C"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b/>
                <w:sz w:val="24"/>
                <w:szCs w:val="24"/>
              </w:rPr>
              <w:t>Impact</w:t>
            </w:r>
          </w:p>
        </w:tc>
      </w:tr>
      <w:tr w:rsidR="002621E5" w:rsidRPr="00F306A8" w14:paraId="7F7CC5BA" w14:textId="77777777" w:rsidTr="003406A0">
        <w:trPr>
          <w:jc w:val="center"/>
        </w:trPr>
        <w:tc>
          <w:tcPr>
            <w:tcW w:w="1134" w:type="dxa"/>
            <w:vAlign w:val="center"/>
          </w:tcPr>
          <w:p w14:paraId="491FBB5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1</w:t>
            </w:r>
          </w:p>
        </w:tc>
        <w:tc>
          <w:tcPr>
            <w:tcW w:w="3685" w:type="dxa"/>
            <w:vAlign w:val="center"/>
          </w:tcPr>
          <w:p w14:paraId="6163567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Rare</w:t>
            </w:r>
          </w:p>
        </w:tc>
        <w:tc>
          <w:tcPr>
            <w:tcW w:w="3685" w:type="dxa"/>
            <w:vAlign w:val="center"/>
          </w:tcPr>
          <w:p w14:paraId="3AF90D3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Minor</w:t>
            </w:r>
          </w:p>
        </w:tc>
      </w:tr>
      <w:tr w:rsidR="002621E5" w:rsidRPr="00F306A8" w14:paraId="28127930" w14:textId="77777777" w:rsidTr="003406A0">
        <w:trPr>
          <w:jc w:val="center"/>
        </w:trPr>
        <w:tc>
          <w:tcPr>
            <w:tcW w:w="1134" w:type="dxa"/>
            <w:vAlign w:val="center"/>
          </w:tcPr>
          <w:p w14:paraId="70BA6D1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2</w:t>
            </w:r>
          </w:p>
        </w:tc>
        <w:tc>
          <w:tcPr>
            <w:tcW w:w="3685" w:type="dxa"/>
            <w:vAlign w:val="center"/>
          </w:tcPr>
          <w:p w14:paraId="3AF85417"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Unlikely</w:t>
            </w:r>
          </w:p>
        </w:tc>
        <w:tc>
          <w:tcPr>
            <w:tcW w:w="3685" w:type="dxa"/>
            <w:vAlign w:val="center"/>
          </w:tcPr>
          <w:p w14:paraId="63BEC182"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Limited</w:t>
            </w:r>
          </w:p>
        </w:tc>
      </w:tr>
      <w:tr w:rsidR="002621E5" w:rsidRPr="00F306A8" w14:paraId="1B9831A2" w14:textId="77777777" w:rsidTr="003406A0">
        <w:trPr>
          <w:jc w:val="center"/>
        </w:trPr>
        <w:tc>
          <w:tcPr>
            <w:tcW w:w="1134" w:type="dxa"/>
            <w:vAlign w:val="center"/>
          </w:tcPr>
          <w:p w14:paraId="67BFDB8F"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3</w:t>
            </w:r>
          </w:p>
        </w:tc>
        <w:tc>
          <w:tcPr>
            <w:tcW w:w="3685" w:type="dxa"/>
            <w:vAlign w:val="center"/>
          </w:tcPr>
          <w:p w14:paraId="4656F4D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Possible</w:t>
            </w:r>
          </w:p>
        </w:tc>
        <w:tc>
          <w:tcPr>
            <w:tcW w:w="3685" w:type="dxa"/>
            <w:vAlign w:val="center"/>
          </w:tcPr>
          <w:p w14:paraId="10FB8133"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Moderate</w:t>
            </w:r>
          </w:p>
        </w:tc>
      </w:tr>
      <w:tr w:rsidR="002621E5" w:rsidRPr="00F306A8" w14:paraId="73451FE8" w14:textId="77777777" w:rsidTr="003406A0">
        <w:trPr>
          <w:jc w:val="center"/>
        </w:trPr>
        <w:tc>
          <w:tcPr>
            <w:tcW w:w="1134" w:type="dxa"/>
            <w:vAlign w:val="center"/>
          </w:tcPr>
          <w:p w14:paraId="38B4DEDB"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4</w:t>
            </w:r>
          </w:p>
        </w:tc>
        <w:tc>
          <w:tcPr>
            <w:tcW w:w="3685" w:type="dxa"/>
            <w:vAlign w:val="center"/>
          </w:tcPr>
          <w:p w14:paraId="0DD64A95"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Likely</w:t>
            </w:r>
          </w:p>
        </w:tc>
        <w:tc>
          <w:tcPr>
            <w:tcW w:w="3685" w:type="dxa"/>
            <w:vAlign w:val="center"/>
          </w:tcPr>
          <w:p w14:paraId="70F7F37E"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Major</w:t>
            </w:r>
          </w:p>
        </w:tc>
      </w:tr>
      <w:tr w:rsidR="002621E5" w:rsidRPr="00F306A8" w14:paraId="6E609772" w14:textId="77777777" w:rsidTr="003406A0">
        <w:trPr>
          <w:jc w:val="center"/>
        </w:trPr>
        <w:tc>
          <w:tcPr>
            <w:tcW w:w="1134" w:type="dxa"/>
            <w:vAlign w:val="center"/>
          </w:tcPr>
          <w:p w14:paraId="3DE6004A"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5</w:t>
            </w:r>
          </w:p>
        </w:tc>
        <w:tc>
          <w:tcPr>
            <w:tcW w:w="3685" w:type="dxa"/>
            <w:vAlign w:val="center"/>
          </w:tcPr>
          <w:p w14:paraId="3BA5FE36"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Very likely</w:t>
            </w:r>
          </w:p>
        </w:tc>
        <w:tc>
          <w:tcPr>
            <w:tcW w:w="3685" w:type="dxa"/>
            <w:vAlign w:val="center"/>
          </w:tcPr>
          <w:p w14:paraId="6A162399" w14:textId="77777777" w:rsidR="002621E5" w:rsidRPr="00F306A8" w:rsidRDefault="002621E5" w:rsidP="00F306A8">
            <w:pPr>
              <w:spacing w:line="360" w:lineRule="auto"/>
              <w:jc w:val="both"/>
              <w:rPr>
                <w:rFonts w:ascii="Calibri" w:hAnsi="Calibri" w:cs="Calibri"/>
                <w:sz w:val="24"/>
                <w:szCs w:val="24"/>
              </w:rPr>
            </w:pPr>
            <w:r w:rsidRPr="00F306A8">
              <w:rPr>
                <w:rFonts w:ascii="Calibri" w:hAnsi="Calibri" w:cs="Calibri"/>
                <w:sz w:val="24"/>
                <w:szCs w:val="24"/>
              </w:rPr>
              <w:t>Severe / business-critical</w:t>
            </w:r>
          </w:p>
        </w:tc>
      </w:tr>
    </w:tbl>
    <w:p w14:paraId="0A9EDBB7" w14:textId="77777777" w:rsidR="002621E5" w:rsidRPr="00F306A8" w:rsidRDefault="002621E5" w:rsidP="00F306A8">
      <w:pPr>
        <w:spacing w:after="40" w:line="360" w:lineRule="auto"/>
        <w:jc w:val="both"/>
        <w:rPr>
          <w:rFonts w:ascii="Calibri" w:hAnsi="Calibri" w:cs="Calibri"/>
          <w:sz w:val="24"/>
          <w:szCs w:val="24"/>
        </w:rPr>
      </w:pPr>
    </w:p>
    <w:p w14:paraId="0B5FB328" w14:textId="77777777" w:rsidR="002621E5" w:rsidRPr="00F306A8" w:rsidRDefault="002621E5" w:rsidP="00F306A8">
      <w:pPr>
        <w:pStyle w:val="Heading1"/>
        <w:spacing w:line="360" w:lineRule="auto"/>
        <w:jc w:val="both"/>
        <w:rPr>
          <w:rFonts w:ascii="Calibri" w:hAnsi="Calibri" w:cs="Calibri"/>
          <w:sz w:val="24"/>
          <w:szCs w:val="24"/>
        </w:rPr>
      </w:pPr>
      <w:bookmarkStart w:id="18" w:name="_Toc238977988"/>
      <w:r w:rsidRPr="00F306A8">
        <w:rPr>
          <w:rFonts w:ascii="Calibri" w:hAnsi="Calibri" w:cs="Calibri"/>
          <w:sz w:val="24"/>
          <w:szCs w:val="24"/>
        </w:rPr>
        <w:t>Appendix C. Confidentiality and Knowledge-Management Principles</w:t>
      </w:r>
      <w:bookmarkEnd w:id="18"/>
    </w:p>
    <w:p w14:paraId="7168B76E" w14:textId="77777777" w:rsidR="002621E5" w:rsidRPr="00F306A8" w:rsidRDefault="002621E5" w:rsidP="00F306A8">
      <w:pPr>
        <w:pStyle w:val="ListBullet"/>
        <w:tabs>
          <w:tab w:val="num" w:pos="360"/>
        </w:tabs>
        <w:spacing w:after="60"/>
        <w:ind w:left="360" w:hanging="360"/>
        <w:rPr>
          <w:rFonts w:ascii="Calibri" w:hAnsi="Calibri" w:cs="Calibri"/>
          <w:szCs w:val="24"/>
        </w:rPr>
      </w:pPr>
      <w:r w:rsidRPr="00F306A8">
        <w:rPr>
          <w:rFonts w:ascii="Calibri" w:hAnsi="Calibri" w:cs="Calibri"/>
          <w:szCs w:val="24"/>
        </w:rPr>
        <w:t>Only information required for a defined business or professional purpose should be collected and used.</w:t>
      </w:r>
    </w:p>
    <w:p w14:paraId="5951F61D" w14:textId="77777777" w:rsidR="002621E5" w:rsidRPr="00F306A8" w:rsidRDefault="002621E5" w:rsidP="00F306A8">
      <w:pPr>
        <w:pStyle w:val="ListBullet"/>
        <w:tabs>
          <w:tab w:val="num" w:pos="360"/>
        </w:tabs>
        <w:spacing w:after="60"/>
        <w:ind w:left="360" w:hanging="360"/>
        <w:rPr>
          <w:rFonts w:ascii="Calibri" w:hAnsi="Calibri" w:cs="Calibri"/>
          <w:szCs w:val="24"/>
        </w:rPr>
      </w:pPr>
      <w:r w:rsidRPr="00F306A8">
        <w:rPr>
          <w:rFonts w:ascii="Calibri" w:hAnsi="Calibri" w:cs="Calibri"/>
          <w:szCs w:val="24"/>
        </w:rPr>
        <w:t xml:space="preserve">Client-identifiable information should be accessed only by </w:t>
      </w:r>
      <w:proofErr w:type="spellStart"/>
      <w:r w:rsidRPr="00F306A8">
        <w:rPr>
          <w:rFonts w:ascii="Calibri" w:hAnsi="Calibri" w:cs="Calibri"/>
          <w:szCs w:val="24"/>
        </w:rPr>
        <w:t>authorised</w:t>
      </w:r>
      <w:proofErr w:type="spellEnd"/>
      <w:r w:rsidRPr="00F306A8">
        <w:rPr>
          <w:rFonts w:ascii="Calibri" w:hAnsi="Calibri" w:cs="Calibri"/>
          <w:szCs w:val="24"/>
        </w:rPr>
        <w:t xml:space="preserve"> </w:t>
      </w:r>
      <w:proofErr w:type="gramStart"/>
      <w:r w:rsidRPr="00F306A8">
        <w:rPr>
          <w:rFonts w:ascii="Calibri" w:hAnsi="Calibri" w:cs="Calibri"/>
          <w:szCs w:val="24"/>
        </w:rPr>
        <w:t>persons</w:t>
      </w:r>
      <w:proofErr w:type="gramEnd"/>
      <w:r w:rsidRPr="00F306A8">
        <w:rPr>
          <w:rFonts w:ascii="Calibri" w:hAnsi="Calibri" w:cs="Calibri"/>
          <w:szCs w:val="24"/>
        </w:rPr>
        <w:t xml:space="preserve"> on a need-to-know basis.</w:t>
      </w:r>
    </w:p>
    <w:p w14:paraId="385B99D1" w14:textId="77777777" w:rsidR="002621E5" w:rsidRPr="00F306A8" w:rsidRDefault="002621E5" w:rsidP="00F306A8">
      <w:pPr>
        <w:pStyle w:val="ListBullet"/>
        <w:tabs>
          <w:tab w:val="num" w:pos="360"/>
        </w:tabs>
        <w:spacing w:after="60"/>
        <w:ind w:left="360" w:hanging="360"/>
        <w:rPr>
          <w:rFonts w:ascii="Calibri" w:hAnsi="Calibri" w:cs="Calibri"/>
          <w:szCs w:val="24"/>
        </w:rPr>
      </w:pPr>
      <w:r w:rsidRPr="00F306A8">
        <w:rPr>
          <w:rFonts w:ascii="Calibri" w:hAnsi="Calibri" w:cs="Calibri"/>
          <w:szCs w:val="24"/>
        </w:rPr>
        <w:t xml:space="preserve">Business learning should be captured through </w:t>
      </w:r>
      <w:proofErr w:type="spellStart"/>
      <w:r w:rsidRPr="00F306A8">
        <w:rPr>
          <w:rFonts w:ascii="Calibri" w:hAnsi="Calibri" w:cs="Calibri"/>
          <w:szCs w:val="24"/>
        </w:rPr>
        <w:t>anonymised</w:t>
      </w:r>
      <w:proofErr w:type="spellEnd"/>
      <w:r w:rsidRPr="00F306A8">
        <w:rPr>
          <w:rFonts w:ascii="Calibri" w:hAnsi="Calibri" w:cs="Calibri"/>
          <w:szCs w:val="24"/>
        </w:rPr>
        <w:t xml:space="preserve"> themes, checklists, procedures and lessons learned rather than identifiable client records.</w:t>
      </w:r>
    </w:p>
    <w:p w14:paraId="2D28B441" w14:textId="77777777" w:rsidR="002621E5" w:rsidRPr="00F306A8" w:rsidRDefault="002621E5" w:rsidP="00F306A8">
      <w:pPr>
        <w:pStyle w:val="ListBullet"/>
        <w:tabs>
          <w:tab w:val="num" w:pos="360"/>
        </w:tabs>
        <w:spacing w:after="60"/>
        <w:ind w:left="360" w:hanging="360"/>
        <w:rPr>
          <w:rFonts w:ascii="Calibri" w:hAnsi="Calibri" w:cs="Calibri"/>
          <w:szCs w:val="24"/>
        </w:rPr>
      </w:pPr>
      <w:r w:rsidRPr="00F306A8">
        <w:rPr>
          <w:rFonts w:ascii="Calibri" w:hAnsi="Calibri" w:cs="Calibri"/>
          <w:szCs w:val="24"/>
        </w:rPr>
        <w:t xml:space="preserve">Training materials should use generic, </w:t>
      </w:r>
      <w:proofErr w:type="spellStart"/>
      <w:r w:rsidRPr="00F306A8">
        <w:rPr>
          <w:rFonts w:ascii="Calibri" w:hAnsi="Calibri" w:cs="Calibri"/>
          <w:szCs w:val="24"/>
        </w:rPr>
        <w:t>anonymised</w:t>
      </w:r>
      <w:proofErr w:type="spellEnd"/>
      <w:r w:rsidRPr="00F306A8">
        <w:rPr>
          <w:rFonts w:ascii="Calibri" w:hAnsi="Calibri" w:cs="Calibri"/>
          <w:szCs w:val="24"/>
        </w:rPr>
        <w:t xml:space="preserve"> or appropriately </w:t>
      </w:r>
      <w:proofErr w:type="spellStart"/>
      <w:r w:rsidRPr="00F306A8">
        <w:rPr>
          <w:rFonts w:ascii="Calibri" w:hAnsi="Calibri" w:cs="Calibri"/>
          <w:szCs w:val="24"/>
        </w:rPr>
        <w:t>authorised</w:t>
      </w:r>
      <w:proofErr w:type="spellEnd"/>
      <w:r w:rsidRPr="00F306A8">
        <w:rPr>
          <w:rFonts w:ascii="Calibri" w:hAnsi="Calibri" w:cs="Calibri"/>
          <w:szCs w:val="24"/>
        </w:rPr>
        <w:t xml:space="preserve"> examples.</w:t>
      </w:r>
    </w:p>
    <w:p w14:paraId="55D6AAD1" w14:textId="3F28AE60" w:rsidR="00CB7133" w:rsidRPr="00F306A8" w:rsidRDefault="002621E5" w:rsidP="00F306A8">
      <w:pPr>
        <w:spacing w:before="60" w:after="180" w:line="360" w:lineRule="auto"/>
        <w:jc w:val="both"/>
        <w:rPr>
          <w:rFonts w:ascii="Calibri" w:hAnsi="Calibri" w:cs="Calibri"/>
          <w:color w:val="auto"/>
          <w:sz w:val="24"/>
          <w:szCs w:val="24"/>
        </w:rPr>
      </w:pPr>
      <w:r w:rsidRPr="00F306A8">
        <w:rPr>
          <w:rFonts w:ascii="Calibri" w:hAnsi="Calibri" w:cs="Calibri"/>
          <w:sz w:val="24"/>
          <w:szCs w:val="24"/>
        </w:rPr>
        <w:t>Access permissions, retention practices and secure storage should be reviewed as the business gr</w:t>
      </w:r>
      <w:r w:rsidR="00EB6C9A" w:rsidRPr="00F306A8">
        <w:rPr>
          <w:rFonts w:ascii="Calibri" w:hAnsi="Calibri" w:cs="Calibri"/>
          <w:sz w:val="24"/>
          <w:szCs w:val="24"/>
        </w:rPr>
        <w:t>ows</w:t>
      </w:r>
    </w:p>
    <w:sectPr w:rsidR="00CB7133" w:rsidRPr="00F306A8">
      <w:footerReference w:type="default" r:id="rId27"/>
      <w:pgSz w:w="11906" w:h="16838"/>
      <w:pgMar w:top="1418" w:right="1418" w:bottom="1418" w:left="1701"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6F51B" w14:textId="77777777" w:rsidR="00714921" w:rsidRDefault="00714921">
      <w:r>
        <w:separator/>
      </w:r>
    </w:p>
  </w:endnote>
  <w:endnote w:type="continuationSeparator" w:id="0">
    <w:p w14:paraId="6CF1C1BB" w14:textId="77777777" w:rsidR="00714921" w:rsidRDefault="007149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989125"/>
      <w:docPartObj>
        <w:docPartGallery w:val="Page Numbers (Bottom of Page)"/>
        <w:docPartUnique/>
      </w:docPartObj>
    </w:sdtPr>
    <w:sdtEndPr>
      <w:rPr>
        <w:noProof/>
      </w:rPr>
    </w:sdtEndPr>
    <w:sdtContent>
      <w:p w14:paraId="2B7A159B" w14:textId="05DB7B01" w:rsidR="00B717E3" w:rsidRDefault="00B717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692DAB" w14:textId="7F3AF82A" w:rsidR="00CB7133" w:rsidRPr="00B717E3" w:rsidRDefault="00CB7133" w:rsidP="00B71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759A0" w14:textId="77777777" w:rsidR="00714921" w:rsidRDefault="00714921">
      <w:r>
        <w:separator/>
      </w:r>
    </w:p>
  </w:footnote>
  <w:footnote w:type="continuationSeparator" w:id="0">
    <w:p w14:paraId="77173913" w14:textId="77777777" w:rsidR="00714921" w:rsidRDefault="007149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AC583A"/>
    <w:multiLevelType w:val="hybridMultilevel"/>
    <w:tmpl w:val="79C87DCA"/>
    <w:lvl w:ilvl="0" w:tplc="34344102">
      <w:start w:val="1"/>
      <w:numFmt w:val="bullet"/>
      <w:lvlText w:val="●"/>
      <w:lvlJc w:val="left"/>
      <w:pPr>
        <w:ind w:left="720" w:hanging="360"/>
      </w:pPr>
    </w:lvl>
    <w:lvl w:ilvl="1" w:tplc="61EE5F00">
      <w:start w:val="1"/>
      <w:numFmt w:val="bullet"/>
      <w:lvlText w:val="○"/>
      <w:lvlJc w:val="left"/>
      <w:pPr>
        <w:ind w:left="1440" w:hanging="360"/>
      </w:pPr>
    </w:lvl>
    <w:lvl w:ilvl="2" w:tplc="E89C6D42">
      <w:start w:val="1"/>
      <w:numFmt w:val="bullet"/>
      <w:lvlText w:val="■"/>
      <w:lvlJc w:val="left"/>
      <w:pPr>
        <w:ind w:left="2160" w:hanging="360"/>
      </w:pPr>
    </w:lvl>
    <w:lvl w:ilvl="3" w:tplc="D9D2D318">
      <w:start w:val="1"/>
      <w:numFmt w:val="bullet"/>
      <w:lvlText w:val="●"/>
      <w:lvlJc w:val="left"/>
      <w:pPr>
        <w:ind w:left="2880" w:hanging="360"/>
      </w:pPr>
    </w:lvl>
    <w:lvl w:ilvl="4" w:tplc="CAE66D44">
      <w:start w:val="1"/>
      <w:numFmt w:val="bullet"/>
      <w:lvlText w:val="○"/>
      <w:lvlJc w:val="left"/>
      <w:pPr>
        <w:ind w:left="3600" w:hanging="360"/>
      </w:pPr>
    </w:lvl>
    <w:lvl w:ilvl="5" w:tplc="6C9632C6">
      <w:start w:val="1"/>
      <w:numFmt w:val="bullet"/>
      <w:lvlText w:val="■"/>
      <w:lvlJc w:val="left"/>
      <w:pPr>
        <w:ind w:left="4320" w:hanging="360"/>
      </w:pPr>
    </w:lvl>
    <w:lvl w:ilvl="6" w:tplc="5AB07642">
      <w:start w:val="1"/>
      <w:numFmt w:val="bullet"/>
      <w:lvlText w:val="●"/>
      <w:lvlJc w:val="left"/>
      <w:pPr>
        <w:ind w:left="5040" w:hanging="360"/>
      </w:pPr>
    </w:lvl>
    <w:lvl w:ilvl="7" w:tplc="31CA6B1A">
      <w:start w:val="1"/>
      <w:numFmt w:val="bullet"/>
      <w:lvlText w:val="●"/>
      <w:lvlJc w:val="left"/>
      <w:pPr>
        <w:ind w:left="5760" w:hanging="360"/>
      </w:pPr>
    </w:lvl>
    <w:lvl w:ilvl="8" w:tplc="534855C8">
      <w:start w:val="1"/>
      <w:numFmt w:val="bullet"/>
      <w:lvlText w:val="●"/>
      <w:lvlJc w:val="left"/>
      <w:pPr>
        <w:ind w:left="6480" w:hanging="360"/>
      </w:pPr>
    </w:lvl>
  </w:abstractNum>
  <w:abstractNum w:abstractNumId="10" w15:restartNumberingAfterBreak="0">
    <w:nsid w:val="2CB85959"/>
    <w:multiLevelType w:val="hybridMultilevel"/>
    <w:tmpl w:val="063EF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9189805">
    <w:abstractNumId w:val="9"/>
    <w:lvlOverride w:ilvl="0">
      <w:startOverride w:val="1"/>
    </w:lvlOverride>
  </w:num>
  <w:num w:numId="2" w16cid:durableId="2097707680">
    <w:abstractNumId w:val="10"/>
  </w:num>
  <w:num w:numId="3" w16cid:durableId="1362512846">
    <w:abstractNumId w:val="8"/>
  </w:num>
  <w:num w:numId="4" w16cid:durableId="1595017722">
    <w:abstractNumId w:val="6"/>
  </w:num>
  <w:num w:numId="5" w16cid:durableId="1933662164">
    <w:abstractNumId w:val="5"/>
  </w:num>
  <w:num w:numId="6" w16cid:durableId="1821773001">
    <w:abstractNumId w:val="4"/>
  </w:num>
  <w:num w:numId="7" w16cid:durableId="1686514312">
    <w:abstractNumId w:val="7"/>
  </w:num>
  <w:num w:numId="8" w16cid:durableId="1437403561">
    <w:abstractNumId w:val="3"/>
  </w:num>
  <w:num w:numId="9" w16cid:durableId="581570720">
    <w:abstractNumId w:val="2"/>
  </w:num>
  <w:num w:numId="10" w16cid:durableId="1072659165">
    <w:abstractNumId w:val="1"/>
  </w:num>
  <w:num w:numId="11" w16cid:durableId="1166701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133"/>
    <w:rsid w:val="00097008"/>
    <w:rsid w:val="000A5C0B"/>
    <w:rsid w:val="000B76C3"/>
    <w:rsid w:val="0011661B"/>
    <w:rsid w:val="001E1F31"/>
    <w:rsid w:val="001E2532"/>
    <w:rsid w:val="00203417"/>
    <w:rsid w:val="00223C71"/>
    <w:rsid w:val="00224C1E"/>
    <w:rsid w:val="002621E5"/>
    <w:rsid w:val="003065FD"/>
    <w:rsid w:val="00331803"/>
    <w:rsid w:val="003528F8"/>
    <w:rsid w:val="00373546"/>
    <w:rsid w:val="003A765E"/>
    <w:rsid w:val="003F1106"/>
    <w:rsid w:val="004076D7"/>
    <w:rsid w:val="00452210"/>
    <w:rsid w:val="004B091C"/>
    <w:rsid w:val="004E5067"/>
    <w:rsid w:val="00512D16"/>
    <w:rsid w:val="005321B5"/>
    <w:rsid w:val="006E2113"/>
    <w:rsid w:val="007074B8"/>
    <w:rsid w:val="00714921"/>
    <w:rsid w:val="007936E1"/>
    <w:rsid w:val="007F7802"/>
    <w:rsid w:val="00836822"/>
    <w:rsid w:val="008C2943"/>
    <w:rsid w:val="008D7A0E"/>
    <w:rsid w:val="00905981"/>
    <w:rsid w:val="00910047"/>
    <w:rsid w:val="009D496B"/>
    <w:rsid w:val="00AF254B"/>
    <w:rsid w:val="00B12502"/>
    <w:rsid w:val="00B633E8"/>
    <w:rsid w:val="00B717E3"/>
    <w:rsid w:val="00C15EFE"/>
    <w:rsid w:val="00C27229"/>
    <w:rsid w:val="00CB7133"/>
    <w:rsid w:val="00CD0619"/>
    <w:rsid w:val="00CD7007"/>
    <w:rsid w:val="00D07ACD"/>
    <w:rsid w:val="00D24CE6"/>
    <w:rsid w:val="00D32E4A"/>
    <w:rsid w:val="00E0208B"/>
    <w:rsid w:val="00E61ED3"/>
    <w:rsid w:val="00EB6C9A"/>
    <w:rsid w:val="00F306A8"/>
    <w:rsid w:val="00F72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E65F7"/>
  <w15:docId w15:val="{65D0EA80-163D-4C86-A6F4-87417400C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color w:val="1A1A1A"/>
        <w:sz w:val="23"/>
        <w:szCs w:val="23"/>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outlineLvl w:val="0"/>
    </w:pPr>
    <w:rPr>
      <w:color w:val="2E74B5"/>
      <w:sz w:val="32"/>
      <w:szCs w:val="32"/>
    </w:rPr>
  </w:style>
  <w:style w:type="paragraph" w:styleId="Heading2">
    <w:name w:val="heading 2"/>
    <w:link w:val="Heading2Char"/>
    <w:uiPriority w:val="9"/>
    <w:unhideWhenUsed/>
    <w:qFormat/>
    <w:pPr>
      <w:outlineLvl w:val="1"/>
    </w:pPr>
    <w:rPr>
      <w:color w:val="2E74B5"/>
      <w:sz w:val="26"/>
      <w:szCs w:val="26"/>
    </w:rPr>
  </w:style>
  <w:style w:type="paragraph" w:styleId="Heading3">
    <w:name w:val="heading 3"/>
    <w:link w:val="Heading3Char"/>
    <w:uiPriority w:val="9"/>
    <w:unhideWhenUsed/>
    <w:qFormat/>
    <w:pPr>
      <w:outlineLvl w:val="2"/>
    </w:pPr>
    <w:rPr>
      <w:color w:val="1F4D78"/>
      <w:sz w:val="24"/>
      <w:szCs w:val="24"/>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2621E5"/>
    <w:pPr>
      <w:keepNext/>
      <w:keepLines/>
      <w:spacing w:before="200" w:line="360" w:lineRule="auto"/>
      <w:jc w:val="both"/>
      <w:outlineLvl w:val="6"/>
    </w:pPr>
    <w:rPr>
      <w:rFonts w:asciiTheme="majorHAnsi" w:eastAsiaTheme="majorEastAsia" w:hAnsiTheme="majorHAnsi" w:cstheme="majorBidi"/>
      <w:i/>
      <w:iCs/>
      <w:color w:val="404040" w:themeColor="text1" w:themeTint="BF"/>
      <w:sz w:val="24"/>
      <w:szCs w:val="22"/>
    </w:rPr>
  </w:style>
  <w:style w:type="paragraph" w:styleId="Heading8">
    <w:name w:val="heading 8"/>
    <w:basedOn w:val="Normal"/>
    <w:next w:val="Normal"/>
    <w:link w:val="Heading8Char"/>
    <w:uiPriority w:val="9"/>
    <w:semiHidden/>
    <w:unhideWhenUsed/>
    <w:qFormat/>
    <w:rsid w:val="002621E5"/>
    <w:pPr>
      <w:keepNext/>
      <w:keepLines/>
      <w:spacing w:before="200" w:line="360" w:lineRule="auto"/>
      <w:jc w:val="both"/>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2621E5"/>
    <w:pPr>
      <w:keepNext/>
      <w:keepLines/>
      <w:spacing w:before="200" w:line="360" w:lineRule="auto"/>
      <w:jc w:val="both"/>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717E3"/>
    <w:pPr>
      <w:tabs>
        <w:tab w:val="center" w:pos="4680"/>
        <w:tab w:val="right" w:pos="9360"/>
      </w:tabs>
    </w:pPr>
  </w:style>
  <w:style w:type="character" w:customStyle="1" w:styleId="HeaderChar">
    <w:name w:val="Header Char"/>
    <w:basedOn w:val="DefaultParagraphFont"/>
    <w:link w:val="Header"/>
    <w:uiPriority w:val="99"/>
    <w:rsid w:val="00B717E3"/>
  </w:style>
  <w:style w:type="paragraph" w:styleId="Footer">
    <w:name w:val="footer"/>
    <w:basedOn w:val="Normal"/>
    <w:link w:val="FooterChar"/>
    <w:uiPriority w:val="99"/>
    <w:unhideWhenUsed/>
    <w:rsid w:val="00B717E3"/>
    <w:pPr>
      <w:tabs>
        <w:tab w:val="center" w:pos="4680"/>
        <w:tab w:val="right" w:pos="9360"/>
      </w:tabs>
    </w:pPr>
  </w:style>
  <w:style w:type="character" w:customStyle="1" w:styleId="FooterChar">
    <w:name w:val="Footer Char"/>
    <w:basedOn w:val="DefaultParagraphFont"/>
    <w:link w:val="Footer"/>
    <w:uiPriority w:val="99"/>
    <w:rsid w:val="00B717E3"/>
  </w:style>
  <w:style w:type="paragraph" w:styleId="TOCHeading">
    <w:name w:val="TOC Heading"/>
    <w:basedOn w:val="Heading1"/>
    <w:next w:val="Normal"/>
    <w:uiPriority w:val="39"/>
    <w:unhideWhenUsed/>
    <w:qFormat/>
    <w:rsid w:val="00203417"/>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203417"/>
    <w:pPr>
      <w:spacing w:after="100"/>
    </w:pPr>
  </w:style>
  <w:style w:type="paragraph" w:styleId="TOC2">
    <w:name w:val="toc 2"/>
    <w:basedOn w:val="Normal"/>
    <w:next w:val="Normal"/>
    <w:autoRedefine/>
    <w:uiPriority w:val="39"/>
    <w:unhideWhenUsed/>
    <w:rsid w:val="00203417"/>
    <w:pPr>
      <w:spacing w:after="100"/>
      <w:ind w:left="230"/>
    </w:pPr>
  </w:style>
  <w:style w:type="character" w:customStyle="1" w:styleId="Heading7Char">
    <w:name w:val="Heading 7 Char"/>
    <w:basedOn w:val="DefaultParagraphFont"/>
    <w:link w:val="Heading7"/>
    <w:uiPriority w:val="9"/>
    <w:semiHidden/>
    <w:rsid w:val="002621E5"/>
    <w:rPr>
      <w:rFonts w:asciiTheme="majorHAnsi" w:eastAsiaTheme="majorEastAsia" w:hAnsiTheme="majorHAnsi" w:cstheme="majorBidi"/>
      <w:i/>
      <w:iCs/>
      <w:color w:val="404040" w:themeColor="text1" w:themeTint="BF"/>
      <w:sz w:val="24"/>
      <w:szCs w:val="22"/>
    </w:rPr>
  </w:style>
  <w:style w:type="character" w:customStyle="1" w:styleId="Heading8Char">
    <w:name w:val="Heading 8 Char"/>
    <w:basedOn w:val="DefaultParagraphFont"/>
    <w:link w:val="Heading8"/>
    <w:uiPriority w:val="9"/>
    <w:semiHidden/>
    <w:rsid w:val="002621E5"/>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2621E5"/>
    <w:rPr>
      <w:rFonts w:asciiTheme="majorHAnsi" w:eastAsiaTheme="majorEastAsia" w:hAnsiTheme="majorHAnsi" w:cstheme="majorBidi"/>
      <w:i/>
      <w:iCs/>
      <w:color w:val="404040" w:themeColor="text1" w:themeTint="BF"/>
      <w:sz w:val="20"/>
      <w:szCs w:val="20"/>
    </w:rPr>
  </w:style>
  <w:style w:type="paragraph" w:styleId="NoSpacing">
    <w:name w:val="No Spacing"/>
    <w:uiPriority w:val="1"/>
    <w:qFormat/>
    <w:rsid w:val="002621E5"/>
    <w:rPr>
      <w:rFonts w:asciiTheme="minorHAnsi" w:eastAsiaTheme="minorEastAsia" w:hAnsiTheme="minorHAnsi" w:cstheme="minorBidi"/>
      <w:color w:val="auto"/>
      <w:sz w:val="22"/>
      <w:szCs w:val="22"/>
    </w:rPr>
  </w:style>
  <w:style w:type="character" w:customStyle="1" w:styleId="Heading1Char">
    <w:name w:val="Heading 1 Char"/>
    <w:basedOn w:val="DefaultParagraphFont"/>
    <w:link w:val="Heading1"/>
    <w:uiPriority w:val="9"/>
    <w:rsid w:val="002621E5"/>
    <w:rPr>
      <w:color w:val="2E74B5"/>
      <w:sz w:val="32"/>
      <w:szCs w:val="32"/>
    </w:rPr>
  </w:style>
  <w:style w:type="character" w:customStyle="1" w:styleId="Heading2Char">
    <w:name w:val="Heading 2 Char"/>
    <w:basedOn w:val="DefaultParagraphFont"/>
    <w:link w:val="Heading2"/>
    <w:uiPriority w:val="9"/>
    <w:rsid w:val="002621E5"/>
    <w:rPr>
      <w:color w:val="2E74B5"/>
      <w:sz w:val="26"/>
      <w:szCs w:val="26"/>
    </w:rPr>
  </w:style>
  <w:style w:type="character" w:customStyle="1" w:styleId="Heading3Char">
    <w:name w:val="Heading 3 Char"/>
    <w:basedOn w:val="DefaultParagraphFont"/>
    <w:link w:val="Heading3"/>
    <w:uiPriority w:val="9"/>
    <w:rsid w:val="002621E5"/>
    <w:rPr>
      <w:color w:val="1F4D78"/>
      <w:sz w:val="24"/>
      <w:szCs w:val="24"/>
    </w:rPr>
  </w:style>
  <w:style w:type="character" w:customStyle="1" w:styleId="TitleChar">
    <w:name w:val="Title Char"/>
    <w:basedOn w:val="DefaultParagraphFont"/>
    <w:link w:val="Title"/>
    <w:uiPriority w:val="10"/>
    <w:rsid w:val="002621E5"/>
    <w:rPr>
      <w:sz w:val="56"/>
      <w:szCs w:val="56"/>
    </w:rPr>
  </w:style>
  <w:style w:type="paragraph" w:styleId="Subtitle">
    <w:name w:val="Subtitle"/>
    <w:basedOn w:val="Normal"/>
    <w:next w:val="Normal"/>
    <w:link w:val="SubtitleChar"/>
    <w:uiPriority w:val="11"/>
    <w:qFormat/>
    <w:rsid w:val="002621E5"/>
    <w:pPr>
      <w:numPr>
        <w:ilvl w:val="1"/>
      </w:numPr>
      <w:spacing w:after="120" w:line="360" w:lineRule="auto"/>
      <w:jc w:val="both"/>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2621E5"/>
    <w:rPr>
      <w:rFonts w:asciiTheme="majorHAnsi" w:eastAsiaTheme="majorEastAsia" w:hAnsiTheme="majorHAnsi" w:cstheme="majorBidi"/>
      <w:i/>
      <w:iCs/>
      <w:color w:val="156082" w:themeColor="accent1"/>
      <w:spacing w:val="15"/>
      <w:sz w:val="24"/>
      <w:szCs w:val="24"/>
    </w:rPr>
  </w:style>
  <w:style w:type="paragraph" w:styleId="BodyText">
    <w:name w:val="Body Text"/>
    <w:basedOn w:val="Normal"/>
    <w:link w:val="BodyTextChar"/>
    <w:uiPriority w:val="99"/>
    <w:unhideWhenUsed/>
    <w:rsid w:val="002621E5"/>
    <w:pPr>
      <w:spacing w:after="120" w:line="360" w:lineRule="auto"/>
      <w:jc w:val="both"/>
    </w:pPr>
    <w:rPr>
      <w:rFonts w:ascii="Times New Roman" w:eastAsia="Times New Roman" w:hAnsi="Times New Roman" w:cstheme="minorBidi"/>
      <w:color w:val="auto"/>
      <w:sz w:val="24"/>
      <w:szCs w:val="22"/>
    </w:rPr>
  </w:style>
  <w:style w:type="character" w:customStyle="1" w:styleId="BodyTextChar">
    <w:name w:val="Body Text Char"/>
    <w:basedOn w:val="DefaultParagraphFont"/>
    <w:link w:val="BodyText"/>
    <w:uiPriority w:val="99"/>
    <w:rsid w:val="002621E5"/>
    <w:rPr>
      <w:rFonts w:ascii="Times New Roman" w:eastAsia="Times New Roman" w:hAnsi="Times New Roman" w:cstheme="minorBidi"/>
      <w:color w:val="auto"/>
      <w:sz w:val="24"/>
      <w:szCs w:val="22"/>
    </w:rPr>
  </w:style>
  <w:style w:type="paragraph" w:styleId="BodyText2">
    <w:name w:val="Body Text 2"/>
    <w:basedOn w:val="Normal"/>
    <w:link w:val="BodyText2Char"/>
    <w:uiPriority w:val="99"/>
    <w:unhideWhenUsed/>
    <w:rsid w:val="002621E5"/>
    <w:pPr>
      <w:spacing w:after="120" w:line="480" w:lineRule="auto"/>
      <w:jc w:val="both"/>
    </w:pPr>
    <w:rPr>
      <w:rFonts w:ascii="Times New Roman" w:eastAsia="Times New Roman" w:hAnsi="Times New Roman" w:cstheme="minorBidi"/>
      <w:color w:val="auto"/>
      <w:sz w:val="24"/>
      <w:szCs w:val="22"/>
    </w:rPr>
  </w:style>
  <w:style w:type="character" w:customStyle="1" w:styleId="BodyText2Char">
    <w:name w:val="Body Text 2 Char"/>
    <w:basedOn w:val="DefaultParagraphFont"/>
    <w:link w:val="BodyText2"/>
    <w:uiPriority w:val="99"/>
    <w:rsid w:val="002621E5"/>
    <w:rPr>
      <w:rFonts w:ascii="Times New Roman" w:eastAsia="Times New Roman" w:hAnsi="Times New Roman" w:cstheme="minorBidi"/>
      <w:color w:val="auto"/>
      <w:sz w:val="24"/>
      <w:szCs w:val="22"/>
    </w:rPr>
  </w:style>
  <w:style w:type="paragraph" w:styleId="BodyText3">
    <w:name w:val="Body Text 3"/>
    <w:basedOn w:val="Normal"/>
    <w:link w:val="BodyText3Char"/>
    <w:uiPriority w:val="99"/>
    <w:unhideWhenUsed/>
    <w:rsid w:val="002621E5"/>
    <w:pPr>
      <w:spacing w:after="120" w:line="360" w:lineRule="auto"/>
      <w:jc w:val="both"/>
    </w:pPr>
    <w:rPr>
      <w:rFonts w:ascii="Times New Roman" w:eastAsia="Times New Roman" w:hAnsi="Times New Roman" w:cstheme="minorBidi"/>
      <w:color w:val="auto"/>
      <w:sz w:val="16"/>
      <w:szCs w:val="16"/>
    </w:rPr>
  </w:style>
  <w:style w:type="character" w:customStyle="1" w:styleId="BodyText3Char">
    <w:name w:val="Body Text 3 Char"/>
    <w:basedOn w:val="DefaultParagraphFont"/>
    <w:link w:val="BodyText3"/>
    <w:uiPriority w:val="99"/>
    <w:rsid w:val="002621E5"/>
    <w:rPr>
      <w:rFonts w:ascii="Times New Roman" w:eastAsia="Times New Roman" w:hAnsi="Times New Roman" w:cstheme="minorBidi"/>
      <w:color w:val="auto"/>
      <w:sz w:val="16"/>
      <w:szCs w:val="16"/>
    </w:rPr>
  </w:style>
  <w:style w:type="paragraph" w:styleId="List">
    <w:name w:val="List"/>
    <w:basedOn w:val="Normal"/>
    <w:uiPriority w:val="99"/>
    <w:unhideWhenUsed/>
    <w:rsid w:val="002621E5"/>
    <w:pPr>
      <w:spacing w:after="120" w:line="360" w:lineRule="auto"/>
      <w:ind w:left="360" w:hanging="360"/>
      <w:contextualSpacing/>
      <w:jc w:val="both"/>
    </w:pPr>
    <w:rPr>
      <w:rFonts w:ascii="Times New Roman" w:eastAsia="Times New Roman" w:hAnsi="Times New Roman" w:cstheme="minorBidi"/>
      <w:color w:val="auto"/>
      <w:sz w:val="24"/>
      <w:szCs w:val="22"/>
    </w:rPr>
  </w:style>
  <w:style w:type="paragraph" w:styleId="List2">
    <w:name w:val="List 2"/>
    <w:basedOn w:val="Normal"/>
    <w:uiPriority w:val="99"/>
    <w:unhideWhenUsed/>
    <w:rsid w:val="002621E5"/>
    <w:pPr>
      <w:spacing w:after="120" w:line="360" w:lineRule="auto"/>
      <w:ind w:left="720" w:hanging="360"/>
      <w:contextualSpacing/>
      <w:jc w:val="both"/>
    </w:pPr>
    <w:rPr>
      <w:rFonts w:ascii="Times New Roman" w:eastAsia="Times New Roman" w:hAnsi="Times New Roman" w:cstheme="minorBidi"/>
      <w:color w:val="auto"/>
      <w:sz w:val="24"/>
      <w:szCs w:val="22"/>
    </w:rPr>
  </w:style>
  <w:style w:type="paragraph" w:styleId="List3">
    <w:name w:val="List 3"/>
    <w:basedOn w:val="Normal"/>
    <w:uiPriority w:val="99"/>
    <w:unhideWhenUsed/>
    <w:rsid w:val="002621E5"/>
    <w:pPr>
      <w:spacing w:after="120" w:line="360" w:lineRule="auto"/>
      <w:ind w:left="1080" w:hanging="360"/>
      <w:contextualSpacing/>
      <w:jc w:val="both"/>
    </w:pPr>
    <w:rPr>
      <w:rFonts w:ascii="Times New Roman" w:eastAsia="Times New Roman" w:hAnsi="Times New Roman" w:cstheme="minorBidi"/>
      <w:color w:val="auto"/>
      <w:sz w:val="24"/>
      <w:szCs w:val="22"/>
    </w:rPr>
  </w:style>
  <w:style w:type="paragraph" w:styleId="ListBullet">
    <w:name w:val="List Bullet"/>
    <w:basedOn w:val="Normal"/>
    <w:uiPriority w:val="99"/>
    <w:unhideWhenUsed/>
    <w:rsid w:val="002621E5"/>
    <w:pPr>
      <w:numPr>
        <w:numId w:val="3"/>
      </w:numPr>
      <w:tabs>
        <w:tab w:val="clear" w:pos="36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Bullet2">
    <w:name w:val="List Bullet 2"/>
    <w:basedOn w:val="Normal"/>
    <w:uiPriority w:val="99"/>
    <w:unhideWhenUsed/>
    <w:rsid w:val="002621E5"/>
    <w:pPr>
      <w:numPr>
        <w:numId w:val="4"/>
      </w:numPr>
      <w:tabs>
        <w:tab w:val="clear" w:pos="72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Bullet3">
    <w:name w:val="List Bullet 3"/>
    <w:basedOn w:val="Normal"/>
    <w:uiPriority w:val="99"/>
    <w:unhideWhenUsed/>
    <w:rsid w:val="002621E5"/>
    <w:pPr>
      <w:numPr>
        <w:numId w:val="5"/>
      </w:numPr>
      <w:tabs>
        <w:tab w:val="clear" w:pos="108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Number">
    <w:name w:val="List Number"/>
    <w:basedOn w:val="Normal"/>
    <w:uiPriority w:val="99"/>
    <w:unhideWhenUsed/>
    <w:rsid w:val="002621E5"/>
    <w:pPr>
      <w:numPr>
        <w:numId w:val="7"/>
      </w:numPr>
      <w:tabs>
        <w:tab w:val="clear" w:pos="36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Number2">
    <w:name w:val="List Number 2"/>
    <w:basedOn w:val="Normal"/>
    <w:uiPriority w:val="99"/>
    <w:unhideWhenUsed/>
    <w:rsid w:val="002621E5"/>
    <w:pPr>
      <w:numPr>
        <w:numId w:val="8"/>
      </w:numPr>
      <w:tabs>
        <w:tab w:val="clear" w:pos="72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Number3">
    <w:name w:val="List Number 3"/>
    <w:basedOn w:val="Normal"/>
    <w:uiPriority w:val="99"/>
    <w:unhideWhenUsed/>
    <w:rsid w:val="002621E5"/>
    <w:pPr>
      <w:numPr>
        <w:numId w:val="9"/>
      </w:numPr>
      <w:tabs>
        <w:tab w:val="clear" w:pos="1080"/>
      </w:tabs>
      <w:spacing w:after="120" w:line="360" w:lineRule="auto"/>
      <w:ind w:left="0" w:firstLine="0"/>
      <w:contextualSpacing/>
      <w:jc w:val="both"/>
    </w:pPr>
    <w:rPr>
      <w:rFonts w:ascii="Times New Roman" w:eastAsia="Times New Roman" w:hAnsi="Times New Roman" w:cstheme="minorBidi"/>
      <w:color w:val="auto"/>
      <w:sz w:val="24"/>
      <w:szCs w:val="22"/>
    </w:rPr>
  </w:style>
  <w:style w:type="paragraph" w:styleId="ListContinue">
    <w:name w:val="List Continue"/>
    <w:basedOn w:val="Normal"/>
    <w:uiPriority w:val="99"/>
    <w:unhideWhenUsed/>
    <w:rsid w:val="002621E5"/>
    <w:pPr>
      <w:spacing w:after="120" w:line="360" w:lineRule="auto"/>
      <w:ind w:left="360"/>
      <w:contextualSpacing/>
      <w:jc w:val="both"/>
    </w:pPr>
    <w:rPr>
      <w:rFonts w:ascii="Times New Roman" w:eastAsia="Times New Roman" w:hAnsi="Times New Roman" w:cstheme="minorBidi"/>
      <w:color w:val="auto"/>
      <w:sz w:val="24"/>
      <w:szCs w:val="22"/>
    </w:rPr>
  </w:style>
  <w:style w:type="paragraph" w:styleId="ListContinue2">
    <w:name w:val="List Continue 2"/>
    <w:basedOn w:val="Normal"/>
    <w:uiPriority w:val="99"/>
    <w:unhideWhenUsed/>
    <w:rsid w:val="002621E5"/>
    <w:pPr>
      <w:spacing w:after="120" w:line="360" w:lineRule="auto"/>
      <w:ind w:left="720"/>
      <w:contextualSpacing/>
      <w:jc w:val="both"/>
    </w:pPr>
    <w:rPr>
      <w:rFonts w:ascii="Times New Roman" w:eastAsia="Times New Roman" w:hAnsi="Times New Roman" w:cstheme="minorBidi"/>
      <w:color w:val="auto"/>
      <w:sz w:val="24"/>
      <w:szCs w:val="22"/>
    </w:rPr>
  </w:style>
  <w:style w:type="paragraph" w:styleId="ListContinue3">
    <w:name w:val="List Continue 3"/>
    <w:basedOn w:val="Normal"/>
    <w:uiPriority w:val="99"/>
    <w:unhideWhenUsed/>
    <w:rsid w:val="002621E5"/>
    <w:pPr>
      <w:spacing w:after="120" w:line="360" w:lineRule="auto"/>
      <w:ind w:left="1080"/>
      <w:contextualSpacing/>
      <w:jc w:val="both"/>
    </w:pPr>
    <w:rPr>
      <w:rFonts w:ascii="Times New Roman" w:eastAsia="Times New Roman" w:hAnsi="Times New Roman" w:cstheme="minorBidi"/>
      <w:color w:val="auto"/>
      <w:sz w:val="24"/>
      <w:szCs w:val="22"/>
    </w:rPr>
  </w:style>
  <w:style w:type="paragraph" w:styleId="MacroText">
    <w:name w:val="macro"/>
    <w:link w:val="MacroTextChar"/>
    <w:uiPriority w:val="99"/>
    <w:unhideWhenUsed/>
    <w:rsid w:val="002621E5"/>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color w:val="auto"/>
      <w:sz w:val="20"/>
      <w:szCs w:val="20"/>
    </w:rPr>
  </w:style>
  <w:style w:type="character" w:customStyle="1" w:styleId="MacroTextChar">
    <w:name w:val="Macro Text Char"/>
    <w:basedOn w:val="DefaultParagraphFont"/>
    <w:link w:val="MacroText"/>
    <w:uiPriority w:val="99"/>
    <w:rsid w:val="002621E5"/>
    <w:rPr>
      <w:rFonts w:ascii="Courier" w:eastAsiaTheme="minorEastAsia" w:hAnsi="Courier" w:cstheme="minorBidi"/>
      <w:color w:val="auto"/>
      <w:sz w:val="20"/>
      <w:szCs w:val="20"/>
    </w:rPr>
  </w:style>
  <w:style w:type="paragraph" w:styleId="Quote">
    <w:name w:val="Quote"/>
    <w:basedOn w:val="Normal"/>
    <w:next w:val="Normal"/>
    <w:link w:val="QuoteChar"/>
    <w:uiPriority w:val="29"/>
    <w:qFormat/>
    <w:rsid w:val="002621E5"/>
    <w:pPr>
      <w:spacing w:after="120" w:line="360" w:lineRule="auto"/>
      <w:jc w:val="both"/>
    </w:pPr>
    <w:rPr>
      <w:rFonts w:ascii="Times New Roman" w:eastAsia="Times New Roman" w:hAnsi="Times New Roman" w:cstheme="minorBidi"/>
      <w:i/>
      <w:iCs/>
      <w:color w:val="000000" w:themeColor="text1"/>
      <w:sz w:val="24"/>
      <w:szCs w:val="22"/>
    </w:rPr>
  </w:style>
  <w:style w:type="character" w:customStyle="1" w:styleId="QuoteChar">
    <w:name w:val="Quote Char"/>
    <w:basedOn w:val="DefaultParagraphFont"/>
    <w:link w:val="Quote"/>
    <w:uiPriority w:val="29"/>
    <w:rsid w:val="002621E5"/>
    <w:rPr>
      <w:rFonts w:ascii="Times New Roman" w:eastAsia="Times New Roman" w:hAnsi="Times New Roman" w:cstheme="minorBidi"/>
      <w:i/>
      <w:iCs/>
      <w:color w:val="000000" w:themeColor="text1"/>
      <w:sz w:val="24"/>
      <w:szCs w:val="22"/>
    </w:rPr>
  </w:style>
  <w:style w:type="character" w:customStyle="1" w:styleId="Heading4Char">
    <w:name w:val="Heading 4 Char"/>
    <w:basedOn w:val="DefaultParagraphFont"/>
    <w:link w:val="Heading4"/>
    <w:uiPriority w:val="9"/>
    <w:semiHidden/>
    <w:rsid w:val="002621E5"/>
    <w:rPr>
      <w:i/>
      <w:iCs/>
      <w:color w:val="2E74B5"/>
    </w:rPr>
  </w:style>
  <w:style w:type="character" w:customStyle="1" w:styleId="Heading5Char">
    <w:name w:val="Heading 5 Char"/>
    <w:basedOn w:val="DefaultParagraphFont"/>
    <w:link w:val="Heading5"/>
    <w:uiPriority w:val="9"/>
    <w:semiHidden/>
    <w:rsid w:val="002621E5"/>
    <w:rPr>
      <w:color w:val="2E74B5"/>
    </w:rPr>
  </w:style>
  <w:style w:type="character" w:customStyle="1" w:styleId="Heading6Char">
    <w:name w:val="Heading 6 Char"/>
    <w:basedOn w:val="DefaultParagraphFont"/>
    <w:link w:val="Heading6"/>
    <w:uiPriority w:val="9"/>
    <w:semiHidden/>
    <w:rsid w:val="002621E5"/>
    <w:rPr>
      <w:color w:val="1F4D78"/>
    </w:rPr>
  </w:style>
  <w:style w:type="paragraph" w:styleId="Caption">
    <w:name w:val="caption"/>
    <w:basedOn w:val="Normal"/>
    <w:next w:val="Normal"/>
    <w:uiPriority w:val="35"/>
    <w:unhideWhenUsed/>
    <w:qFormat/>
    <w:rsid w:val="002621E5"/>
    <w:pPr>
      <w:spacing w:after="120"/>
      <w:jc w:val="both"/>
    </w:pPr>
    <w:rPr>
      <w:rFonts w:ascii="Times New Roman" w:eastAsia="Times New Roman" w:hAnsi="Times New Roman" w:cstheme="minorBidi"/>
      <w:b/>
      <w:bCs/>
      <w:color w:val="auto"/>
      <w:sz w:val="20"/>
      <w:szCs w:val="18"/>
    </w:rPr>
  </w:style>
  <w:style w:type="character" w:styleId="Strong">
    <w:name w:val="Strong"/>
    <w:basedOn w:val="DefaultParagraphFont"/>
    <w:uiPriority w:val="22"/>
    <w:qFormat/>
    <w:rsid w:val="002621E5"/>
    <w:rPr>
      <w:b/>
      <w:bCs/>
    </w:rPr>
  </w:style>
  <w:style w:type="character" w:styleId="Emphasis">
    <w:name w:val="Emphasis"/>
    <w:basedOn w:val="DefaultParagraphFont"/>
    <w:uiPriority w:val="20"/>
    <w:qFormat/>
    <w:rsid w:val="002621E5"/>
    <w:rPr>
      <w:i/>
      <w:iCs/>
    </w:rPr>
  </w:style>
  <w:style w:type="paragraph" w:styleId="IntenseQuote">
    <w:name w:val="Intense Quote"/>
    <w:basedOn w:val="Normal"/>
    <w:next w:val="Normal"/>
    <w:link w:val="IntenseQuoteChar"/>
    <w:uiPriority w:val="30"/>
    <w:qFormat/>
    <w:rsid w:val="002621E5"/>
    <w:pPr>
      <w:pBdr>
        <w:bottom w:val="single" w:sz="4" w:space="4" w:color="156082" w:themeColor="accent1"/>
      </w:pBdr>
      <w:spacing w:before="200" w:after="280" w:line="360" w:lineRule="auto"/>
      <w:ind w:left="936" w:right="936"/>
      <w:jc w:val="both"/>
    </w:pPr>
    <w:rPr>
      <w:rFonts w:ascii="Times New Roman" w:eastAsia="Times New Roman" w:hAnsi="Times New Roman" w:cstheme="minorBidi"/>
      <w:b/>
      <w:bCs/>
      <w:i/>
      <w:iCs/>
      <w:color w:val="156082" w:themeColor="accent1"/>
      <w:sz w:val="24"/>
      <w:szCs w:val="22"/>
    </w:rPr>
  </w:style>
  <w:style w:type="character" w:customStyle="1" w:styleId="IntenseQuoteChar">
    <w:name w:val="Intense Quote Char"/>
    <w:basedOn w:val="DefaultParagraphFont"/>
    <w:link w:val="IntenseQuote"/>
    <w:uiPriority w:val="30"/>
    <w:rsid w:val="002621E5"/>
    <w:rPr>
      <w:rFonts w:ascii="Times New Roman" w:eastAsia="Times New Roman" w:hAnsi="Times New Roman" w:cstheme="minorBidi"/>
      <w:b/>
      <w:bCs/>
      <w:i/>
      <w:iCs/>
      <w:color w:val="156082" w:themeColor="accent1"/>
      <w:sz w:val="24"/>
      <w:szCs w:val="22"/>
    </w:rPr>
  </w:style>
  <w:style w:type="character" w:styleId="SubtleEmphasis">
    <w:name w:val="Subtle Emphasis"/>
    <w:basedOn w:val="DefaultParagraphFont"/>
    <w:uiPriority w:val="19"/>
    <w:qFormat/>
    <w:rsid w:val="002621E5"/>
    <w:rPr>
      <w:i/>
      <w:iCs/>
      <w:color w:val="808080" w:themeColor="text1" w:themeTint="7F"/>
    </w:rPr>
  </w:style>
  <w:style w:type="character" w:styleId="IntenseEmphasis">
    <w:name w:val="Intense Emphasis"/>
    <w:basedOn w:val="DefaultParagraphFont"/>
    <w:uiPriority w:val="21"/>
    <w:qFormat/>
    <w:rsid w:val="002621E5"/>
    <w:rPr>
      <w:b/>
      <w:bCs/>
      <w:i/>
      <w:iCs/>
      <w:color w:val="156082" w:themeColor="accent1"/>
    </w:rPr>
  </w:style>
  <w:style w:type="character" w:styleId="SubtleReference">
    <w:name w:val="Subtle Reference"/>
    <w:basedOn w:val="DefaultParagraphFont"/>
    <w:uiPriority w:val="31"/>
    <w:qFormat/>
    <w:rsid w:val="002621E5"/>
    <w:rPr>
      <w:smallCaps/>
      <w:color w:val="E97132" w:themeColor="accent2"/>
      <w:u w:val="single"/>
    </w:rPr>
  </w:style>
  <w:style w:type="character" w:styleId="IntenseReference">
    <w:name w:val="Intense Reference"/>
    <w:basedOn w:val="DefaultParagraphFont"/>
    <w:uiPriority w:val="32"/>
    <w:qFormat/>
    <w:rsid w:val="002621E5"/>
    <w:rPr>
      <w:b/>
      <w:bCs/>
      <w:smallCaps/>
      <w:color w:val="E97132" w:themeColor="accent2"/>
      <w:spacing w:val="5"/>
      <w:u w:val="single"/>
    </w:rPr>
  </w:style>
  <w:style w:type="character" w:styleId="BookTitle">
    <w:name w:val="Book Title"/>
    <w:basedOn w:val="DefaultParagraphFont"/>
    <w:uiPriority w:val="33"/>
    <w:qFormat/>
    <w:rsid w:val="002621E5"/>
    <w:rPr>
      <w:b/>
      <w:bCs/>
      <w:smallCaps/>
      <w:spacing w:val="5"/>
    </w:rPr>
  </w:style>
  <w:style w:type="table" w:styleId="TableGrid">
    <w:name w:val="Table Grid"/>
    <w:basedOn w:val="TableNormal"/>
    <w:uiPriority w:val="59"/>
    <w:rsid w:val="002621E5"/>
    <w:rPr>
      <w:rFonts w:asciiTheme="minorHAnsi" w:eastAsiaTheme="minorEastAsia" w:hAnsiTheme="minorHAnsi" w:cstheme="minorBidi"/>
      <w:color w:val="auto"/>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2621E5"/>
    <w:rPr>
      <w:rFonts w:asciiTheme="minorHAnsi" w:eastAsiaTheme="minorEastAsia" w:hAnsiTheme="minorHAnsi" w:cstheme="minorBidi"/>
      <w:color w:val="000000" w:themeColor="text1" w:themeShade="BF"/>
      <w:sz w:val="22"/>
      <w:szCs w:val="22"/>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2621E5"/>
    <w:rPr>
      <w:rFonts w:asciiTheme="minorHAnsi" w:eastAsiaTheme="minorEastAsia" w:hAnsiTheme="minorHAnsi" w:cstheme="minorBidi"/>
      <w:color w:val="0F4761" w:themeColor="accent1" w:themeShade="BF"/>
      <w:sz w:val="22"/>
      <w:szCs w:val="22"/>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LightShading-Accent2">
    <w:name w:val="Light Shading Accent 2"/>
    <w:basedOn w:val="TableNormal"/>
    <w:uiPriority w:val="60"/>
    <w:rsid w:val="002621E5"/>
    <w:rPr>
      <w:rFonts w:asciiTheme="minorHAnsi" w:eastAsiaTheme="minorEastAsia" w:hAnsiTheme="minorHAnsi" w:cstheme="minorBidi"/>
      <w:color w:val="BF4E14" w:themeColor="accent2" w:themeShade="BF"/>
      <w:sz w:val="22"/>
      <w:szCs w:val="22"/>
    </w:rPr>
    <w:tblPr>
      <w:tblStyleRowBandSize w:val="1"/>
      <w:tblStyleColBandSize w:val="1"/>
      <w:tblBorders>
        <w:top w:val="single" w:sz="8" w:space="0" w:color="E97132" w:themeColor="accent2"/>
        <w:bottom w:val="single" w:sz="8" w:space="0" w:color="E97132" w:themeColor="accent2"/>
      </w:tblBorders>
    </w:tblPr>
    <w:tblStylePr w:type="fir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lastRow">
      <w:pPr>
        <w:spacing w:before="0" w:after="0" w:line="240" w:lineRule="auto"/>
      </w:pPr>
      <w:rPr>
        <w:b/>
        <w:bCs/>
      </w:rPr>
      <w:tblPr/>
      <w:tcPr>
        <w:tcBorders>
          <w:top w:val="single" w:sz="8" w:space="0" w:color="E97132" w:themeColor="accent2"/>
          <w:left w:val="nil"/>
          <w:bottom w:val="single" w:sz="8" w:space="0" w:color="E9713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left w:val="nil"/>
          <w:right w:val="nil"/>
          <w:insideH w:val="nil"/>
          <w:insideV w:val="nil"/>
        </w:tcBorders>
        <w:shd w:val="clear" w:color="auto" w:fill="F9DBCC" w:themeFill="accent2" w:themeFillTint="3F"/>
      </w:tcPr>
    </w:tblStylePr>
  </w:style>
  <w:style w:type="table" w:styleId="LightShading-Accent3">
    <w:name w:val="Light Shading Accent 3"/>
    <w:basedOn w:val="TableNormal"/>
    <w:uiPriority w:val="60"/>
    <w:rsid w:val="002621E5"/>
    <w:rPr>
      <w:rFonts w:asciiTheme="minorHAnsi" w:eastAsiaTheme="minorEastAsia" w:hAnsiTheme="minorHAnsi" w:cstheme="minorBidi"/>
      <w:color w:val="124F1A" w:themeColor="accent3" w:themeShade="BF"/>
      <w:sz w:val="22"/>
      <w:szCs w:val="22"/>
    </w:rPr>
    <w:tblPr>
      <w:tblStyleRowBandSize w:val="1"/>
      <w:tblStyleColBandSize w:val="1"/>
      <w:tblBorders>
        <w:top w:val="single" w:sz="8" w:space="0" w:color="196B24" w:themeColor="accent3"/>
        <w:bottom w:val="single" w:sz="8" w:space="0" w:color="196B24" w:themeColor="accent3"/>
      </w:tblBorders>
    </w:tblPr>
    <w:tblStylePr w:type="fir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lastRow">
      <w:pPr>
        <w:spacing w:before="0" w:after="0" w:line="240" w:lineRule="auto"/>
      </w:pPr>
      <w:rPr>
        <w:b/>
        <w:bCs/>
      </w:rPr>
      <w:tblPr/>
      <w:tcPr>
        <w:tcBorders>
          <w:top w:val="single" w:sz="8" w:space="0" w:color="196B24" w:themeColor="accent3"/>
          <w:left w:val="nil"/>
          <w:bottom w:val="single" w:sz="8" w:space="0" w:color="196B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left w:val="nil"/>
          <w:right w:val="nil"/>
          <w:insideH w:val="nil"/>
          <w:insideV w:val="nil"/>
        </w:tcBorders>
        <w:shd w:val="clear" w:color="auto" w:fill="B3EDBA" w:themeFill="accent3" w:themeFillTint="3F"/>
      </w:tcPr>
    </w:tblStylePr>
  </w:style>
  <w:style w:type="table" w:styleId="LightShading-Accent4">
    <w:name w:val="Light Shading Accent 4"/>
    <w:basedOn w:val="TableNormal"/>
    <w:uiPriority w:val="60"/>
    <w:rsid w:val="002621E5"/>
    <w:rPr>
      <w:rFonts w:asciiTheme="minorHAnsi" w:eastAsiaTheme="minorEastAsia" w:hAnsiTheme="minorHAnsi" w:cstheme="minorBidi"/>
      <w:color w:val="0B769F" w:themeColor="accent4" w:themeShade="BF"/>
      <w:sz w:val="22"/>
      <w:szCs w:val="22"/>
    </w:rPr>
    <w:tblPr>
      <w:tblStyleRowBandSize w:val="1"/>
      <w:tblStyleColBandSize w:val="1"/>
      <w:tblBorders>
        <w:top w:val="single" w:sz="8" w:space="0" w:color="0F9ED5" w:themeColor="accent4"/>
        <w:bottom w:val="single" w:sz="8" w:space="0" w:color="0F9ED5" w:themeColor="accent4"/>
      </w:tblBorders>
    </w:tblPr>
    <w:tblStylePr w:type="fir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lastRow">
      <w:pPr>
        <w:spacing w:before="0" w:after="0" w:line="240" w:lineRule="auto"/>
      </w:pPr>
      <w:rPr>
        <w:b/>
        <w:bCs/>
      </w:rPr>
      <w:tblPr/>
      <w:tcPr>
        <w:tcBorders>
          <w:top w:val="single" w:sz="8" w:space="0" w:color="0F9ED5" w:themeColor="accent4"/>
          <w:left w:val="nil"/>
          <w:bottom w:val="single" w:sz="8" w:space="0" w:color="0F9ED5"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left w:val="nil"/>
          <w:right w:val="nil"/>
          <w:insideH w:val="nil"/>
          <w:insideV w:val="nil"/>
        </w:tcBorders>
        <w:shd w:val="clear" w:color="auto" w:fill="BDE9FA" w:themeFill="accent4" w:themeFillTint="3F"/>
      </w:tcPr>
    </w:tblStylePr>
  </w:style>
  <w:style w:type="table" w:styleId="LightShading-Accent5">
    <w:name w:val="Light Shading Accent 5"/>
    <w:basedOn w:val="TableNormal"/>
    <w:uiPriority w:val="60"/>
    <w:rsid w:val="002621E5"/>
    <w:rPr>
      <w:rFonts w:asciiTheme="minorHAnsi" w:eastAsiaTheme="minorEastAsia" w:hAnsiTheme="minorHAnsi" w:cstheme="minorBidi"/>
      <w:color w:val="77206D" w:themeColor="accent5" w:themeShade="BF"/>
      <w:sz w:val="22"/>
      <w:szCs w:val="22"/>
    </w:rPr>
    <w:tblPr>
      <w:tblStyleRowBandSize w:val="1"/>
      <w:tblStyleColBandSize w:val="1"/>
      <w:tblBorders>
        <w:top w:val="single" w:sz="8" w:space="0" w:color="A02B93" w:themeColor="accent5"/>
        <w:bottom w:val="single" w:sz="8" w:space="0" w:color="A02B93" w:themeColor="accent5"/>
      </w:tblBorders>
    </w:tblPr>
    <w:tblStylePr w:type="fir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lastRow">
      <w:pPr>
        <w:spacing w:before="0" w:after="0" w:line="240" w:lineRule="auto"/>
      </w:pPr>
      <w:rPr>
        <w:b/>
        <w:bCs/>
      </w:rPr>
      <w:tblPr/>
      <w:tcPr>
        <w:tcBorders>
          <w:top w:val="single" w:sz="8" w:space="0" w:color="A02B93" w:themeColor="accent5"/>
          <w:left w:val="nil"/>
          <w:bottom w:val="single" w:sz="8" w:space="0" w:color="A02B93"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left w:val="nil"/>
          <w:right w:val="nil"/>
          <w:insideH w:val="nil"/>
          <w:insideV w:val="nil"/>
        </w:tcBorders>
        <w:shd w:val="clear" w:color="auto" w:fill="EFC3E9" w:themeFill="accent5" w:themeFillTint="3F"/>
      </w:tcPr>
    </w:tblStylePr>
  </w:style>
  <w:style w:type="table" w:styleId="LightShading-Accent6">
    <w:name w:val="Light Shading Accent 6"/>
    <w:basedOn w:val="TableNormal"/>
    <w:uiPriority w:val="60"/>
    <w:rsid w:val="002621E5"/>
    <w:rPr>
      <w:rFonts w:asciiTheme="minorHAnsi" w:eastAsiaTheme="minorEastAsia" w:hAnsiTheme="minorHAnsi" w:cstheme="minorBidi"/>
      <w:color w:val="3A7C22" w:themeColor="accent6" w:themeShade="BF"/>
      <w:sz w:val="22"/>
      <w:szCs w:val="22"/>
    </w:rPr>
    <w:tblPr>
      <w:tblStyleRowBandSize w:val="1"/>
      <w:tblStyleColBandSize w:val="1"/>
      <w:tblBorders>
        <w:top w:val="single" w:sz="8" w:space="0" w:color="4EA72E" w:themeColor="accent6"/>
        <w:bottom w:val="single" w:sz="8" w:space="0" w:color="4EA72E" w:themeColor="accent6"/>
      </w:tblBorders>
    </w:tblPr>
    <w:tblStylePr w:type="fir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lastRow">
      <w:pPr>
        <w:spacing w:before="0" w:after="0" w:line="240" w:lineRule="auto"/>
      </w:pPr>
      <w:rPr>
        <w:b/>
        <w:bCs/>
      </w:rPr>
      <w:tblPr/>
      <w:tcPr>
        <w:tcBorders>
          <w:top w:val="single" w:sz="8" w:space="0" w:color="4EA72E" w:themeColor="accent6"/>
          <w:left w:val="nil"/>
          <w:bottom w:val="single" w:sz="8" w:space="0" w:color="4EA72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left w:val="nil"/>
          <w:right w:val="nil"/>
          <w:insideH w:val="nil"/>
          <w:insideV w:val="nil"/>
        </w:tcBorders>
        <w:shd w:val="clear" w:color="auto" w:fill="D0EFC5" w:themeFill="accent6" w:themeFillTint="3F"/>
      </w:tcPr>
    </w:tblStylePr>
  </w:style>
  <w:style w:type="table" w:styleId="LightList">
    <w:name w:val="Light List"/>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pPr>
        <w:spacing w:before="0" w:after="0" w:line="240" w:lineRule="auto"/>
      </w:pPr>
      <w:rPr>
        <w:b/>
        <w:bCs/>
        <w:color w:val="FFFFFF" w:themeColor="background1"/>
      </w:rPr>
      <w:tblPr/>
      <w:tcPr>
        <w:shd w:val="clear" w:color="auto" w:fill="156082" w:themeFill="accent1"/>
      </w:tcPr>
    </w:tblStylePr>
    <w:tblStylePr w:type="lastRow">
      <w:pPr>
        <w:spacing w:before="0" w:after="0" w:line="240" w:lineRule="auto"/>
      </w:pPr>
      <w:rPr>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tcBorders>
      </w:tcPr>
    </w:tblStylePr>
    <w:tblStylePr w:type="firstCol">
      <w:rPr>
        <w:b/>
        <w:bCs/>
      </w:rPr>
    </w:tblStylePr>
    <w:tblStylePr w:type="lastCol">
      <w:rPr>
        <w:b/>
        <w:bCs/>
      </w:r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style>
  <w:style w:type="table" w:styleId="LightList-Accent2">
    <w:name w:val="Light List Accent 2"/>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pPr>
        <w:spacing w:before="0" w:after="0" w:line="240" w:lineRule="auto"/>
      </w:pPr>
      <w:rPr>
        <w:b/>
        <w:bCs/>
        <w:color w:val="FFFFFF" w:themeColor="background1"/>
      </w:rPr>
      <w:tblPr/>
      <w:tcPr>
        <w:shd w:val="clear" w:color="auto" w:fill="E97132" w:themeFill="accent2"/>
      </w:tcPr>
    </w:tblStylePr>
    <w:tblStylePr w:type="lastRow">
      <w:pPr>
        <w:spacing w:before="0" w:after="0" w:line="240" w:lineRule="auto"/>
      </w:pPr>
      <w:rPr>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tcBorders>
      </w:tcPr>
    </w:tblStylePr>
    <w:tblStylePr w:type="firstCol">
      <w:rPr>
        <w:b/>
        <w:bCs/>
      </w:rPr>
    </w:tblStylePr>
    <w:tblStylePr w:type="lastCol">
      <w:rPr>
        <w:b/>
        <w:bCs/>
      </w:r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style>
  <w:style w:type="table" w:styleId="LightList-Accent3">
    <w:name w:val="Light List Accent 3"/>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pPr>
        <w:spacing w:before="0" w:after="0" w:line="240" w:lineRule="auto"/>
      </w:pPr>
      <w:rPr>
        <w:b/>
        <w:bCs/>
        <w:color w:val="FFFFFF" w:themeColor="background1"/>
      </w:rPr>
      <w:tblPr/>
      <w:tcPr>
        <w:shd w:val="clear" w:color="auto" w:fill="196B24" w:themeFill="accent3"/>
      </w:tcPr>
    </w:tblStylePr>
    <w:tblStylePr w:type="lastRow">
      <w:pPr>
        <w:spacing w:before="0" w:after="0" w:line="240" w:lineRule="auto"/>
      </w:pPr>
      <w:rPr>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tcBorders>
      </w:tcPr>
    </w:tblStylePr>
    <w:tblStylePr w:type="firstCol">
      <w:rPr>
        <w:b/>
        <w:bCs/>
      </w:rPr>
    </w:tblStylePr>
    <w:tblStylePr w:type="lastCol">
      <w:rPr>
        <w:b/>
        <w:bCs/>
      </w:r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style>
  <w:style w:type="table" w:styleId="LightList-Accent4">
    <w:name w:val="Light List Accent 4"/>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pPr>
        <w:spacing w:before="0" w:after="0" w:line="240" w:lineRule="auto"/>
      </w:pPr>
      <w:rPr>
        <w:b/>
        <w:bCs/>
        <w:color w:val="FFFFFF" w:themeColor="background1"/>
      </w:rPr>
      <w:tblPr/>
      <w:tcPr>
        <w:shd w:val="clear" w:color="auto" w:fill="0F9ED5" w:themeFill="accent4"/>
      </w:tcPr>
    </w:tblStylePr>
    <w:tblStylePr w:type="lastRow">
      <w:pPr>
        <w:spacing w:before="0" w:after="0" w:line="240" w:lineRule="auto"/>
      </w:pPr>
      <w:rPr>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tcBorders>
      </w:tcPr>
    </w:tblStylePr>
    <w:tblStylePr w:type="firstCol">
      <w:rPr>
        <w:b/>
        <w:bCs/>
      </w:rPr>
    </w:tblStylePr>
    <w:tblStylePr w:type="lastCol">
      <w:rPr>
        <w:b/>
        <w:bCs/>
      </w:r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style>
  <w:style w:type="table" w:styleId="LightList-Accent5">
    <w:name w:val="Light List Accent 5"/>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pPr>
        <w:spacing w:before="0" w:after="0" w:line="240" w:lineRule="auto"/>
      </w:pPr>
      <w:rPr>
        <w:b/>
        <w:bCs/>
        <w:color w:val="FFFFFF" w:themeColor="background1"/>
      </w:rPr>
      <w:tblPr/>
      <w:tcPr>
        <w:shd w:val="clear" w:color="auto" w:fill="A02B93" w:themeFill="accent5"/>
      </w:tcPr>
    </w:tblStylePr>
    <w:tblStylePr w:type="lastRow">
      <w:pPr>
        <w:spacing w:before="0" w:after="0" w:line="240" w:lineRule="auto"/>
      </w:pPr>
      <w:rPr>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tcBorders>
      </w:tcPr>
    </w:tblStylePr>
    <w:tblStylePr w:type="firstCol">
      <w:rPr>
        <w:b/>
        <w:bCs/>
      </w:rPr>
    </w:tblStylePr>
    <w:tblStylePr w:type="lastCol">
      <w:rPr>
        <w:b/>
        <w:bCs/>
      </w:r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style>
  <w:style w:type="table" w:styleId="LightList-Accent6">
    <w:name w:val="Light List Accent 6"/>
    <w:basedOn w:val="TableNormal"/>
    <w:uiPriority w:val="61"/>
    <w:rsid w:val="002621E5"/>
    <w:rPr>
      <w:rFonts w:asciiTheme="minorHAnsi" w:eastAsiaTheme="minorEastAsia" w:hAnsiTheme="minorHAnsi" w:cstheme="minorBidi"/>
      <w:color w:val="auto"/>
      <w:sz w:val="22"/>
      <w:szCs w:val="22"/>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pPr>
        <w:spacing w:before="0" w:after="0" w:line="240" w:lineRule="auto"/>
      </w:pPr>
      <w:rPr>
        <w:b/>
        <w:bCs/>
        <w:color w:val="FFFFFF" w:themeColor="background1"/>
      </w:rPr>
      <w:tblPr/>
      <w:tcPr>
        <w:shd w:val="clear" w:color="auto" w:fill="4EA72E" w:themeFill="accent6"/>
      </w:tcPr>
    </w:tblStylePr>
    <w:tblStylePr w:type="lastRow">
      <w:pPr>
        <w:spacing w:before="0" w:after="0" w:line="240" w:lineRule="auto"/>
      </w:pPr>
      <w:rPr>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tcBorders>
      </w:tcPr>
    </w:tblStylePr>
    <w:tblStylePr w:type="firstCol">
      <w:rPr>
        <w:b/>
        <w:bCs/>
      </w:rPr>
    </w:tblStylePr>
    <w:tblStylePr w:type="lastCol">
      <w:rPr>
        <w:b/>
        <w:bCs/>
      </w:r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style>
  <w:style w:type="table" w:styleId="LightGrid">
    <w:name w:val="Light Grid"/>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table" w:styleId="LightGrid-Accent2">
    <w:name w:val="Light Grid Accent 2"/>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table" w:styleId="LightGrid-Accent3">
    <w:name w:val="Light Grid Accent 3"/>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18" w:space="0" w:color="196B24" w:themeColor="accent3"/>
          <w:right w:val="single" w:sz="8" w:space="0" w:color="196B24" w:themeColor="accent3"/>
          <w:insideH w:val="nil"/>
          <w:insideV w:val="single" w:sz="8" w:space="0" w:color="196B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96B24" w:themeColor="accent3"/>
          <w:left w:val="single" w:sz="8" w:space="0" w:color="196B24" w:themeColor="accent3"/>
          <w:bottom w:val="single" w:sz="8" w:space="0" w:color="196B24" w:themeColor="accent3"/>
          <w:right w:val="single" w:sz="8" w:space="0" w:color="196B24" w:themeColor="accent3"/>
          <w:insideH w:val="nil"/>
          <w:insideV w:val="single" w:sz="8" w:space="0" w:color="196B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tcPr>
    </w:tblStylePr>
    <w:tblStylePr w:type="band1Vert">
      <w:tblPr/>
      <w:tcPr>
        <w:tcBorders>
          <w:top w:val="single" w:sz="8" w:space="0" w:color="196B24" w:themeColor="accent3"/>
          <w:left w:val="single" w:sz="8" w:space="0" w:color="196B24" w:themeColor="accent3"/>
          <w:bottom w:val="single" w:sz="8" w:space="0" w:color="196B24" w:themeColor="accent3"/>
          <w:right w:val="single" w:sz="8" w:space="0" w:color="196B24" w:themeColor="accent3"/>
        </w:tcBorders>
        <w:shd w:val="clear" w:color="auto" w:fill="B3EDBA" w:themeFill="accent3" w:themeFillTint="3F"/>
      </w:tcPr>
    </w:tblStylePr>
    <w:tblStylePr w:type="band1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shd w:val="clear" w:color="auto" w:fill="B3EDBA" w:themeFill="accent3" w:themeFillTint="3F"/>
      </w:tcPr>
    </w:tblStylePr>
    <w:tblStylePr w:type="band2Horz">
      <w:tblPr/>
      <w:tcPr>
        <w:tcBorders>
          <w:top w:val="single" w:sz="8" w:space="0" w:color="196B24" w:themeColor="accent3"/>
          <w:left w:val="single" w:sz="8" w:space="0" w:color="196B24" w:themeColor="accent3"/>
          <w:bottom w:val="single" w:sz="8" w:space="0" w:color="196B24" w:themeColor="accent3"/>
          <w:right w:val="single" w:sz="8" w:space="0" w:color="196B24" w:themeColor="accent3"/>
          <w:insideV w:val="single" w:sz="8" w:space="0" w:color="196B24" w:themeColor="accent3"/>
        </w:tcBorders>
      </w:tcPr>
    </w:tblStylePr>
  </w:style>
  <w:style w:type="table" w:styleId="LightGrid-Accent4">
    <w:name w:val="Light Grid Accent 4"/>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18" w:space="0" w:color="0F9ED5" w:themeColor="accent4"/>
          <w:right w:val="single" w:sz="8" w:space="0" w:color="0F9ED5" w:themeColor="accent4"/>
          <w:insideH w:val="nil"/>
          <w:insideV w:val="single" w:sz="8" w:space="0" w:color="0F9ED5"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F9ED5" w:themeColor="accent4"/>
          <w:left w:val="single" w:sz="8" w:space="0" w:color="0F9ED5" w:themeColor="accent4"/>
          <w:bottom w:val="single" w:sz="8" w:space="0" w:color="0F9ED5" w:themeColor="accent4"/>
          <w:right w:val="single" w:sz="8" w:space="0" w:color="0F9ED5" w:themeColor="accent4"/>
          <w:insideH w:val="nil"/>
          <w:insideV w:val="single" w:sz="8" w:space="0" w:color="0F9ED5"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tcPr>
    </w:tblStylePr>
    <w:tblStylePr w:type="band1Vert">
      <w:tblPr/>
      <w:tcPr>
        <w:tcBorders>
          <w:top w:val="single" w:sz="8" w:space="0" w:color="0F9ED5" w:themeColor="accent4"/>
          <w:left w:val="single" w:sz="8" w:space="0" w:color="0F9ED5" w:themeColor="accent4"/>
          <w:bottom w:val="single" w:sz="8" w:space="0" w:color="0F9ED5" w:themeColor="accent4"/>
          <w:right w:val="single" w:sz="8" w:space="0" w:color="0F9ED5" w:themeColor="accent4"/>
        </w:tcBorders>
        <w:shd w:val="clear" w:color="auto" w:fill="BDE9FA" w:themeFill="accent4" w:themeFillTint="3F"/>
      </w:tcPr>
    </w:tblStylePr>
    <w:tblStylePr w:type="band1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shd w:val="clear" w:color="auto" w:fill="BDE9FA" w:themeFill="accent4" w:themeFillTint="3F"/>
      </w:tcPr>
    </w:tblStylePr>
    <w:tblStylePr w:type="band2Horz">
      <w:tblPr/>
      <w:tcPr>
        <w:tcBorders>
          <w:top w:val="single" w:sz="8" w:space="0" w:color="0F9ED5" w:themeColor="accent4"/>
          <w:left w:val="single" w:sz="8" w:space="0" w:color="0F9ED5" w:themeColor="accent4"/>
          <w:bottom w:val="single" w:sz="8" w:space="0" w:color="0F9ED5" w:themeColor="accent4"/>
          <w:right w:val="single" w:sz="8" w:space="0" w:color="0F9ED5" w:themeColor="accent4"/>
          <w:insideV w:val="single" w:sz="8" w:space="0" w:color="0F9ED5" w:themeColor="accent4"/>
        </w:tcBorders>
      </w:tcPr>
    </w:tblStylePr>
  </w:style>
  <w:style w:type="table" w:styleId="LightGrid-Accent5">
    <w:name w:val="Light Grid Accent 5"/>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18" w:space="0" w:color="A02B93" w:themeColor="accent5"/>
          <w:right w:val="single" w:sz="8" w:space="0" w:color="A02B93" w:themeColor="accent5"/>
          <w:insideH w:val="nil"/>
          <w:insideV w:val="single" w:sz="8" w:space="0" w:color="A02B93"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2B93" w:themeColor="accent5"/>
          <w:left w:val="single" w:sz="8" w:space="0" w:color="A02B93" w:themeColor="accent5"/>
          <w:bottom w:val="single" w:sz="8" w:space="0" w:color="A02B93" w:themeColor="accent5"/>
          <w:right w:val="single" w:sz="8" w:space="0" w:color="A02B93" w:themeColor="accent5"/>
          <w:insideH w:val="nil"/>
          <w:insideV w:val="single" w:sz="8" w:space="0" w:color="A02B93"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tcPr>
    </w:tblStylePr>
    <w:tblStylePr w:type="band1Vert">
      <w:tblPr/>
      <w:tcPr>
        <w:tcBorders>
          <w:top w:val="single" w:sz="8" w:space="0" w:color="A02B93" w:themeColor="accent5"/>
          <w:left w:val="single" w:sz="8" w:space="0" w:color="A02B93" w:themeColor="accent5"/>
          <w:bottom w:val="single" w:sz="8" w:space="0" w:color="A02B93" w:themeColor="accent5"/>
          <w:right w:val="single" w:sz="8" w:space="0" w:color="A02B93" w:themeColor="accent5"/>
        </w:tcBorders>
        <w:shd w:val="clear" w:color="auto" w:fill="EFC3E9" w:themeFill="accent5" w:themeFillTint="3F"/>
      </w:tcPr>
    </w:tblStylePr>
    <w:tblStylePr w:type="band1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shd w:val="clear" w:color="auto" w:fill="EFC3E9" w:themeFill="accent5" w:themeFillTint="3F"/>
      </w:tcPr>
    </w:tblStylePr>
    <w:tblStylePr w:type="band2Horz">
      <w:tblPr/>
      <w:tcPr>
        <w:tcBorders>
          <w:top w:val="single" w:sz="8" w:space="0" w:color="A02B93" w:themeColor="accent5"/>
          <w:left w:val="single" w:sz="8" w:space="0" w:color="A02B93" w:themeColor="accent5"/>
          <w:bottom w:val="single" w:sz="8" w:space="0" w:color="A02B93" w:themeColor="accent5"/>
          <w:right w:val="single" w:sz="8" w:space="0" w:color="A02B93" w:themeColor="accent5"/>
          <w:insideV w:val="single" w:sz="8" w:space="0" w:color="A02B93" w:themeColor="accent5"/>
        </w:tcBorders>
      </w:tcPr>
    </w:tblStylePr>
  </w:style>
  <w:style w:type="table" w:styleId="LightGrid-Accent6">
    <w:name w:val="Light Grid Accent 6"/>
    <w:basedOn w:val="TableNormal"/>
    <w:uiPriority w:val="62"/>
    <w:rsid w:val="002621E5"/>
    <w:rPr>
      <w:rFonts w:asciiTheme="minorHAnsi" w:eastAsiaTheme="minorEastAsia" w:hAnsiTheme="minorHAnsi" w:cstheme="minorBidi"/>
      <w:color w:val="auto"/>
      <w:sz w:val="22"/>
      <w:szCs w:val="22"/>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18" w:space="0" w:color="4EA72E" w:themeColor="accent6"/>
          <w:right w:val="single" w:sz="8" w:space="0" w:color="4EA72E" w:themeColor="accent6"/>
          <w:insideH w:val="nil"/>
          <w:insideV w:val="single" w:sz="8" w:space="0" w:color="4EA72E"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EA72E" w:themeColor="accent6"/>
          <w:left w:val="single" w:sz="8" w:space="0" w:color="4EA72E" w:themeColor="accent6"/>
          <w:bottom w:val="single" w:sz="8" w:space="0" w:color="4EA72E" w:themeColor="accent6"/>
          <w:right w:val="single" w:sz="8" w:space="0" w:color="4EA72E" w:themeColor="accent6"/>
          <w:insideH w:val="nil"/>
          <w:insideV w:val="single" w:sz="8" w:space="0" w:color="4EA72E"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tcPr>
    </w:tblStylePr>
    <w:tblStylePr w:type="band1Vert">
      <w:tblPr/>
      <w:tcPr>
        <w:tcBorders>
          <w:top w:val="single" w:sz="8" w:space="0" w:color="4EA72E" w:themeColor="accent6"/>
          <w:left w:val="single" w:sz="8" w:space="0" w:color="4EA72E" w:themeColor="accent6"/>
          <w:bottom w:val="single" w:sz="8" w:space="0" w:color="4EA72E" w:themeColor="accent6"/>
          <w:right w:val="single" w:sz="8" w:space="0" w:color="4EA72E" w:themeColor="accent6"/>
        </w:tcBorders>
        <w:shd w:val="clear" w:color="auto" w:fill="D0EFC5" w:themeFill="accent6" w:themeFillTint="3F"/>
      </w:tcPr>
    </w:tblStylePr>
    <w:tblStylePr w:type="band1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shd w:val="clear" w:color="auto" w:fill="D0EFC5" w:themeFill="accent6" w:themeFillTint="3F"/>
      </w:tcPr>
    </w:tblStylePr>
    <w:tblStylePr w:type="band2Horz">
      <w:tblPr/>
      <w:tcPr>
        <w:tcBorders>
          <w:top w:val="single" w:sz="8" w:space="0" w:color="4EA72E" w:themeColor="accent6"/>
          <w:left w:val="single" w:sz="8" w:space="0" w:color="4EA72E" w:themeColor="accent6"/>
          <w:bottom w:val="single" w:sz="8" w:space="0" w:color="4EA72E" w:themeColor="accent6"/>
          <w:right w:val="single" w:sz="8" w:space="0" w:color="4EA72E" w:themeColor="accent6"/>
          <w:insideV w:val="single" w:sz="8" w:space="0" w:color="4EA72E" w:themeColor="accent6"/>
        </w:tcBorders>
      </w:tcPr>
    </w:tblStylePr>
  </w:style>
  <w:style w:type="table" w:styleId="MediumShading1">
    <w:name w:val="Medium Shading 1"/>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tblBorders>
    </w:tblPr>
    <w:tblStylePr w:type="firstRow">
      <w:pPr>
        <w:spacing w:before="0" w:after="0" w:line="240" w:lineRule="auto"/>
      </w:pPr>
      <w:rPr>
        <w:b/>
        <w:bCs/>
        <w:color w:val="FFFFFF" w:themeColor="background1"/>
      </w:rPr>
      <w:tblPr/>
      <w:tcPr>
        <w:tc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shd w:val="clear" w:color="auto" w:fill="156082" w:themeFill="accent1"/>
      </w:tcPr>
    </w:tblStylePr>
    <w:tblStylePr w:type="lastRow">
      <w:pPr>
        <w:spacing w:before="0" w:after="0" w:line="240" w:lineRule="auto"/>
      </w:pPr>
      <w:rPr>
        <w:b/>
        <w:bCs/>
      </w:rPr>
      <w:tblPr/>
      <w:tcPr>
        <w:tcBorders>
          <w:top w:val="double" w:sz="6"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nil"/>
          <w:insideV w:val="nil"/>
        </w:tcBorders>
      </w:tcPr>
    </w:tblStylePr>
    <w:tblStylePr w:type="firstCol">
      <w:rPr>
        <w:b/>
        <w:bCs/>
      </w:rPr>
    </w:tblStylePr>
    <w:tblStylePr w:type="lastCol">
      <w:rPr>
        <w:b/>
        <w:bCs/>
      </w:rPr>
    </w:tblStylePr>
    <w:tblStylePr w:type="band1Vert">
      <w:tblPr/>
      <w:tcPr>
        <w:shd w:val="clear" w:color="auto" w:fill="B2DEF2" w:themeFill="accent1" w:themeFillTint="3F"/>
      </w:tcPr>
    </w:tblStylePr>
    <w:tblStylePr w:type="band1Horz">
      <w:tblPr/>
      <w:tcPr>
        <w:tcBorders>
          <w:insideH w:val="nil"/>
          <w:insideV w:val="nil"/>
        </w:tcBorders>
        <w:shd w:val="clear" w:color="auto" w:fill="B2DEF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tblBorders>
    </w:tblPr>
    <w:tblStylePr w:type="firstRow">
      <w:pPr>
        <w:spacing w:before="0" w:after="0" w:line="240" w:lineRule="auto"/>
      </w:pPr>
      <w:rPr>
        <w:b/>
        <w:bCs/>
        <w:color w:val="FFFFFF" w:themeColor="background1"/>
      </w:rPr>
      <w:tblPr/>
      <w:tcPr>
        <w:tc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shd w:val="clear" w:color="auto" w:fill="E97132" w:themeFill="accent2"/>
      </w:tcPr>
    </w:tblStylePr>
    <w:tblStylePr w:type="lastRow">
      <w:pPr>
        <w:spacing w:before="0" w:after="0" w:line="240" w:lineRule="auto"/>
      </w:pPr>
      <w:rPr>
        <w:b/>
        <w:bCs/>
      </w:rPr>
      <w:tblPr/>
      <w:tcPr>
        <w:tcBorders>
          <w:top w:val="double" w:sz="6"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9DBCC" w:themeFill="accent2" w:themeFillTint="3F"/>
      </w:tcPr>
    </w:tblStylePr>
    <w:tblStylePr w:type="band1Horz">
      <w:tblPr/>
      <w:tcPr>
        <w:tcBorders>
          <w:insideH w:val="nil"/>
          <w:insideV w:val="nil"/>
        </w:tcBorders>
        <w:shd w:val="clear" w:color="auto" w:fill="F9DBCC"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tblBorders>
    </w:tblPr>
    <w:tblStylePr w:type="firstRow">
      <w:pPr>
        <w:spacing w:before="0" w:after="0" w:line="240" w:lineRule="auto"/>
      </w:pPr>
      <w:rPr>
        <w:b/>
        <w:bCs/>
        <w:color w:val="FFFFFF" w:themeColor="background1"/>
      </w:rPr>
      <w:tblPr/>
      <w:tcPr>
        <w:tc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shd w:val="clear" w:color="auto" w:fill="196B24" w:themeFill="accent3"/>
      </w:tcPr>
    </w:tblStylePr>
    <w:tblStylePr w:type="lastRow">
      <w:pPr>
        <w:spacing w:before="0" w:after="0" w:line="240" w:lineRule="auto"/>
      </w:pPr>
      <w:rPr>
        <w:b/>
        <w:bCs/>
      </w:rPr>
      <w:tblPr/>
      <w:tcPr>
        <w:tcBorders>
          <w:top w:val="double" w:sz="6"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nil"/>
          <w:insideV w:val="nil"/>
        </w:tcBorders>
      </w:tcPr>
    </w:tblStylePr>
    <w:tblStylePr w:type="firstCol">
      <w:rPr>
        <w:b/>
        <w:bCs/>
      </w:rPr>
    </w:tblStylePr>
    <w:tblStylePr w:type="lastCol">
      <w:rPr>
        <w:b/>
        <w:bCs/>
      </w:rPr>
    </w:tblStylePr>
    <w:tblStylePr w:type="band1Vert">
      <w:tblPr/>
      <w:tcPr>
        <w:shd w:val="clear" w:color="auto" w:fill="B3EDBA" w:themeFill="accent3" w:themeFillTint="3F"/>
      </w:tcPr>
    </w:tblStylePr>
    <w:tblStylePr w:type="band1Horz">
      <w:tblPr/>
      <w:tcPr>
        <w:tcBorders>
          <w:insideH w:val="nil"/>
          <w:insideV w:val="nil"/>
        </w:tcBorders>
        <w:shd w:val="clear" w:color="auto" w:fill="B3EDB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tblBorders>
    </w:tblPr>
    <w:tblStylePr w:type="firstRow">
      <w:pPr>
        <w:spacing w:before="0" w:after="0" w:line="240" w:lineRule="auto"/>
      </w:pPr>
      <w:rPr>
        <w:b/>
        <w:bCs/>
        <w:color w:val="FFFFFF" w:themeColor="background1"/>
      </w:rPr>
      <w:tblPr/>
      <w:tcPr>
        <w:tc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shd w:val="clear" w:color="auto" w:fill="0F9ED5" w:themeFill="accent4"/>
      </w:tcPr>
    </w:tblStylePr>
    <w:tblStylePr w:type="lastRow">
      <w:pPr>
        <w:spacing w:before="0" w:after="0" w:line="240" w:lineRule="auto"/>
      </w:pPr>
      <w:rPr>
        <w:b/>
        <w:bCs/>
      </w:rPr>
      <w:tblPr/>
      <w:tcPr>
        <w:tcBorders>
          <w:top w:val="double" w:sz="6"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nil"/>
          <w:insideV w:val="nil"/>
        </w:tcBorders>
      </w:tcPr>
    </w:tblStylePr>
    <w:tblStylePr w:type="firstCol">
      <w:rPr>
        <w:b/>
        <w:bCs/>
      </w:rPr>
    </w:tblStylePr>
    <w:tblStylePr w:type="lastCol">
      <w:rPr>
        <w:b/>
        <w:bCs/>
      </w:rPr>
    </w:tblStylePr>
    <w:tblStylePr w:type="band1Vert">
      <w:tblPr/>
      <w:tcPr>
        <w:shd w:val="clear" w:color="auto" w:fill="BDE9FA" w:themeFill="accent4" w:themeFillTint="3F"/>
      </w:tcPr>
    </w:tblStylePr>
    <w:tblStylePr w:type="band1Horz">
      <w:tblPr/>
      <w:tcPr>
        <w:tcBorders>
          <w:insideH w:val="nil"/>
          <w:insideV w:val="nil"/>
        </w:tcBorders>
        <w:shd w:val="clear" w:color="auto" w:fill="BDE9FA"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tblBorders>
    </w:tblPr>
    <w:tblStylePr w:type="firstRow">
      <w:pPr>
        <w:spacing w:before="0" w:after="0" w:line="240" w:lineRule="auto"/>
      </w:pPr>
      <w:rPr>
        <w:b/>
        <w:bCs/>
        <w:color w:val="FFFFFF" w:themeColor="background1"/>
      </w:rPr>
      <w:tblPr/>
      <w:tcPr>
        <w:tc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shd w:val="clear" w:color="auto" w:fill="A02B93" w:themeFill="accent5"/>
      </w:tcPr>
    </w:tblStylePr>
    <w:tblStylePr w:type="lastRow">
      <w:pPr>
        <w:spacing w:before="0" w:after="0" w:line="240" w:lineRule="auto"/>
      </w:pPr>
      <w:rPr>
        <w:b/>
        <w:bCs/>
      </w:rPr>
      <w:tblPr/>
      <w:tcPr>
        <w:tcBorders>
          <w:top w:val="double" w:sz="6"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nil"/>
          <w:insideV w:val="nil"/>
        </w:tcBorders>
      </w:tcPr>
    </w:tblStylePr>
    <w:tblStylePr w:type="firstCol">
      <w:rPr>
        <w:b/>
        <w:bCs/>
      </w:rPr>
    </w:tblStylePr>
    <w:tblStylePr w:type="lastCol">
      <w:rPr>
        <w:b/>
        <w:bCs/>
      </w:rPr>
    </w:tblStylePr>
    <w:tblStylePr w:type="band1Vert">
      <w:tblPr/>
      <w:tcPr>
        <w:shd w:val="clear" w:color="auto" w:fill="EFC3E9" w:themeFill="accent5" w:themeFillTint="3F"/>
      </w:tcPr>
    </w:tblStylePr>
    <w:tblStylePr w:type="band1Horz">
      <w:tblPr/>
      <w:tcPr>
        <w:tcBorders>
          <w:insideH w:val="nil"/>
          <w:insideV w:val="nil"/>
        </w:tcBorders>
        <w:shd w:val="clear" w:color="auto" w:fill="EFC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2621E5"/>
    <w:rPr>
      <w:rFonts w:asciiTheme="minorHAnsi" w:eastAsiaTheme="minorEastAsia" w:hAnsiTheme="minorHAnsi" w:cstheme="minorBidi"/>
      <w:color w:val="auto"/>
      <w:sz w:val="22"/>
      <w:szCs w:val="22"/>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tblBorders>
    </w:tblPr>
    <w:tblStylePr w:type="firstRow">
      <w:pPr>
        <w:spacing w:before="0" w:after="0" w:line="240" w:lineRule="auto"/>
      </w:pPr>
      <w:rPr>
        <w:b/>
        <w:bCs/>
        <w:color w:val="FFFFFF" w:themeColor="background1"/>
      </w:rPr>
      <w:tblPr/>
      <w:tcPr>
        <w:tc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shd w:val="clear" w:color="auto" w:fill="4EA72E" w:themeFill="accent6"/>
      </w:tcPr>
    </w:tblStylePr>
    <w:tblStylePr w:type="lastRow">
      <w:pPr>
        <w:spacing w:before="0" w:after="0" w:line="240" w:lineRule="auto"/>
      </w:pPr>
      <w:rPr>
        <w:b/>
        <w:bCs/>
      </w:rPr>
      <w:tblPr/>
      <w:tcPr>
        <w:tcBorders>
          <w:top w:val="double" w:sz="6"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FC5" w:themeFill="accent6" w:themeFillTint="3F"/>
      </w:tcPr>
    </w:tblStylePr>
    <w:tblStylePr w:type="band1Horz">
      <w:tblPr/>
      <w:tcPr>
        <w:tcBorders>
          <w:insideH w:val="nil"/>
          <w:insideV w:val="nil"/>
        </w:tcBorders>
        <w:shd w:val="clear" w:color="auto" w:fill="D0EFC5"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56082"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56082" w:themeFill="accent1"/>
      </w:tcPr>
    </w:tblStylePr>
    <w:tblStylePr w:type="lastCol">
      <w:rPr>
        <w:b/>
        <w:bCs/>
        <w:color w:val="FFFFFF" w:themeColor="background1"/>
      </w:rPr>
      <w:tblPr/>
      <w:tcPr>
        <w:tcBorders>
          <w:left w:val="nil"/>
          <w:right w:val="nil"/>
          <w:insideH w:val="nil"/>
          <w:insideV w:val="nil"/>
        </w:tcBorders>
        <w:shd w:val="clear" w:color="auto" w:fill="156082"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713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97132" w:themeFill="accent2"/>
      </w:tcPr>
    </w:tblStylePr>
    <w:tblStylePr w:type="lastCol">
      <w:rPr>
        <w:b/>
        <w:bCs/>
        <w:color w:val="FFFFFF" w:themeColor="background1"/>
      </w:rPr>
      <w:tblPr/>
      <w:tcPr>
        <w:tcBorders>
          <w:left w:val="nil"/>
          <w:right w:val="nil"/>
          <w:insideH w:val="nil"/>
          <w:insideV w:val="nil"/>
        </w:tcBorders>
        <w:shd w:val="clear" w:color="auto" w:fill="E9713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96B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196B24" w:themeFill="accent3"/>
      </w:tcPr>
    </w:tblStylePr>
    <w:tblStylePr w:type="lastCol">
      <w:rPr>
        <w:b/>
        <w:bCs/>
        <w:color w:val="FFFFFF" w:themeColor="background1"/>
      </w:rPr>
      <w:tblPr/>
      <w:tcPr>
        <w:tcBorders>
          <w:left w:val="nil"/>
          <w:right w:val="nil"/>
          <w:insideH w:val="nil"/>
          <w:insideV w:val="nil"/>
        </w:tcBorders>
        <w:shd w:val="clear" w:color="auto" w:fill="196B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F9ED5"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F9ED5" w:themeFill="accent4"/>
      </w:tcPr>
    </w:tblStylePr>
    <w:tblStylePr w:type="lastCol">
      <w:rPr>
        <w:b/>
        <w:bCs/>
        <w:color w:val="FFFFFF" w:themeColor="background1"/>
      </w:rPr>
      <w:tblPr/>
      <w:tcPr>
        <w:tcBorders>
          <w:left w:val="nil"/>
          <w:right w:val="nil"/>
          <w:insideH w:val="nil"/>
          <w:insideV w:val="nil"/>
        </w:tcBorders>
        <w:shd w:val="clear" w:color="auto" w:fill="0F9ED5"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2B93"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02B93" w:themeFill="accent5"/>
      </w:tcPr>
    </w:tblStylePr>
    <w:tblStylePr w:type="lastCol">
      <w:rPr>
        <w:b/>
        <w:bCs/>
        <w:color w:val="FFFFFF" w:themeColor="background1"/>
      </w:rPr>
      <w:tblPr/>
      <w:tcPr>
        <w:tcBorders>
          <w:left w:val="nil"/>
          <w:right w:val="nil"/>
          <w:insideH w:val="nil"/>
          <w:insideV w:val="nil"/>
        </w:tcBorders>
        <w:shd w:val="clear" w:color="auto" w:fill="A02B93"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2621E5"/>
    <w:rPr>
      <w:rFonts w:asciiTheme="minorHAnsi" w:eastAsiaTheme="minorEastAsia" w:hAnsiTheme="minorHAnsi" w:cstheme="minorBidi"/>
      <w:color w:val="auto"/>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EA72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EA72E" w:themeFill="accent6"/>
      </w:tcPr>
    </w:tblStylePr>
    <w:tblStylePr w:type="lastCol">
      <w:rPr>
        <w:b/>
        <w:bCs/>
        <w:color w:val="FFFFFF" w:themeColor="background1"/>
      </w:rPr>
      <w:tblPr/>
      <w:tcPr>
        <w:tcBorders>
          <w:left w:val="nil"/>
          <w:right w:val="nil"/>
          <w:insideH w:val="nil"/>
          <w:insideV w:val="nil"/>
        </w:tcBorders>
        <w:shd w:val="clear" w:color="auto" w:fill="4EA72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E2841"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156082" w:themeColor="accent1"/>
        <w:bottom w:val="single" w:sz="8" w:space="0" w:color="156082" w:themeColor="accent1"/>
      </w:tblBorders>
    </w:tblPr>
    <w:tblStylePr w:type="firstRow">
      <w:rPr>
        <w:rFonts w:asciiTheme="majorHAnsi" w:eastAsiaTheme="majorEastAsia" w:hAnsiTheme="majorHAnsi" w:cstheme="majorBidi"/>
      </w:rPr>
      <w:tblPr/>
      <w:tcPr>
        <w:tcBorders>
          <w:top w:val="nil"/>
          <w:bottom w:val="single" w:sz="8" w:space="0" w:color="156082" w:themeColor="accent1"/>
        </w:tcBorders>
      </w:tcPr>
    </w:tblStylePr>
    <w:tblStylePr w:type="lastRow">
      <w:rPr>
        <w:b/>
        <w:bCs/>
        <w:color w:val="0E2841" w:themeColor="text2"/>
      </w:rPr>
      <w:tblPr/>
      <w:tcPr>
        <w:tcBorders>
          <w:top w:val="single" w:sz="8" w:space="0" w:color="156082" w:themeColor="accent1"/>
          <w:bottom w:val="single" w:sz="8" w:space="0" w:color="156082" w:themeColor="accent1"/>
        </w:tcBorders>
      </w:tcPr>
    </w:tblStylePr>
    <w:tblStylePr w:type="firstCol">
      <w:rPr>
        <w:b/>
        <w:bCs/>
      </w:rPr>
    </w:tblStylePr>
    <w:tblStylePr w:type="lastCol">
      <w:rPr>
        <w:b/>
        <w:bCs/>
      </w:rPr>
      <w:tblPr/>
      <w:tcPr>
        <w:tcBorders>
          <w:top w:val="single" w:sz="8" w:space="0" w:color="156082" w:themeColor="accent1"/>
          <w:bottom w:val="single" w:sz="8" w:space="0" w:color="156082" w:themeColor="accent1"/>
        </w:tcBorders>
      </w:tcPr>
    </w:tblStylePr>
    <w:tblStylePr w:type="band1Vert">
      <w:tblPr/>
      <w:tcPr>
        <w:shd w:val="clear" w:color="auto" w:fill="B2DEF2" w:themeFill="accent1" w:themeFillTint="3F"/>
      </w:tcPr>
    </w:tblStylePr>
    <w:tblStylePr w:type="band1Horz">
      <w:tblPr/>
      <w:tcPr>
        <w:shd w:val="clear" w:color="auto" w:fill="B2DEF2" w:themeFill="accent1" w:themeFillTint="3F"/>
      </w:tcPr>
    </w:tblStylePr>
  </w:style>
  <w:style w:type="table" w:styleId="MediumList1-Accent2">
    <w:name w:val="Medium List 1 Accent 2"/>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E97132" w:themeColor="accent2"/>
        <w:bottom w:val="single" w:sz="8" w:space="0" w:color="E97132" w:themeColor="accent2"/>
      </w:tblBorders>
    </w:tblPr>
    <w:tblStylePr w:type="firstRow">
      <w:rPr>
        <w:rFonts w:asciiTheme="majorHAnsi" w:eastAsiaTheme="majorEastAsia" w:hAnsiTheme="majorHAnsi" w:cstheme="majorBidi"/>
      </w:rPr>
      <w:tblPr/>
      <w:tcPr>
        <w:tcBorders>
          <w:top w:val="nil"/>
          <w:bottom w:val="single" w:sz="8" w:space="0" w:color="E97132" w:themeColor="accent2"/>
        </w:tcBorders>
      </w:tcPr>
    </w:tblStylePr>
    <w:tblStylePr w:type="lastRow">
      <w:rPr>
        <w:b/>
        <w:bCs/>
        <w:color w:val="0E2841" w:themeColor="text2"/>
      </w:rPr>
      <w:tblPr/>
      <w:tcPr>
        <w:tcBorders>
          <w:top w:val="single" w:sz="8" w:space="0" w:color="E97132" w:themeColor="accent2"/>
          <w:bottom w:val="single" w:sz="8" w:space="0" w:color="E97132" w:themeColor="accent2"/>
        </w:tcBorders>
      </w:tcPr>
    </w:tblStylePr>
    <w:tblStylePr w:type="firstCol">
      <w:rPr>
        <w:b/>
        <w:bCs/>
      </w:rPr>
    </w:tblStylePr>
    <w:tblStylePr w:type="lastCol">
      <w:rPr>
        <w:b/>
        <w:bCs/>
      </w:rPr>
      <w:tblPr/>
      <w:tcPr>
        <w:tcBorders>
          <w:top w:val="single" w:sz="8" w:space="0" w:color="E97132" w:themeColor="accent2"/>
          <w:bottom w:val="single" w:sz="8" w:space="0" w:color="E97132" w:themeColor="accent2"/>
        </w:tcBorders>
      </w:tcPr>
    </w:tblStylePr>
    <w:tblStylePr w:type="band1Vert">
      <w:tblPr/>
      <w:tcPr>
        <w:shd w:val="clear" w:color="auto" w:fill="F9DBCC" w:themeFill="accent2" w:themeFillTint="3F"/>
      </w:tcPr>
    </w:tblStylePr>
    <w:tblStylePr w:type="band1Horz">
      <w:tblPr/>
      <w:tcPr>
        <w:shd w:val="clear" w:color="auto" w:fill="F9DBCC" w:themeFill="accent2" w:themeFillTint="3F"/>
      </w:tcPr>
    </w:tblStylePr>
  </w:style>
  <w:style w:type="table" w:styleId="MediumList1-Accent3">
    <w:name w:val="Medium List 1 Accent 3"/>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196B24" w:themeColor="accent3"/>
        <w:bottom w:val="single" w:sz="8" w:space="0" w:color="196B24" w:themeColor="accent3"/>
      </w:tblBorders>
    </w:tblPr>
    <w:tblStylePr w:type="firstRow">
      <w:rPr>
        <w:rFonts w:asciiTheme="majorHAnsi" w:eastAsiaTheme="majorEastAsia" w:hAnsiTheme="majorHAnsi" w:cstheme="majorBidi"/>
      </w:rPr>
      <w:tblPr/>
      <w:tcPr>
        <w:tcBorders>
          <w:top w:val="nil"/>
          <w:bottom w:val="single" w:sz="8" w:space="0" w:color="196B24" w:themeColor="accent3"/>
        </w:tcBorders>
      </w:tcPr>
    </w:tblStylePr>
    <w:tblStylePr w:type="lastRow">
      <w:rPr>
        <w:b/>
        <w:bCs/>
        <w:color w:val="0E2841" w:themeColor="text2"/>
      </w:rPr>
      <w:tblPr/>
      <w:tcPr>
        <w:tcBorders>
          <w:top w:val="single" w:sz="8" w:space="0" w:color="196B24" w:themeColor="accent3"/>
          <w:bottom w:val="single" w:sz="8" w:space="0" w:color="196B24" w:themeColor="accent3"/>
        </w:tcBorders>
      </w:tcPr>
    </w:tblStylePr>
    <w:tblStylePr w:type="firstCol">
      <w:rPr>
        <w:b/>
        <w:bCs/>
      </w:rPr>
    </w:tblStylePr>
    <w:tblStylePr w:type="lastCol">
      <w:rPr>
        <w:b/>
        <w:bCs/>
      </w:rPr>
      <w:tblPr/>
      <w:tcPr>
        <w:tcBorders>
          <w:top w:val="single" w:sz="8" w:space="0" w:color="196B24" w:themeColor="accent3"/>
          <w:bottom w:val="single" w:sz="8" w:space="0" w:color="196B24" w:themeColor="accent3"/>
        </w:tcBorders>
      </w:tcPr>
    </w:tblStylePr>
    <w:tblStylePr w:type="band1Vert">
      <w:tblPr/>
      <w:tcPr>
        <w:shd w:val="clear" w:color="auto" w:fill="B3EDBA" w:themeFill="accent3" w:themeFillTint="3F"/>
      </w:tcPr>
    </w:tblStylePr>
    <w:tblStylePr w:type="band1Horz">
      <w:tblPr/>
      <w:tcPr>
        <w:shd w:val="clear" w:color="auto" w:fill="B3EDBA" w:themeFill="accent3" w:themeFillTint="3F"/>
      </w:tcPr>
    </w:tblStylePr>
  </w:style>
  <w:style w:type="table" w:styleId="MediumList1-Accent4">
    <w:name w:val="Medium List 1 Accent 4"/>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0F9ED5" w:themeColor="accent4"/>
        <w:bottom w:val="single" w:sz="8" w:space="0" w:color="0F9ED5" w:themeColor="accent4"/>
      </w:tblBorders>
    </w:tblPr>
    <w:tblStylePr w:type="firstRow">
      <w:rPr>
        <w:rFonts w:asciiTheme="majorHAnsi" w:eastAsiaTheme="majorEastAsia" w:hAnsiTheme="majorHAnsi" w:cstheme="majorBidi"/>
      </w:rPr>
      <w:tblPr/>
      <w:tcPr>
        <w:tcBorders>
          <w:top w:val="nil"/>
          <w:bottom w:val="single" w:sz="8" w:space="0" w:color="0F9ED5" w:themeColor="accent4"/>
        </w:tcBorders>
      </w:tcPr>
    </w:tblStylePr>
    <w:tblStylePr w:type="lastRow">
      <w:rPr>
        <w:b/>
        <w:bCs/>
        <w:color w:val="0E2841" w:themeColor="text2"/>
      </w:rPr>
      <w:tblPr/>
      <w:tcPr>
        <w:tcBorders>
          <w:top w:val="single" w:sz="8" w:space="0" w:color="0F9ED5" w:themeColor="accent4"/>
          <w:bottom w:val="single" w:sz="8" w:space="0" w:color="0F9ED5" w:themeColor="accent4"/>
        </w:tcBorders>
      </w:tcPr>
    </w:tblStylePr>
    <w:tblStylePr w:type="firstCol">
      <w:rPr>
        <w:b/>
        <w:bCs/>
      </w:rPr>
    </w:tblStylePr>
    <w:tblStylePr w:type="lastCol">
      <w:rPr>
        <w:b/>
        <w:bCs/>
      </w:rPr>
      <w:tblPr/>
      <w:tcPr>
        <w:tcBorders>
          <w:top w:val="single" w:sz="8" w:space="0" w:color="0F9ED5" w:themeColor="accent4"/>
          <w:bottom w:val="single" w:sz="8" w:space="0" w:color="0F9ED5" w:themeColor="accent4"/>
        </w:tcBorders>
      </w:tcPr>
    </w:tblStylePr>
    <w:tblStylePr w:type="band1Vert">
      <w:tblPr/>
      <w:tcPr>
        <w:shd w:val="clear" w:color="auto" w:fill="BDE9FA" w:themeFill="accent4" w:themeFillTint="3F"/>
      </w:tcPr>
    </w:tblStylePr>
    <w:tblStylePr w:type="band1Horz">
      <w:tblPr/>
      <w:tcPr>
        <w:shd w:val="clear" w:color="auto" w:fill="BDE9FA" w:themeFill="accent4" w:themeFillTint="3F"/>
      </w:tcPr>
    </w:tblStylePr>
  </w:style>
  <w:style w:type="table" w:styleId="MediumList1-Accent5">
    <w:name w:val="Medium List 1 Accent 5"/>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A02B93" w:themeColor="accent5"/>
        <w:bottom w:val="single" w:sz="8" w:space="0" w:color="A02B93" w:themeColor="accent5"/>
      </w:tblBorders>
    </w:tblPr>
    <w:tblStylePr w:type="firstRow">
      <w:rPr>
        <w:rFonts w:asciiTheme="majorHAnsi" w:eastAsiaTheme="majorEastAsia" w:hAnsiTheme="majorHAnsi" w:cstheme="majorBidi"/>
      </w:rPr>
      <w:tblPr/>
      <w:tcPr>
        <w:tcBorders>
          <w:top w:val="nil"/>
          <w:bottom w:val="single" w:sz="8" w:space="0" w:color="A02B93" w:themeColor="accent5"/>
        </w:tcBorders>
      </w:tcPr>
    </w:tblStylePr>
    <w:tblStylePr w:type="lastRow">
      <w:rPr>
        <w:b/>
        <w:bCs/>
        <w:color w:val="0E2841" w:themeColor="text2"/>
      </w:rPr>
      <w:tblPr/>
      <w:tcPr>
        <w:tcBorders>
          <w:top w:val="single" w:sz="8" w:space="0" w:color="A02B93" w:themeColor="accent5"/>
          <w:bottom w:val="single" w:sz="8" w:space="0" w:color="A02B93" w:themeColor="accent5"/>
        </w:tcBorders>
      </w:tcPr>
    </w:tblStylePr>
    <w:tblStylePr w:type="firstCol">
      <w:rPr>
        <w:b/>
        <w:bCs/>
      </w:rPr>
    </w:tblStylePr>
    <w:tblStylePr w:type="lastCol">
      <w:rPr>
        <w:b/>
        <w:bCs/>
      </w:rPr>
      <w:tblPr/>
      <w:tcPr>
        <w:tcBorders>
          <w:top w:val="single" w:sz="8" w:space="0" w:color="A02B93" w:themeColor="accent5"/>
          <w:bottom w:val="single" w:sz="8" w:space="0" w:color="A02B93" w:themeColor="accent5"/>
        </w:tcBorders>
      </w:tcPr>
    </w:tblStylePr>
    <w:tblStylePr w:type="band1Vert">
      <w:tblPr/>
      <w:tcPr>
        <w:shd w:val="clear" w:color="auto" w:fill="EFC3E9" w:themeFill="accent5" w:themeFillTint="3F"/>
      </w:tcPr>
    </w:tblStylePr>
    <w:tblStylePr w:type="band1Horz">
      <w:tblPr/>
      <w:tcPr>
        <w:shd w:val="clear" w:color="auto" w:fill="EFC3E9" w:themeFill="accent5" w:themeFillTint="3F"/>
      </w:tcPr>
    </w:tblStylePr>
  </w:style>
  <w:style w:type="table" w:styleId="MediumList1-Accent6">
    <w:name w:val="Medium List 1 Accent 6"/>
    <w:basedOn w:val="TableNormal"/>
    <w:uiPriority w:val="65"/>
    <w:rsid w:val="002621E5"/>
    <w:rPr>
      <w:rFonts w:asciiTheme="minorHAnsi" w:eastAsiaTheme="minorEastAsia" w:hAnsiTheme="minorHAnsi" w:cstheme="minorBidi"/>
      <w:color w:val="000000" w:themeColor="text1"/>
      <w:sz w:val="22"/>
      <w:szCs w:val="22"/>
    </w:rPr>
    <w:tblPr>
      <w:tblStyleRowBandSize w:val="1"/>
      <w:tblStyleColBandSize w:val="1"/>
      <w:tblBorders>
        <w:top w:val="single" w:sz="8" w:space="0" w:color="4EA72E" w:themeColor="accent6"/>
        <w:bottom w:val="single" w:sz="8" w:space="0" w:color="4EA72E" w:themeColor="accent6"/>
      </w:tblBorders>
    </w:tblPr>
    <w:tblStylePr w:type="firstRow">
      <w:rPr>
        <w:rFonts w:asciiTheme="majorHAnsi" w:eastAsiaTheme="majorEastAsia" w:hAnsiTheme="majorHAnsi" w:cstheme="majorBidi"/>
      </w:rPr>
      <w:tblPr/>
      <w:tcPr>
        <w:tcBorders>
          <w:top w:val="nil"/>
          <w:bottom w:val="single" w:sz="8" w:space="0" w:color="4EA72E" w:themeColor="accent6"/>
        </w:tcBorders>
      </w:tcPr>
    </w:tblStylePr>
    <w:tblStylePr w:type="lastRow">
      <w:rPr>
        <w:b/>
        <w:bCs/>
        <w:color w:val="0E2841" w:themeColor="text2"/>
      </w:rPr>
      <w:tblPr/>
      <w:tcPr>
        <w:tcBorders>
          <w:top w:val="single" w:sz="8" w:space="0" w:color="4EA72E" w:themeColor="accent6"/>
          <w:bottom w:val="single" w:sz="8" w:space="0" w:color="4EA72E" w:themeColor="accent6"/>
        </w:tcBorders>
      </w:tcPr>
    </w:tblStylePr>
    <w:tblStylePr w:type="firstCol">
      <w:rPr>
        <w:b/>
        <w:bCs/>
      </w:rPr>
    </w:tblStylePr>
    <w:tblStylePr w:type="lastCol">
      <w:rPr>
        <w:b/>
        <w:bCs/>
      </w:rPr>
      <w:tblPr/>
      <w:tcPr>
        <w:tcBorders>
          <w:top w:val="single" w:sz="8" w:space="0" w:color="4EA72E" w:themeColor="accent6"/>
          <w:bottom w:val="single" w:sz="8" w:space="0" w:color="4EA72E" w:themeColor="accent6"/>
        </w:tcBorders>
      </w:tcPr>
    </w:tblStylePr>
    <w:tblStylePr w:type="band1Vert">
      <w:tblPr/>
      <w:tcPr>
        <w:shd w:val="clear" w:color="auto" w:fill="D0EFC5" w:themeFill="accent6" w:themeFillTint="3F"/>
      </w:tcPr>
    </w:tblStylePr>
    <w:tblStylePr w:type="band1Horz">
      <w:tblPr/>
      <w:tcPr>
        <w:shd w:val="clear" w:color="auto" w:fill="D0EFC5" w:themeFill="accent6" w:themeFillTint="3F"/>
      </w:tcPr>
    </w:tblStylePr>
  </w:style>
  <w:style w:type="table" w:styleId="MediumList2">
    <w:name w:val="Medium List 2"/>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tblBorders>
    </w:tblPr>
    <w:tblStylePr w:type="firstRow">
      <w:rPr>
        <w:sz w:val="24"/>
        <w:szCs w:val="24"/>
      </w:rPr>
      <w:tblPr/>
      <w:tcPr>
        <w:tcBorders>
          <w:top w:val="nil"/>
          <w:left w:val="nil"/>
          <w:bottom w:val="single" w:sz="24" w:space="0" w:color="156082" w:themeColor="accent1"/>
          <w:right w:val="nil"/>
          <w:insideH w:val="nil"/>
          <w:insideV w:val="nil"/>
        </w:tcBorders>
        <w:shd w:val="clear" w:color="auto" w:fill="FFFFFF" w:themeFill="background1"/>
      </w:tcPr>
    </w:tblStylePr>
    <w:tblStylePr w:type="lastRow">
      <w:tblPr/>
      <w:tcPr>
        <w:tcBorders>
          <w:top w:val="single" w:sz="8" w:space="0" w:color="156082"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56082" w:themeColor="accent1"/>
          <w:insideH w:val="nil"/>
          <w:insideV w:val="nil"/>
        </w:tcBorders>
        <w:shd w:val="clear" w:color="auto" w:fill="FFFFFF" w:themeFill="background1"/>
      </w:tcPr>
    </w:tblStylePr>
    <w:tblStylePr w:type="lastCol">
      <w:tblPr/>
      <w:tcPr>
        <w:tcBorders>
          <w:top w:val="nil"/>
          <w:left w:val="single" w:sz="8" w:space="0" w:color="156082"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top w:val="nil"/>
          <w:bottom w:val="nil"/>
          <w:insideH w:val="nil"/>
          <w:insideV w:val="nil"/>
        </w:tcBorders>
        <w:shd w:val="clear" w:color="auto" w:fill="B2DE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tblBorders>
    </w:tblPr>
    <w:tblStylePr w:type="firstRow">
      <w:rPr>
        <w:sz w:val="24"/>
        <w:szCs w:val="24"/>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tblPr/>
      <w:tcPr>
        <w:tcBorders>
          <w:top w:val="single" w:sz="8" w:space="0" w:color="E97132"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7132" w:themeColor="accent2"/>
          <w:insideH w:val="nil"/>
          <w:insideV w:val="nil"/>
        </w:tcBorders>
        <w:shd w:val="clear" w:color="auto" w:fill="FFFFFF" w:themeFill="background1"/>
      </w:tcPr>
    </w:tblStylePr>
    <w:tblStylePr w:type="lastCol">
      <w:tblPr/>
      <w:tcPr>
        <w:tcBorders>
          <w:top w:val="nil"/>
          <w:left w:val="single" w:sz="8" w:space="0" w:color="E9713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DBCC" w:themeFill="accent2" w:themeFillTint="3F"/>
      </w:tcPr>
    </w:tblStylePr>
    <w:tblStylePr w:type="band1Horz">
      <w:tblPr/>
      <w:tcPr>
        <w:tcBorders>
          <w:top w:val="nil"/>
          <w:bottom w:val="nil"/>
          <w:insideH w:val="nil"/>
          <w:insideV w:val="nil"/>
        </w:tcBorders>
        <w:shd w:val="clear" w:color="auto" w:fill="F9DBCC"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tblBorders>
    </w:tblPr>
    <w:tblStylePr w:type="firstRow">
      <w:rPr>
        <w:sz w:val="24"/>
        <w:szCs w:val="24"/>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tblPr/>
      <w:tcPr>
        <w:tcBorders>
          <w:top w:val="single" w:sz="8" w:space="0" w:color="196B24"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96B24" w:themeColor="accent3"/>
          <w:insideH w:val="nil"/>
          <w:insideV w:val="nil"/>
        </w:tcBorders>
        <w:shd w:val="clear" w:color="auto" w:fill="FFFFFF" w:themeFill="background1"/>
      </w:tcPr>
    </w:tblStylePr>
    <w:tblStylePr w:type="lastCol">
      <w:tblPr/>
      <w:tcPr>
        <w:tcBorders>
          <w:top w:val="nil"/>
          <w:left w:val="single" w:sz="8" w:space="0" w:color="196B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DBA" w:themeFill="accent3" w:themeFillTint="3F"/>
      </w:tcPr>
    </w:tblStylePr>
    <w:tblStylePr w:type="band1Horz">
      <w:tblPr/>
      <w:tcPr>
        <w:tcBorders>
          <w:top w:val="nil"/>
          <w:bottom w:val="nil"/>
          <w:insideH w:val="nil"/>
          <w:insideV w:val="nil"/>
        </w:tcBorders>
        <w:shd w:val="clear" w:color="auto" w:fill="B3EDB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tblBorders>
    </w:tblPr>
    <w:tblStylePr w:type="firstRow">
      <w:rPr>
        <w:sz w:val="24"/>
        <w:szCs w:val="24"/>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tblPr/>
      <w:tcPr>
        <w:tcBorders>
          <w:top w:val="single" w:sz="8" w:space="0" w:color="0F9ED5"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F9ED5" w:themeColor="accent4"/>
          <w:insideH w:val="nil"/>
          <w:insideV w:val="nil"/>
        </w:tcBorders>
        <w:shd w:val="clear" w:color="auto" w:fill="FFFFFF" w:themeFill="background1"/>
      </w:tcPr>
    </w:tblStylePr>
    <w:tblStylePr w:type="lastCol">
      <w:tblPr/>
      <w:tcPr>
        <w:tcBorders>
          <w:top w:val="nil"/>
          <w:left w:val="single" w:sz="8" w:space="0" w:color="0F9ED5"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DE9FA" w:themeFill="accent4" w:themeFillTint="3F"/>
      </w:tcPr>
    </w:tblStylePr>
    <w:tblStylePr w:type="band1Horz">
      <w:tblPr/>
      <w:tcPr>
        <w:tcBorders>
          <w:top w:val="nil"/>
          <w:bottom w:val="nil"/>
          <w:insideH w:val="nil"/>
          <w:insideV w:val="nil"/>
        </w:tcBorders>
        <w:shd w:val="clear" w:color="auto" w:fill="BDE9FA"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tblBorders>
    </w:tblPr>
    <w:tblStylePr w:type="firstRow">
      <w:rPr>
        <w:sz w:val="24"/>
        <w:szCs w:val="24"/>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tblPr/>
      <w:tcPr>
        <w:tcBorders>
          <w:top w:val="single" w:sz="8" w:space="0" w:color="A02B93"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2B93" w:themeColor="accent5"/>
          <w:insideH w:val="nil"/>
          <w:insideV w:val="nil"/>
        </w:tcBorders>
        <w:shd w:val="clear" w:color="auto" w:fill="FFFFFF" w:themeFill="background1"/>
      </w:tcPr>
    </w:tblStylePr>
    <w:tblStylePr w:type="lastCol">
      <w:tblPr/>
      <w:tcPr>
        <w:tcBorders>
          <w:top w:val="nil"/>
          <w:left w:val="single" w:sz="8" w:space="0" w:color="A02B93"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C3E9" w:themeFill="accent5" w:themeFillTint="3F"/>
      </w:tcPr>
    </w:tblStylePr>
    <w:tblStylePr w:type="band1Horz">
      <w:tblPr/>
      <w:tcPr>
        <w:tcBorders>
          <w:top w:val="nil"/>
          <w:bottom w:val="nil"/>
          <w:insideH w:val="nil"/>
          <w:insideV w:val="nil"/>
        </w:tcBorders>
        <w:shd w:val="clear" w:color="auto" w:fill="EFC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tblBorders>
    </w:tblPr>
    <w:tblStylePr w:type="firstRow">
      <w:rPr>
        <w:sz w:val="24"/>
        <w:szCs w:val="24"/>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tblPr/>
      <w:tcPr>
        <w:tcBorders>
          <w:top w:val="single" w:sz="8" w:space="0" w:color="4EA72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EA72E" w:themeColor="accent6"/>
          <w:insideH w:val="nil"/>
          <w:insideV w:val="nil"/>
        </w:tcBorders>
        <w:shd w:val="clear" w:color="auto" w:fill="FFFFFF" w:themeFill="background1"/>
      </w:tcPr>
    </w:tblStylePr>
    <w:tblStylePr w:type="lastCol">
      <w:tblPr/>
      <w:tcPr>
        <w:tcBorders>
          <w:top w:val="nil"/>
          <w:left w:val="single" w:sz="8" w:space="0" w:color="4EA72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FC5" w:themeFill="accent6" w:themeFillTint="3F"/>
      </w:tcPr>
    </w:tblStylePr>
    <w:tblStylePr w:type="band1Horz">
      <w:tblPr/>
      <w:tcPr>
        <w:tcBorders>
          <w:top w:val="nil"/>
          <w:bottom w:val="nil"/>
          <w:insideH w:val="nil"/>
          <w:insideV w:val="nil"/>
        </w:tcBorders>
        <w:shd w:val="clear" w:color="auto" w:fill="D0EFC5"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2198CF" w:themeColor="accent1" w:themeTint="BF"/>
        <w:left w:val="single" w:sz="8" w:space="0" w:color="2198CF" w:themeColor="accent1" w:themeTint="BF"/>
        <w:bottom w:val="single" w:sz="8" w:space="0" w:color="2198CF" w:themeColor="accent1" w:themeTint="BF"/>
        <w:right w:val="single" w:sz="8" w:space="0" w:color="2198CF" w:themeColor="accent1" w:themeTint="BF"/>
        <w:insideH w:val="single" w:sz="8" w:space="0" w:color="2198CF" w:themeColor="accent1" w:themeTint="BF"/>
        <w:insideV w:val="single" w:sz="8" w:space="0" w:color="2198CF" w:themeColor="accent1" w:themeTint="BF"/>
      </w:tblBorders>
    </w:tblPr>
    <w:tcPr>
      <w:shd w:val="clear" w:color="auto" w:fill="B2DEF2" w:themeFill="accent1" w:themeFillTint="3F"/>
    </w:tcPr>
    <w:tblStylePr w:type="firstRow">
      <w:rPr>
        <w:b/>
        <w:bCs/>
      </w:rPr>
    </w:tblStylePr>
    <w:tblStylePr w:type="lastRow">
      <w:rPr>
        <w:b/>
        <w:bCs/>
      </w:rPr>
      <w:tblPr/>
      <w:tcPr>
        <w:tcBorders>
          <w:top w:val="single" w:sz="18" w:space="0" w:color="2198CF" w:themeColor="accent1" w:themeTint="BF"/>
        </w:tcBorders>
      </w:tcPr>
    </w:tblStylePr>
    <w:tblStylePr w:type="firstCol">
      <w:rPr>
        <w:b/>
        <w:bCs/>
      </w:rPr>
    </w:tblStylePr>
    <w:tblStylePr w:type="lastCol">
      <w:rPr>
        <w:b/>
        <w:bCs/>
      </w:r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MediumGrid1-Accent2">
    <w:name w:val="Medium Grid 1 Accent 2"/>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EE9465" w:themeColor="accent2" w:themeTint="BF"/>
        <w:left w:val="single" w:sz="8" w:space="0" w:color="EE9465" w:themeColor="accent2" w:themeTint="BF"/>
        <w:bottom w:val="single" w:sz="8" w:space="0" w:color="EE9465" w:themeColor="accent2" w:themeTint="BF"/>
        <w:right w:val="single" w:sz="8" w:space="0" w:color="EE9465" w:themeColor="accent2" w:themeTint="BF"/>
        <w:insideH w:val="single" w:sz="8" w:space="0" w:color="EE9465" w:themeColor="accent2" w:themeTint="BF"/>
        <w:insideV w:val="single" w:sz="8" w:space="0" w:color="EE9465" w:themeColor="accent2" w:themeTint="BF"/>
      </w:tblBorders>
    </w:tblPr>
    <w:tcPr>
      <w:shd w:val="clear" w:color="auto" w:fill="F9DBCC" w:themeFill="accent2" w:themeFillTint="3F"/>
    </w:tcPr>
    <w:tblStylePr w:type="firstRow">
      <w:rPr>
        <w:b/>
        <w:bCs/>
      </w:rPr>
    </w:tblStylePr>
    <w:tblStylePr w:type="lastRow">
      <w:rPr>
        <w:b/>
        <w:bCs/>
      </w:rPr>
      <w:tblPr/>
      <w:tcPr>
        <w:tcBorders>
          <w:top w:val="single" w:sz="18" w:space="0" w:color="EE9465" w:themeColor="accent2" w:themeTint="BF"/>
        </w:tcBorders>
      </w:tcPr>
    </w:tblStylePr>
    <w:tblStylePr w:type="firstCol">
      <w:rPr>
        <w:b/>
        <w:bCs/>
      </w:rPr>
    </w:tblStylePr>
    <w:tblStylePr w:type="lastCol">
      <w:rPr>
        <w:b/>
        <w:bCs/>
      </w:r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MediumGrid1-Accent3">
    <w:name w:val="Medium Grid 1 Accent 3"/>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2BB73D" w:themeColor="accent3" w:themeTint="BF"/>
        <w:left w:val="single" w:sz="8" w:space="0" w:color="2BB73D" w:themeColor="accent3" w:themeTint="BF"/>
        <w:bottom w:val="single" w:sz="8" w:space="0" w:color="2BB73D" w:themeColor="accent3" w:themeTint="BF"/>
        <w:right w:val="single" w:sz="8" w:space="0" w:color="2BB73D" w:themeColor="accent3" w:themeTint="BF"/>
        <w:insideH w:val="single" w:sz="8" w:space="0" w:color="2BB73D" w:themeColor="accent3" w:themeTint="BF"/>
        <w:insideV w:val="single" w:sz="8" w:space="0" w:color="2BB73D" w:themeColor="accent3" w:themeTint="BF"/>
      </w:tblBorders>
    </w:tblPr>
    <w:tcPr>
      <w:shd w:val="clear" w:color="auto" w:fill="B3EDBA" w:themeFill="accent3" w:themeFillTint="3F"/>
    </w:tcPr>
    <w:tblStylePr w:type="firstRow">
      <w:rPr>
        <w:b/>
        <w:bCs/>
      </w:rPr>
    </w:tblStylePr>
    <w:tblStylePr w:type="lastRow">
      <w:rPr>
        <w:b/>
        <w:bCs/>
      </w:rPr>
      <w:tblPr/>
      <w:tcPr>
        <w:tcBorders>
          <w:top w:val="single" w:sz="18" w:space="0" w:color="2BB73D" w:themeColor="accent3" w:themeTint="BF"/>
        </w:tcBorders>
      </w:tcPr>
    </w:tblStylePr>
    <w:tblStylePr w:type="firstCol">
      <w:rPr>
        <w:b/>
        <w:bCs/>
      </w:rPr>
    </w:tblStylePr>
    <w:tblStylePr w:type="lastCol">
      <w:rPr>
        <w:b/>
        <w:bCs/>
      </w:r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MediumGrid1-Accent4">
    <w:name w:val="Medium Grid 1 Accent 4"/>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39BEF1" w:themeColor="accent4" w:themeTint="BF"/>
        <w:left w:val="single" w:sz="8" w:space="0" w:color="39BEF1" w:themeColor="accent4" w:themeTint="BF"/>
        <w:bottom w:val="single" w:sz="8" w:space="0" w:color="39BEF1" w:themeColor="accent4" w:themeTint="BF"/>
        <w:right w:val="single" w:sz="8" w:space="0" w:color="39BEF1" w:themeColor="accent4" w:themeTint="BF"/>
        <w:insideH w:val="single" w:sz="8" w:space="0" w:color="39BEF1" w:themeColor="accent4" w:themeTint="BF"/>
        <w:insideV w:val="single" w:sz="8" w:space="0" w:color="39BEF1" w:themeColor="accent4" w:themeTint="BF"/>
      </w:tblBorders>
    </w:tblPr>
    <w:tcPr>
      <w:shd w:val="clear" w:color="auto" w:fill="BDE9FA" w:themeFill="accent4" w:themeFillTint="3F"/>
    </w:tcPr>
    <w:tblStylePr w:type="firstRow">
      <w:rPr>
        <w:b/>
        <w:bCs/>
      </w:rPr>
    </w:tblStylePr>
    <w:tblStylePr w:type="lastRow">
      <w:rPr>
        <w:b/>
        <w:bCs/>
      </w:rPr>
      <w:tblPr/>
      <w:tcPr>
        <w:tcBorders>
          <w:top w:val="single" w:sz="18" w:space="0" w:color="39BEF1" w:themeColor="accent4" w:themeTint="BF"/>
        </w:tcBorders>
      </w:tcPr>
    </w:tblStylePr>
    <w:tblStylePr w:type="firstCol">
      <w:rPr>
        <w:b/>
        <w:bCs/>
      </w:rPr>
    </w:tblStylePr>
    <w:tblStylePr w:type="lastCol">
      <w:rPr>
        <w:b/>
        <w:bCs/>
      </w:r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MediumGrid1-Accent5">
    <w:name w:val="Medium Grid 1 Accent 5"/>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CE49BF" w:themeColor="accent5" w:themeTint="BF"/>
        <w:left w:val="single" w:sz="8" w:space="0" w:color="CE49BF" w:themeColor="accent5" w:themeTint="BF"/>
        <w:bottom w:val="single" w:sz="8" w:space="0" w:color="CE49BF" w:themeColor="accent5" w:themeTint="BF"/>
        <w:right w:val="single" w:sz="8" w:space="0" w:color="CE49BF" w:themeColor="accent5" w:themeTint="BF"/>
        <w:insideH w:val="single" w:sz="8" w:space="0" w:color="CE49BF" w:themeColor="accent5" w:themeTint="BF"/>
        <w:insideV w:val="single" w:sz="8" w:space="0" w:color="CE49BF" w:themeColor="accent5" w:themeTint="BF"/>
      </w:tblBorders>
    </w:tblPr>
    <w:tcPr>
      <w:shd w:val="clear" w:color="auto" w:fill="EFC3E9" w:themeFill="accent5" w:themeFillTint="3F"/>
    </w:tcPr>
    <w:tblStylePr w:type="firstRow">
      <w:rPr>
        <w:b/>
        <w:bCs/>
      </w:rPr>
    </w:tblStylePr>
    <w:tblStylePr w:type="lastRow">
      <w:rPr>
        <w:b/>
        <w:bCs/>
      </w:rPr>
      <w:tblPr/>
      <w:tcPr>
        <w:tcBorders>
          <w:top w:val="single" w:sz="18" w:space="0" w:color="CE49BF" w:themeColor="accent5" w:themeTint="BF"/>
        </w:tcBorders>
      </w:tcPr>
    </w:tblStylePr>
    <w:tblStylePr w:type="firstCol">
      <w:rPr>
        <w:b/>
        <w:bCs/>
      </w:rPr>
    </w:tblStylePr>
    <w:tblStylePr w:type="lastCol">
      <w:rPr>
        <w:b/>
        <w:bCs/>
      </w:r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MediumGrid1-Accent6">
    <w:name w:val="Medium Grid 1 Accent 6"/>
    <w:basedOn w:val="TableNormal"/>
    <w:uiPriority w:val="67"/>
    <w:rsid w:val="002621E5"/>
    <w:rPr>
      <w:rFonts w:asciiTheme="minorHAnsi" w:eastAsiaTheme="minorEastAsia" w:hAnsiTheme="minorHAnsi" w:cstheme="minorBidi"/>
      <w:color w:val="auto"/>
      <w:sz w:val="22"/>
      <w:szCs w:val="22"/>
    </w:rPr>
    <w:tblPr>
      <w:tblStyleRowBandSize w:val="1"/>
      <w:tblStyleColBandSize w:val="1"/>
      <w:tblBorders>
        <w:top w:val="single" w:sz="8" w:space="0" w:color="71CF50" w:themeColor="accent6" w:themeTint="BF"/>
        <w:left w:val="single" w:sz="8" w:space="0" w:color="71CF50" w:themeColor="accent6" w:themeTint="BF"/>
        <w:bottom w:val="single" w:sz="8" w:space="0" w:color="71CF50" w:themeColor="accent6" w:themeTint="BF"/>
        <w:right w:val="single" w:sz="8" w:space="0" w:color="71CF50" w:themeColor="accent6" w:themeTint="BF"/>
        <w:insideH w:val="single" w:sz="8" w:space="0" w:color="71CF50" w:themeColor="accent6" w:themeTint="BF"/>
        <w:insideV w:val="single" w:sz="8" w:space="0" w:color="71CF50" w:themeColor="accent6" w:themeTint="BF"/>
      </w:tblBorders>
    </w:tblPr>
    <w:tcPr>
      <w:shd w:val="clear" w:color="auto" w:fill="D0EFC5" w:themeFill="accent6" w:themeFillTint="3F"/>
    </w:tcPr>
    <w:tblStylePr w:type="firstRow">
      <w:rPr>
        <w:b/>
        <w:bCs/>
      </w:rPr>
    </w:tblStylePr>
    <w:tblStylePr w:type="lastRow">
      <w:rPr>
        <w:b/>
        <w:bCs/>
      </w:rPr>
      <w:tblPr/>
      <w:tcPr>
        <w:tcBorders>
          <w:top w:val="single" w:sz="18" w:space="0" w:color="71CF50" w:themeColor="accent6" w:themeTint="BF"/>
        </w:tcBorders>
      </w:tcPr>
    </w:tblStylePr>
    <w:tblStylePr w:type="firstCol">
      <w:rPr>
        <w:b/>
        <w:bCs/>
      </w:rPr>
    </w:tblStylePr>
    <w:tblStylePr w:type="lastCol">
      <w:rPr>
        <w:b/>
        <w:bCs/>
      </w:r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table" w:styleId="MediumGrid2">
    <w:name w:val="Medium Grid 2"/>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cPr>
      <w:shd w:val="clear" w:color="auto" w:fill="B2DEF2" w:themeFill="accent1" w:themeFillTint="3F"/>
    </w:tcPr>
    <w:tblStylePr w:type="firstRow">
      <w:rPr>
        <w:b/>
        <w:bCs/>
        <w:color w:val="000000" w:themeColor="text1"/>
      </w:rPr>
      <w:tblPr/>
      <w:tcPr>
        <w:shd w:val="clear" w:color="auto" w:fill="E0F2FA"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E4F5" w:themeFill="accent1" w:themeFillTint="33"/>
      </w:tcPr>
    </w:tblStylePr>
    <w:tblStylePr w:type="band1Vert">
      <w:tblPr/>
      <w:tcPr>
        <w:shd w:val="clear" w:color="auto" w:fill="64BDE6" w:themeFill="accent1" w:themeFillTint="7F"/>
      </w:tcPr>
    </w:tblStylePr>
    <w:tblStylePr w:type="band1Horz">
      <w:tblPr/>
      <w:tcPr>
        <w:tcBorders>
          <w:insideH w:val="single" w:sz="6" w:space="0" w:color="156082" w:themeColor="accent1"/>
          <w:insideV w:val="single" w:sz="6" w:space="0" w:color="156082" w:themeColor="accent1"/>
        </w:tcBorders>
        <w:shd w:val="clear" w:color="auto" w:fill="64BDE6"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cPr>
      <w:shd w:val="clear" w:color="auto" w:fill="F9DBCC" w:themeFill="accent2" w:themeFillTint="3F"/>
    </w:tcPr>
    <w:tblStylePr w:type="firstRow">
      <w:rPr>
        <w:b/>
        <w:bCs/>
        <w:color w:val="000000" w:themeColor="text1"/>
      </w:rPr>
      <w:tblPr/>
      <w:tcPr>
        <w:shd w:val="clear" w:color="auto" w:fill="FCF0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E2D5" w:themeFill="accent2" w:themeFillTint="33"/>
      </w:tcPr>
    </w:tblStylePr>
    <w:tblStylePr w:type="band1Vert">
      <w:tblPr/>
      <w:tcPr>
        <w:shd w:val="clear" w:color="auto" w:fill="F4B798" w:themeFill="accent2" w:themeFillTint="7F"/>
      </w:tcPr>
    </w:tblStylePr>
    <w:tblStylePr w:type="band1Horz">
      <w:tblPr/>
      <w:tcPr>
        <w:tcBorders>
          <w:insideH w:val="single" w:sz="6" w:space="0" w:color="E97132" w:themeColor="accent2"/>
          <w:insideV w:val="single" w:sz="6" w:space="0" w:color="E97132" w:themeColor="accent2"/>
        </w:tcBorders>
        <w:shd w:val="clear" w:color="auto" w:fill="F4B7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196B24" w:themeColor="accent3"/>
        <w:left w:val="single" w:sz="8" w:space="0" w:color="196B24" w:themeColor="accent3"/>
        <w:bottom w:val="single" w:sz="8" w:space="0" w:color="196B24" w:themeColor="accent3"/>
        <w:right w:val="single" w:sz="8" w:space="0" w:color="196B24" w:themeColor="accent3"/>
        <w:insideH w:val="single" w:sz="8" w:space="0" w:color="196B24" w:themeColor="accent3"/>
        <w:insideV w:val="single" w:sz="8" w:space="0" w:color="196B24" w:themeColor="accent3"/>
      </w:tblBorders>
    </w:tblPr>
    <w:tcPr>
      <w:shd w:val="clear" w:color="auto" w:fill="B3EDBA" w:themeFill="accent3" w:themeFillTint="3F"/>
    </w:tcPr>
    <w:tblStylePr w:type="firstRow">
      <w:rPr>
        <w:b/>
        <w:bCs/>
        <w:color w:val="000000" w:themeColor="text1"/>
      </w:rPr>
      <w:tblPr/>
      <w:tcPr>
        <w:shd w:val="clear" w:color="auto" w:fill="E0F8E3"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1F0C7" w:themeFill="accent3" w:themeFillTint="33"/>
      </w:tcPr>
    </w:tblStylePr>
    <w:tblStylePr w:type="band1Vert">
      <w:tblPr/>
      <w:tcPr>
        <w:shd w:val="clear" w:color="auto" w:fill="66DB75" w:themeFill="accent3" w:themeFillTint="7F"/>
      </w:tcPr>
    </w:tblStylePr>
    <w:tblStylePr w:type="band1Horz">
      <w:tblPr/>
      <w:tcPr>
        <w:tcBorders>
          <w:insideH w:val="single" w:sz="6" w:space="0" w:color="196B24" w:themeColor="accent3"/>
          <w:insideV w:val="single" w:sz="6" w:space="0" w:color="196B24" w:themeColor="accent3"/>
        </w:tcBorders>
        <w:shd w:val="clear" w:color="auto" w:fill="66DB75"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0F9ED5" w:themeColor="accent4"/>
        <w:left w:val="single" w:sz="8" w:space="0" w:color="0F9ED5" w:themeColor="accent4"/>
        <w:bottom w:val="single" w:sz="8" w:space="0" w:color="0F9ED5" w:themeColor="accent4"/>
        <w:right w:val="single" w:sz="8" w:space="0" w:color="0F9ED5" w:themeColor="accent4"/>
        <w:insideH w:val="single" w:sz="8" w:space="0" w:color="0F9ED5" w:themeColor="accent4"/>
        <w:insideV w:val="single" w:sz="8" w:space="0" w:color="0F9ED5" w:themeColor="accent4"/>
      </w:tblBorders>
    </w:tblPr>
    <w:tcPr>
      <w:shd w:val="clear" w:color="auto" w:fill="BDE9FA" w:themeFill="accent4" w:themeFillTint="3F"/>
    </w:tcPr>
    <w:tblStylePr w:type="firstRow">
      <w:rPr>
        <w:b/>
        <w:bCs/>
        <w:color w:val="000000" w:themeColor="text1"/>
      </w:rPr>
      <w:tblPr/>
      <w:tcPr>
        <w:shd w:val="clear" w:color="auto" w:fill="E5F6FD"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AEDFB" w:themeFill="accent4" w:themeFillTint="33"/>
      </w:tcPr>
    </w:tblStylePr>
    <w:tblStylePr w:type="band1Vert">
      <w:tblPr/>
      <w:tcPr>
        <w:shd w:val="clear" w:color="auto" w:fill="7BD3F5" w:themeFill="accent4" w:themeFillTint="7F"/>
      </w:tcPr>
    </w:tblStylePr>
    <w:tblStylePr w:type="band1Horz">
      <w:tblPr/>
      <w:tcPr>
        <w:tcBorders>
          <w:insideH w:val="single" w:sz="6" w:space="0" w:color="0F9ED5" w:themeColor="accent4"/>
          <w:insideV w:val="single" w:sz="6" w:space="0" w:color="0F9ED5" w:themeColor="accent4"/>
        </w:tcBorders>
        <w:shd w:val="clear" w:color="auto" w:fill="7BD3F5"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A02B93" w:themeColor="accent5"/>
        <w:left w:val="single" w:sz="8" w:space="0" w:color="A02B93" w:themeColor="accent5"/>
        <w:bottom w:val="single" w:sz="8" w:space="0" w:color="A02B93" w:themeColor="accent5"/>
        <w:right w:val="single" w:sz="8" w:space="0" w:color="A02B93" w:themeColor="accent5"/>
        <w:insideH w:val="single" w:sz="8" w:space="0" w:color="A02B93" w:themeColor="accent5"/>
        <w:insideV w:val="single" w:sz="8" w:space="0" w:color="A02B93" w:themeColor="accent5"/>
      </w:tblBorders>
    </w:tblPr>
    <w:tcPr>
      <w:shd w:val="clear" w:color="auto" w:fill="EFC3E9" w:themeFill="accent5" w:themeFillTint="3F"/>
    </w:tcPr>
    <w:tblStylePr w:type="firstRow">
      <w:rPr>
        <w:b/>
        <w:bCs/>
        <w:color w:val="000000" w:themeColor="text1"/>
      </w:rPr>
      <w:tblPr/>
      <w:tcPr>
        <w:shd w:val="clear" w:color="auto" w:fill="F8E7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CEED" w:themeFill="accent5" w:themeFillTint="33"/>
      </w:tcPr>
    </w:tblStylePr>
    <w:tblStylePr w:type="band1Vert">
      <w:tblPr/>
      <w:tcPr>
        <w:shd w:val="clear" w:color="auto" w:fill="DE86D4" w:themeFill="accent5" w:themeFillTint="7F"/>
      </w:tcPr>
    </w:tblStylePr>
    <w:tblStylePr w:type="band1Horz">
      <w:tblPr/>
      <w:tcPr>
        <w:tcBorders>
          <w:insideH w:val="single" w:sz="6" w:space="0" w:color="A02B93" w:themeColor="accent5"/>
          <w:insideV w:val="single" w:sz="6" w:space="0" w:color="A02B93" w:themeColor="accent5"/>
        </w:tcBorders>
        <w:shd w:val="clear" w:color="auto" w:fill="DE86D4"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2621E5"/>
    <w:rPr>
      <w:rFonts w:asciiTheme="majorHAnsi" w:eastAsiaTheme="majorEastAsia" w:hAnsiTheme="majorHAnsi" w:cstheme="majorBidi"/>
      <w:color w:val="000000" w:themeColor="text1"/>
      <w:sz w:val="22"/>
      <w:szCs w:val="22"/>
    </w:rPr>
    <w:tblPr>
      <w:tblStyleRowBandSize w:val="1"/>
      <w:tblStyleColBandSize w:val="1"/>
      <w:tblBorders>
        <w:top w:val="single" w:sz="8" w:space="0" w:color="4EA72E" w:themeColor="accent6"/>
        <w:left w:val="single" w:sz="8" w:space="0" w:color="4EA72E" w:themeColor="accent6"/>
        <w:bottom w:val="single" w:sz="8" w:space="0" w:color="4EA72E" w:themeColor="accent6"/>
        <w:right w:val="single" w:sz="8" w:space="0" w:color="4EA72E" w:themeColor="accent6"/>
        <w:insideH w:val="single" w:sz="8" w:space="0" w:color="4EA72E" w:themeColor="accent6"/>
        <w:insideV w:val="single" w:sz="8" w:space="0" w:color="4EA72E" w:themeColor="accent6"/>
      </w:tblBorders>
    </w:tblPr>
    <w:tcPr>
      <w:shd w:val="clear" w:color="auto" w:fill="D0EFC5" w:themeFill="accent6" w:themeFillTint="3F"/>
    </w:tcPr>
    <w:tblStylePr w:type="firstRow">
      <w:rPr>
        <w:b/>
        <w:bCs/>
        <w:color w:val="000000" w:themeColor="text1"/>
      </w:rPr>
      <w:tblPr/>
      <w:tcPr>
        <w:shd w:val="clear" w:color="auto" w:fill="ECF8E8"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F2D0" w:themeFill="accent6" w:themeFillTint="33"/>
      </w:tcPr>
    </w:tblStylePr>
    <w:tblStylePr w:type="band1Vert">
      <w:tblPr/>
      <w:tcPr>
        <w:shd w:val="clear" w:color="auto" w:fill="A0DF8A" w:themeFill="accent6" w:themeFillTint="7F"/>
      </w:tcPr>
    </w:tblStylePr>
    <w:tblStylePr w:type="band1Horz">
      <w:tblPr/>
      <w:tcPr>
        <w:tcBorders>
          <w:insideH w:val="single" w:sz="6" w:space="0" w:color="4EA72E" w:themeColor="accent6"/>
          <w:insideV w:val="single" w:sz="6" w:space="0" w:color="4EA72E" w:themeColor="accent6"/>
        </w:tcBorders>
        <w:shd w:val="clear" w:color="auto" w:fill="A0DF8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2DE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56082"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56082"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56082"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4BDE6"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4BDE6" w:themeFill="accent1" w:themeFillTint="7F"/>
      </w:tcPr>
    </w:tblStylePr>
  </w:style>
  <w:style w:type="table" w:styleId="MediumGrid3-Accent2">
    <w:name w:val="Medium Grid 3 Accent 2"/>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DBCC"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713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713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713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B7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B798" w:themeFill="accent2" w:themeFillTint="7F"/>
      </w:tcPr>
    </w:tblStylePr>
  </w:style>
  <w:style w:type="table" w:styleId="MediumGrid3-Accent3">
    <w:name w:val="Medium Grid 3 Accent 3"/>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DB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96B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96B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96B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6DB75"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6DB75" w:themeFill="accent3" w:themeFillTint="7F"/>
      </w:tcPr>
    </w:tblStylePr>
  </w:style>
  <w:style w:type="table" w:styleId="MediumGrid3-Accent4">
    <w:name w:val="Medium Grid 3 Accent 4"/>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DE9FA"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F9ED5"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F9ED5"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F9ED5"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BD3F5"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BD3F5" w:themeFill="accent4" w:themeFillTint="7F"/>
      </w:tcPr>
    </w:tblStylePr>
  </w:style>
  <w:style w:type="table" w:styleId="MediumGrid3-Accent5">
    <w:name w:val="Medium Grid 3 Accent 5"/>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C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2B93"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2B93"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2B93"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E86D4"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E86D4" w:themeFill="accent5" w:themeFillTint="7F"/>
      </w:tcPr>
    </w:tblStylePr>
  </w:style>
  <w:style w:type="table" w:styleId="MediumGrid3-Accent6">
    <w:name w:val="Medium Grid 3 Accent 6"/>
    <w:basedOn w:val="TableNormal"/>
    <w:uiPriority w:val="69"/>
    <w:rsid w:val="002621E5"/>
    <w:rPr>
      <w:rFonts w:asciiTheme="minorHAnsi" w:eastAsiaTheme="minorEastAsia" w:hAnsiTheme="minorHAnsi" w:cstheme="minorBidi"/>
      <w:color w:val="auto"/>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FC5"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EA72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EA72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EA72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F8A"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F8A" w:themeFill="accent6" w:themeFillTint="7F"/>
      </w:tcPr>
    </w:tblStylePr>
  </w:style>
  <w:style w:type="table" w:styleId="DarkList">
    <w:name w:val="Dark List"/>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156082"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A2F4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0F476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0F4761" w:themeFill="accent1" w:themeFillShade="BF"/>
      </w:tcPr>
    </w:tblStylePr>
    <w:tblStylePr w:type="band1Vert">
      <w:tblPr/>
      <w:tcPr>
        <w:tcBorders>
          <w:top w:val="nil"/>
          <w:left w:val="nil"/>
          <w:bottom w:val="nil"/>
          <w:right w:val="nil"/>
          <w:insideH w:val="nil"/>
          <w:insideV w:val="nil"/>
        </w:tcBorders>
        <w:shd w:val="clear" w:color="auto" w:fill="0F4761" w:themeFill="accent1" w:themeFillShade="BF"/>
      </w:tcPr>
    </w:tblStylePr>
    <w:tblStylePr w:type="band1Horz">
      <w:tblPr/>
      <w:tcPr>
        <w:tcBorders>
          <w:top w:val="nil"/>
          <w:left w:val="nil"/>
          <w:bottom w:val="nil"/>
          <w:right w:val="nil"/>
          <w:insideH w:val="nil"/>
          <w:insideV w:val="nil"/>
        </w:tcBorders>
        <w:shd w:val="clear" w:color="auto" w:fill="0F4761" w:themeFill="accent1" w:themeFillShade="BF"/>
      </w:tcPr>
    </w:tblStylePr>
  </w:style>
  <w:style w:type="table" w:styleId="DarkList-Accent2">
    <w:name w:val="Dark List Accent 2"/>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E9713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340D"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4E1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4E14" w:themeFill="accent2" w:themeFillShade="BF"/>
      </w:tcPr>
    </w:tblStylePr>
    <w:tblStylePr w:type="band1Vert">
      <w:tblPr/>
      <w:tcPr>
        <w:tcBorders>
          <w:top w:val="nil"/>
          <w:left w:val="nil"/>
          <w:bottom w:val="nil"/>
          <w:right w:val="nil"/>
          <w:insideH w:val="nil"/>
          <w:insideV w:val="nil"/>
        </w:tcBorders>
        <w:shd w:val="clear" w:color="auto" w:fill="BF4E14" w:themeFill="accent2" w:themeFillShade="BF"/>
      </w:tcPr>
    </w:tblStylePr>
    <w:tblStylePr w:type="band1Horz">
      <w:tblPr/>
      <w:tcPr>
        <w:tcBorders>
          <w:top w:val="nil"/>
          <w:left w:val="nil"/>
          <w:bottom w:val="nil"/>
          <w:right w:val="nil"/>
          <w:insideH w:val="nil"/>
          <w:insideV w:val="nil"/>
        </w:tcBorders>
        <w:shd w:val="clear" w:color="auto" w:fill="BF4E14" w:themeFill="accent2" w:themeFillShade="BF"/>
      </w:tcPr>
    </w:tblStylePr>
  </w:style>
  <w:style w:type="table" w:styleId="DarkList-Accent3">
    <w:name w:val="Dark List Accent 3"/>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196B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C351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124F1A"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124F1A" w:themeFill="accent3" w:themeFillShade="BF"/>
      </w:tcPr>
    </w:tblStylePr>
    <w:tblStylePr w:type="band1Vert">
      <w:tblPr/>
      <w:tcPr>
        <w:tcBorders>
          <w:top w:val="nil"/>
          <w:left w:val="nil"/>
          <w:bottom w:val="nil"/>
          <w:right w:val="nil"/>
          <w:insideH w:val="nil"/>
          <w:insideV w:val="nil"/>
        </w:tcBorders>
        <w:shd w:val="clear" w:color="auto" w:fill="124F1A" w:themeFill="accent3" w:themeFillShade="BF"/>
      </w:tcPr>
    </w:tblStylePr>
    <w:tblStylePr w:type="band1Horz">
      <w:tblPr/>
      <w:tcPr>
        <w:tcBorders>
          <w:top w:val="nil"/>
          <w:left w:val="nil"/>
          <w:bottom w:val="nil"/>
          <w:right w:val="nil"/>
          <w:insideH w:val="nil"/>
          <w:insideV w:val="nil"/>
        </w:tcBorders>
        <w:shd w:val="clear" w:color="auto" w:fill="124F1A" w:themeFill="accent3" w:themeFillShade="BF"/>
      </w:tcPr>
    </w:tblStylePr>
  </w:style>
  <w:style w:type="table" w:styleId="DarkList-Accent4">
    <w:name w:val="Dark List Accent 4"/>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0F9ED5"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74E69"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B769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B769F" w:themeFill="accent4" w:themeFillShade="BF"/>
      </w:tcPr>
    </w:tblStylePr>
    <w:tblStylePr w:type="band1Vert">
      <w:tblPr/>
      <w:tcPr>
        <w:tcBorders>
          <w:top w:val="nil"/>
          <w:left w:val="nil"/>
          <w:bottom w:val="nil"/>
          <w:right w:val="nil"/>
          <w:insideH w:val="nil"/>
          <w:insideV w:val="nil"/>
        </w:tcBorders>
        <w:shd w:val="clear" w:color="auto" w:fill="0B769F" w:themeFill="accent4" w:themeFillShade="BF"/>
      </w:tcPr>
    </w:tblStylePr>
    <w:tblStylePr w:type="band1Horz">
      <w:tblPr/>
      <w:tcPr>
        <w:tcBorders>
          <w:top w:val="nil"/>
          <w:left w:val="nil"/>
          <w:bottom w:val="nil"/>
          <w:right w:val="nil"/>
          <w:insideH w:val="nil"/>
          <w:insideV w:val="nil"/>
        </w:tcBorders>
        <w:shd w:val="clear" w:color="auto" w:fill="0B769F" w:themeFill="accent4" w:themeFillShade="BF"/>
      </w:tcPr>
    </w:tblStylePr>
  </w:style>
  <w:style w:type="table" w:styleId="DarkList-Accent5">
    <w:name w:val="Dark List Accent 5"/>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A02B93"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154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206D"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206D" w:themeFill="accent5" w:themeFillShade="BF"/>
      </w:tcPr>
    </w:tblStylePr>
    <w:tblStylePr w:type="band1Vert">
      <w:tblPr/>
      <w:tcPr>
        <w:tcBorders>
          <w:top w:val="nil"/>
          <w:left w:val="nil"/>
          <w:bottom w:val="nil"/>
          <w:right w:val="nil"/>
          <w:insideH w:val="nil"/>
          <w:insideV w:val="nil"/>
        </w:tcBorders>
        <w:shd w:val="clear" w:color="auto" w:fill="77206D" w:themeFill="accent5" w:themeFillShade="BF"/>
      </w:tcPr>
    </w:tblStylePr>
    <w:tblStylePr w:type="band1Horz">
      <w:tblPr/>
      <w:tcPr>
        <w:tcBorders>
          <w:top w:val="nil"/>
          <w:left w:val="nil"/>
          <w:bottom w:val="nil"/>
          <w:right w:val="nil"/>
          <w:insideH w:val="nil"/>
          <w:insideV w:val="nil"/>
        </w:tcBorders>
        <w:shd w:val="clear" w:color="auto" w:fill="77206D" w:themeFill="accent5" w:themeFillShade="BF"/>
      </w:tcPr>
    </w:tblStylePr>
  </w:style>
  <w:style w:type="table" w:styleId="DarkList-Accent6">
    <w:name w:val="Dark List Accent 6"/>
    <w:basedOn w:val="TableNormal"/>
    <w:uiPriority w:val="70"/>
    <w:rsid w:val="002621E5"/>
    <w:rPr>
      <w:rFonts w:asciiTheme="minorHAnsi" w:eastAsiaTheme="minorEastAsia" w:hAnsiTheme="minorHAnsi" w:cstheme="minorBidi"/>
      <w:color w:val="FFFFFF" w:themeColor="background1"/>
      <w:sz w:val="22"/>
      <w:szCs w:val="22"/>
    </w:rPr>
    <w:tblPr>
      <w:tblStyleRowBandSize w:val="1"/>
      <w:tblStyleColBandSize w:val="1"/>
    </w:tblPr>
    <w:tcPr>
      <w:shd w:val="clear" w:color="auto" w:fill="4EA72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5317"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A7C22"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A7C22" w:themeFill="accent6" w:themeFillShade="BF"/>
      </w:tcPr>
    </w:tblStylePr>
    <w:tblStylePr w:type="band1Vert">
      <w:tblPr/>
      <w:tcPr>
        <w:tcBorders>
          <w:top w:val="nil"/>
          <w:left w:val="nil"/>
          <w:bottom w:val="nil"/>
          <w:right w:val="nil"/>
          <w:insideH w:val="nil"/>
          <w:insideV w:val="nil"/>
        </w:tcBorders>
        <w:shd w:val="clear" w:color="auto" w:fill="3A7C22" w:themeFill="accent6" w:themeFillShade="BF"/>
      </w:tcPr>
    </w:tblStylePr>
    <w:tblStylePr w:type="band1Horz">
      <w:tblPr/>
      <w:tcPr>
        <w:tcBorders>
          <w:top w:val="nil"/>
          <w:left w:val="nil"/>
          <w:bottom w:val="nil"/>
          <w:right w:val="nil"/>
          <w:insideH w:val="nil"/>
          <w:insideV w:val="nil"/>
        </w:tcBorders>
        <w:shd w:val="clear" w:color="auto" w:fill="3A7C22" w:themeFill="accent6" w:themeFillShade="BF"/>
      </w:tcPr>
    </w:tblStylePr>
  </w:style>
  <w:style w:type="table" w:styleId="ColourfulShading">
    <w:name w:val="Colorful Shading"/>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E9713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E97132" w:themeColor="accent2"/>
        <w:left w:val="single" w:sz="4" w:space="0" w:color="156082" w:themeColor="accent1"/>
        <w:bottom w:val="single" w:sz="4" w:space="0" w:color="156082" w:themeColor="accent1"/>
        <w:right w:val="single" w:sz="4" w:space="0" w:color="156082" w:themeColor="accent1"/>
        <w:insideH w:val="single" w:sz="4" w:space="0" w:color="FFFFFF" w:themeColor="background1"/>
        <w:insideV w:val="single" w:sz="4" w:space="0" w:color="FFFFFF" w:themeColor="background1"/>
      </w:tblBorders>
    </w:tblPr>
    <w:tcPr>
      <w:shd w:val="clear" w:color="auto" w:fill="E0F2FA" w:themeFill="accent1"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C394D" w:themeFill="accent1" w:themeFillShade="99"/>
      </w:tcPr>
    </w:tblStylePr>
    <w:tblStylePr w:type="firstCol">
      <w:rPr>
        <w:color w:val="FFFFFF" w:themeColor="background1"/>
      </w:rPr>
      <w:tblPr/>
      <w:tcPr>
        <w:tcBorders>
          <w:top w:val="nil"/>
          <w:left w:val="nil"/>
          <w:bottom w:val="nil"/>
          <w:right w:val="nil"/>
          <w:insideH w:val="single" w:sz="4" w:space="0" w:color="0C394D" w:themeColor="accent1" w:themeShade="99"/>
          <w:insideV w:val="nil"/>
        </w:tcBorders>
        <w:shd w:val="clear" w:color="auto" w:fill="0C394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394D" w:themeFill="accent1" w:themeFillShade="99"/>
      </w:tcPr>
    </w:tblStylePr>
    <w:tblStylePr w:type="band1Vert">
      <w:tblPr/>
      <w:tcPr>
        <w:shd w:val="clear" w:color="auto" w:fill="83CAEB" w:themeFill="accent1" w:themeFillTint="66"/>
      </w:tcPr>
    </w:tblStylePr>
    <w:tblStylePr w:type="band1Horz">
      <w:tblPr/>
      <w:tcPr>
        <w:shd w:val="clear" w:color="auto" w:fill="64BDE6"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E97132" w:themeColor="accent2"/>
        <w:left w:val="single" w:sz="4" w:space="0" w:color="E97132" w:themeColor="accent2"/>
        <w:bottom w:val="single" w:sz="4" w:space="0" w:color="E97132" w:themeColor="accent2"/>
        <w:right w:val="single" w:sz="4" w:space="0" w:color="E97132" w:themeColor="accent2"/>
        <w:insideH w:val="single" w:sz="4" w:space="0" w:color="FFFFFF" w:themeColor="background1"/>
        <w:insideV w:val="single" w:sz="4" w:space="0" w:color="FFFFFF" w:themeColor="background1"/>
      </w:tblBorders>
    </w:tblPr>
    <w:tcPr>
      <w:shd w:val="clear" w:color="auto" w:fill="FCF0EA" w:themeFill="accent2" w:themeFillTint="19"/>
    </w:tcPr>
    <w:tblStylePr w:type="firstRow">
      <w:rPr>
        <w:b/>
        <w:bCs/>
      </w:rPr>
      <w:tblPr/>
      <w:tcPr>
        <w:tcBorders>
          <w:top w:val="nil"/>
          <w:left w:val="nil"/>
          <w:bottom w:val="single" w:sz="24" w:space="0" w:color="E9713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3F10" w:themeFill="accent2" w:themeFillShade="99"/>
      </w:tcPr>
    </w:tblStylePr>
    <w:tblStylePr w:type="firstCol">
      <w:rPr>
        <w:color w:val="FFFFFF" w:themeColor="background1"/>
      </w:rPr>
      <w:tblPr/>
      <w:tcPr>
        <w:tcBorders>
          <w:top w:val="nil"/>
          <w:left w:val="nil"/>
          <w:bottom w:val="nil"/>
          <w:right w:val="nil"/>
          <w:insideH w:val="single" w:sz="4" w:space="0" w:color="993F10" w:themeColor="accent2" w:themeShade="99"/>
          <w:insideV w:val="nil"/>
        </w:tcBorders>
        <w:shd w:val="clear" w:color="auto" w:fill="993F1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3F10" w:themeFill="accent2" w:themeFillShade="99"/>
      </w:tcPr>
    </w:tblStylePr>
    <w:tblStylePr w:type="band1Vert">
      <w:tblPr/>
      <w:tcPr>
        <w:shd w:val="clear" w:color="auto" w:fill="F6C5AC" w:themeFill="accent2" w:themeFillTint="66"/>
      </w:tcPr>
    </w:tblStylePr>
    <w:tblStylePr w:type="band1Horz">
      <w:tblPr/>
      <w:tcPr>
        <w:shd w:val="clear" w:color="auto" w:fill="F4B798"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0F9ED5" w:themeColor="accent4"/>
        <w:left w:val="single" w:sz="4" w:space="0" w:color="196B24" w:themeColor="accent3"/>
        <w:bottom w:val="single" w:sz="4" w:space="0" w:color="196B24" w:themeColor="accent3"/>
        <w:right w:val="single" w:sz="4" w:space="0" w:color="196B24" w:themeColor="accent3"/>
        <w:insideH w:val="single" w:sz="4" w:space="0" w:color="FFFFFF" w:themeColor="background1"/>
        <w:insideV w:val="single" w:sz="4" w:space="0" w:color="FFFFFF" w:themeColor="background1"/>
      </w:tblBorders>
    </w:tblPr>
    <w:tcPr>
      <w:shd w:val="clear" w:color="auto" w:fill="E0F8E3" w:themeFill="accent3" w:themeFillTint="19"/>
    </w:tcPr>
    <w:tblStylePr w:type="firstRow">
      <w:rPr>
        <w:b/>
        <w:bCs/>
      </w:rPr>
      <w:tblPr/>
      <w:tcPr>
        <w:tcBorders>
          <w:top w:val="nil"/>
          <w:left w:val="nil"/>
          <w:bottom w:val="single" w:sz="24" w:space="0" w:color="0F9ED5"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4015" w:themeFill="accent3" w:themeFillShade="99"/>
      </w:tcPr>
    </w:tblStylePr>
    <w:tblStylePr w:type="firstCol">
      <w:rPr>
        <w:color w:val="FFFFFF" w:themeColor="background1"/>
      </w:rPr>
      <w:tblPr/>
      <w:tcPr>
        <w:tcBorders>
          <w:top w:val="nil"/>
          <w:left w:val="nil"/>
          <w:bottom w:val="nil"/>
          <w:right w:val="nil"/>
          <w:insideH w:val="single" w:sz="4" w:space="0" w:color="0F4015" w:themeColor="accent3" w:themeShade="99"/>
          <w:insideV w:val="nil"/>
        </w:tcBorders>
        <w:shd w:val="clear" w:color="auto" w:fill="0F401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F4015" w:themeFill="accent3" w:themeFillShade="99"/>
      </w:tcPr>
    </w:tblStylePr>
    <w:tblStylePr w:type="band1Vert">
      <w:tblPr/>
      <w:tcPr>
        <w:shd w:val="clear" w:color="auto" w:fill="84E290" w:themeFill="accent3" w:themeFillTint="66"/>
      </w:tcPr>
    </w:tblStylePr>
    <w:tblStylePr w:type="band1Horz">
      <w:tblPr/>
      <w:tcPr>
        <w:shd w:val="clear" w:color="auto" w:fill="66DB75" w:themeFill="accent3" w:themeFillTint="7F"/>
      </w:tcPr>
    </w:tblStylePr>
  </w:style>
  <w:style w:type="table" w:styleId="ColourfulShadingAccent4">
    <w:name w:val="Colorful Shading Accent 4"/>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196B24" w:themeColor="accent3"/>
        <w:left w:val="single" w:sz="4" w:space="0" w:color="0F9ED5" w:themeColor="accent4"/>
        <w:bottom w:val="single" w:sz="4" w:space="0" w:color="0F9ED5" w:themeColor="accent4"/>
        <w:right w:val="single" w:sz="4" w:space="0" w:color="0F9ED5" w:themeColor="accent4"/>
        <w:insideH w:val="single" w:sz="4" w:space="0" w:color="FFFFFF" w:themeColor="background1"/>
        <w:insideV w:val="single" w:sz="4" w:space="0" w:color="FFFFFF" w:themeColor="background1"/>
      </w:tblBorders>
    </w:tblPr>
    <w:tcPr>
      <w:shd w:val="clear" w:color="auto" w:fill="E5F6FD" w:themeFill="accent4" w:themeFillTint="19"/>
    </w:tcPr>
    <w:tblStylePr w:type="firstRow">
      <w:rPr>
        <w:b/>
        <w:bCs/>
      </w:rPr>
      <w:tblPr/>
      <w:tcPr>
        <w:tcBorders>
          <w:top w:val="nil"/>
          <w:left w:val="nil"/>
          <w:bottom w:val="single" w:sz="24" w:space="0" w:color="196B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95E7F" w:themeFill="accent4" w:themeFillShade="99"/>
      </w:tcPr>
    </w:tblStylePr>
    <w:tblStylePr w:type="firstCol">
      <w:rPr>
        <w:color w:val="FFFFFF" w:themeColor="background1"/>
      </w:rPr>
      <w:tblPr/>
      <w:tcPr>
        <w:tcBorders>
          <w:top w:val="nil"/>
          <w:left w:val="nil"/>
          <w:bottom w:val="nil"/>
          <w:right w:val="nil"/>
          <w:insideH w:val="single" w:sz="4" w:space="0" w:color="095E7F" w:themeColor="accent4" w:themeShade="99"/>
          <w:insideV w:val="nil"/>
        </w:tcBorders>
        <w:shd w:val="clear" w:color="auto" w:fill="095E7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95E7F" w:themeFill="accent4" w:themeFillShade="99"/>
      </w:tcPr>
    </w:tblStylePr>
    <w:tblStylePr w:type="band1Vert">
      <w:tblPr/>
      <w:tcPr>
        <w:shd w:val="clear" w:color="auto" w:fill="95DCF7" w:themeFill="accent4" w:themeFillTint="66"/>
      </w:tcPr>
    </w:tblStylePr>
    <w:tblStylePr w:type="band1Horz">
      <w:tblPr/>
      <w:tcPr>
        <w:shd w:val="clear" w:color="auto" w:fill="7BD3F5"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4EA72E" w:themeColor="accent6"/>
        <w:left w:val="single" w:sz="4" w:space="0" w:color="A02B93" w:themeColor="accent5"/>
        <w:bottom w:val="single" w:sz="4" w:space="0" w:color="A02B93" w:themeColor="accent5"/>
        <w:right w:val="single" w:sz="4" w:space="0" w:color="A02B93" w:themeColor="accent5"/>
        <w:insideH w:val="single" w:sz="4" w:space="0" w:color="FFFFFF" w:themeColor="background1"/>
        <w:insideV w:val="single" w:sz="4" w:space="0" w:color="FFFFFF" w:themeColor="background1"/>
      </w:tblBorders>
    </w:tblPr>
    <w:tcPr>
      <w:shd w:val="clear" w:color="auto" w:fill="F8E7F6" w:themeFill="accent5" w:themeFillTint="19"/>
    </w:tcPr>
    <w:tblStylePr w:type="firstRow">
      <w:rPr>
        <w:b/>
        <w:bCs/>
      </w:rPr>
      <w:tblPr/>
      <w:tcPr>
        <w:tcBorders>
          <w:top w:val="nil"/>
          <w:left w:val="nil"/>
          <w:bottom w:val="single" w:sz="24" w:space="0" w:color="4EA72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1957" w:themeFill="accent5" w:themeFillShade="99"/>
      </w:tcPr>
    </w:tblStylePr>
    <w:tblStylePr w:type="firstCol">
      <w:rPr>
        <w:color w:val="FFFFFF" w:themeColor="background1"/>
      </w:rPr>
      <w:tblPr/>
      <w:tcPr>
        <w:tcBorders>
          <w:top w:val="nil"/>
          <w:left w:val="nil"/>
          <w:bottom w:val="nil"/>
          <w:right w:val="nil"/>
          <w:insideH w:val="single" w:sz="4" w:space="0" w:color="5F1957" w:themeColor="accent5" w:themeShade="99"/>
          <w:insideV w:val="nil"/>
        </w:tcBorders>
        <w:shd w:val="clear" w:color="auto" w:fill="5F1957"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1957" w:themeFill="accent5" w:themeFillShade="99"/>
      </w:tcPr>
    </w:tblStylePr>
    <w:tblStylePr w:type="band1Vert">
      <w:tblPr/>
      <w:tcPr>
        <w:shd w:val="clear" w:color="auto" w:fill="E59EDC" w:themeFill="accent5" w:themeFillTint="66"/>
      </w:tcPr>
    </w:tblStylePr>
    <w:tblStylePr w:type="band1Horz">
      <w:tblPr/>
      <w:tcPr>
        <w:shd w:val="clear" w:color="auto" w:fill="DE86D4"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2621E5"/>
    <w:rPr>
      <w:rFonts w:asciiTheme="minorHAnsi" w:eastAsiaTheme="minorEastAsia" w:hAnsiTheme="minorHAnsi" w:cstheme="minorBidi"/>
      <w:color w:val="000000" w:themeColor="text1"/>
      <w:sz w:val="22"/>
      <w:szCs w:val="22"/>
    </w:rPr>
    <w:tblPr>
      <w:tblStyleRowBandSize w:val="1"/>
      <w:tblStyleColBandSize w:val="1"/>
      <w:tblBorders>
        <w:top w:val="single" w:sz="24" w:space="0" w:color="A02B93" w:themeColor="accent5"/>
        <w:left w:val="single" w:sz="4" w:space="0" w:color="4EA72E" w:themeColor="accent6"/>
        <w:bottom w:val="single" w:sz="4" w:space="0" w:color="4EA72E" w:themeColor="accent6"/>
        <w:right w:val="single" w:sz="4" w:space="0" w:color="4EA72E" w:themeColor="accent6"/>
        <w:insideH w:val="single" w:sz="4" w:space="0" w:color="FFFFFF" w:themeColor="background1"/>
        <w:insideV w:val="single" w:sz="4" w:space="0" w:color="FFFFFF" w:themeColor="background1"/>
      </w:tblBorders>
    </w:tblPr>
    <w:tcPr>
      <w:shd w:val="clear" w:color="auto" w:fill="ECF8E8" w:themeFill="accent6" w:themeFillTint="19"/>
    </w:tcPr>
    <w:tblStylePr w:type="firstRow">
      <w:rPr>
        <w:b/>
        <w:bCs/>
      </w:rPr>
      <w:tblPr/>
      <w:tcPr>
        <w:tcBorders>
          <w:top w:val="nil"/>
          <w:left w:val="nil"/>
          <w:bottom w:val="single" w:sz="24" w:space="0" w:color="A02B93"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641B" w:themeFill="accent6" w:themeFillShade="99"/>
      </w:tcPr>
    </w:tblStylePr>
    <w:tblStylePr w:type="firstCol">
      <w:rPr>
        <w:color w:val="FFFFFF" w:themeColor="background1"/>
      </w:rPr>
      <w:tblPr/>
      <w:tcPr>
        <w:tcBorders>
          <w:top w:val="nil"/>
          <w:left w:val="nil"/>
          <w:bottom w:val="nil"/>
          <w:right w:val="nil"/>
          <w:insideH w:val="single" w:sz="4" w:space="0" w:color="2E641B" w:themeColor="accent6" w:themeShade="99"/>
          <w:insideV w:val="nil"/>
        </w:tcBorders>
        <w:shd w:val="clear" w:color="auto" w:fill="2E641B"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641B" w:themeFill="accent6" w:themeFillShade="99"/>
      </w:tcPr>
    </w:tblStylePr>
    <w:tblStylePr w:type="band1Vert">
      <w:tblPr/>
      <w:tcPr>
        <w:shd w:val="clear" w:color="auto" w:fill="B3E5A1" w:themeFill="accent6" w:themeFillTint="66"/>
      </w:tcPr>
    </w:tblStylePr>
    <w:tblStylePr w:type="band1Horz">
      <w:tblPr/>
      <w:tcPr>
        <w:shd w:val="clear" w:color="auto" w:fill="A0DF8A"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E0F2FA" w:themeFill="accent1"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2DEF2" w:themeFill="accent1" w:themeFillTint="3F"/>
      </w:tcPr>
    </w:tblStylePr>
    <w:tblStylePr w:type="band1Horz">
      <w:tblPr/>
      <w:tcPr>
        <w:shd w:val="clear" w:color="auto" w:fill="C1E4F5" w:themeFill="accent1" w:themeFillTint="33"/>
      </w:tcPr>
    </w:tblStylePr>
  </w:style>
  <w:style w:type="table" w:styleId="ColourfulListAccent2">
    <w:name w:val="Colorful List Accent 2"/>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FCF0EA" w:themeFill="accent2" w:themeFillTint="19"/>
    </w:tcPr>
    <w:tblStylePr w:type="firstRow">
      <w:rPr>
        <w:b/>
        <w:bCs/>
        <w:color w:val="FFFFFF" w:themeColor="background1"/>
      </w:rPr>
      <w:tblPr/>
      <w:tcPr>
        <w:tcBorders>
          <w:bottom w:val="single" w:sz="12" w:space="0" w:color="FFFFFF" w:themeColor="background1"/>
        </w:tcBorders>
        <w:shd w:val="clear" w:color="auto" w:fill="CC5416" w:themeFill="accent2" w:themeFillShade="CC"/>
      </w:tcPr>
    </w:tblStylePr>
    <w:tblStylePr w:type="lastRow">
      <w:rPr>
        <w:b/>
        <w:bCs/>
        <w:color w:val="CC5416"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DBCC" w:themeFill="accent2" w:themeFillTint="3F"/>
      </w:tcPr>
    </w:tblStylePr>
    <w:tblStylePr w:type="band1Horz">
      <w:tblPr/>
      <w:tcPr>
        <w:shd w:val="clear" w:color="auto" w:fill="FAE2D5" w:themeFill="accent2" w:themeFillTint="33"/>
      </w:tcPr>
    </w:tblStylePr>
  </w:style>
  <w:style w:type="table" w:styleId="ColourfulListAccent3">
    <w:name w:val="Colorful List Accent 3"/>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E0F8E3" w:themeFill="accent3" w:themeFillTint="19"/>
    </w:tcPr>
    <w:tblStylePr w:type="firstRow">
      <w:rPr>
        <w:b/>
        <w:bCs/>
        <w:color w:val="FFFFFF" w:themeColor="background1"/>
      </w:rPr>
      <w:tblPr/>
      <w:tcPr>
        <w:tcBorders>
          <w:bottom w:val="single" w:sz="12" w:space="0" w:color="FFFFFF" w:themeColor="background1"/>
        </w:tcBorders>
        <w:shd w:val="clear" w:color="auto" w:fill="0C7EAA" w:themeFill="accent4" w:themeFillShade="CC"/>
      </w:tcPr>
    </w:tblStylePr>
    <w:tblStylePr w:type="lastRow">
      <w:rPr>
        <w:b/>
        <w:bCs/>
        <w:color w:val="0C7EAA"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DBA" w:themeFill="accent3" w:themeFillTint="3F"/>
      </w:tcPr>
    </w:tblStylePr>
    <w:tblStylePr w:type="band1Horz">
      <w:tblPr/>
      <w:tcPr>
        <w:shd w:val="clear" w:color="auto" w:fill="C1F0C7" w:themeFill="accent3" w:themeFillTint="33"/>
      </w:tcPr>
    </w:tblStylePr>
  </w:style>
  <w:style w:type="table" w:styleId="ColourfulListAccent4">
    <w:name w:val="Colorful List Accent 4"/>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E5F6FD" w:themeFill="accent4" w:themeFillTint="19"/>
    </w:tcPr>
    <w:tblStylePr w:type="firstRow">
      <w:rPr>
        <w:b/>
        <w:bCs/>
        <w:color w:val="FFFFFF" w:themeColor="background1"/>
      </w:rPr>
      <w:tblPr/>
      <w:tcPr>
        <w:tcBorders>
          <w:bottom w:val="single" w:sz="12" w:space="0" w:color="FFFFFF" w:themeColor="background1"/>
        </w:tcBorders>
        <w:shd w:val="clear" w:color="auto" w:fill="14551C" w:themeFill="accent3" w:themeFillShade="CC"/>
      </w:tcPr>
    </w:tblStylePr>
    <w:tblStylePr w:type="lastRow">
      <w:rPr>
        <w:b/>
        <w:bCs/>
        <w:color w:val="14551C"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DE9FA" w:themeFill="accent4" w:themeFillTint="3F"/>
      </w:tcPr>
    </w:tblStylePr>
    <w:tblStylePr w:type="band1Horz">
      <w:tblPr/>
      <w:tcPr>
        <w:shd w:val="clear" w:color="auto" w:fill="CAEDFB" w:themeFill="accent4" w:themeFillTint="33"/>
      </w:tcPr>
    </w:tblStylePr>
  </w:style>
  <w:style w:type="table" w:styleId="ColourfulListAccent5">
    <w:name w:val="Colorful List Accent 5"/>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F8E7F6" w:themeFill="accent5" w:themeFillTint="19"/>
    </w:tcPr>
    <w:tblStylePr w:type="firstRow">
      <w:rPr>
        <w:b/>
        <w:bCs/>
        <w:color w:val="FFFFFF" w:themeColor="background1"/>
      </w:rPr>
      <w:tblPr/>
      <w:tcPr>
        <w:tcBorders>
          <w:bottom w:val="single" w:sz="12" w:space="0" w:color="FFFFFF" w:themeColor="background1"/>
        </w:tcBorders>
        <w:shd w:val="clear" w:color="auto" w:fill="3E8524" w:themeFill="accent6" w:themeFillShade="CC"/>
      </w:tcPr>
    </w:tblStylePr>
    <w:tblStylePr w:type="lastRow">
      <w:rPr>
        <w:b/>
        <w:bCs/>
        <w:color w:val="3E852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C3E9" w:themeFill="accent5" w:themeFillTint="3F"/>
      </w:tcPr>
    </w:tblStylePr>
    <w:tblStylePr w:type="band1Horz">
      <w:tblPr/>
      <w:tcPr>
        <w:shd w:val="clear" w:color="auto" w:fill="F2CEED" w:themeFill="accent5" w:themeFillTint="33"/>
      </w:tcPr>
    </w:tblStylePr>
  </w:style>
  <w:style w:type="table" w:styleId="ColourfulListAccent6">
    <w:name w:val="Colorful List Accent 6"/>
    <w:basedOn w:val="TableNormal"/>
    <w:uiPriority w:val="72"/>
    <w:rsid w:val="002621E5"/>
    <w:rPr>
      <w:rFonts w:asciiTheme="minorHAnsi" w:eastAsiaTheme="minorEastAsia" w:hAnsiTheme="minorHAnsi" w:cstheme="minorBidi"/>
      <w:color w:val="000000" w:themeColor="text1"/>
      <w:sz w:val="22"/>
      <w:szCs w:val="22"/>
    </w:rPr>
    <w:tblPr>
      <w:tblStyleRowBandSize w:val="1"/>
      <w:tblStyleColBandSize w:val="1"/>
    </w:tblPr>
    <w:tcPr>
      <w:shd w:val="clear" w:color="auto" w:fill="ECF8E8" w:themeFill="accent6" w:themeFillTint="19"/>
    </w:tcPr>
    <w:tblStylePr w:type="firstRow">
      <w:rPr>
        <w:b/>
        <w:bCs/>
        <w:color w:val="FFFFFF" w:themeColor="background1"/>
      </w:rPr>
      <w:tblPr/>
      <w:tcPr>
        <w:tcBorders>
          <w:bottom w:val="single" w:sz="12" w:space="0" w:color="FFFFFF" w:themeColor="background1"/>
        </w:tcBorders>
        <w:shd w:val="clear" w:color="auto" w:fill="7F2275" w:themeFill="accent5" w:themeFillShade="CC"/>
      </w:tcPr>
    </w:tblStylePr>
    <w:tblStylePr w:type="lastRow">
      <w:rPr>
        <w:b/>
        <w:bCs/>
        <w:color w:val="7F227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FC5" w:themeFill="accent6" w:themeFillTint="3F"/>
      </w:tcPr>
    </w:tblStylePr>
    <w:tblStylePr w:type="band1Horz">
      <w:tblPr/>
      <w:tcPr>
        <w:shd w:val="clear" w:color="auto" w:fill="D9F2D0" w:themeFill="accent6" w:themeFillTint="33"/>
      </w:tcPr>
    </w:tblStylePr>
  </w:style>
  <w:style w:type="table" w:styleId="ColourfulGrid">
    <w:name w:val="Colorful Grid"/>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C1E4F5" w:themeFill="accent1" w:themeFillTint="33"/>
    </w:tcPr>
    <w:tblStylePr w:type="firstRow">
      <w:rPr>
        <w:b/>
        <w:bCs/>
      </w:rPr>
      <w:tblPr/>
      <w:tcPr>
        <w:shd w:val="clear" w:color="auto" w:fill="83CAEB" w:themeFill="accent1" w:themeFillTint="66"/>
      </w:tcPr>
    </w:tblStylePr>
    <w:tblStylePr w:type="lastRow">
      <w:rPr>
        <w:b/>
        <w:bCs/>
        <w:color w:val="000000" w:themeColor="text1"/>
      </w:rPr>
      <w:tblPr/>
      <w:tcPr>
        <w:shd w:val="clear" w:color="auto" w:fill="83CAEB" w:themeFill="accent1" w:themeFillTint="66"/>
      </w:tcPr>
    </w:tblStylePr>
    <w:tblStylePr w:type="firstCol">
      <w:rPr>
        <w:color w:val="FFFFFF" w:themeColor="background1"/>
      </w:rPr>
      <w:tblPr/>
      <w:tcPr>
        <w:shd w:val="clear" w:color="auto" w:fill="0F4761" w:themeFill="accent1" w:themeFillShade="BF"/>
      </w:tcPr>
    </w:tblStylePr>
    <w:tblStylePr w:type="lastCol">
      <w:rPr>
        <w:color w:val="FFFFFF" w:themeColor="background1"/>
      </w:rPr>
      <w:tblPr/>
      <w:tcPr>
        <w:shd w:val="clear" w:color="auto" w:fill="0F4761" w:themeFill="accent1" w:themeFillShade="BF"/>
      </w:tcPr>
    </w:tblStylePr>
    <w:tblStylePr w:type="band1Vert">
      <w:tblPr/>
      <w:tcPr>
        <w:shd w:val="clear" w:color="auto" w:fill="64BDE6" w:themeFill="accent1" w:themeFillTint="7F"/>
      </w:tcPr>
    </w:tblStylePr>
    <w:tblStylePr w:type="band1Horz">
      <w:tblPr/>
      <w:tcPr>
        <w:shd w:val="clear" w:color="auto" w:fill="64BDE6" w:themeFill="accent1" w:themeFillTint="7F"/>
      </w:tcPr>
    </w:tblStylePr>
  </w:style>
  <w:style w:type="table" w:styleId="ColourfulGridAccent2">
    <w:name w:val="Colorful Grid Accent 2"/>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FAE2D5" w:themeFill="accent2" w:themeFillTint="33"/>
    </w:tcPr>
    <w:tblStylePr w:type="firstRow">
      <w:rPr>
        <w:b/>
        <w:bCs/>
      </w:rPr>
      <w:tblPr/>
      <w:tcPr>
        <w:shd w:val="clear" w:color="auto" w:fill="F6C5AC" w:themeFill="accent2" w:themeFillTint="66"/>
      </w:tcPr>
    </w:tblStylePr>
    <w:tblStylePr w:type="lastRow">
      <w:rPr>
        <w:b/>
        <w:bCs/>
        <w:color w:val="000000" w:themeColor="text1"/>
      </w:rPr>
      <w:tblPr/>
      <w:tcPr>
        <w:shd w:val="clear" w:color="auto" w:fill="F6C5AC" w:themeFill="accent2" w:themeFillTint="66"/>
      </w:tcPr>
    </w:tblStylePr>
    <w:tblStylePr w:type="firstCol">
      <w:rPr>
        <w:color w:val="FFFFFF" w:themeColor="background1"/>
      </w:rPr>
      <w:tblPr/>
      <w:tcPr>
        <w:shd w:val="clear" w:color="auto" w:fill="BF4E14" w:themeFill="accent2" w:themeFillShade="BF"/>
      </w:tcPr>
    </w:tblStylePr>
    <w:tblStylePr w:type="lastCol">
      <w:rPr>
        <w:color w:val="FFFFFF" w:themeColor="background1"/>
      </w:rPr>
      <w:tblPr/>
      <w:tcPr>
        <w:shd w:val="clear" w:color="auto" w:fill="BF4E14" w:themeFill="accent2" w:themeFillShade="BF"/>
      </w:tcPr>
    </w:tblStylePr>
    <w:tblStylePr w:type="band1Vert">
      <w:tblPr/>
      <w:tcPr>
        <w:shd w:val="clear" w:color="auto" w:fill="F4B798" w:themeFill="accent2" w:themeFillTint="7F"/>
      </w:tcPr>
    </w:tblStylePr>
    <w:tblStylePr w:type="band1Horz">
      <w:tblPr/>
      <w:tcPr>
        <w:shd w:val="clear" w:color="auto" w:fill="F4B798" w:themeFill="accent2" w:themeFillTint="7F"/>
      </w:tcPr>
    </w:tblStylePr>
  </w:style>
  <w:style w:type="table" w:styleId="ColourfulGridAccent3">
    <w:name w:val="Colorful Grid Accent 3"/>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C1F0C7" w:themeFill="accent3" w:themeFillTint="33"/>
    </w:tcPr>
    <w:tblStylePr w:type="firstRow">
      <w:rPr>
        <w:b/>
        <w:bCs/>
      </w:rPr>
      <w:tblPr/>
      <w:tcPr>
        <w:shd w:val="clear" w:color="auto" w:fill="84E290" w:themeFill="accent3" w:themeFillTint="66"/>
      </w:tcPr>
    </w:tblStylePr>
    <w:tblStylePr w:type="lastRow">
      <w:rPr>
        <w:b/>
        <w:bCs/>
        <w:color w:val="000000" w:themeColor="text1"/>
      </w:rPr>
      <w:tblPr/>
      <w:tcPr>
        <w:shd w:val="clear" w:color="auto" w:fill="84E290" w:themeFill="accent3" w:themeFillTint="66"/>
      </w:tcPr>
    </w:tblStylePr>
    <w:tblStylePr w:type="firstCol">
      <w:rPr>
        <w:color w:val="FFFFFF" w:themeColor="background1"/>
      </w:rPr>
      <w:tblPr/>
      <w:tcPr>
        <w:shd w:val="clear" w:color="auto" w:fill="124F1A" w:themeFill="accent3" w:themeFillShade="BF"/>
      </w:tcPr>
    </w:tblStylePr>
    <w:tblStylePr w:type="lastCol">
      <w:rPr>
        <w:color w:val="FFFFFF" w:themeColor="background1"/>
      </w:rPr>
      <w:tblPr/>
      <w:tcPr>
        <w:shd w:val="clear" w:color="auto" w:fill="124F1A" w:themeFill="accent3" w:themeFillShade="BF"/>
      </w:tcPr>
    </w:tblStylePr>
    <w:tblStylePr w:type="band1Vert">
      <w:tblPr/>
      <w:tcPr>
        <w:shd w:val="clear" w:color="auto" w:fill="66DB75" w:themeFill="accent3" w:themeFillTint="7F"/>
      </w:tcPr>
    </w:tblStylePr>
    <w:tblStylePr w:type="band1Horz">
      <w:tblPr/>
      <w:tcPr>
        <w:shd w:val="clear" w:color="auto" w:fill="66DB75" w:themeFill="accent3" w:themeFillTint="7F"/>
      </w:tcPr>
    </w:tblStylePr>
  </w:style>
  <w:style w:type="table" w:styleId="ColourfulGridAccent4">
    <w:name w:val="Colorful Grid Accent 4"/>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CAEDFB" w:themeFill="accent4" w:themeFillTint="33"/>
    </w:tcPr>
    <w:tblStylePr w:type="firstRow">
      <w:rPr>
        <w:b/>
        <w:bCs/>
      </w:rPr>
      <w:tblPr/>
      <w:tcPr>
        <w:shd w:val="clear" w:color="auto" w:fill="95DCF7" w:themeFill="accent4" w:themeFillTint="66"/>
      </w:tcPr>
    </w:tblStylePr>
    <w:tblStylePr w:type="lastRow">
      <w:rPr>
        <w:b/>
        <w:bCs/>
        <w:color w:val="000000" w:themeColor="text1"/>
      </w:rPr>
      <w:tblPr/>
      <w:tcPr>
        <w:shd w:val="clear" w:color="auto" w:fill="95DCF7" w:themeFill="accent4" w:themeFillTint="66"/>
      </w:tcPr>
    </w:tblStylePr>
    <w:tblStylePr w:type="firstCol">
      <w:rPr>
        <w:color w:val="FFFFFF" w:themeColor="background1"/>
      </w:rPr>
      <w:tblPr/>
      <w:tcPr>
        <w:shd w:val="clear" w:color="auto" w:fill="0B769F" w:themeFill="accent4" w:themeFillShade="BF"/>
      </w:tcPr>
    </w:tblStylePr>
    <w:tblStylePr w:type="lastCol">
      <w:rPr>
        <w:color w:val="FFFFFF" w:themeColor="background1"/>
      </w:rPr>
      <w:tblPr/>
      <w:tcPr>
        <w:shd w:val="clear" w:color="auto" w:fill="0B769F" w:themeFill="accent4" w:themeFillShade="BF"/>
      </w:tcPr>
    </w:tblStylePr>
    <w:tblStylePr w:type="band1Vert">
      <w:tblPr/>
      <w:tcPr>
        <w:shd w:val="clear" w:color="auto" w:fill="7BD3F5" w:themeFill="accent4" w:themeFillTint="7F"/>
      </w:tcPr>
    </w:tblStylePr>
    <w:tblStylePr w:type="band1Horz">
      <w:tblPr/>
      <w:tcPr>
        <w:shd w:val="clear" w:color="auto" w:fill="7BD3F5" w:themeFill="accent4" w:themeFillTint="7F"/>
      </w:tcPr>
    </w:tblStylePr>
  </w:style>
  <w:style w:type="table" w:styleId="ColourfulGridAccent5">
    <w:name w:val="Colorful Grid Accent 5"/>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F2CEED" w:themeFill="accent5" w:themeFillTint="33"/>
    </w:tcPr>
    <w:tblStylePr w:type="firstRow">
      <w:rPr>
        <w:b/>
        <w:bCs/>
      </w:rPr>
      <w:tblPr/>
      <w:tcPr>
        <w:shd w:val="clear" w:color="auto" w:fill="E59EDC" w:themeFill="accent5" w:themeFillTint="66"/>
      </w:tcPr>
    </w:tblStylePr>
    <w:tblStylePr w:type="lastRow">
      <w:rPr>
        <w:b/>
        <w:bCs/>
        <w:color w:val="000000" w:themeColor="text1"/>
      </w:rPr>
      <w:tblPr/>
      <w:tcPr>
        <w:shd w:val="clear" w:color="auto" w:fill="E59EDC" w:themeFill="accent5" w:themeFillTint="66"/>
      </w:tcPr>
    </w:tblStylePr>
    <w:tblStylePr w:type="firstCol">
      <w:rPr>
        <w:color w:val="FFFFFF" w:themeColor="background1"/>
      </w:rPr>
      <w:tblPr/>
      <w:tcPr>
        <w:shd w:val="clear" w:color="auto" w:fill="77206D" w:themeFill="accent5" w:themeFillShade="BF"/>
      </w:tcPr>
    </w:tblStylePr>
    <w:tblStylePr w:type="lastCol">
      <w:rPr>
        <w:color w:val="FFFFFF" w:themeColor="background1"/>
      </w:rPr>
      <w:tblPr/>
      <w:tcPr>
        <w:shd w:val="clear" w:color="auto" w:fill="77206D" w:themeFill="accent5" w:themeFillShade="BF"/>
      </w:tcPr>
    </w:tblStylePr>
    <w:tblStylePr w:type="band1Vert">
      <w:tblPr/>
      <w:tcPr>
        <w:shd w:val="clear" w:color="auto" w:fill="DE86D4" w:themeFill="accent5" w:themeFillTint="7F"/>
      </w:tcPr>
    </w:tblStylePr>
    <w:tblStylePr w:type="band1Horz">
      <w:tblPr/>
      <w:tcPr>
        <w:shd w:val="clear" w:color="auto" w:fill="DE86D4" w:themeFill="accent5" w:themeFillTint="7F"/>
      </w:tcPr>
    </w:tblStylePr>
  </w:style>
  <w:style w:type="table" w:styleId="ColourfulGridAccent6">
    <w:name w:val="Colorful Grid Accent 6"/>
    <w:basedOn w:val="TableNormal"/>
    <w:uiPriority w:val="73"/>
    <w:rsid w:val="002621E5"/>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D9F2D0" w:themeFill="accent6" w:themeFillTint="33"/>
    </w:tcPr>
    <w:tblStylePr w:type="firstRow">
      <w:rPr>
        <w:b/>
        <w:bCs/>
      </w:rPr>
      <w:tblPr/>
      <w:tcPr>
        <w:shd w:val="clear" w:color="auto" w:fill="B3E5A1" w:themeFill="accent6" w:themeFillTint="66"/>
      </w:tcPr>
    </w:tblStylePr>
    <w:tblStylePr w:type="lastRow">
      <w:rPr>
        <w:b/>
        <w:bCs/>
        <w:color w:val="000000" w:themeColor="text1"/>
      </w:rPr>
      <w:tblPr/>
      <w:tcPr>
        <w:shd w:val="clear" w:color="auto" w:fill="B3E5A1" w:themeFill="accent6" w:themeFillTint="66"/>
      </w:tcPr>
    </w:tblStylePr>
    <w:tblStylePr w:type="firstCol">
      <w:rPr>
        <w:color w:val="FFFFFF" w:themeColor="background1"/>
      </w:rPr>
      <w:tblPr/>
      <w:tcPr>
        <w:shd w:val="clear" w:color="auto" w:fill="3A7C22" w:themeFill="accent6" w:themeFillShade="BF"/>
      </w:tcPr>
    </w:tblStylePr>
    <w:tblStylePr w:type="lastCol">
      <w:rPr>
        <w:color w:val="FFFFFF" w:themeColor="background1"/>
      </w:rPr>
      <w:tblPr/>
      <w:tcPr>
        <w:shd w:val="clear" w:color="auto" w:fill="3A7C22" w:themeFill="accent6" w:themeFillShade="BF"/>
      </w:tcPr>
    </w:tblStylePr>
    <w:tblStylePr w:type="band1Vert">
      <w:tblPr/>
      <w:tcPr>
        <w:shd w:val="clear" w:color="auto" w:fill="A0DF8A" w:themeFill="accent6" w:themeFillTint="7F"/>
      </w:tcPr>
    </w:tblStylePr>
    <w:tblStylePr w:type="band1Horz">
      <w:tblPr/>
      <w:tcPr>
        <w:shd w:val="clear" w:color="auto" w:fill="A0DF8A" w:themeFill="accent6" w:themeFillTint="7F"/>
      </w:tcPr>
    </w:tblStylePr>
  </w:style>
  <w:style w:type="paragraph" w:customStyle="1" w:styleId="References">
    <w:name w:val="References"/>
    <w:rsid w:val="002621E5"/>
    <w:pPr>
      <w:spacing w:after="100"/>
      <w:ind w:left="720" w:hanging="720"/>
    </w:pPr>
    <w:rPr>
      <w:rFonts w:ascii="Times New Roman" w:eastAsia="Times New Roman" w:hAnsi="Times New Roman" w:cstheme="minorBidi"/>
      <w:color w:val="auto"/>
      <w:sz w:val="22"/>
      <w:szCs w:val="22"/>
    </w:rPr>
  </w:style>
  <w:style w:type="character" w:styleId="UnresolvedMention">
    <w:name w:val="Unresolved Mention"/>
    <w:basedOn w:val="DefaultParagraphFont"/>
    <w:uiPriority w:val="99"/>
    <w:semiHidden/>
    <w:unhideWhenUsed/>
    <w:rsid w:val="002621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301-022-00299-0" TargetMode="External"/><Relationship Id="rId18" Type="http://schemas.openxmlformats.org/officeDocument/2006/relationships/hyperlink" Target="https://doi.org/10.3390/info15020105"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doi.org/10.1016/j.ijproman.2021.03.002" TargetMode="External"/><Relationship Id="rId7" Type="http://schemas.openxmlformats.org/officeDocument/2006/relationships/endnotes" Target="endnotes.xml"/><Relationship Id="rId12" Type="http://schemas.openxmlformats.org/officeDocument/2006/relationships/hyperlink" Target="https://doi.org/10.3390/su12072594" TargetMode="External"/><Relationship Id="rId17" Type="http://schemas.openxmlformats.org/officeDocument/2006/relationships/hyperlink" Target="https://doi.org/10.1007/s13132-022-01043-5" TargetMode="External"/><Relationship Id="rId25" Type="http://schemas.openxmlformats.org/officeDocument/2006/relationships/hyperlink" Target="https://doi.org/10.3390/su12219245" TargetMode="External"/><Relationship Id="rId2" Type="http://schemas.openxmlformats.org/officeDocument/2006/relationships/numbering" Target="numbering.xml"/><Relationship Id="rId16" Type="http://schemas.openxmlformats.org/officeDocument/2006/relationships/hyperlink" Target="https://www.iso.org/standard/65694.html" TargetMode="External"/><Relationship Id="rId20" Type="http://schemas.openxmlformats.org/officeDocument/2006/relationships/hyperlink" Target="https://doi.org/10.1146/annurev.soc.29.010202.10003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4867/ijiem-2023-4-340" TargetMode="External"/><Relationship Id="rId24" Type="http://schemas.openxmlformats.org/officeDocument/2006/relationships/hyperlink" Target="https://doi.org/10.3390/su13084457" TargetMode="External"/><Relationship Id="rId5" Type="http://schemas.openxmlformats.org/officeDocument/2006/relationships/webSettings" Target="webSettings.xml"/><Relationship Id="rId15" Type="http://schemas.openxmlformats.org/officeDocument/2006/relationships/hyperlink" Target="https://ico.org.uk/for-organisations/uk-gdpr-guidance-and-resources/data-protection-principles/" TargetMode="External"/><Relationship Id="rId23" Type="http://schemas.openxmlformats.org/officeDocument/2006/relationships/hyperlink" Target="https://doi.org/10.3389/fpsyg.2022.772668" TargetMode="External"/><Relationship Id="rId28" Type="http://schemas.openxmlformats.org/officeDocument/2006/relationships/fontTable" Target="fontTable.xml"/><Relationship Id="rId10" Type="http://schemas.openxmlformats.org/officeDocument/2006/relationships/hyperlink" Target="https://doi.org/10.1016/j.plas.2024.100136" TargetMode="External"/><Relationship Id="rId19" Type="http://schemas.openxmlformats.org/officeDocument/2006/relationships/hyperlink" Target="https://doi.org/10.1108/JIC-04-2019-0077" TargetMode="External"/><Relationship Id="rId4" Type="http://schemas.openxmlformats.org/officeDocument/2006/relationships/settings" Target="settings.xml"/><Relationship Id="rId9" Type="http://schemas.openxmlformats.org/officeDocument/2006/relationships/hyperlink" Target="https://doi.org/10.1057/s41599-024-02876-y" TargetMode="External"/><Relationship Id="rId14" Type="http://schemas.openxmlformats.org/officeDocument/2006/relationships/hyperlink" Target="https://doi.org/10.1108/VJIKMS-04-2021-0059" TargetMode="External"/><Relationship Id="rId22" Type="http://schemas.openxmlformats.org/officeDocument/2006/relationships/hyperlink" Target="https://doi.org/10.3390/su1301028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F6608-59D3-4AB6-B5B0-CCE365D5B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6317</Words>
  <Characters>36010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dc:creator>
  <cp:lastModifiedBy>Michelle B Bradshaw</cp:lastModifiedBy>
  <cp:revision>15</cp:revision>
  <dcterms:created xsi:type="dcterms:W3CDTF">2026-07-22T12:32:00Z</dcterms:created>
  <dcterms:modified xsi:type="dcterms:W3CDTF">2026-08-30T09:29:00Z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fa5f09f8-fd57-417e-9c71-90bdca69d2d2</vt:lpwstr>
  </property>
</Properties>
</file>