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F5101" w:rsidRDefault="000F5101" w:rsidP="002C348E">
      <w:pPr>
        <w:jc w:val="center"/>
        <w:rPr>
          <w:rFonts w:ascii="Arial" w:hAnsi="Arial" w:cs="Arial"/>
        </w:rPr>
      </w:pPr>
    </w:p>
    <w:p w:rsidR="002C348E" w:rsidRDefault="002C348E" w:rsidP="002C348E">
      <w:pPr>
        <w:jc w:val="center"/>
        <w:rPr>
          <w:rFonts w:ascii="Arial" w:hAnsi="Arial" w:cs="Arial"/>
        </w:rPr>
      </w:pPr>
    </w:p>
    <w:p w:rsidR="002C348E" w:rsidRDefault="002C348E" w:rsidP="002C348E">
      <w:pPr>
        <w:jc w:val="center"/>
        <w:rPr>
          <w:rFonts w:ascii="Arial" w:hAnsi="Arial" w:cs="Arial"/>
        </w:rPr>
      </w:pPr>
    </w:p>
    <w:p w:rsidR="002C348E" w:rsidRDefault="002C348E" w:rsidP="002C348E">
      <w:pPr>
        <w:jc w:val="center"/>
        <w:rPr>
          <w:rFonts w:ascii="Arial" w:hAnsi="Arial" w:cs="Arial"/>
        </w:rPr>
      </w:pPr>
    </w:p>
    <w:p w:rsidR="002C348E" w:rsidRDefault="002C348E" w:rsidP="002C348E">
      <w:pPr>
        <w:jc w:val="center"/>
        <w:rPr>
          <w:rFonts w:ascii="Arial" w:hAnsi="Arial" w:cs="Arial"/>
        </w:rPr>
      </w:pPr>
    </w:p>
    <w:p w:rsidR="002C348E" w:rsidRDefault="002C348E" w:rsidP="002C348E">
      <w:pPr>
        <w:jc w:val="center"/>
        <w:rPr>
          <w:rFonts w:ascii="Arial" w:hAnsi="Arial" w:cs="Arial"/>
        </w:rPr>
      </w:pPr>
    </w:p>
    <w:p w:rsidR="002C348E" w:rsidRDefault="002C348E" w:rsidP="002C348E">
      <w:pPr>
        <w:jc w:val="center"/>
        <w:rPr>
          <w:rFonts w:ascii="Arial" w:hAnsi="Arial" w:cs="Arial"/>
        </w:rPr>
      </w:pPr>
    </w:p>
    <w:p w:rsidR="002C348E" w:rsidRDefault="002C348E" w:rsidP="002C348E">
      <w:pPr>
        <w:jc w:val="center"/>
        <w:rPr>
          <w:rFonts w:ascii="Arial" w:hAnsi="Arial" w:cs="Arial"/>
        </w:rPr>
      </w:pPr>
    </w:p>
    <w:p w:rsidR="002C348E" w:rsidRDefault="002C348E" w:rsidP="002C348E">
      <w:pPr>
        <w:jc w:val="center"/>
        <w:rPr>
          <w:rFonts w:ascii="Arial" w:hAnsi="Arial" w:cs="Arial"/>
        </w:rPr>
      </w:pPr>
    </w:p>
    <w:p w:rsidR="002C348E" w:rsidRDefault="002C348E" w:rsidP="002C348E">
      <w:pPr>
        <w:jc w:val="center"/>
        <w:rPr>
          <w:rFonts w:ascii="Arial" w:hAnsi="Arial" w:cs="Arial"/>
        </w:rPr>
      </w:pPr>
    </w:p>
    <w:p w:rsidR="002C348E" w:rsidRDefault="002C348E" w:rsidP="002C348E">
      <w:pPr>
        <w:jc w:val="center"/>
        <w:rPr>
          <w:rFonts w:ascii="Arial" w:hAnsi="Arial" w:cs="Arial"/>
        </w:rPr>
      </w:pPr>
    </w:p>
    <w:p w:rsidR="002C348E" w:rsidRDefault="002C348E" w:rsidP="002C348E">
      <w:pPr>
        <w:jc w:val="center"/>
        <w:rPr>
          <w:rFonts w:ascii="Arial" w:hAnsi="Arial" w:cs="Arial"/>
        </w:rPr>
      </w:pPr>
    </w:p>
    <w:p w:rsidR="002C348E" w:rsidRDefault="002C348E" w:rsidP="002C348E">
      <w:pPr>
        <w:jc w:val="center"/>
        <w:rPr>
          <w:rFonts w:ascii="Arial" w:hAnsi="Arial" w:cs="Arial"/>
        </w:rPr>
      </w:pPr>
    </w:p>
    <w:p w:rsidR="002C348E" w:rsidRDefault="002C348E" w:rsidP="002C348E">
      <w:pPr>
        <w:jc w:val="center"/>
        <w:rPr>
          <w:rFonts w:ascii="Arial" w:hAnsi="Arial" w:cs="Arial"/>
        </w:rPr>
      </w:pPr>
    </w:p>
    <w:p w:rsidR="002C348E" w:rsidRDefault="002C348E" w:rsidP="002C348E">
      <w:pPr>
        <w:jc w:val="center"/>
        <w:rPr>
          <w:rFonts w:ascii="Arial" w:hAnsi="Arial" w:cs="Arial"/>
        </w:rPr>
      </w:pPr>
    </w:p>
    <w:p w:rsidR="002C348E" w:rsidRDefault="002C348E" w:rsidP="002C348E">
      <w:pPr>
        <w:jc w:val="center"/>
        <w:rPr>
          <w:rFonts w:ascii="Arial" w:hAnsi="Arial" w:cs="Arial"/>
        </w:rPr>
      </w:pPr>
    </w:p>
    <w:p w:rsidR="002C348E" w:rsidRDefault="002C348E" w:rsidP="002C348E">
      <w:pPr>
        <w:jc w:val="center"/>
        <w:rPr>
          <w:rFonts w:ascii="Arial" w:hAnsi="Arial" w:cs="Arial"/>
        </w:rPr>
      </w:pPr>
    </w:p>
    <w:p w:rsidR="002C348E" w:rsidRDefault="002C348E" w:rsidP="002C348E">
      <w:pPr>
        <w:jc w:val="center"/>
        <w:rPr>
          <w:rFonts w:ascii="Arial" w:hAnsi="Arial" w:cs="Arial"/>
        </w:rPr>
      </w:pPr>
    </w:p>
    <w:p w:rsidR="002C348E" w:rsidRPr="002C348E" w:rsidRDefault="002C348E" w:rsidP="002C348E">
      <w:pPr>
        <w:jc w:val="center"/>
        <w:rPr>
          <w:rFonts w:ascii="Times" w:hAnsi="Times" w:cs="Arial"/>
          <w:sz w:val="44"/>
        </w:rPr>
      </w:pPr>
      <w:r w:rsidRPr="002C348E">
        <w:rPr>
          <w:rFonts w:ascii="Times" w:hAnsi="Times" w:cs="Arial"/>
          <w:sz w:val="44"/>
        </w:rPr>
        <w:t xml:space="preserve">Name: Natasha Wallace </w:t>
      </w:r>
    </w:p>
    <w:p w:rsidR="002C348E" w:rsidRPr="002C348E" w:rsidRDefault="002C348E" w:rsidP="002C348E">
      <w:pPr>
        <w:jc w:val="center"/>
        <w:rPr>
          <w:rFonts w:ascii="Times" w:hAnsi="Times" w:cs="Arial"/>
          <w:sz w:val="44"/>
        </w:rPr>
      </w:pPr>
      <w:r w:rsidRPr="002C348E">
        <w:rPr>
          <w:rFonts w:ascii="Times" w:hAnsi="Times" w:cs="Arial"/>
          <w:sz w:val="44"/>
        </w:rPr>
        <w:t>Student ID: 1602524</w:t>
      </w:r>
    </w:p>
    <w:p w:rsidR="002C348E" w:rsidRPr="002C348E" w:rsidRDefault="002C348E" w:rsidP="002C348E">
      <w:pPr>
        <w:jc w:val="center"/>
        <w:rPr>
          <w:rFonts w:ascii="Times" w:hAnsi="Times" w:cs="Arial"/>
          <w:sz w:val="44"/>
        </w:rPr>
      </w:pPr>
      <w:r w:rsidRPr="002C348E">
        <w:rPr>
          <w:rFonts w:ascii="Times" w:hAnsi="Times" w:cs="Arial"/>
          <w:sz w:val="44"/>
        </w:rPr>
        <w:t xml:space="preserve">Question: </w:t>
      </w:r>
    </w:p>
    <w:p w:rsidR="002C348E" w:rsidRPr="002C348E" w:rsidRDefault="002C348E" w:rsidP="002C348E">
      <w:pPr>
        <w:jc w:val="center"/>
        <w:rPr>
          <w:rFonts w:ascii="Times" w:hAnsi="Times" w:cs="Arial"/>
          <w:sz w:val="44"/>
        </w:rPr>
      </w:pPr>
      <w:r w:rsidRPr="002C348E">
        <w:rPr>
          <w:rFonts w:ascii="Times" w:hAnsi="Times" w:cs="Arial"/>
          <w:sz w:val="44"/>
        </w:rPr>
        <w:t xml:space="preserve">Choose a group/individual within society and education being at risk of exclusion. Use the literature and theory to critically analyse whether policy translates into good/best practise in education. </w:t>
      </w:r>
    </w:p>
    <w:p w:rsidR="002C348E" w:rsidRDefault="002C348E" w:rsidP="002C348E">
      <w:pPr>
        <w:jc w:val="center"/>
        <w:rPr>
          <w:rFonts w:ascii="Arial" w:hAnsi="Arial" w:cs="Arial"/>
        </w:rPr>
      </w:pPr>
    </w:p>
    <w:p w:rsidR="002C348E" w:rsidRDefault="002C348E" w:rsidP="002C348E">
      <w:pPr>
        <w:jc w:val="center"/>
        <w:rPr>
          <w:rFonts w:ascii="Arial" w:hAnsi="Arial" w:cs="Arial"/>
        </w:rPr>
      </w:pPr>
    </w:p>
    <w:p w:rsidR="002C348E" w:rsidRDefault="002C348E" w:rsidP="002C348E">
      <w:pPr>
        <w:jc w:val="center"/>
        <w:rPr>
          <w:rFonts w:ascii="Arial" w:hAnsi="Arial" w:cs="Arial"/>
        </w:rPr>
      </w:pPr>
    </w:p>
    <w:p w:rsidR="002C348E" w:rsidRDefault="002C348E" w:rsidP="002C348E">
      <w:pPr>
        <w:jc w:val="center"/>
        <w:rPr>
          <w:rFonts w:ascii="Arial" w:hAnsi="Arial" w:cs="Arial"/>
        </w:rPr>
      </w:pPr>
    </w:p>
    <w:p w:rsidR="002C348E" w:rsidRDefault="002C348E" w:rsidP="002C348E">
      <w:pPr>
        <w:jc w:val="center"/>
        <w:rPr>
          <w:rFonts w:ascii="Arial" w:hAnsi="Arial" w:cs="Arial"/>
        </w:rPr>
      </w:pPr>
    </w:p>
    <w:p w:rsidR="002C348E" w:rsidRDefault="002C348E" w:rsidP="002C348E">
      <w:pPr>
        <w:jc w:val="center"/>
        <w:rPr>
          <w:rFonts w:ascii="Arial" w:hAnsi="Arial" w:cs="Arial"/>
        </w:rPr>
      </w:pPr>
    </w:p>
    <w:p w:rsidR="002C348E" w:rsidRDefault="002C348E" w:rsidP="002C348E">
      <w:pPr>
        <w:jc w:val="center"/>
        <w:rPr>
          <w:rFonts w:ascii="Arial" w:hAnsi="Arial" w:cs="Arial"/>
        </w:rPr>
      </w:pPr>
    </w:p>
    <w:p w:rsidR="002C348E" w:rsidRDefault="002C348E" w:rsidP="002C348E">
      <w:pPr>
        <w:jc w:val="center"/>
        <w:rPr>
          <w:rFonts w:ascii="Arial" w:hAnsi="Arial" w:cs="Arial"/>
        </w:rPr>
      </w:pPr>
    </w:p>
    <w:p w:rsidR="002C348E" w:rsidRDefault="002C348E" w:rsidP="002C348E">
      <w:pPr>
        <w:jc w:val="center"/>
        <w:rPr>
          <w:rFonts w:ascii="Arial" w:hAnsi="Arial" w:cs="Arial"/>
        </w:rPr>
      </w:pPr>
    </w:p>
    <w:p w:rsidR="002C348E" w:rsidRDefault="002C348E" w:rsidP="002C348E">
      <w:pPr>
        <w:jc w:val="center"/>
        <w:rPr>
          <w:rFonts w:ascii="Arial" w:hAnsi="Arial" w:cs="Arial"/>
        </w:rPr>
      </w:pPr>
    </w:p>
    <w:p w:rsidR="002C348E" w:rsidRDefault="002C348E" w:rsidP="002C348E">
      <w:pPr>
        <w:jc w:val="center"/>
        <w:rPr>
          <w:rFonts w:ascii="Arial" w:hAnsi="Arial" w:cs="Arial"/>
        </w:rPr>
      </w:pPr>
    </w:p>
    <w:p w:rsidR="002C348E" w:rsidRDefault="002C348E" w:rsidP="002C348E">
      <w:pPr>
        <w:jc w:val="center"/>
        <w:rPr>
          <w:rFonts w:ascii="Arial" w:hAnsi="Arial" w:cs="Arial"/>
        </w:rPr>
      </w:pPr>
    </w:p>
    <w:p w:rsidR="002C348E" w:rsidRDefault="002C348E" w:rsidP="002C348E">
      <w:pPr>
        <w:jc w:val="center"/>
        <w:rPr>
          <w:rFonts w:ascii="Arial" w:hAnsi="Arial" w:cs="Arial"/>
        </w:rPr>
      </w:pPr>
    </w:p>
    <w:p w:rsidR="002C348E" w:rsidRDefault="002C348E" w:rsidP="002C348E">
      <w:pPr>
        <w:jc w:val="center"/>
        <w:rPr>
          <w:rFonts w:ascii="Arial" w:hAnsi="Arial" w:cs="Arial"/>
        </w:rPr>
      </w:pPr>
    </w:p>
    <w:p w:rsidR="002C348E" w:rsidRDefault="002C348E" w:rsidP="002C348E">
      <w:pPr>
        <w:jc w:val="center"/>
        <w:rPr>
          <w:rFonts w:ascii="Arial" w:hAnsi="Arial" w:cs="Arial"/>
        </w:rPr>
      </w:pPr>
    </w:p>
    <w:p w:rsidR="002C348E" w:rsidRDefault="002C348E" w:rsidP="002C348E">
      <w:pPr>
        <w:jc w:val="center"/>
        <w:rPr>
          <w:rFonts w:ascii="Arial" w:hAnsi="Arial" w:cs="Arial"/>
        </w:rPr>
      </w:pPr>
    </w:p>
    <w:p w:rsidR="002C348E" w:rsidRDefault="002C348E" w:rsidP="002C348E">
      <w:pPr>
        <w:jc w:val="center"/>
        <w:rPr>
          <w:rFonts w:ascii="Arial" w:hAnsi="Arial" w:cs="Arial"/>
        </w:rPr>
      </w:pPr>
    </w:p>
    <w:p w:rsidR="002C348E" w:rsidRPr="002C348E" w:rsidRDefault="002C348E" w:rsidP="002C348E">
      <w:pPr>
        <w:rPr>
          <w:rFonts w:ascii="Times" w:hAnsi="Times" w:cs="Arial"/>
        </w:rPr>
      </w:pPr>
      <w:r w:rsidRPr="002C348E">
        <w:rPr>
          <w:rFonts w:ascii="Times" w:hAnsi="Times" w:cs="Arial"/>
        </w:rPr>
        <w:lastRenderedPageBreak/>
        <w:t>The group of children, through both research and experience, I have decided to discuss are the Gypsy-Traveller children. The reason for this is because they are one of the highest groups in society that are deprived of education and exclusion in society. The definition of social exclusion is as follows:</w:t>
      </w:r>
    </w:p>
    <w:p w:rsidR="002C348E" w:rsidRPr="002C348E" w:rsidRDefault="002C348E" w:rsidP="002C348E">
      <w:pPr>
        <w:ind w:left="720"/>
        <w:rPr>
          <w:rFonts w:ascii="Times" w:hAnsi="Times" w:cs="Arial"/>
        </w:rPr>
      </w:pPr>
      <w:r w:rsidRPr="002C348E">
        <w:rPr>
          <w:rFonts w:ascii="Times" w:hAnsi="Times" w:cs="Arial"/>
        </w:rPr>
        <w:t xml:space="preserve">“Social exclusion is a complex and multi-dimensional process. It involves the lack of denial of resources, rights, good and services, and the inability to participate in normal relationships and activities, available to the majority in a society whether in economic, social, cultural or political areas. It affects both the quality of life of individuals and the equity and cohesion of society as a whole.” (www.poverty.ac.uk) </w:t>
      </w:r>
    </w:p>
    <w:p w:rsidR="002C348E" w:rsidRPr="002C348E" w:rsidRDefault="002C348E" w:rsidP="002C348E">
      <w:pPr>
        <w:jc w:val="both"/>
        <w:rPr>
          <w:rFonts w:ascii="Times" w:hAnsi="Times" w:cs="Arial"/>
        </w:rPr>
      </w:pPr>
      <w:r w:rsidRPr="002C348E">
        <w:rPr>
          <w:rFonts w:ascii="Times" w:hAnsi="Times" w:cs="Arial"/>
        </w:rPr>
        <w:t xml:space="preserve">The Gypsy-Traveller community suffer prejudice is expressed through poor media coverage, which enables the public to have low views on the traveller community. The community is then stereotyped by both the public and the media, for example, travellers do not pay tax when working. Another stereotype is that they do not respect private property; they set up illegal campsites, which causes a cost to the public and also evictions, which results in families having to move frequently, which also has a knock-on effect on a child’s education. There is also high deprivation in the community due to the reform of the benefits system in 2011. Lack of literacy and numeracy skills, unable to access the internet in rural areas is causing benefit sanctions and/or loss of benefits, which is resulting in high numbers in the community living in poverty. The travelling community are working longer hours, which works out that they are working for less than the national minimum wage. Lack of money and education can also result in social exclusion. The inability to access services, for example, apply for appropriate benefits and employment, as well as access to healthcare services. This deprivation affects the community throughout England and Wales. </w:t>
      </w:r>
    </w:p>
    <w:p w:rsidR="002C348E" w:rsidRPr="002C348E" w:rsidRDefault="002C348E" w:rsidP="002C348E">
      <w:pPr>
        <w:rPr>
          <w:rFonts w:ascii="Times" w:hAnsi="Times" w:cs="Arial"/>
        </w:rPr>
      </w:pPr>
      <w:r w:rsidRPr="002C348E">
        <w:rPr>
          <w:rFonts w:ascii="Times" w:hAnsi="Times" w:cs="Arial"/>
        </w:rPr>
        <w:t xml:space="preserve">In England and Wales, traveller families are larger than an average family of three children. This can cause housing deprivation, living in overcrowded accommodation, or in an accommodation where there is no central heating. Economic deprivation is defined as living in a household where no adult is in paid work. Education deprivation for children between the ages of 0-16 is defined as living in a household where the parent(s) (or no parent) is present and the household has no educational qualifications. Finally, health deprivation is defined for 0-18-year-olds as having poor health or a longstanding illness or disability that limits their activities. Also, 24% of children in the traveller community live with a disabled parent. (Buchardt and Vizard, 2011) </w:t>
      </w:r>
    </w:p>
    <w:p w:rsidR="002C348E" w:rsidRPr="002C348E" w:rsidRDefault="002C348E" w:rsidP="002C348E">
      <w:pPr>
        <w:rPr>
          <w:rFonts w:ascii="Times" w:hAnsi="Times" w:cs="Arial"/>
        </w:rPr>
      </w:pPr>
      <w:r w:rsidRPr="002C348E">
        <w:rPr>
          <w:rFonts w:ascii="Times" w:hAnsi="Times" w:cs="Arial"/>
        </w:rPr>
        <w:t xml:space="preserve">In September 2003, the government produced a document known as ‘Every Child Matters’. This documentation pointed out that every child in England and Wales, as well as families, living in poverty would be provided help and guidance to stop the repeating process of child neglect, low achievements in education, helping to stop teenage pregnancy, support groups to help young families using additional resources provided by government funding to reduce the cycle of domestic violence, unemployment, which a lot of travelling communities would not be able to access due to their culture, fear of isolation, lack of trust issues with resources that are considered external. </w:t>
      </w:r>
    </w:p>
    <w:p w:rsidR="002C348E" w:rsidRPr="002C348E" w:rsidRDefault="002C348E" w:rsidP="002C348E">
      <w:pPr>
        <w:rPr>
          <w:rFonts w:ascii="Times" w:hAnsi="Times" w:cs="Arial"/>
        </w:rPr>
      </w:pPr>
      <w:r w:rsidRPr="002C348E">
        <w:rPr>
          <w:rFonts w:ascii="Times" w:hAnsi="Times" w:cs="Arial"/>
        </w:rPr>
        <w:t xml:space="preserve">The Gypsy Traveller Community rely on Traveller Education Support Service (TESS) was originally developed in London in the mid-1970s but became regional throughout the years. The travelling community over time has built a good relationship with TESS. Not only do they support the community with education, filling out forms helping with other agencies, benefits, housing problems, providing education when children of comprehensive age are unable to attend school. Also, TESS, help with registering with dentists, doctors etc. This has benefitted children over time from a primary school age (3-11). Working with the traveller community, people in education need to understand their cultural beliefs and gain their trust. Traveller communities are a close-knit community and they also live with extended families that hold cultural beliefs and traditions, which can exclude them from society. </w:t>
      </w:r>
    </w:p>
    <w:p w:rsidR="002C348E" w:rsidRPr="002C348E" w:rsidRDefault="002C348E" w:rsidP="002C348E">
      <w:pPr>
        <w:rPr>
          <w:rFonts w:ascii="Times" w:hAnsi="Times" w:cs="Arial"/>
        </w:rPr>
      </w:pPr>
      <w:r w:rsidRPr="002C348E">
        <w:rPr>
          <w:rFonts w:ascii="Times" w:hAnsi="Times" w:cs="Arial"/>
        </w:rPr>
        <w:lastRenderedPageBreak/>
        <w:t xml:space="preserve">Through research, there has been a lot of concern regarding traveller education and their prospects of their future. Also, there are several reasons as to why their children do not achieve high levels of literacy and numeracy, for example, poverty and attendance issues. Domestic violence occurs in the traveller community, which can cause the children distress and forcing large gaps in education. Due to the women not having an alternative residence to stay and also the lack of knowledge of benefits, housing and also fear of being separated from both their family and community. </w:t>
      </w:r>
    </w:p>
    <w:p w:rsidR="002C348E" w:rsidRPr="002C348E" w:rsidRDefault="002C348E" w:rsidP="002C348E">
      <w:pPr>
        <w:rPr>
          <w:rFonts w:ascii="Times" w:hAnsi="Times" w:cs="Arial"/>
        </w:rPr>
      </w:pPr>
      <w:r w:rsidRPr="002C348E">
        <w:rPr>
          <w:rFonts w:ascii="Times" w:hAnsi="Times" w:cs="Arial"/>
        </w:rPr>
        <w:t xml:space="preserve">Over time, there has been an improvement in the public opinion of the traveller community. There are some services that are easier to access, for example, telephone helplines and also the promise of confidentiality. If need be, traveller families can access help. </w:t>
      </w:r>
    </w:p>
    <w:p w:rsidR="002C348E" w:rsidRDefault="002C348E" w:rsidP="002C348E">
      <w:pPr>
        <w:rPr>
          <w:rFonts w:ascii="Times" w:hAnsi="Times" w:cs="Arial"/>
        </w:rPr>
      </w:pPr>
      <w:r w:rsidRPr="002C348E">
        <w:rPr>
          <w:rFonts w:ascii="Times" w:hAnsi="Times" w:cs="Arial"/>
        </w:rPr>
        <w:t>The access to traveller education really began to change when Tony Blair, Labour government, won the election in 1997. Charles Clarke, the Minister of Education, wanted all teachers of traveller pupils to achieve a step change in progress towards the inclusion of children from these communities. Through an Ofsted review, there were a number of concerns that found travellers were at most risk of underachieving in education. Ofsted issued a report that gave schools guidance, which the d</w:t>
      </w:r>
      <w:r>
        <w:rPr>
          <w:rFonts w:ascii="Times" w:hAnsi="Times" w:cs="Arial"/>
        </w:rPr>
        <w:t xml:space="preserve">ocumentation formulated by TESS, which gave help and guidance to whole schools regarding ethics of inclusion and respect. The Labour government wanted to improve statistics in literacy and numeracy skills. Also, attendance and behaviour within schools were listed in schools as high priorities. </w:t>
      </w:r>
    </w:p>
    <w:p w:rsidR="002C348E" w:rsidRDefault="002C348E" w:rsidP="002C348E">
      <w:pPr>
        <w:rPr>
          <w:rFonts w:ascii="Times" w:hAnsi="Times" w:cs="Arial"/>
        </w:rPr>
      </w:pPr>
      <w:r>
        <w:rPr>
          <w:rFonts w:ascii="Times" w:hAnsi="Times" w:cs="Arial"/>
        </w:rPr>
        <w:t xml:space="preserve">Labour also wanted to eradicate poverty, which would improve children’s lives and also help families with costs of children. In 2003, the labour government produced a document called Every Child Matters, which documented strategies to improve family life, setting up Sure Start in England, pre-school nurseries help with childcare costs for adults returning to work. Classes for parenting, better services to prevent neglect, improving benefits, raising the minimum wage to help eradicate poverty. These all build up to improving education for childcare. Research throughout the document shows that they used Maslow’s theories, for example, opening breakfast clubs in schools in 2004 across the UK to entitle children to a free healthy breakfast before starting their school day, which stops children being hungry throughout the morning and will help improve concentration, energy levels, this covers Maslow’s physical terminology in Hierarchy of Needs. </w:t>
      </w:r>
    </w:p>
    <w:p w:rsidR="002C348E" w:rsidRDefault="002C348E" w:rsidP="002C348E">
      <w:pPr>
        <w:rPr>
          <w:rFonts w:ascii="Times" w:hAnsi="Times" w:cs="Arial"/>
        </w:rPr>
      </w:pPr>
      <w:r>
        <w:rPr>
          <w:rFonts w:ascii="Times" w:hAnsi="Times" w:cs="Arial"/>
        </w:rPr>
        <w:t>Through transport issues, generally, in some settings, traveller children arrive in school after this provision is closed so they do not benefit from this service. The document also provides strategies on engaging parents to encourage and participate in their child’s education. In the setting, the majority of traveller parents feel self-conscious of having poor literacy and numeracy skills, which can inhibit them to aid their children with homework. Also, some families feel self-conscious of the fact of the perceived reputation that traveller families have, which tends to isolate them from visiting schools and participating in their children’s sports days etc. This is where the TESS is a great strategy to mediate between families and education settings. (Ofsted)</w:t>
      </w:r>
    </w:p>
    <w:p w:rsidR="002C348E" w:rsidRDefault="002C348E" w:rsidP="002C348E">
      <w:pPr>
        <w:rPr>
          <w:rFonts w:ascii="Times" w:hAnsi="Times" w:cs="Arial"/>
        </w:rPr>
      </w:pPr>
      <w:r>
        <w:rPr>
          <w:rFonts w:ascii="Times" w:hAnsi="Times" w:cs="Arial"/>
        </w:rPr>
        <w:t xml:space="preserve">In England, pre-nursery in education is called the Sure Start programme. In Wales, a similar programme is called the ‘Flying Start’ (Estyn), which provides free childcare to parents eligible for children aged 2-3-years-old, five days a week for 39 weeks a year. This scheme is aimed at tackling poverty, providing early intervention and supporting vulnerable parents. Access this scheme is based on where the children live and is also based on postal code to provide this provision to the most deprived areas. This scheme also has access to health visitors, programmers to support parents in positive learning. Speech, language and communication assessments are undertaken, as well as referrals to local authorities, where an additional learning need may be present. </w:t>
      </w:r>
    </w:p>
    <w:p w:rsidR="002C348E" w:rsidRDefault="002C348E" w:rsidP="002C348E">
      <w:pPr>
        <w:rPr>
          <w:rFonts w:ascii="Times" w:hAnsi="Times" w:cs="Arial"/>
        </w:rPr>
      </w:pPr>
      <w:r>
        <w:rPr>
          <w:rFonts w:ascii="Times" w:hAnsi="Times" w:cs="Arial"/>
        </w:rPr>
        <w:t xml:space="preserve">Although this scheme is beneficial to a great deal of families, the scheme is a postcode lottery depending on where you live. Traveller families lose out on this as many families live on </w:t>
      </w:r>
      <w:r>
        <w:rPr>
          <w:rFonts w:ascii="Times" w:hAnsi="Times" w:cs="Arial"/>
        </w:rPr>
        <w:lastRenderedPageBreak/>
        <w:t xml:space="preserve">sites which may not be in an area in which this service provides. Also, these traveller families that live in mobile caravans and pitch on illegal sites may not be in an area providing the service. This service would be beneficial to traveller families, for example, helping the children to settle into an early education providing healthcare, support and help with an easy transition and help children to socialise from an early age outside their community. </w:t>
      </w:r>
    </w:p>
    <w:p w:rsidR="002C348E" w:rsidRDefault="002C348E" w:rsidP="002C348E">
      <w:pPr>
        <w:rPr>
          <w:rFonts w:ascii="Times" w:hAnsi="Times" w:cs="Arial"/>
        </w:rPr>
      </w:pPr>
      <w:r>
        <w:rPr>
          <w:rFonts w:ascii="Times" w:hAnsi="Times" w:cs="Arial"/>
        </w:rPr>
        <w:t>In June 2011, Estyn produced a document called “The Education pf Gypsy Traveller Pupils” (welsh.gov.uk). Throughout this document, it states that the most important factors of improving traveller education is improving attendance and enhancing their attitudes towards school. Estyn has made recommendations that local authorities and schools should continue to find ways to improve the attendance rates of Gypsy-Traveller children and at primary and secondary schools and ensure that all schools have policies that address the needs of Gypsy-Traveller pupils. Ensure the curriculum promotes the positive aspects of Gypsy-Traveller culture, particularly in schools where this group of pupils is on roll. Improve the use of attendance, exclusions and attainment data to evaluate the impact of support for Gypsy-Traveller pupils. Also, ensure that any discrete provision for Gypsy-Traveller pupils is only short-term arrangement prior to full interrogation into mainstream secondary schools. (welsh.gov.uk)</w:t>
      </w:r>
    </w:p>
    <w:p w:rsidR="002C348E" w:rsidRDefault="002C348E" w:rsidP="002C348E">
      <w:pPr>
        <w:rPr>
          <w:rFonts w:ascii="Times" w:hAnsi="Times" w:cs="Arial"/>
        </w:rPr>
      </w:pPr>
      <w:r>
        <w:rPr>
          <w:rFonts w:ascii="Times" w:hAnsi="Times" w:cs="Arial"/>
        </w:rPr>
        <w:t>Throughout the research of this document, there are only four local authorities in Wales that have a TESS provision: Cardiff, Flintshire, Swansea and Wrexham. Although these local authorities have support units for travellers and offer support for the children in education, TESS has successful strategies to improve attendance and has passed this information onto primary schools, as well as secondary schools. Establishing good working relationships with Gypsy-Traveller parents over a long period of time and using a designated member of staff act as a point of contact for any issues that Gypsy-Traveller parents wish to raise. Also, having it in comprehensive schools, TESS working with behaviour support staff, education welfare officers, as well as considering the individual’s needs. (</w:t>
      </w:r>
      <w:r w:rsidRPr="002C348E">
        <w:rPr>
          <w:rFonts w:ascii="Times" w:hAnsi="Times" w:cs="Arial"/>
        </w:rPr>
        <w:t>www.gov.uk</w:t>
      </w:r>
      <w:r>
        <w:rPr>
          <w:rFonts w:ascii="Times" w:hAnsi="Times" w:cs="Arial"/>
        </w:rPr>
        <w:t>)</w:t>
      </w:r>
    </w:p>
    <w:p w:rsidR="002C348E" w:rsidRDefault="002C348E" w:rsidP="002C348E">
      <w:pPr>
        <w:rPr>
          <w:rFonts w:ascii="Times" w:hAnsi="Times" w:cs="Arial"/>
        </w:rPr>
      </w:pPr>
      <w:r>
        <w:rPr>
          <w:rFonts w:ascii="Times" w:hAnsi="Times" w:cs="Arial"/>
        </w:rPr>
        <w:t xml:space="preserve">Working in a Catholic setting, there has been a lot of Gypsy-Traveller pupils, some families have sustained good attendance by being transported to school by taxi. As a school, we received support from the TESS where a support worker would come into school and take groups to work with the children and would offer support with registration and consent forms. The traveller support worker would liaise with the children’s parents and encourage the children to feel comfortable in school. Most of the boys have sustained good attendance, especially those children that were either living on a traveller permanent site or had moved into a house (brick). The children’s attendance, which was sparse, was those living on illegal sites, which deemed difficult as moving around, children not knowing if they would be moving that night, which means that the child would be unable to attend school the following day. The uncertainty is hard for these children and to keep them focused, especially older children – it has been proven to be very difficult. The girls also maintained reasonable attendance until around years five and six or when their bodies were changing, parents no longer wanted their child to attend school or mixing with boys outside their community. A very small percentage of Gypsy-Traveller children leave year six and go onto a full comprehensive school education. Most travellers go onto do part-time and work only with the TESS, maybe only studying two to three days a week unless the children are working in their family business. </w:t>
      </w:r>
    </w:p>
    <w:p w:rsidR="002C348E" w:rsidRDefault="002C348E" w:rsidP="002C348E">
      <w:pPr>
        <w:rPr>
          <w:rFonts w:ascii="Times" w:hAnsi="Times" w:cs="Arial"/>
        </w:rPr>
      </w:pPr>
      <w:r>
        <w:rPr>
          <w:rFonts w:ascii="Times" w:hAnsi="Times" w:cs="Arial"/>
        </w:rPr>
        <w:t xml:space="preserve">Even though this has been seen first-hand experience, this was also documented in Estyn’s report of the Education of Gypsy Traveller Pupils, which was distributed in June 2011. The document also discusses provisions available in secondary schools. </w:t>
      </w:r>
    </w:p>
    <w:p w:rsidR="002C348E" w:rsidRDefault="002C348E" w:rsidP="002C348E">
      <w:pPr>
        <w:ind w:left="720"/>
        <w:rPr>
          <w:rFonts w:ascii="Times" w:hAnsi="Times" w:cs="Arial"/>
        </w:rPr>
      </w:pPr>
      <w:r>
        <w:rPr>
          <w:rFonts w:ascii="Times" w:hAnsi="Times" w:cs="Arial"/>
        </w:rPr>
        <w:t xml:space="preserve">“Swansea and Flintshire’s local authorities use the specific grant funding to provide discrete provision to ensure that pupils access at least some secondary education. </w:t>
      </w:r>
      <w:r>
        <w:rPr>
          <w:rFonts w:ascii="Times" w:hAnsi="Times" w:cs="Arial"/>
        </w:rPr>
        <w:lastRenderedPageBreak/>
        <w:t>However, pupils attending discrete provision do not always receive their entitlement to 25 hours of secondary education a week.” (Estyn, 2011, www.gov.uk)</w:t>
      </w:r>
    </w:p>
    <w:p w:rsidR="002C348E" w:rsidRPr="002C348E" w:rsidRDefault="002C348E" w:rsidP="002C348E">
      <w:pPr>
        <w:rPr>
          <w:rFonts w:ascii="Times" w:hAnsi="Times" w:cs="Arial"/>
        </w:rPr>
      </w:pPr>
      <w:r>
        <w:rPr>
          <w:rFonts w:ascii="Times" w:hAnsi="Times" w:cs="Arial"/>
        </w:rPr>
        <w:t>The grant funding Swansea received in the year 2010-2011 was £61, 640. Flintshire received £66, 220 of grant funding. (www.gov.uk)</w:t>
      </w:r>
    </w:p>
    <w:p w:rsidR="002C348E" w:rsidRDefault="002C348E" w:rsidP="002C348E">
      <w:pPr>
        <w:rPr>
          <w:rFonts w:ascii="Times" w:hAnsi="Times" w:cs="Arial"/>
        </w:rPr>
      </w:pPr>
      <w:r>
        <w:rPr>
          <w:rFonts w:ascii="Times" w:hAnsi="Times" w:cs="Arial"/>
        </w:rPr>
        <w:t xml:space="preserve">Although these grants seem high, when taking into consideration of teaching assistant wages, providing traveller transport, this budget provides also includes children in primary schools, providing support in primary schools, and providing transport, this budget does not seem a lot of money to provide the children with the 25 hours a week each traveller child is entitled to of secondary education. </w:t>
      </w:r>
    </w:p>
    <w:p w:rsidR="002C348E" w:rsidRDefault="002C348E" w:rsidP="002C348E">
      <w:pPr>
        <w:rPr>
          <w:rFonts w:ascii="Times" w:hAnsi="Times" w:cs="Arial"/>
        </w:rPr>
      </w:pPr>
      <w:r>
        <w:rPr>
          <w:rFonts w:ascii="Times" w:hAnsi="Times" w:cs="Arial"/>
        </w:rPr>
        <w:t xml:space="preserve">It was also stated throughout research that parents of traveller children felt that their children were at risk of bullying and being stigmatised from bad press releases and TV programmes, for example, My Big Fat Gypsy Wedding. During time on yard in my setting, the boys mixed with friends from their class by playing football etc. Some of the girls mixed with their friends by skipping. There were a few girls that spent more time with adults in comparison to their peers. To enhance the children’s education, we would work in groups to enhance their socialising skills. This is so that children can spend more time with other children instead of keeping with children from their community. Using rewards and encouragement throughout the day makes their time in the setting more enjoyable. Enrolling the children with the school toothbrushing scheme by teaching the children how to brush their teeth. Also, the weight-height management team check on the traveller children with consent from parents. The importance of hearing tests at reception age is crucial because one traveller child failed the hearing test with a follow-on appointment where the parents took the child to hospital for further investigation. It was later found out that the child was profoundly deaf. His parents were concerned he would be ridiculed and bullied for wearing hearing aids. Their opinion changed when they saw how much the child’s happiness and behaviour had changed.  The child began mixing with other children in his class and began to enjoy school. If this child had seen the appropriate healthcare specialists earlier, perhaps he would have been more settled earlier in his education rather than being unhappy and feeling isolated. Simple healthcare checks should be readily available and easy to access. </w:t>
      </w:r>
    </w:p>
    <w:p w:rsidR="002C348E" w:rsidRDefault="002C348E" w:rsidP="002C348E">
      <w:pPr>
        <w:rPr>
          <w:rFonts w:ascii="Times" w:hAnsi="Times" w:cs="Arial"/>
        </w:rPr>
      </w:pPr>
      <w:r>
        <w:rPr>
          <w:rFonts w:ascii="Times" w:hAnsi="Times" w:cs="Arial"/>
        </w:rPr>
        <w:t>The above and research into Maslow’s Hierarchy of Needs, the traveller community does not have a lot of the resources in the pyramid Maslow states physical the need for air, water, food, rest, and health. The second stage is security – the need for safety, shelter and stability is not achieved on mobile travellers on illegal sites. Third is social – the need for being loved, belonging and inclusion. This is hard because they have this aspect in the traveller community. The fourth element is Ego – the need for self-esteem, power recognition, prestige. Some traveller families have low self-esteem and are unable to gain employment due to prejudice or gaining low, menial work with literacy and numeracy problems may make them feel worthless. On top of the pyramid, self-actualisation – the need for development, creativity. Again, this is hard to feel if lack of education and struggling through life. (www.psychologytoday.com)</w:t>
      </w:r>
    </w:p>
    <w:p w:rsidR="002C348E" w:rsidRPr="002C348E" w:rsidRDefault="002C348E" w:rsidP="002C348E">
      <w:pPr>
        <w:rPr>
          <w:rFonts w:ascii="Times" w:hAnsi="Times" w:cs="Arial"/>
        </w:rPr>
      </w:pPr>
      <w:r>
        <w:rPr>
          <w:rFonts w:ascii="Times" w:hAnsi="Times" w:cs="Arial"/>
        </w:rPr>
        <w:t xml:space="preserve">I conclude this essay by saying traveller families may not struggle too much with community because they rely on each other. Outside their community, Gypsy-Travellers struggle in education through traditions and access to schools, healthcare services, employment through trust issues. This concludes that that traveller families suffer forms of deprivation. Working with some of the Gypsy Traveller children in the setting, showing the children respect, setting realistic boundaries for their behaviour. Through using encouragement and rewards, the children learn to respect adults and peers in this setting. In the school year 2016-2017, two year six pupils went onto secondary school full-time; hopefully this is a sign of the times to come. Hopefully, attitudes will change to give these children a brighter future in years to come. </w:t>
      </w:r>
    </w:p>
    <w:sdt>
      <w:sdtPr>
        <w:id w:val="1513882513"/>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rsidR="002C348E" w:rsidRDefault="002C348E">
          <w:pPr>
            <w:pStyle w:val="Heading1"/>
          </w:pPr>
          <w:r>
            <w:t>Reference List</w:t>
          </w:r>
        </w:p>
        <w:sdt>
          <w:sdtPr>
            <w:id w:val="111145805"/>
            <w:bibliography/>
          </w:sdtPr>
          <w:sdtContent>
            <w:p w:rsidR="002C348E" w:rsidRDefault="002C348E" w:rsidP="002C348E">
              <w:pPr>
                <w:pStyle w:val="Bibliography"/>
                <w:ind w:left="720" w:hanging="720"/>
                <w:rPr>
                  <w:noProof/>
                  <w:lang w:val="en-US"/>
                </w:rPr>
              </w:pPr>
              <w:r>
                <w:fldChar w:fldCharType="begin"/>
              </w:r>
              <w:r>
                <w:instrText xml:space="preserve"> BIBLIOGRAPHY </w:instrText>
              </w:r>
              <w:r>
                <w:fldChar w:fldCharType="separate"/>
              </w:r>
              <w:r>
                <w:rPr>
                  <w:noProof/>
                  <w:lang w:val="en-US"/>
                </w:rPr>
                <w:t>(n.d.). Retrieved from https://www.psychologytoday.com/gb/blog/hide-and-seek/201205/our-hierarchy-needs</w:t>
              </w:r>
            </w:p>
            <w:p w:rsidR="002C348E" w:rsidRDefault="002C348E" w:rsidP="002C348E">
              <w:pPr>
                <w:pStyle w:val="Bibliography"/>
                <w:ind w:left="720" w:hanging="720"/>
                <w:rPr>
                  <w:noProof/>
                  <w:lang w:val="en-US"/>
                </w:rPr>
              </w:pPr>
              <w:r>
                <w:rPr>
                  <w:noProof/>
                  <w:lang w:val="en-US"/>
                </w:rPr>
                <w:t>(n.d.). Retrieved from sticend.ise.ac.uk/dps/case/cp/casepaper/208.pdf</w:t>
              </w:r>
            </w:p>
            <w:p w:rsidR="002C348E" w:rsidRDefault="002C348E" w:rsidP="002C348E">
              <w:pPr>
                <w:pStyle w:val="Bibliography"/>
                <w:ind w:left="720" w:hanging="720"/>
                <w:rPr>
                  <w:noProof/>
                  <w:lang w:val="en-US"/>
                </w:rPr>
              </w:pPr>
              <w:r>
                <w:rPr>
                  <w:noProof/>
                  <w:lang w:val="en-US"/>
                </w:rPr>
                <w:t>(n.d.). Retrieved from www.equalrightstrust.org/ertdocumentbank/eer8</w:t>
              </w:r>
            </w:p>
            <w:p w:rsidR="002C348E" w:rsidRDefault="002C348E" w:rsidP="002C348E">
              <w:pPr>
                <w:pStyle w:val="Bibliography"/>
                <w:ind w:left="720" w:hanging="720"/>
                <w:rPr>
                  <w:noProof/>
                  <w:lang w:val="en-US"/>
                </w:rPr>
              </w:pPr>
              <w:r>
                <w:rPr>
                  <w:noProof/>
                  <w:lang w:val="en-US"/>
                </w:rPr>
                <w:t>(n.d.). Retrieved from Improving the Outcomes for Gypsy, Roma and Traveller Pupils: Final Report : assets.publishing.service.gov.uk</w:t>
              </w:r>
            </w:p>
            <w:p w:rsidR="002C348E" w:rsidRDefault="002C348E" w:rsidP="002C348E">
              <w:pPr>
                <w:pStyle w:val="Bibliography"/>
                <w:ind w:left="720" w:hanging="720"/>
                <w:rPr>
                  <w:noProof/>
                  <w:lang w:val="en-US"/>
                </w:rPr>
              </w:pPr>
              <w:r>
                <w:rPr>
                  <w:noProof/>
                  <w:lang w:val="en-US"/>
                </w:rPr>
                <w:t>(n.d.). Retrieved from https://www.gypsy-traveller.org/wp-content.upload</w:t>
              </w:r>
            </w:p>
            <w:p w:rsidR="002C348E" w:rsidRDefault="002C348E" w:rsidP="002C348E">
              <w:pPr>
                <w:pStyle w:val="Bibliography"/>
                <w:ind w:left="720" w:hanging="720"/>
                <w:rPr>
                  <w:noProof/>
                  <w:lang w:val="en-US"/>
                </w:rPr>
              </w:pPr>
              <w:r>
                <w:rPr>
                  <w:noProof/>
                  <w:lang w:val="en-US"/>
                </w:rPr>
                <w:t>(n.d.). Retrieved from The Education of Gypsy Traveller Pupils: An Update on Provisions in Secondary Schools : www.estyn.wales.gov.uk</w:t>
              </w:r>
            </w:p>
            <w:p w:rsidR="002C348E" w:rsidRDefault="002C348E" w:rsidP="002C348E">
              <w:pPr>
                <w:pStyle w:val="Bibliography"/>
                <w:ind w:left="720" w:hanging="720"/>
                <w:rPr>
                  <w:noProof/>
                  <w:lang w:val="en-US"/>
                </w:rPr>
              </w:pPr>
              <w:r>
                <w:rPr>
                  <w:noProof/>
                  <w:lang w:val="en-US"/>
                </w:rPr>
                <w:t>(n.d.). Retrieved from https://gov.wales/topics/people-and-communities/people/children-and-young-people/parenting-support-guidance/help/flyingstart/?lang=en</w:t>
              </w:r>
            </w:p>
            <w:p w:rsidR="002C348E" w:rsidRDefault="002C348E" w:rsidP="002C348E">
              <w:pPr>
                <w:pStyle w:val="Bibliography"/>
                <w:ind w:left="720" w:hanging="720"/>
                <w:rPr>
                  <w:noProof/>
                  <w:lang w:val="en-US"/>
                </w:rPr>
              </w:pPr>
              <w:r>
                <w:rPr>
                  <w:i/>
                  <w:iCs/>
                  <w:noProof/>
                  <w:lang w:val="en-US"/>
                </w:rPr>
                <w:t>Every Child Matters</w:t>
              </w:r>
              <w:r>
                <w:rPr>
                  <w:noProof/>
                  <w:lang w:val="en-US"/>
                </w:rPr>
                <w:t>. (n.d.). Retrieved from assets.publishing.service.gov.uk</w:t>
              </w:r>
            </w:p>
            <w:p w:rsidR="002C348E" w:rsidRDefault="002C348E" w:rsidP="002C348E">
              <w:pPr>
                <w:pStyle w:val="Bibliography"/>
                <w:ind w:left="720" w:hanging="720"/>
                <w:rPr>
                  <w:noProof/>
                  <w:lang w:val="en-US"/>
                </w:rPr>
              </w:pPr>
              <w:r>
                <w:rPr>
                  <w:i/>
                  <w:iCs/>
                  <w:noProof/>
                  <w:lang w:val="en-US"/>
                </w:rPr>
                <w:t xml:space="preserve">Overlooked and Overrepresented </w:t>
              </w:r>
              <w:r>
                <w:rPr>
                  <w:noProof/>
                  <w:lang w:val="en-US"/>
                </w:rPr>
                <w:t>. (n.d.). Retrieved from Gypsy Traveller amd Children in the Youth Justice System : travellermovement.org.uk/wp/content/uploads/overlooked-and-overrepresented-gypsy-traveller-and-children-in-the-youth-justice-system.pdf</w:t>
              </w:r>
            </w:p>
            <w:p w:rsidR="002C348E" w:rsidRDefault="002C348E" w:rsidP="002C348E">
              <w:r>
                <w:rPr>
                  <w:b/>
                  <w:bCs/>
                  <w:noProof/>
                </w:rPr>
                <w:fldChar w:fldCharType="end"/>
              </w:r>
            </w:p>
          </w:sdtContent>
        </w:sdt>
      </w:sdtContent>
    </w:sdt>
    <w:p w:rsidR="002C348E" w:rsidRPr="002C348E" w:rsidRDefault="002C348E" w:rsidP="002C348E">
      <w:pPr>
        <w:rPr>
          <w:rFonts w:ascii="Times" w:hAnsi="Times" w:cs="Arial"/>
          <w:u w:val="single"/>
        </w:rPr>
      </w:pPr>
      <w:bookmarkStart w:id="0" w:name="_GoBack"/>
      <w:bookmarkEnd w:id="0"/>
    </w:p>
    <w:sectPr w:rsidR="002C348E" w:rsidRPr="002C348E" w:rsidSect="008F250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48E"/>
    <w:rsid w:val="000F5101"/>
    <w:rsid w:val="002C348E"/>
    <w:rsid w:val="008F25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72365E"/>
  <w15:chartTrackingRefBased/>
  <w15:docId w15:val="{5DE891C6-0FAE-B040-B31D-1DB95A1898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348E"/>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348E"/>
    <w:rPr>
      <w:color w:val="0563C1" w:themeColor="hyperlink"/>
      <w:u w:val="single"/>
    </w:rPr>
  </w:style>
  <w:style w:type="character" w:styleId="UnresolvedMention">
    <w:name w:val="Unresolved Mention"/>
    <w:basedOn w:val="DefaultParagraphFont"/>
    <w:uiPriority w:val="99"/>
    <w:semiHidden/>
    <w:unhideWhenUsed/>
    <w:rsid w:val="002C348E"/>
    <w:rPr>
      <w:color w:val="605E5C"/>
      <w:shd w:val="clear" w:color="auto" w:fill="E1DFDD"/>
    </w:rPr>
  </w:style>
  <w:style w:type="character" w:customStyle="1" w:styleId="Heading1Char">
    <w:name w:val="Heading 1 Char"/>
    <w:basedOn w:val="DefaultParagraphFont"/>
    <w:link w:val="Heading1"/>
    <w:uiPriority w:val="9"/>
    <w:rsid w:val="002C348E"/>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2C34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3244637">
      <w:bodyDiv w:val="1"/>
      <w:marLeft w:val="0"/>
      <w:marRight w:val="0"/>
      <w:marTop w:val="0"/>
      <w:marBottom w:val="0"/>
      <w:divBdr>
        <w:top w:val="none" w:sz="0" w:space="0" w:color="auto"/>
        <w:left w:val="none" w:sz="0" w:space="0" w:color="auto"/>
        <w:bottom w:val="none" w:sz="0" w:space="0" w:color="auto"/>
        <w:right w:val="none" w:sz="0" w:space="0" w:color="auto"/>
      </w:divBdr>
    </w:div>
    <w:div w:id="270624648">
      <w:bodyDiv w:val="1"/>
      <w:marLeft w:val="0"/>
      <w:marRight w:val="0"/>
      <w:marTop w:val="0"/>
      <w:marBottom w:val="0"/>
      <w:divBdr>
        <w:top w:val="none" w:sz="0" w:space="0" w:color="auto"/>
        <w:left w:val="none" w:sz="0" w:space="0" w:color="auto"/>
        <w:bottom w:val="none" w:sz="0" w:space="0" w:color="auto"/>
        <w:right w:val="none" w:sz="0" w:space="0" w:color="auto"/>
      </w:divBdr>
    </w:div>
    <w:div w:id="592514049">
      <w:bodyDiv w:val="1"/>
      <w:marLeft w:val="0"/>
      <w:marRight w:val="0"/>
      <w:marTop w:val="0"/>
      <w:marBottom w:val="0"/>
      <w:divBdr>
        <w:top w:val="none" w:sz="0" w:space="0" w:color="auto"/>
        <w:left w:val="none" w:sz="0" w:space="0" w:color="auto"/>
        <w:bottom w:val="none" w:sz="0" w:space="0" w:color="auto"/>
        <w:right w:val="none" w:sz="0" w:space="0" w:color="auto"/>
      </w:divBdr>
    </w:div>
    <w:div w:id="697656407">
      <w:bodyDiv w:val="1"/>
      <w:marLeft w:val="0"/>
      <w:marRight w:val="0"/>
      <w:marTop w:val="0"/>
      <w:marBottom w:val="0"/>
      <w:divBdr>
        <w:top w:val="none" w:sz="0" w:space="0" w:color="auto"/>
        <w:left w:val="none" w:sz="0" w:space="0" w:color="auto"/>
        <w:bottom w:val="none" w:sz="0" w:space="0" w:color="auto"/>
        <w:right w:val="none" w:sz="0" w:space="0" w:color="auto"/>
      </w:divBdr>
    </w:div>
    <w:div w:id="980647404">
      <w:bodyDiv w:val="1"/>
      <w:marLeft w:val="0"/>
      <w:marRight w:val="0"/>
      <w:marTop w:val="0"/>
      <w:marBottom w:val="0"/>
      <w:divBdr>
        <w:top w:val="none" w:sz="0" w:space="0" w:color="auto"/>
        <w:left w:val="none" w:sz="0" w:space="0" w:color="auto"/>
        <w:bottom w:val="none" w:sz="0" w:space="0" w:color="auto"/>
        <w:right w:val="none" w:sz="0" w:space="0" w:color="auto"/>
      </w:divBdr>
    </w:div>
    <w:div w:id="1096905433">
      <w:bodyDiv w:val="1"/>
      <w:marLeft w:val="0"/>
      <w:marRight w:val="0"/>
      <w:marTop w:val="0"/>
      <w:marBottom w:val="0"/>
      <w:divBdr>
        <w:top w:val="none" w:sz="0" w:space="0" w:color="auto"/>
        <w:left w:val="none" w:sz="0" w:space="0" w:color="auto"/>
        <w:bottom w:val="none" w:sz="0" w:space="0" w:color="auto"/>
        <w:right w:val="none" w:sz="0" w:space="0" w:color="auto"/>
      </w:divBdr>
    </w:div>
    <w:div w:id="1108817951">
      <w:bodyDiv w:val="1"/>
      <w:marLeft w:val="0"/>
      <w:marRight w:val="0"/>
      <w:marTop w:val="0"/>
      <w:marBottom w:val="0"/>
      <w:divBdr>
        <w:top w:val="none" w:sz="0" w:space="0" w:color="auto"/>
        <w:left w:val="none" w:sz="0" w:space="0" w:color="auto"/>
        <w:bottom w:val="none" w:sz="0" w:space="0" w:color="auto"/>
        <w:right w:val="none" w:sz="0" w:space="0" w:color="auto"/>
      </w:divBdr>
    </w:div>
    <w:div w:id="1280574216">
      <w:bodyDiv w:val="1"/>
      <w:marLeft w:val="0"/>
      <w:marRight w:val="0"/>
      <w:marTop w:val="0"/>
      <w:marBottom w:val="0"/>
      <w:divBdr>
        <w:top w:val="none" w:sz="0" w:space="0" w:color="auto"/>
        <w:left w:val="none" w:sz="0" w:space="0" w:color="auto"/>
        <w:bottom w:val="none" w:sz="0" w:space="0" w:color="auto"/>
        <w:right w:val="none" w:sz="0" w:space="0" w:color="auto"/>
      </w:divBdr>
    </w:div>
    <w:div w:id="1445541751">
      <w:bodyDiv w:val="1"/>
      <w:marLeft w:val="0"/>
      <w:marRight w:val="0"/>
      <w:marTop w:val="0"/>
      <w:marBottom w:val="0"/>
      <w:divBdr>
        <w:top w:val="none" w:sz="0" w:space="0" w:color="auto"/>
        <w:left w:val="none" w:sz="0" w:space="0" w:color="auto"/>
        <w:bottom w:val="none" w:sz="0" w:space="0" w:color="auto"/>
        <w:right w:val="none" w:sz="0" w:space="0" w:color="auto"/>
      </w:divBdr>
    </w:div>
    <w:div w:id="1455908889">
      <w:bodyDiv w:val="1"/>
      <w:marLeft w:val="0"/>
      <w:marRight w:val="0"/>
      <w:marTop w:val="0"/>
      <w:marBottom w:val="0"/>
      <w:divBdr>
        <w:top w:val="none" w:sz="0" w:space="0" w:color="auto"/>
        <w:left w:val="none" w:sz="0" w:space="0" w:color="auto"/>
        <w:bottom w:val="none" w:sz="0" w:space="0" w:color="auto"/>
        <w:right w:val="none" w:sz="0" w:space="0" w:color="auto"/>
      </w:divBdr>
    </w:div>
    <w:div w:id="1462724138">
      <w:bodyDiv w:val="1"/>
      <w:marLeft w:val="0"/>
      <w:marRight w:val="0"/>
      <w:marTop w:val="0"/>
      <w:marBottom w:val="0"/>
      <w:divBdr>
        <w:top w:val="none" w:sz="0" w:space="0" w:color="auto"/>
        <w:left w:val="none" w:sz="0" w:space="0" w:color="auto"/>
        <w:bottom w:val="none" w:sz="0" w:space="0" w:color="auto"/>
        <w:right w:val="none" w:sz="0" w:space="0" w:color="auto"/>
      </w:divBdr>
    </w:div>
    <w:div w:id="1504738227">
      <w:bodyDiv w:val="1"/>
      <w:marLeft w:val="0"/>
      <w:marRight w:val="0"/>
      <w:marTop w:val="0"/>
      <w:marBottom w:val="0"/>
      <w:divBdr>
        <w:top w:val="none" w:sz="0" w:space="0" w:color="auto"/>
        <w:left w:val="none" w:sz="0" w:space="0" w:color="auto"/>
        <w:bottom w:val="none" w:sz="0" w:space="0" w:color="auto"/>
        <w:right w:val="none" w:sz="0" w:space="0" w:color="auto"/>
      </w:divBdr>
    </w:div>
    <w:div w:id="1590695927">
      <w:bodyDiv w:val="1"/>
      <w:marLeft w:val="0"/>
      <w:marRight w:val="0"/>
      <w:marTop w:val="0"/>
      <w:marBottom w:val="0"/>
      <w:divBdr>
        <w:top w:val="none" w:sz="0" w:space="0" w:color="auto"/>
        <w:left w:val="none" w:sz="0" w:space="0" w:color="auto"/>
        <w:bottom w:val="none" w:sz="0" w:space="0" w:color="auto"/>
        <w:right w:val="none" w:sz="0" w:space="0" w:color="auto"/>
      </w:divBdr>
    </w:div>
    <w:div w:id="1669357654">
      <w:bodyDiv w:val="1"/>
      <w:marLeft w:val="0"/>
      <w:marRight w:val="0"/>
      <w:marTop w:val="0"/>
      <w:marBottom w:val="0"/>
      <w:divBdr>
        <w:top w:val="none" w:sz="0" w:space="0" w:color="auto"/>
        <w:left w:val="none" w:sz="0" w:space="0" w:color="auto"/>
        <w:bottom w:val="none" w:sz="0" w:space="0" w:color="auto"/>
        <w:right w:val="none" w:sz="0" w:space="0" w:color="auto"/>
      </w:divBdr>
    </w:div>
    <w:div w:id="1719472475">
      <w:bodyDiv w:val="1"/>
      <w:marLeft w:val="0"/>
      <w:marRight w:val="0"/>
      <w:marTop w:val="0"/>
      <w:marBottom w:val="0"/>
      <w:divBdr>
        <w:top w:val="none" w:sz="0" w:space="0" w:color="auto"/>
        <w:left w:val="none" w:sz="0" w:space="0" w:color="auto"/>
        <w:bottom w:val="none" w:sz="0" w:space="0" w:color="auto"/>
        <w:right w:val="none" w:sz="0" w:space="0" w:color="auto"/>
      </w:divBdr>
    </w:div>
    <w:div w:id="1773207771">
      <w:bodyDiv w:val="1"/>
      <w:marLeft w:val="0"/>
      <w:marRight w:val="0"/>
      <w:marTop w:val="0"/>
      <w:marBottom w:val="0"/>
      <w:divBdr>
        <w:top w:val="none" w:sz="0" w:space="0" w:color="auto"/>
        <w:left w:val="none" w:sz="0" w:space="0" w:color="auto"/>
        <w:bottom w:val="none" w:sz="0" w:space="0" w:color="auto"/>
        <w:right w:val="none" w:sz="0" w:space="0" w:color="auto"/>
      </w:divBdr>
    </w:div>
    <w:div w:id="1857229521">
      <w:bodyDiv w:val="1"/>
      <w:marLeft w:val="0"/>
      <w:marRight w:val="0"/>
      <w:marTop w:val="0"/>
      <w:marBottom w:val="0"/>
      <w:divBdr>
        <w:top w:val="none" w:sz="0" w:space="0" w:color="auto"/>
        <w:left w:val="none" w:sz="0" w:space="0" w:color="auto"/>
        <w:bottom w:val="none" w:sz="0" w:space="0" w:color="auto"/>
        <w:right w:val="none" w:sz="0" w:space="0" w:color="auto"/>
      </w:divBdr>
    </w:div>
    <w:div w:id="1984653130">
      <w:bodyDiv w:val="1"/>
      <w:marLeft w:val="0"/>
      <w:marRight w:val="0"/>
      <w:marTop w:val="0"/>
      <w:marBottom w:val="0"/>
      <w:divBdr>
        <w:top w:val="none" w:sz="0" w:space="0" w:color="auto"/>
        <w:left w:val="none" w:sz="0" w:space="0" w:color="auto"/>
        <w:bottom w:val="none" w:sz="0" w:space="0" w:color="auto"/>
        <w:right w:val="none" w:sz="0" w:space="0" w:color="auto"/>
      </w:divBdr>
    </w:div>
    <w:div w:id="2089959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Eve</b:Tag>
    <b:SourceType>InternetSite</b:SourceType>
    <b:Guid>{9FFE4C52-6EA0-9B4C-B95C-58F22C90639E}</b:Guid>
    <b:Title>Every Child Matters</b:Title>
    <b:URL>assets.publishing.service.gov.uk</b:URL>
    <b:RefOrder>1</b:RefOrder>
  </b:Source>
  <b:Source>
    <b:Tag>htt</b:Tag>
    <b:SourceType>InternetSite</b:SourceType>
    <b:Guid>{F264A3BB-53B0-2B47-ABC8-45A067244FE2}</b:Guid>
    <b:URL>https://www.psychologytoday.com/gb/blog/hide-and-seek/201205/our-hierarchy-needs</b:URL>
    <b:RefOrder>5</b:RefOrder>
  </b:Source>
  <b:Source>
    <b:Tag>Ove</b:Tag>
    <b:SourceType>InternetSite</b:SourceType>
    <b:Guid>{51F7D6B3-178B-3E41-AA44-0E41CA5647F2}</b:Guid>
    <b:Title>Overlooked and Overrepresented </b:Title>
    <b:InternetSiteTitle>Gypsy Traveller amd Children in the Youth Justice System </b:InternetSiteTitle>
    <b:URL>travellermovement.org.uk/wp/content/uploads/overlooked-and-overrepresented-gypsy-traveller-and-children-in-the-youth-justice-system.pdf</b:URL>
    <b:RefOrder>3</b:RefOrder>
  </b:Source>
  <b:Source>
    <b:Tag>sti</b:Tag>
    <b:SourceType>InternetSite</b:SourceType>
    <b:Guid>{14B53614-CA0B-0E4D-9D82-1DF877CFB5E3}</b:Guid>
    <b:URL>sticend.ise.ac.uk/dps/case/cp/casepaper/208.pdf</b:URL>
    <b:RefOrder>8</b:RefOrder>
  </b:Source>
  <b:Source>
    <b:Tag>www</b:Tag>
    <b:SourceType>InternetSite</b:SourceType>
    <b:Guid>{CCFB389C-9527-D842-A3F9-C22C428E5DD7}</b:Guid>
    <b:URL>www.equalrightstrust.org/ertdocumentbank/eer8</b:URL>
    <b:RefOrder>9</b:RefOrder>
  </b:Source>
  <b:Source>
    <b:Tag>Imp</b:Tag>
    <b:SourceType>InternetSite</b:SourceType>
    <b:Guid>{CB4FBF00-2E2D-D643-92A4-80F5820F7A32}</b:Guid>
    <b:InternetSiteTitle>Improving the Outcomes for Gypsy, Roma and Traveller Pupils: Final Report </b:InternetSiteTitle>
    <b:URL>assets.publishing.service.gov.uk</b:URL>
    <b:RefOrder>2</b:RefOrder>
  </b:Source>
  <b:Source>
    <b:Tag>htt1</b:Tag>
    <b:SourceType>InternetSite</b:SourceType>
    <b:Guid>{5476E0B0-2EBC-664C-BE91-0D09E68BC555}</b:Guid>
    <b:URL>https://www.gypsy-traveller.org/wp-content.upload</b:URL>
    <b:RefOrder>6</b:RefOrder>
  </b:Source>
  <b:Source>
    <b:Tag>The</b:Tag>
    <b:SourceType>InternetSite</b:SourceType>
    <b:Guid>{205A8254-ECDB-7940-9691-B912D3DCB011}</b:Guid>
    <b:InternetSiteTitle>The Education of Gypsy Traveller Pupils: An Update on Provisions in Secondary Schools </b:InternetSiteTitle>
    <b:URL>www.estyn.wales.gov.uk</b:URL>
    <b:RefOrder>4</b:RefOrder>
  </b:Source>
  <b:Source>
    <b:Tag>htt2</b:Tag>
    <b:SourceType>InternetSite</b:SourceType>
    <b:Guid>{52581825-FB14-F14C-B65C-69525CB028AA}</b:Guid>
    <b:URL>https://gov.wales/topics/people-and-communities/people/children-and-young-people/parenting-support-guidance/help/flyingstart/?lang=en</b:URL>
    <b:RefOrder>7</b:RefOrder>
  </b:Source>
</b:Sources>
</file>

<file path=customXml/itemProps1.xml><?xml version="1.0" encoding="utf-8"?>
<ds:datastoreItem xmlns:ds="http://schemas.openxmlformats.org/officeDocument/2006/customXml" ds:itemID="{F7DC7393-50CA-9E40-A251-BC812DEA8B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194</TotalTime>
  <Pages>6</Pages>
  <Words>2763</Words>
  <Characters>15753</Characters>
  <Application>Microsoft Office Word</Application>
  <DocSecurity>0</DocSecurity>
  <Lines>131</Lines>
  <Paragraphs>36</Paragraphs>
  <ScaleCrop>false</ScaleCrop>
  <Company/>
  <LinksUpToDate>false</LinksUpToDate>
  <CharactersWithSpaces>18480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ashton</dc:creator>
  <cp:keywords/>
  <dc:description/>
  <cp:lastModifiedBy>nick ashton</cp:lastModifiedBy>
  <cp:revision>1</cp:revision>
  <dcterms:created xsi:type="dcterms:W3CDTF">2018-09-13T18:36:00Z</dcterms:created>
  <dcterms:modified xsi:type="dcterms:W3CDTF">2018-09-13T22:16:00Z</dcterms:modified>
</cp:coreProperties>
</file>