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EDF2C" w14:textId="77777777" w:rsidR="00207106" w:rsidRDefault="00207106" w:rsidP="00207106">
      <w:pPr>
        <w:jc w:val="center"/>
      </w:pPr>
    </w:p>
    <w:p w14:paraId="7A149530" w14:textId="77777777" w:rsidR="00207106" w:rsidRDefault="00207106" w:rsidP="00207106">
      <w:pPr>
        <w:jc w:val="center"/>
      </w:pPr>
    </w:p>
    <w:p w14:paraId="02AC5C89" w14:textId="77777777" w:rsidR="00207106" w:rsidRDefault="00207106" w:rsidP="00207106">
      <w:pPr>
        <w:jc w:val="center"/>
      </w:pPr>
    </w:p>
    <w:p w14:paraId="29669E41" w14:textId="77777777" w:rsidR="00207106" w:rsidRDefault="00207106" w:rsidP="00207106">
      <w:pPr>
        <w:jc w:val="center"/>
      </w:pPr>
    </w:p>
    <w:p w14:paraId="60D1FD14" w14:textId="77777777" w:rsidR="00207106" w:rsidRDefault="00207106" w:rsidP="00207106">
      <w:pPr>
        <w:jc w:val="center"/>
      </w:pPr>
    </w:p>
    <w:p w14:paraId="72E6D476" w14:textId="77777777" w:rsidR="00207106" w:rsidRDefault="00207106" w:rsidP="00207106">
      <w:pPr>
        <w:jc w:val="center"/>
      </w:pPr>
    </w:p>
    <w:p w14:paraId="1C7197CC" w14:textId="77777777" w:rsidR="00207106" w:rsidRDefault="00207106" w:rsidP="00207106">
      <w:pPr>
        <w:jc w:val="center"/>
      </w:pPr>
    </w:p>
    <w:p w14:paraId="4CD93A5C" w14:textId="77777777" w:rsidR="00207106" w:rsidRDefault="00207106" w:rsidP="00207106">
      <w:pPr>
        <w:jc w:val="center"/>
      </w:pPr>
    </w:p>
    <w:p w14:paraId="44A0BFAD" w14:textId="77777777" w:rsidR="00207106" w:rsidRDefault="00207106" w:rsidP="00207106">
      <w:pPr>
        <w:jc w:val="center"/>
      </w:pPr>
    </w:p>
    <w:p w14:paraId="65E62B09" w14:textId="77777777" w:rsidR="00207106" w:rsidRDefault="00207106" w:rsidP="00207106">
      <w:pPr>
        <w:jc w:val="center"/>
      </w:pPr>
    </w:p>
    <w:p w14:paraId="17B66437" w14:textId="77777777" w:rsidR="00DA013A" w:rsidRDefault="00DA013A" w:rsidP="00DA013A">
      <w:pPr>
        <w:tabs>
          <w:tab w:val="left" w:pos="2208"/>
        </w:tabs>
        <w:spacing w:line="600" w:lineRule="auto"/>
        <w:jc w:val="center"/>
        <w:rPr>
          <w:rFonts w:asciiTheme="majorBidi" w:hAnsiTheme="majorBidi" w:cstheme="majorBidi"/>
          <w:b/>
          <w:bCs/>
          <w:color w:val="000000" w:themeColor="text1"/>
          <w:sz w:val="36"/>
          <w:szCs w:val="36"/>
        </w:rPr>
      </w:pPr>
      <w:r>
        <w:rPr>
          <w:rFonts w:asciiTheme="majorBidi" w:hAnsiTheme="majorBidi" w:cstheme="majorBidi"/>
          <w:b/>
          <w:bCs/>
          <w:color w:val="000000" w:themeColor="text1"/>
          <w:sz w:val="36"/>
          <w:szCs w:val="36"/>
        </w:rPr>
        <w:t xml:space="preserve">Student </w:t>
      </w:r>
      <w:proofErr w:type="gramStart"/>
      <w:r>
        <w:rPr>
          <w:rFonts w:asciiTheme="majorBidi" w:hAnsiTheme="majorBidi" w:cstheme="majorBidi"/>
          <w:b/>
          <w:bCs/>
          <w:color w:val="000000" w:themeColor="text1"/>
          <w:sz w:val="36"/>
          <w:szCs w:val="36"/>
        </w:rPr>
        <w:t>name :</w:t>
      </w:r>
      <w:proofErr w:type="gramEnd"/>
      <w:r>
        <w:rPr>
          <w:rFonts w:asciiTheme="majorBidi" w:hAnsiTheme="majorBidi" w:cstheme="majorBidi"/>
          <w:b/>
          <w:bCs/>
          <w:color w:val="000000" w:themeColor="text1"/>
          <w:sz w:val="36"/>
          <w:szCs w:val="36"/>
        </w:rPr>
        <w:t xml:space="preserve"> Cosmin Cosor</w:t>
      </w:r>
    </w:p>
    <w:p w14:paraId="4B2F465B" w14:textId="77777777" w:rsidR="00DA013A" w:rsidRDefault="00DA013A" w:rsidP="00DA013A">
      <w:pPr>
        <w:tabs>
          <w:tab w:val="left" w:pos="2208"/>
        </w:tabs>
        <w:spacing w:line="600" w:lineRule="auto"/>
        <w:jc w:val="center"/>
        <w:rPr>
          <w:rFonts w:asciiTheme="majorBidi" w:hAnsiTheme="majorBidi" w:cstheme="majorBidi"/>
          <w:b/>
          <w:bCs/>
          <w:color w:val="000000" w:themeColor="text1"/>
          <w:sz w:val="36"/>
          <w:szCs w:val="36"/>
        </w:rPr>
      </w:pPr>
      <w:r>
        <w:rPr>
          <w:rFonts w:asciiTheme="majorBidi" w:hAnsiTheme="majorBidi" w:cstheme="majorBidi"/>
          <w:b/>
          <w:bCs/>
          <w:color w:val="000000" w:themeColor="text1"/>
          <w:sz w:val="36"/>
          <w:szCs w:val="36"/>
        </w:rPr>
        <w:t>Student ID: 2132494</w:t>
      </w:r>
    </w:p>
    <w:p w14:paraId="6FAAE99F" w14:textId="77777777" w:rsidR="00DA013A" w:rsidRDefault="00DA013A" w:rsidP="00DA013A">
      <w:pPr>
        <w:tabs>
          <w:tab w:val="left" w:pos="2208"/>
        </w:tabs>
        <w:spacing w:line="600" w:lineRule="auto"/>
        <w:jc w:val="center"/>
        <w:rPr>
          <w:rFonts w:asciiTheme="majorBidi" w:hAnsiTheme="majorBidi" w:cstheme="majorBidi"/>
          <w:b/>
          <w:bCs/>
          <w:color w:val="000000" w:themeColor="text1"/>
          <w:sz w:val="36"/>
          <w:szCs w:val="36"/>
        </w:rPr>
      </w:pPr>
      <w:r>
        <w:rPr>
          <w:rFonts w:asciiTheme="majorBidi" w:hAnsiTheme="majorBidi" w:cstheme="majorBidi"/>
          <w:b/>
          <w:bCs/>
          <w:color w:val="000000" w:themeColor="text1"/>
          <w:sz w:val="36"/>
          <w:szCs w:val="36"/>
        </w:rPr>
        <w:t>Module: Legal Process</w:t>
      </w:r>
    </w:p>
    <w:p w14:paraId="0AD16D6E" w14:textId="02639ED3" w:rsidR="00DA013A" w:rsidRDefault="00DA013A" w:rsidP="00DA013A">
      <w:pPr>
        <w:tabs>
          <w:tab w:val="left" w:pos="2208"/>
        </w:tabs>
        <w:spacing w:line="600" w:lineRule="auto"/>
        <w:jc w:val="center"/>
        <w:rPr>
          <w:rFonts w:asciiTheme="majorBidi" w:hAnsiTheme="majorBidi" w:cstheme="majorBidi"/>
          <w:b/>
          <w:bCs/>
          <w:color w:val="000000" w:themeColor="text1"/>
          <w:sz w:val="36"/>
          <w:szCs w:val="36"/>
        </w:rPr>
      </w:pPr>
      <w:r>
        <w:rPr>
          <w:rFonts w:asciiTheme="majorBidi" w:hAnsiTheme="majorBidi" w:cstheme="majorBidi"/>
          <w:b/>
          <w:bCs/>
          <w:color w:val="000000" w:themeColor="text1"/>
          <w:sz w:val="36"/>
          <w:szCs w:val="36"/>
        </w:rPr>
        <w:t>Module code: BM</w:t>
      </w:r>
      <w:r>
        <w:rPr>
          <w:rFonts w:asciiTheme="majorBidi" w:hAnsiTheme="majorBidi" w:cstheme="majorBidi"/>
          <w:b/>
          <w:bCs/>
          <w:color w:val="000000" w:themeColor="text1"/>
          <w:sz w:val="36"/>
          <w:szCs w:val="36"/>
        </w:rPr>
        <w:t>PL4009</w:t>
      </w:r>
    </w:p>
    <w:p w14:paraId="1F5FC165" w14:textId="57F04133" w:rsidR="00DA013A" w:rsidRDefault="00DA013A" w:rsidP="00DA013A">
      <w:pPr>
        <w:tabs>
          <w:tab w:val="left" w:pos="2208"/>
        </w:tabs>
        <w:spacing w:line="600" w:lineRule="auto"/>
        <w:jc w:val="center"/>
        <w:rPr>
          <w:rFonts w:asciiTheme="majorBidi" w:hAnsiTheme="majorBidi" w:cstheme="majorBidi"/>
          <w:b/>
          <w:bCs/>
          <w:color w:val="000000" w:themeColor="text1"/>
          <w:sz w:val="36"/>
          <w:szCs w:val="36"/>
        </w:rPr>
      </w:pPr>
      <w:r>
        <w:rPr>
          <w:rFonts w:asciiTheme="majorBidi" w:hAnsiTheme="majorBidi" w:cstheme="majorBidi"/>
          <w:b/>
          <w:bCs/>
          <w:color w:val="000000" w:themeColor="text1"/>
          <w:sz w:val="36"/>
          <w:szCs w:val="36"/>
        </w:rPr>
        <w:t xml:space="preserve">Lecturer’s name : </w:t>
      </w:r>
      <w:r>
        <w:rPr>
          <w:rFonts w:asciiTheme="majorBidi" w:hAnsiTheme="majorBidi" w:cstheme="majorBidi"/>
          <w:b/>
          <w:bCs/>
          <w:color w:val="000000" w:themeColor="text1"/>
          <w:sz w:val="36"/>
          <w:szCs w:val="36"/>
        </w:rPr>
        <w:t>Sadie France</w:t>
      </w:r>
    </w:p>
    <w:p w14:paraId="71514C06" w14:textId="6B139591" w:rsidR="00207106" w:rsidRDefault="00207106" w:rsidP="00DA013A">
      <w:pPr>
        <w:jc w:val="center"/>
      </w:pPr>
    </w:p>
    <w:p w14:paraId="56DE8155" w14:textId="77777777" w:rsidR="00EF3D8D" w:rsidRDefault="00ED48CB">
      <w:pPr>
        <w:spacing w:after="160" w:line="259" w:lineRule="auto"/>
        <w:rPr>
          <w:b/>
          <w:sz w:val="28"/>
        </w:rPr>
      </w:pPr>
      <w:r>
        <w:br w:type="page"/>
      </w:r>
    </w:p>
    <w:sdt>
      <w:sdtPr>
        <w:rPr>
          <w:rFonts w:ascii="Times New Roman" w:eastAsiaTheme="minorHAnsi" w:hAnsi="Times New Roman" w:cstheme="minorBidi"/>
          <w:color w:val="auto"/>
          <w:sz w:val="24"/>
          <w:szCs w:val="22"/>
          <w:lang w:val="en-GB"/>
        </w:rPr>
        <w:id w:val="-1835053289"/>
        <w:docPartObj>
          <w:docPartGallery w:val="Table of Contents"/>
          <w:docPartUnique/>
        </w:docPartObj>
      </w:sdtPr>
      <w:sdtEndPr>
        <w:rPr>
          <w:b/>
          <w:bCs/>
          <w:noProof/>
        </w:rPr>
      </w:sdtEndPr>
      <w:sdtContent>
        <w:p w14:paraId="31147D29" w14:textId="77777777" w:rsidR="009A013F" w:rsidRPr="009A013F" w:rsidRDefault="00ED48CB" w:rsidP="009A013F">
          <w:pPr>
            <w:pStyle w:val="TOCHeading"/>
            <w:jc w:val="center"/>
            <w:rPr>
              <w:rFonts w:ascii="Times New Roman" w:hAnsi="Times New Roman" w:cs="Times New Roman"/>
              <w:b/>
              <w:color w:val="auto"/>
              <w:sz w:val="28"/>
              <w:szCs w:val="28"/>
            </w:rPr>
          </w:pPr>
          <w:r w:rsidRPr="009A013F">
            <w:rPr>
              <w:rFonts w:ascii="Times New Roman" w:hAnsi="Times New Roman" w:cs="Times New Roman"/>
              <w:b/>
              <w:color w:val="auto"/>
              <w:sz w:val="28"/>
              <w:szCs w:val="28"/>
            </w:rPr>
            <w:t>Table of Contents</w:t>
          </w:r>
        </w:p>
        <w:p w14:paraId="7A125B38" w14:textId="77777777" w:rsidR="009A013F" w:rsidRDefault="00ED48CB">
          <w:pPr>
            <w:pStyle w:val="TOC1"/>
            <w:tabs>
              <w:tab w:val="left" w:pos="440"/>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18386253" w:history="1">
            <w:r w:rsidRPr="00B0043F">
              <w:rPr>
                <w:rStyle w:val="Hyperlink"/>
                <w:noProof/>
              </w:rPr>
              <w:t>1</w:t>
            </w:r>
            <w:r>
              <w:rPr>
                <w:noProof/>
              </w:rPr>
              <w:tab/>
            </w:r>
            <w:r w:rsidRPr="00B0043F">
              <w:rPr>
                <w:rStyle w:val="Hyperlink"/>
                <w:noProof/>
              </w:rPr>
              <w:t>Introduction</w:t>
            </w:r>
            <w:r>
              <w:rPr>
                <w:noProof/>
                <w:webHidden/>
              </w:rPr>
              <w:tab/>
            </w:r>
            <w:r>
              <w:rPr>
                <w:noProof/>
                <w:webHidden/>
              </w:rPr>
              <w:fldChar w:fldCharType="begin"/>
            </w:r>
            <w:r>
              <w:rPr>
                <w:noProof/>
                <w:webHidden/>
              </w:rPr>
              <w:instrText xml:space="preserve"> PAGEREF _Toc118386253 \h </w:instrText>
            </w:r>
            <w:r>
              <w:rPr>
                <w:noProof/>
                <w:webHidden/>
              </w:rPr>
            </w:r>
            <w:r>
              <w:rPr>
                <w:noProof/>
                <w:webHidden/>
              </w:rPr>
              <w:fldChar w:fldCharType="separate"/>
            </w:r>
            <w:r>
              <w:rPr>
                <w:noProof/>
                <w:webHidden/>
              </w:rPr>
              <w:t>2</w:t>
            </w:r>
            <w:r>
              <w:rPr>
                <w:noProof/>
                <w:webHidden/>
              </w:rPr>
              <w:fldChar w:fldCharType="end"/>
            </w:r>
          </w:hyperlink>
        </w:p>
        <w:p w14:paraId="2D425E91" w14:textId="77777777" w:rsidR="009A013F" w:rsidRDefault="00000000">
          <w:pPr>
            <w:pStyle w:val="TOC1"/>
            <w:tabs>
              <w:tab w:val="left" w:pos="440"/>
              <w:tab w:val="right" w:leader="dot" w:pos="9350"/>
            </w:tabs>
            <w:rPr>
              <w:noProof/>
            </w:rPr>
          </w:pPr>
          <w:hyperlink w:anchor="_Toc118386254" w:history="1">
            <w:r w:rsidR="00ED48CB" w:rsidRPr="00B0043F">
              <w:rPr>
                <w:rStyle w:val="Hyperlink"/>
                <w:noProof/>
              </w:rPr>
              <w:t>2</w:t>
            </w:r>
            <w:r w:rsidR="00ED48CB">
              <w:rPr>
                <w:noProof/>
              </w:rPr>
              <w:tab/>
            </w:r>
            <w:r w:rsidR="00ED48CB" w:rsidRPr="00B0043F">
              <w:rPr>
                <w:rStyle w:val="Hyperlink"/>
                <w:noProof/>
              </w:rPr>
              <w:t>Discussion</w:t>
            </w:r>
            <w:r w:rsidR="00ED48CB">
              <w:rPr>
                <w:noProof/>
                <w:webHidden/>
              </w:rPr>
              <w:tab/>
            </w:r>
            <w:r w:rsidR="00ED48CB">
              <w:rPr>
                <w:noProof/>
                <w:webHidden/>
              </w:rPr>
              <w:fldChar w:fldCharType="begin"/>
            </w:r>
            <w:r w:rsidR="00ED48CB">
              <w:rPr>
                <w:noProof/>
                <w:webHidden/>
              </w:rPr>
              <w:instrText xml:space="preserve"> PAGEREF _Toc118386254 \h </w:instrText>
            </w:r>
            <w:r w:rsidR="00ED48CB">
              <w:rPr>
                <w:noProof/>
                <w:webHidden/>
              </w:rPr>
            </w:r>
            <w:r w:rsidR="00ED48CB">
              <w:rPr>
                <w:noProof/>
                <w:webHidden/>
              </w:rPr>
              <w:fldChar w:fldCharType="separate"/>
            </w:r>
            <w:r w:rsidR="00ED48CB">
              <w:rPr>
                <w:noProof/>
                <w:webHidden/>
              </w:rPr>
              <w:t>2</w:t>
            </w:r>
            <w:r w:rsidR="00ED48CB">
              <w:rPr>
                <w:noProof/>
                <w:webHidden/>
              </w:rPr>
              <w:fldChar w:fldCharType="end"/>
            </w:r>
          </w:hyperlink>
        </w:p>
        <w:p w14:paraId="6632B7D1" w14:textId="77777777" w:rsidR="009A013F" w:rsidRDefault="00000000">
          <w:pPr>
            <w:pStyle w:val="TOC1"/>
            <w:tabs>
              <w:tab w:val="left" w:pos="440"/>
              <w:tab w:val="right" w:leader="dot" w:pos="9350"/>
            </w:tabs>
            <w:rPr>
              <w:noProof/>
            </w:rPr>
          </w:pPr>
          <w:hyperlink w:anchor="_Toc118386255" w:history="1">
            <w:r w:rsidR="00ED48CB" w:rsidRPr="00B0043F">
              <w:rPr>
                <w:rStyle w:val="Hyperlink"/>
                <w:noProof/>
              </w:rPr>
              <w:t>3</w:t>
            </w:r>
            <w:r w:rsidR="00ED48CB">
              <w:rPr>
                <w:noProof/>
              </w:rPr>
              <w:tab/>
            </w:r>
            <w:r w:rsidR="00ED48CB" w:rsidRPr="00B0043F">
              <w:rPr>
                <w:rStyle w:val="Hyperlink"/>
                <w:noProof/>
              </w:rPr>
              <w:t>Conclusion</w:t>
            </w:r>
            <w:r w:rsidR="00ED48CB">
              <w:rPr>
                <w:noProof/>
                <w:webHidden/>
              </w:rPr>
              <w:tab/>
            </w:r>
            <w:r w:rsidR="00ED48CB">
              <w:rPr>
                <w:noProof/>
                <w:webHidden/>
              </w:rPr>
              <w:fldChar w:fldCharType="begin"/>
            </w:r>
            <w:r w:rsidR="00ED48CB">
              <w:rPr>
                <w:noProof/>
                <w:webHidden/>
              </w:rPr>
              <w:instrText xml:space="preserve"> PAGEREF _Toc118386255 \h </w:instrText>
            </w:r>
            <w:r w:rsidR="00ED48CB">
              <w:rPr>
                <w:noProof/>
                <w:webHidden/>
              </w:rPr>
            </w:r>
            <w:r w:rsidR="00ED48CB">
              <w:rPr>
                <w:noProof/>
                <w:webHidden/>
              </w:rPr>
              <w:fldChar w:fldCharType="separate"/>
            </w:r>
            <w:r w:rsidR="00ED48CB">
              <w:rPr>
                <w:noProof/>
                <w:webHidden/>
              </w:rPr>
              <w:t>6</w:t>
            </w:r>
            <w:r w:rsidR="00ED48CB">
              <w:rPr>
                <w:noProof/>
                <w:webHidden/>
              </w:rPr>
              <w:fldChar w:fldCharType="end"/>
            </w:r>
          </w:hyperlink>
        </w:p>
        <w:p w14:paraId="42C2B048" w14:textId="77777777" w:rsidR="009A013F" w:rsidRDefault="00000000">
          <w:pPr>
            <w:pStyle w:val="TOC1"/>
            <w:tabs>
              <w:tab w:val="left" w:pos="440"/>
              <w:tab w:val="right" w:leader="dot" w:pos="9350"/>
            </w:tabs>
            <w:rPr>
              <w:noProof/>
            </w:rPr>
          </w:pPr>
          <w:hyperlink w:anchor="_Toc118386256" w:history="1">
            <w:r w:rsidR="00ED48CB" w:rsidRPr="00B0043F">
              <w:rPr>
                <w:rStyle w:val="Hyperlink"/>
                <w:noProof/>
              </w:rPr>
              <w:t>4</w:t>
            </w:r>
            <w:r w:rsidR="00ED48CB">
              <w:rPr>
                <w:noProof/>
              </w:rPr>
              <w:tab/>
            </w:r>
            <w:r w:rsidR="00ED48CB" w:rsidRPr="00B0043F">
              <w:rPr>
                <w:rStyle w:val="Hyperlink"/>
                <w:noProof/>
              </w:rPr>
              <w:t>References</w:t>
            </w:r>
            <w:r w:rsidR="00ED48CB">
              <w:rPr>
                <w:noProof/>
                <w:webHidden/>
              </w:rPr>
              <w:tab/>
            </w:r>
            <w:r w:rsidR="00ED48CB">
              <w:rPr>
                <w:noProof/>
                <w:webHidden/>
              </w:rPr>
              <w:fldChar w:fldCharType="begin"/>
            </w:r>
            <w:r w:rsidR="00ED48CB">
              <w:rPr>
                <w:noProof/>
                <w:webHidden/>
              </w:rPr>
              <w:instrText xml:space="preserve"> PAGEREF _Toc118386256 \h </w:instrText>
            </w:r>
            <w:r w:rsidR="00ED48CB">
              <w:rPr>
                <w:noProof/>
                <w:webHidden/>
              </w:rPr>
            </w:r>
            <w:r w:rsidR="00ED48CB">
              <w:rPr>
                <w:noProof/>
                <w:webHidden/>
              </w:rPr>
              <w:fldChar w:fldCharType="separate"/>
            </w:r>
            <w:r w:rsidR="00ED48CB">
              <w:rPr>
                <w:noProof/>
                <w:webHidden/>
              </w:rPr>
              <w:t>7</w:t>
            </w:r>
            <w:r w:rsidR="00ED48CB">
              <w:rPr>
                <w:noProof/>
                <w:webHidden/>
              </w:rPr>
              <w:fldChar w:fldCharType="end"/>
            </w:r>
          </w:hyperlink>
        </w:p>
        <w:p w14:paraId="41F18E73" w14:textId="77777777" w:rsidR="009A013F" w:rsidRDefault="00ED48CB">
          <w:r>
            <w:rPr>
              <w:b/>
              <w:bCs/>
              <w:noProof/>
            </w:rPr>
            <w:fldChar w:fldCharType="end"/>
          </w:r>
        </w:p>
      </w:sdtContent>
    </w:sdt>
    <w:p w14:paraId="6AF2B8E0" w14:textId="77777777" w:rsidR="00207106" w:rsidRDefault="00ED48CB">
      <w:pPr>
        <w:spacing w:after="160" w:line="259" w:lineRule="auto"/>
        <w:rPr>
          <w:b/>
          <w:sz w:val="28"/>
        </w:rPr>
      </w:pPr>
      <w:r>
        <w:br w:type="page"/>
      </w:r>
    </w:p>
    <w:p w14:paraId="7CAB672D" w14:textId="77777777" w:rsidR="00FD2C46" w:rsidRDefault="00ED48CB" w:rsidP="00DD7A9B">
      <w:pPr>
        <w:pStyle w:val="Heading1"/>
        <w:jc w:val="both"/>
      </w:pPr>
      <w:bookmarkStart w:id="0" w:name="_Toc118386253"/>
      <w:r>
        <w:lastRenderedPageBreak/>
        <w:t>Introduction</w:t>
      </w:r>
      <w:bookmarkEnd w:id="0"/>
    </w:p>
    <w:p w14:paraId="56A228A6" w14:textId="77777777" w:rsidR="00771DC4" w:rsidRDefault="00ED48CB" w:rsidP="00DD7A9B">
      <w:pPr>
        <w:ind w:firstLine="432"/>
        <w:jc w:val="both"/>
      </w:pPr>
      <w:r>
        <w:t>The assignment includes a discussion regarding when criminal liability will be upheld for being failed to act. A failure to act can be considered as the duty of performing a certain act but ending up not doing so. The</w:t>
      </w:r>
      <w:r w:rsidR="00DD7A9B">
        <w:t xml:space="preserve"> assignment focuses on the analysis of part of crime failure to act is associated with following the general duty to act in criminal law. In addition, requirements for the crime committed by omission and statutory and contractual duty </w:t>
      </w:r>
      <w:r w:rsidR="008C075C">
        <w:t>to act have also been discussed.</w:t>
      </w:r>
      <w:r w:rsidR="009F294A">
        <w:t xml:space="preserve"> Furthermore, the pros and cons of the general duty of the act have also been included. </w:t>
      </w:r>
    </w:p>
    <w:p w14:paraId="25FE5986" w14:textId="77777777" w:rsidR="00DD7A9B" w:rsidRPr="00771DC4" w:rsidRDefault="00DD7A9B" w:rsidP="00153596">
      <w:pPr>
        <w:jc w:val="both"/>
      </w:pPr>
    </w:p>
    <w:p w14:paraId="29BD2EC4" w14:textId="77777777" w:rsidR="00453342" w:rsidRDefault="00ED48CB" w:rsidP="00153596">
      <w:pPr>
        <w:pStyle w:val="Heading1"/>
        <w:jc w:val="both"/>
      </w:pPr>
      <w:bookmarkStart w:id="1" w:name="_Toc118386254"/>
      <w:r>
        <w:t>Discussion</w:t>
      </w:r>
      <w:bookmarkEnd w:id="1"/>
      <w:r>
        <w:t xml:space="preserve"> </w:t>
      </w:r>
    </w:p>
    <w:p w14:paraId="59B7DACF" w14:textId="77777777" w:rsidR="00153596" w:rsidRPr="00232C01" w:rsidRDefault="00ED48CB" w:rsidP="00232C01">
      <w:pPr>
        <w:ind w:firstLine="432"/>
        <w:jc w:val="both"/>
      </w:pPr>
      <w:r>
        <w:t>With regards to criminal law, criminal liability is predicted on the failure to act under circumstances when the accused was reasonably capable of performing the legal duty. The essential parts of crime include voluntary act or omission or actus reus or a certain state of mind or mens reus. For a criminal offence, an individual</w:t>
      </w:r>
      <w:r w:rsidR="00A15FB4">
        <w:t xml:space="preserve"> is found to be guilty if he has acted in a certain way or failed to act (omission).</w:t>
      </w:r>
      <w:r w:rsidR="008C075C">
        <w:t xml:space="preserve"> However, failure to act is directly related to actus reus, which involves voluntarily performing an offen</w:t>
      </w:r>
      <w:r w:rsidR="00A00B67">
        <w:t>sive act (</w:t>
      </w:r>
      <w:r w:rsidR="00BB44AA" w:rsidRPr="00BB44AA">
        <w:t xml:space="preserve">Bokovnya </w:t>
      </w:r>
      <w:r w:rsidR="00BB44AA" w:rsidRPr="00BB44AA">
        <w:rPr>
          <w:i/>
        </w:rPr>
        <w:t>et al.,</w:t>
      </w:r>
      <w:r w:rsidR="00BB44AA" w:rsidRPr="00BB44AA">
        <w:t xml:space="preserve"> 2019</w:t>
      </w:r>
      <w:r w:rsidR="00A00B67" w:rsidRPr="00BB44AA">
        <w:t>).</w:t>
      </w:r>
      <w:r w:rsidR="00232C01">
        <w:t xml:space="preserve"> </w:t>
      </w:r>
      <w:r w:rsidR="00A00B67">
        <w:t>The element of an offence mainly requires evidence of a positive ac</w:t>
      </w:r>
      <w:r w:rsidR="00593251">
        <w:t>t, with</w:t>
      </w:r>
      <w:r w:rsidR="00342D71">
        <w:t xml:space="preserve"> </w:t>
      </w:r>
      <w:r w:rsidR="00593251">
        <w:t xml:space="preserve">no </w:t>
      </w:r>
      <w:r w:rsidR="00342D71">
        <w:t xml:space="preserve">general duty to act. </w:t>
      </w:r>
      <w:r w:rsidR="00593251">
        <w:t>However, it is undeniable that the</w:t>
      </w:r>
      <w:r w:rsidR="00342D71">
        <w:t xml:space="preserve"> duty of care indicates that an individual is liable for causing harm if no</w:t>
      </w:r>
      <w:r w:rsidR="00593251">
        <w:t xml:space="preserve"> reasonable steps are taken for preventing the occurrence of harm. Therefo</w:t>
      </w:r>
      <w:r w:rsidR="00712158">
        <w:t xml:space="preserve">re, it can be stated that there still exists a duty to prevent harm, as evident from the case of </w:t>
      </w:r>
      <w:r>
        <w:fldChar w:fldCharType="begin"/>
      </w:r>
      <w:r>
        <w:instrText xml:space="preserve"> HYPERLINK "https://www.lawteacher.net/cases/r-v-miller.php" </w:instrText>
      </w:r>
      <w:r>
        <w:fldChar w:fldCharType="separate"/>
      </w:r>
      <w:r w:rsidRPr="00407D09">
        <w:rPr>
          <w:i/>
          <w:shd w:val="clear" w:color="auto" w:fill="FFFFFF"/>
        </w:rPr>
        <w:t>R v Miller [1983].</w:t>
      </w:r>
      <w:r>
        <w:rPr>
          <w:shd w:val="clear" w:color="auto" w:fill="FFFFFF"/>
        </w:rPr>
        <w:t xml:space="preserve"> In this case, the court held that the defendant had the duty of </w:t>
      </w:r>
      <w:proofErr w:type="gramStart"/>
      <w:r>
        <w:rPr>
          <w:shd w:val="clear" w:color="auto" w:fill="FFFFFF"/>
        </w:rPr>
        <w:t>taking action</w:t>
      </w:r>
      <w:proofErr w:type="gramEnd"/>
      <w:r>
        <w:rPr>
          <w:shd w:val="clear" w:color="auto" w:fill="FFFFFF"/>
        </w:rPr>
        <w:t xml:space="preserve"> for resolving the issue once there was a fire. This is an indication that there was no need of being aware of the risk of damage, and therefore, the defendant</w:t>
      </w:r>
      <w:r w:rsidR="00495515">
        <w:rPr>
          <w:shd w:val="clear" w:color="auto" w:fill="FFFFFF"/>
        </w:rPr>
        <w:t xml:space="preserve"> was held liable </w:t>
      </w:r>
      <w:r w:rsidR="00495515" w:rsidRPr="001C59D8">
        <w:t>(</w:t>
      </w:r>
      <w:r w:rsidR="001C59D8" w:rsidRPr="001C59D8">
        <w:t>Campbell, 2018</w:t>
      </w:r>
      <w:r w:rsidR="00495515" w:rsidRPr="001C59D8">
        <w:t xml:space="preserve">). </w:t>
      </w:r>
      <w:r w:rsidRPr="001C59D8">
        <w:t xml:space="preserve"> </w:t>
      </w:r>
    </w:p>
    <w:p w14:paraId="7D522D95" w14:textId="77777777" w:rsidR="00560391" w:rsidRPr="00506583" w:rsidRDefault="00ED48CB" w:rsidP="0085503E">
      <w:pPr>
        <w:ind w:firstLine="432"/>
        <w:jc w:val="both"/>
      </w:pPr>
      <w:r>
        <w:lastRenderedPageBreak/>
        <w:fldChar w:fldCharType="end"/>
      </w:r>
      <w:r w:rsidR="00803B06">
        <w:t>For a crime to be committed by omission, it is essential</w:t>
      </w:r>
      <w:r w:rsidR="006A71CB">
        <w:t xml:space="preserve"> to ensure that the individual has the intent to cause harm and that the proximate cause of the harm was associated with the failure of performing legal duty. In this manner, the omission mainly attracts legal consequences from positive conduct. An omission gives rise to liability when the duty to act </w:t>
      </w:r>
      <w:r w:rsidR="005F3B6B">
        <w:t>imposed by the law is breached (</w:t>
      </w:r>
      <w:r w:rsidR="007A3E4F" w:rsidRPr="007A3E4F">
        <w:t>Jakhongir, 2021</w:t>
      </w:r>
      <w:r w:rsidR="005F3B6B">
        <w:t xml:space="preserve">). </w:t>
      </w:r>
      <w:r w:rsidR="00AC2E20">
        <w:t>Duty (under criminal law) is an obligation to act, and failure to do so</w:t>
      </w:r>
      <w:r w:rsidR="00621E41">
        <w:t xml:space="preserve"> results in criminal liability, which </w:t>
      </w:r>
      <w:r w:rsidR="00BE2218">
        <w:t>also arises by statute. An individual has the statutory duty to take actions that are essential for the prevention of any type of harm, whether to another individual or to the general public. For this reason, it is well-established that criminal liability would be predicted in accordance with acts of omission whenever an i</w:t>
      </w:r>
      <w:r>
        <w:t>ndividual is charged for an act (</w:t>
      </w:r>
      <w:r w:rsidR="009B1BB5" w:rsidRPr="009B1BB5">
        <w:t>Dsouza, 2021</w:t>
      </w:r>
      <w:r w:rsidRPr="009B1BB5">
        <w:t>). For</w:t>
      </w:r>
      <w:r>
        <w:t xml:space="preserve"> instance, as happened in the case of </w:t>
      </w:r>
      <w:r w:rsidRPr="00560391">
        <w:rPr>
          <w:i/>
        </w:rPr>
        <w:t>R v Pittwood [1902],</w:t>
      </w:r>
      <w:r>
        <w:t xml:space="preserve"> the issue was to decide if omission constituted the actus reus and if criminal liability was based on contractual duty breach. It was held by the court that the defendant had the contractual duty of closing the gate and, therefore, regarded as a breach of duty g</w:t>
      </w:r>
      <w:r w:rsidR="00097C8D">
        <w:t>rounding criminal liability (</w:t>
      </w:r>
      <w:r w:rsidR="00FC67C6" w:rsidRPr="00BB44AA">
        <w:t xml:space="preserve">Bokovnya </w:t>
      </w:r>
      <w:r w:rsidR="00FC67C6" w:rsidRPr="00BB44AA">
        <w:rPr>
          <w:i/>
        </w:rPr>
        <w:t>et al.,</w:t>
      </w:r>
      <w:r w:rsidR="00FC67C6" w:rsidRPr="00BB44AA">
        <w:t xml:space="preserve"> 2019</w:t>
      </w:r>
      <w:r w:rsidR="00097C8D">
        <w:t>). Apart from statutory duty, an individual is also considered criminally liable in case compliance with contractual</w:t>
      </w:r>
      <w:r w:rsidR="00CF5117">
        <w:t xml:space="preserve"> duty towards others is failed. </w:t>
      </w:r>
      <w:r w:rsidR="00CF5117" w:rsidRPr="00560391">
        <w:rPr>
          <w:i/>
        </w:rPr>
        <w:t>R v Pittwood [1902]</w:t>
      </w:r>
      <w:r w:rsidR="00CF5117">
        <w:rPr>
          <w:i/>
        </w:rPr>
        <w:t xml:space="preserve">, </w:t>
      </w:r>
      <w:r w:rsidR="00CF5117">
        <w:t xml:space="preserve">the case </w:t>
      </w:r>
      <w:r w:rsidR="00CF5117" w:rsidRPr="00CF5117">
        <w:t>can further be considered in this regard</w:t>
      </w:r>
      <w:r w:rsidR="00D771E8">
        <w:rPr>
          <w:i/>
        </w:rPr>
        <w:t xml:space="preserve">, </w:t>
      </w:r>
      <w:r w:rsidR="00D771E8" w:rsidRPr="00D771E8">
        <w:t>claiming that</w:t>
      </w:r>
      <w:r w:rsidR="00D771E8">
        <w:t xml:space="preserve"> contractual elements ar</w:t>
      </w:r>
      <w:r w:rsidR="002A6B23">
        <w:t xml:space="preserve">ise out of the contractual duty that it was the obligation of Pittwood to manage to cross. Therefore, it can be stated that a contractual duty is imposed for preventing </w:t>
      </w:r>
      <w:r w:rsidR="002A6B23" w:rsidRPr="00B22CE8">
        <w:t>harm (</w:t>
      </w:r>
      <w:r w:rsidR="003C48E9" w:rsidRPr="00B22CE8">
        <w:t>Ryder, 2018</w:t>
      </w:r>
      <w:r w:rsidR="002A6B23" w:rsidRPr="00B22CE8">
        <w:t>).</w:t>
      </w:r>
      <w:r w:rsidR="002A6B23">
        <w:t xml:space="preserve"> </w:t>
      </w:r>
      <w:r w:rsidR="009C30D2" w:rsidRPr="009C30D2">
        <w:t xml:space="preserve">Brownsword </w:t>
      </w:r>
      <w:r w:rsidR="002A6B23" w:rsidRPr="009C30D2">
        <w:t>(</w:t>
      </w:r>
      <w:r w:rsidR="009C30D2" w:rsidRPr="009C30D2">
        <w:t>2019</w:t>
      </w:r>
      <w:r w:rsidR="002A6B23" w:rsidRPr="009C30D2">
        <w:t>)</w:t>
      </w:r>
      <w:r w:rsidR="002A6B23">
        <w:t xml:space="preserve"> has stated that when an individual is involved in creating a situation, reasonable steps should be taken for removing any dangers so that they might not be considered criminally liab</w:t>
      </w:r>
      <w:r w:rsidR="002848F3">
        <w:t>le for not taking any decision.</w:t>
      </w:r>
      <w:r w:rsidR="00506583" w:rsidRPr="00506583">
        <w:rPr>
          <w:rFonts w:cs="Times New Roman"/>
        </w:rPr>
        <w:t xml:space="preserve"> </w:t>
      </w:r>
      <w:r w:rsidR="00506583">
        <w:rPr>
          <w:rFonts w:cs="Times New Roman"/>
        </w:rPr>
        <w:t>A contractual duty might be created under criminal law not only to the people directly tied to the contract but also to those who would be impacted in any way in case the contract is not performed. Such cases are usually evident in the healthcare profession.</w:t>
      </w:r>
      <w:r w:rsidR="002848F3">
        <w:t xml:space="preserve"> In</w:t>
      </w:r>
      <w:r w:rsidR="002848F3" w:rsidRPr="002848F3">
        <w:rPr>
          <w:rFonts w:cs="Times New Roman"/>
        </w:rPr>
        <w:t xml:space="preserve"> </w:t>
      </w:r>
      <w:hyperlink r:id="rId8" w:history="1">
        <w:r w:rsidR="002848F3" w:rsidRPr="002848F3">
          <w:rPr>
            <w:rFonts w:cs="Times New Roman"/>
            <w:i/>
          </w:rPr>
          <w:t>R v Evans</w:t>
        </w:r>
      </w:hyperlink>
      <w:r w:rsidR="002848F3" w:rsidRPr="002848F3">
        <w:rPr>
          <w:rFonts w:cs="Times New Roman"/>
          <w:i/>
        </w:rPr>
        <w:t> [2009]</w:t>
      </w:r>
      <w:r w:rsidR="002848F3" w:rsidRPr="002848F3">
        <w:rPr>
          <w:rFonts w:cs="Times New Roman"/>
          <w:color w:val="212529"/>
          <w:shd w:val="clear" w:color="auto" w:fill="FFFFFF"/>
        </w:rPr>
        <w:t xml:space="preserve">, </w:t>
      </w:r>
      <w:r w:rsidR="002848F3">
        <w:rPr>
          <w:rFonts w:cs="Times New Roman"/>
        </w:rPr>
        <w:t xml:space="preserve">it was claimed </w:t>
      </w:r>
      <w:r w:rsidR="002848F3">
        <w:rPr>
          <w:rFonts w:cs="Times New Roman"/>
        </w:rPr>
        <w:lastRenderedPageBreak/>
        <w:t>that the duty of care was not consistent with the previous authority. However, the appeal was dismissed, claiming that if an individual is involved in a life-threatening situation, there exists the consequent duty to take certain reasonable steps in order to save another person'</w:t>
      </w:r>
      <w:r w:rsidR="004E4644">
        <w:rPr>
          <w:rFonts w:cs="Times New Roman"/>
        </w:rPr>
        <w:t>s life (</w:t>
      </w:r>
      <w:r w:rsidR="00C26DEF" w:rsidRPr="009B1BB5">
        <w:t>Dsouza</w:t>
      </w:r>
      <w:r w:rsidR="00C26DEF">
        <w:t>, 2021</w:t>
      </w:r>
      <w:r w:rsidR="004E4644">
        <w:rPr>
          <w:rFonts w:cs="Times New Roman"/>
        </w:rPr>
        <w:t xml:space="preserve">). </w:t>
      </w:r>
    </w:p>
    <w:p w14:paraId="54ABAD08" w14:textId="77777777" w:rsidR="00151BFB" w:rsidRDefault="00ED48CB" w:rsidP="00153596">
      <w:pPr>
        <w:jc w:val="both"/>
      </w:pPr>
      <w:r>
        <w:tab/>
      </w:r>
      <w:r w:rsidR="004F3C1D">
        <w:t>Criminal law imposes that the common law arises in situations when it is already reasonably foreseeable that an individual might cause harm to others through his actions or omissions</w:t>
      </w:r>
      <w:r w:rsidR="00D404BD">
        <w:t>. However, it is undeniable that unless there is a contract or statute creating the</w:t>
      </w:r>
      <w:r w:rsidR="009549D6">
        <w:t xml:space="preserve"> duty, there is no duty to act</w:t>
      </w:r>
      <w:r w:rsidR="00217A5A">
        <w:t xml:space="preserve"> (</w:t>
      </w:r>
      <w:r w:rsidR="00217A5A" w:rsidRPr="009C30D2">
        <w:t>Brownsword</w:t>
      </w:r>
      <w:r w:rsidR="00217A5A">
        <w:t>, 2019)</w:t>
      </w:r>
      <w:r w:rsidR="009549D6">
        <w:t>. Therefore, the tort of negligence has also been introduced for imposing liability for loss or injury that is caused as a result of negligence. However, it is also crucial to understand and determine what is constituting carelessness and when the liability is not imposed. In this regard, the decisions are mainly taken by courts in accordance with the criteria of foreseeability, proximity and if liabili</w:t>
      </w:r>
      <w:r w:rsidR="00F40025">
        <w:t xml:space="preserve">ty </w:t>
      </w:r>
      <w:r w:rsidR="00CE3B30">
        <w:t xml:space="preserve">is just, fair and reasonable. The law recognises that an individual who acts in ignorance of the facts of their actions is not held to be criminally </w:t>
      </w:r>
      <w:r w:rsidR="00CE3B30" w:rsidRPr="00A06FA7">
        <w:t>responsible (</w:t>
      </w:r>
      <w:r w:rsidR="00A06FA7" w:rsidRPr="00A06FA7">
        <w:t>Stuart-Cole, 2018</w:t>
      </w:r>
      <w:r w:rsidR="00CE3B30" w:rsidRPr="00A06FA7">
        <w:t>).</w:t>
      </w:r>
      <w:r w:rsidR="00CE3B30">
        <w:t xml:space="preserve"> </w:t>
      </w:r>
    </w:p>
    <w:p w14:paraId="5919E824" w14:textId="77777777" w:rsidR="00821D21" w:rsidRDefault="00ED48CB" w:rsidP="00E27DD9">
      <w:pPr>
        <w:jc w:val="both"/>
        <w:rPr>
          <w:rFonts w:asciiTheme="minorBidi" w:hAnsiTheme="minorBidi"/>
          <w:szCs w:val="24"/>
        </w:rPr>
      </w:pPr>
      <w:r>
        <w:tab/>
      </w:r>
      <w:r w:rsidR="00E70247">
        <w:t>Adejumo</w:t>
      </w:r>
      <w:r w:rsidR="00E70247" w:rsidRPr="00E70247">
        <w:t xml:space="preserve"> and Adejumo </w:t>
      </w:r>
      <w:r w:rsidRPr="00E70247">
        <w:t>(</w:t>
      </w:r>
      <w:r w:rsidR="00E70247" w:rsidRPr="00E70247">
        <w:t>2020</w:t>
      </w:r>
      <w:r w:rsidRPr="00E70247">
        <w:t>)</w:t>
      </w:r>
      <w:r>
        <w:t xml:space="preserve"> </w:t>
      </w:r>
      <w:r w:rsidR="00E70247">
        <w:t>have</w:t>
      </w:r>
      <w:r>
        <w:t xml:space="preserve"> discussed that there are certain circumstan</w:t>
      </w:r>
      <w:r w:rsidR="00A51000">
        <w:t>ces in which the duty to act stops. It is undeniable that duty is central to the law; however, some exceptions have been provided when an individual is not obliged to perform the duty. Such circumstances are usually common in the healthcare</w:t>
      </w:r>
      <w:r w:rsidR="00856AB7">
        <w:t xml:space="preserve"> sector. In other words, it can be stated that a person is not obliged to assist an injured individual or those involved in committing a crime, or otherwise, he could be obligated to continue </w:t>
      </w:r>
      <w:r w:rsidR="00E27DD9">
        <w:t xml:space="preserve">helping. In the case of </w:t>
      </w:r>
      <w:r w:rsidR="00E27DD9" w:rsidRPr="009D5713">
        <w:rPr>
          <w:rFonts w:asciiTheme="minorBidi" w:hAnsiTheme="minorBidi"/>
          <w:i/>
          <w:szCs w:val="24"/>
        </w:rPr>
        <w:t>Airedale NHS Trust v Bland [1993</w:t>
      </w:r>
      <w:r w:rsidR="00E27DD9" w:rsidRPr="00886CAC">
        <w:rPr>
          <w:rFonts w:asciiTheme="minorBidi" w:hAnsiTheme="minorBidi"/>
          <w:szCs w:val="24"/>
        </w:rPr>
        <w:t>]</w:t>
      </w:r>
      <w:r w:rsidR="00191798">
        <w:rPr>
          <w:rFonts w:asciiTheme="minorBidi" w:hAnsiTheme="minorBidi"/>
          <w:szCs w:val="24"/>
        </w:rPr>
        <w:t>, a patient was not in the state of offering consent for his treatment or withholding it. Under these circumstances, doctors are expected to act in the best interests of their patients, which was to continue Bland. It was held by the court that it was the</w:t>
      </w:r>
      <w:r w:rsidR="00B04C9A">
        <w:rPr>
          <w:rFonts w:asciiTheme="minorBidi" w:hAnsiTheme="minorBidi"/>
          <w:szCs w:val="24"/>
        </w:rPr>
        <w:t xml:space="preserve"> duty of act for the doctor to decide what is best for the patient. </w:t>
      </w:r>
      <w:r w:rsidR="00B04C9A">
        <w:rPr>
          <w:rFonts w:asciiTheme="minorBidi" w:hAnsiTheme="minorBidi"/>
          <w:szCs w:val="24"/>
        </w:rPr>
        <w:lastRenderedPageBreak/>
        <w:t>However, it does not necessarily be associated with prolonging life. In other words, it can be stated that it is neither lawful to c</w:t>
      </w:r>
      <w:r w:rsidR="00312553">
        <w:rPr>
          <w:rFonts w:asciiTheme="minorBidi" w:hAnsiTheme="minorBidi"/>
          <w:szCs w:val="24"/>
        </w:rPr>
        <w:t>ause death nor accelerate it (</w:t>
      </w:r>
      <w:r w:rsidR="00892FEA" w:rsidRPr="00B22CE8">
        <w:t>Ryder, 2018</w:t>
      </w:r>
      <w:r w:rsidR="00312553">
        <w:rPr>
          <w:rFonts w:asciiTheme="minorBidi" w:hAnsiTheme="minorBidi"/>
          <w:szCs w:val="24"/>
        </w:rPr>
        <w:t>). This is an indication that in some cases, moral duti</w:t>
      </w:r>
      <w:r w:rsidR="00D03892">
        <w:rPr>
          <w:rFonts w:asciiTheme="minorBidi" w:hAnsiTheme="minorBidi"/>
          <w:szCs w:val="24"/>
        </w:rPr>
        <w:t xml:space="preserve">es might not be legally upheld, and therefore, law changes tend to better reflect the morals of society. </w:t>
      </w:r>
    </w:p>
    <w:p w14:paraId="51EB9DEB" w14:textId="77777777" w:rsidR="00E27DD9" w:rsidRPr="008C5337" w:rsidRDefault="00ED48CB" w:rsidP="008C5337">
      <w:pPr>
        <w:jc w:val="both"/>
      </w:pPr>
      <w:r>
        <w:rPr>
          <w:rFonts w:asciiTheme="minorBidi" w:hAnsiTheme="minorBidi"/>
          <w:szCs w:val="24"/>
        </w:rPr>
        <w:tab/>
        <w:t xml:space="preserve"> A great deal of debate has been over the extent to which duty of care should be imposed, or liability </w:t>
      </w:r>
      <w:r w:rsidR="00F24EFA">
        <w:rPr>
          <w:rFonts w:asciiTheme="minorBidi" w:hAnsiTheme="minorBidi"/>
          <w:szCs w:val="24"/>
        </w:rPr>
        <w:t>should be attached to omission. There should be a general duty to act as it facilitates mitigating the damages for which an individual is already liable. Certainly, one would expect legal obligations and recognition to act at common law, driven by the decisions</w:t>
      </w:r>
      <w:r w:rsidR="00A3354F">
        <w:rPr>
          <w:rFonts w:asciiTheme="minorBidi" w:hAnsiTheme="minorBidi"/>
          <w:szCs w:val="24"/>
        </w:rPr>
        <w:t xml:space="preserve"> made by the judges. In accordance with omission, the laities associated with the failure to perfuming the duty of care are concerned with the fact that </w:t>
      </w:r>
      <w:r w:rsidR="002E4DDF">
        <w:rPr>
          <w:rFonts w:asciiTheme="minorBidi" w:hAnsiTheme="minorBidi"/>
          <w:szCs w:val="24"/>
        </w:rPr>
        <w:t>such</w:t>
      </w:r>
      <w:r w:rsidR="006F2197">
        <w:rPr>
          <w:rFonts w:asciiTheme="minorBidi" w:hAnsiTheme="minorBidi"/>
          <w:szCs w:val="24"/>
        </w:rPr>
        <w:t xml:space="preserve"> offences can easily be proved (</w:t>
      </w:r>
      <w:r w:rsidR="006E5FF0" w:rsidRPr="006E5FF0">
        <w:t>Gutorova, 2019</w:t>
      </w:r>
      <w:r w:rsidR="006F2197" w:rsidRPr="006E5FF0">
        <w:t>).</w:t>
      </w:r>
      <w:r w:rsidR="006E5FF0">
        <w:t xml:space="preserve"> </w:t>
      </w:r>
      <w:r w:rsidR="008C5337">
        <w:t xml:space="preserve">In the case of </w:t>
      </w:r>
      <w:r w:rsidR="008C5337" w:rsidRPr="009D5713">
        <w:rPr>
          <w:i/>
        </w:rPr>
        <w:t>Stone and Dobinson [1977],</w:t>
      </w:r>
      <w:r w:rsidR="008C5337">
        <w:t xml:space="preserve"> the issue was associated with finding out if the defendant owned the duty of care. The court held the decision that the duty of care was only owned on the grounds of having close ties. In other cases, an individual should be indifferent or have foreseen the </w:t>
      </w:r>
      <w:r w:rsidR="008C5337" w:rsidRPr="00892FEA">
        <w:t xml:space="preserve">risk. </w:t>
      </w:r>
      <w:r w:rsidR="00892FEA" w:rsidRPr="00892FEA">
        <w:t xml:space="preserve">Mac Síthigh </w:t>
      </w:r>
      <w:r w:rsidR="006F2197" w:rsidRPr="00892FEA">
        <w:t>(</w:t>
      </w:r>
      <w:r w:rsidR="00892FEA" w:rsidRPr="00892FEA">
        <w:t>2020</w:t>
      </w:r>
      <w:r w:rsidR="006F2197" w:rsidRPr="00892FEA">
        <w:t>)</w:t>
      </w:r>
      <w:r w:rsidR="006F2197">
        <w:rPr>
          <w:rFonts w:asciiTheme="minorBidi" w:hAnsiTheme="minorBidi"/>
          <w:szCs w:val="24"/>
        </w:rPr>
        <w:t>, however, has argued that besides legal obligations, there are certain moral obligations as well, based on which some decisions must necessarily be made</w:t>
      </w:r>
      <w:r w:rsidR="00A31B63">
        <w:rPr>
          <w:rFonts w:asciiTheme="minorBidi" w:hAnsiTheme="minorBidi"/>
          <w:szCs w:val="24"/>
        </w:rPr>
        <w:t xml:space="preserve">. Determining the nature as well as the extent </w:t>
      </w:r>
      <w:r w:rsidR="000E47E3">
        <w:rPr>
          <w:rFonts w:asciiTheme="minorBidi" w:hAnsiTheme="minorBidi"/>
          <w:szCs w:val="24"/>
        </w:rPr>
        <w:t>of the general</w:t>
      </w:r>
      <w:r w:rsidR="00A31B63">
        <w:rPr>
          <w:rFonts w:asciiTheme="minorBidi" w:hAnsiTheme="minorBidi"/>
          <w:szCs w:val="24"/>
        </w:rPr>
        <w:t xml:space="preserve"> duty of act is difficult and challenging</w:t>
      </w:r>
      <w:r w:rsidR="000E47E3">
        <w:rPr>
          <w:rFonts w:asciiTheme="minorBidi" w:hAnsiTheme="minorBidi"/>
          <w:szCs w:val="24"/>
        </w:rPr>
        <w:t>. Such</w:t>
      </w:r>
      <w:r w:rsidR="00392E35">
        <w:rPr>
          <w:rFonts w:asciiTheme="minorBidi" w:hAnsiTheme="minorBidi"/>
          <w:szCs w:val="24"/>
        </w:rPr>
        <w:t xml:space="preserve"> limitless liability often arises when there exists general duty, but there are certain practical</w:t>
      </w:r>
      <w:r w:rsidR="00B552B1">
        <w:rPr>
          <w:rFonts w:asciiTheme="minorBidi" w:hAnsiTheme="minorBidi"/>
          <w:szCs w:val="24"/>
        </w:rPr>
        <w:t xml:space="preserve"> issues in enforcing such laws. Having a duty to </w:t>
      </w:r>
      <w:r w:rsidR="00DB77EE">
        <w:rPr>
          <w:rFonts w:asciiTheme="minorBidi" w:hAnsiTheme="minorBidi"/>
          <w:szCs w:val="24"/>
        </w:rPr>
        <w:t>act has</w:t>
      </w:r>
      <w:r w:rsidR="00B552B1">
        <w:rPr>
          <w:rFonts w:asciiTheme="minorBidi" w:hAnsiTheme="minorBidi"/>
          <w:szCs w:val="24"/>
        </w:rPr>
        <w:t xml:space="preserve"> further been discussed with regard to the importance o</w:t>
      </w:r>
      <w:r w:rsidR="00DB77EE">
        <w:rPr>
          <w:rFonts w:asciiTheme="minorBidi" w:hAnsiTheme="minorBidi"/>
          <w:szCs w:val="24"/>
        </w:rPr>
        <w:t>f protecting individual freedom. The risk associated with recognising a general duty of the act is linked with undermining freedom and imposing collective responsibility</w:t>
      </w:r>
      <w:r w:rsidR="00305C95">
        <w:rPr>
          <w:rFonts w:asciiTheme="minorBidi" w:hAnsiTheme="minorBidi"/>
          <w:szCs w:val="24"/>
        </w:rPr>
        <w:t>. It is clear and in the public interest for the member</w:t>
      </w:r>
      <w:r w:rsidR="00EF634C">
        <w:rPr>
          <w:rFonts w:asciiTheme="minorBidi" w:hAnsiTheme="minorBidi"/>
          <w:szCs w:val="24"/>
        </w:rPr>
        <w:t xml:space="preserve">s of society to help each other. For this reason, it is crucial to determine when moral obligation should become legal. </w:t>
      </w:r>
      <w:r w:rsidR="00305C95">
        <w:rPr>
          <w:rFonts w:asciiTheme="minorBidi" w:hAnsiTheme="minorBidi"/>
          <w:szCs w:val="24"/>
        </w:rPr>
        <w:t xml:space="preserve"> </w:t>
      </w:r>
      <w:r w:rsidR="00A3354F">
        <w:rPr>
          <w:rFonts w:asciiTheme="minorBidi" w:hAnsiTheme="minorBidi"/>
          <w:szCs w:val="24"/>
        </w:rPr>
        <w:t xml:space="preserve"> </w:t>
      </w:r>
    </w:p>
    <w:p w14:paraId="57162F57" w14:textId="77777777" w:rsidR="00DD7A9B" w:rsidRPr="00DD7A9B" w:rsidRDefault="00ED48CB" w:rsidP="008C5337">
      <w:pPr>
        <w:jc w:val="both"/>
      </w:pPr>
      <w:r>
        <w:t xml:space="preserve"> </w:t>
      </w:r>
      <w:r w:rsidR="00A51000">
        <w:t xml:space="preserve"> </w:t>
      </w:r>
      <w:r w:rsidR="009549D6">
        <w:t xml:space="preserve">  </w:t>
      </w:r>
    </w:p>
    <w:p w14:paraId="0922F6D3" w14:textId="77777777" w:rsidR="00453342" w:rsidRDefault="00ED48CB" w:rsidP="00BA09EF">
      <w:pPr>
        <w:pStyle w:val="Heading1"/>
        <w:jc w:val="both"/>
      </w:pPr>
      <w:bookmarkStart w:id="2" w:name="_Toc118386255"/>
      <w:r>
        <w:lastRenderedPageBreak/>
        <w:t>Conclusion</w:t>
      </w:r>
      <w:bookmarkEnd w:id="2"/>
      <w:r>
        <w:t xml:space="preserve"> </w:t>
      </w:r>
    </w:p>
    <w:p w14:paraId="1D63A471" w14:textId="77777777" w:rsidR="008C5337" w:rsidRDefault="00ED48CB" w:rsidP="00BA09EF">
      <w:pPr>
        <w:ind w:firstLine="432"/>
        <w:jc w:val="both"/>
      </w:pPr>
      <w:r>
        <w:t>An individual has the legal duty to take necessary actions so as to ensure better prevention of harm to another individual or the general public. Such duty to act is either imposed in the form of a contractual r</w:t>
      </w:r>
      <w:r w:rsidR="004B68C2">
        <w:t>elationship or under a statute. It has further been determined that there is usually no duty to act unless there is a statute or contract creating the duty. However, there are certain conditions where duty might arise, as an individual voluntarily assumes taking responsibility</w:t>
      </w:r>
      <w:r w:rsidR="00C07C2B">
        <w:t xml:space="preserve"> for another person. In addition, the duty might not only exist but also be self-imposed if an individual is responsible for causing </w:t>
      </w:r>
      <w:r w:rsidR="00CB3561">
        <w:t>an</w:t>
      </w:r>
      <w:r w:rsidR="00C07C2B">
        <w:t xml:space="preserve"> </w:t>
      </w:r>
      <w:r w:rsidR="00415712">
        <w:t>unsafe</w:t>
      </w:r>
      <w:r w:rsidR="00C07C2B">
        <w:t xml:space="preserve"> situation for others.  </w:t>
      </w:r>
    </w:p>
    <w:p w14:paraId="12A847D7" w14:textId="77777777" w:rsidR="009D67D5" w:rsidRDefault="00ED48CB">
      <w:pPr>
        <w:spacing w:after="160" w:line="259" w:lineRule="auto"/>
      </w:pPr>
      <w:r>
        <w:br w:type="page"/>
      </w:r>
    </w:p>
    <w:p w14:paraId="5CD8ACD7" w14:textId="77777777" w:rsidR="009D67D5" w:rsidRPr="008C5337" w:rsidRDefault="00ED48CB" w:rsidP="009D67D5">
      <w:pPr>
        <w:pStyle w:val="Heading1"/>
      </w:pPr>
      <w:bookmarkStart w:id="3" w:name="_Toc118386256"/>
      <w:r>
        <w:lastRenderedPageBreak/>
        <w:t>References</w:t>
      </w:r>
      <w:bookmarkEnd w:id="3"/>
      <w:r>
        <w:t xml:space="preserve"> </w:t>
      </w:r>
    </w:p>
    <w:p w14:paraId="7F6B949C" w14:textId="77777777" w:rsidR="009D67D5" w:rsidRPr="00793D65" w:rsidRDefault="00ED48CB" w:rsidP="009D67D5">
      <w:pPr>
        <w:ind w:left="720" w:hanging="720"/>
        <w:jc w:val="both"/>
      </w:pPr>
      <w:r>
        <w:rPr>
          <w:shd w:val="clear" w:color="auto" w:fill="FFFFFF"/>
        </w:rPr>
        <w:t>Adejumo, O.A. and Adejumo, O.A., 2020. Legal perspectives on liability for medical negligence and malpractices in Nigeria. </w:t>
      </w:r>
      <w:r>
        <w:rPr>
          <w:i/>
          <w:iCs/>
          <w:shd w:val="clear" w:color="auto" w:fill="FFFFFF"/>
        </w:rPr>
        <w:t>The Pan African Medical Journal</w:t>
      </w:r>
      <w:r>
        <w:rPr>
          <w:shd w:val="clear" w:color="auto" w:fill="FFFFFF"/>
        </w:rPr>
        <w:t>, </w:t>
      </w:r>
      <w:r>
        <w:rPr>
          <w:i/>
          <w:iCs/>
          <w:shd w:val="clear" w:color="auto" w:fill="FFFFFF"/>
        </w:rPr>
        <w:t>35</w:t>
      </w:r>
      <w:r>
        <w:rPr>
          <w:shd w:val="clear" w:color="auto" w:fill="FFFFFF"/>
        </w:rPr>
        <w:t>.</w:t>
      </w:r>
    </w:p>
    <w:p w14:paraId="5D312313" w14:textId="77777777" w:rsidR="009D67D5" w:rsidRPr="00793D65" w:rsidRDefault="00ED48CB" w:rsidP="009D67D5">
      <w:pPr>
        <w:ind w:left="720" w:hanging="720"/>
        <w:jc w:val="both"/>
        <w:rPr>
          <w:shd w:val="clear" w:color="auto" w:fill="FFFFFF"/>
        </w:rPr>
      </w:pPr>
      <w:r w:rsidRPr="00793D65">
        <w:rPr>
          <w:shd w:val="clear" w:color="auto" w:fill="FFFFFF"/>
        </w:rPr>
        <w:t>Bokovnya, A.Y., Khisamova, Z.I. and Begishev, I.R., 2019. Study of Russian and the UK Legislations in Combating Digital Crimes. </w:t>
      </w:r>
      <w:r w:rsidRPr="00793D65">
        <w:rPr>
          <w:i/>
          <w:iCs/>
          <w:shd w:val="clear" w:color="auto" w:fill="FFFFFF"/>
        </w:rPr>
        <w:t>Helix</w:t>
      </w:r>
      <w:r w:rsidRPr="00793D65">
        <w:rPr>
          <w:shd w:val="clear" w:color="auto" w:fill="FFFFFF"/>
        </w:rPr>
        <w:t>, </w:t>
      </w:r>
      <w:r w:rsidRPr="00793D65">
        <w:rPr>
          <w:i/>
          <w:iCs/>
          <w:shd w:val="clear" w:color="auto" w:fill="FFFFFF"/>
        </w:rPr>
        <w:t>9</w:t>
      </w:r>
      <w:r w:rsidRPr="00793D65">
        <w:rPr>
          <w:shd w:val="clear" w:color="auto" w:fill="FFFFFF"/>
        </w:rPr>
        <w:t>(5), pp.5458-5461.</w:t>
      </w:r>
    </w:p>
    <w:p w14:paraId="411B7A3A" w14:textId="77777777" w:rsidR="009D67D5" w:rsidRPr="00793D65" w:rsidRDefault="00ED48CB" w:rsidP="009D67D5">
      <w:pPr>
        <w:ind w:left="720" w:hanging="720"/>
        <w:jc w:val="both"/>
      </w:pPr>
      <w:r>
        <w:rPr>
          <w:shd w:val="clear" w:color="auto" w:fill="FFFFFF"/>
        </w:rPr>
        <w:t>Brownsword, R., 2019. Regulatory fitness: Fintech, funny money, and smart contracts. </w:t>
      </w:r>
      <w:r>
        <w:rPr>
          <w:i/>
          <w:iCs/>
          <w:shd w:val="clear" w:color="auto" w:fill="FFFFFF"/>
        </w:rPr>
        <w:t>European Business Organization Law Review</w:t>
      </w:r>
      <w:r>
        <w:rPr>
          <w:shd w:val="clear" w:color="auto" w:fill="FFFFFF"/>
        </w:rPr>
        <w:t>, </w:t>
      </w:r>
      <w:r>
        <w:rPr>
          <w:i/>
          <w:iCs/>
          <w:shd w:val="clear" w:color="auto" w:fill="FFFFFF"/>
        </w:rPr>
        <w:t>20</w:t>
      </w:r>
      <w:r>
        <w:rPr>
          <w:shd w:val="clear" w:color="auto" w:fill="FFFFFF"/>
        </w:rPr>
        <w:t>(1), pp.5-27.</w:t>
      </w:r>
    </w:p>
    <w:p w14:paraId="562CD33E" w14:textId="77777777" w:rsidR="009D67D5" w:rsidRPr="00793D65" w:rsidRDefault="00ED48CB" w:rsidP="009D67D5">
      <w:pPr>
        <w:ind w:left="720" w:hanging="720"/>
        <w:jc w:val="both"/>
        <w:rPr>
          <w:shd w:val="clear" w:color="auto" w:fill="FFFFFF"/>
        </w:rPr>
      </w:pPr>
      <w:r w:rsidRPr="00793D65">
        <w:rPr>
          <w:shd w:val="clear" w:color="auto" w:fill="FFFFFF"/>
        </w:rPr>
        <w:t>Campbell, L., 2018. Corporate liability and the criminalisation of failure. </w:t>
      </w:r>
      <w:r w:rsidRPr="00793D65">
        <w:rPr>
          <w:i/>
          <w:iCs/>
          <w:shd w:val="clear" w:color="auto" w:fill="FFFFFF"/>
        </w:rPr>
        <w:t>Law and Financial Markets Review</w:t>
      </w:r>
      <w:r w:rsidRPr="00793D65">
        <w:rPr>
          <w:shd w:val="clear" w:color="auto" w:fill="FFFFFF"/>
        </w:rPr>
        <w:t>, </w:t>
      </w:r>
      <w:r w:rsidRPr="00793D65">
        <w:rPr>
          <w:i/>
          <w:iCs/>
          <w:shd w:val="clear" w:color="auto" w:fill="FFFFFF"/>
        </w:rPr>
        <w:t>12</w:t>
      </w:r>
      <w:r w:rsidRPr="00793D65">
        <w:rPr>
          <w:shd w:val="clear" w:color="auto" w:fill="FFFFFF"/>
        </w:rPr>
        <w:t>(2), pp.57-70.</w:t>
      </w:r>
    </w:p>
    <w:p w14:paraId="10B0D901" w14:textId="77777777" w:rsidR="009D67D5" w:rsidRPr="00793D65" w:rsidRDefault="00ED48CB" w:rsidP="009D67D5">
      <w:pPr>
        <w:ind w:left="720" w:hanging="720"/>
        <w:jc w:val="both"/>
        <w:rPr>
          <w:shd w:val="clear" w:color="auto" w:fill="FFFFFF"/>
        </w:rPr>
      </w:pPr>
      <w:r w:rsidRPr="00793D65">
        <w:rPr>
          <w:shd w:val="clear" w:color="auto" w:fill="FFFFFF"/>
        </w:rPr>
        <w:t>Dsouza, M., 2021. Beyond acts and omissions: remark-able criminal conduct. </w:t>
      </w:r>
      <w:r w:rsidRPr="00793D65">
        <w:rPr>
          <w:i/>
          <w:iCs/>
          <w:shd w:val="clear" w:color="auto" w:fill="FFFFFF"/>
        </w:rPr>
        <w:t>Legal Studies</w:t>
      </w:r>
      <w:r w:rsidRPr="00793D65">
        <w:rPr>
          <w:shd w:val="clear" w:color="auto" w:fill="FFFFFF"/>
        </w:rPr>
        <w:t>, </w:t>
      </w:r>
      <w:r w:rsidRPr="00793D65">
        <w:rPr>
          <w:i/>
          <w:iCs/>
          <w:shd w:val="clear" w:color="auto" w:fill="FFFFFF"/>
        </w:rPr>
        <w:t>41</w:t>
      </w:r>
      <w:r w:rsidRPr="00793D65">
        <w:rPr>
          <w:shd w:val="clear" w:color="auto" w:fill="FFFFFF"/>
        </w:rPr>
        <w:t>(1), pp.1-18.</w:t>
      </w:r>
    </w:p>
    <w:p w14:paraId="6B81A8EB" w14:textId="77777777" w:rsidR="009D67D5" w:rsidRPr="00793D65" w:rsidRDefault="00ED48CB" w:rsidP="009D67D5">
      <w:pPr>
        <w:ind w:left="720" w:hanging="720"/>
        <w:jc w:val="both"/>
      </w:pPr>
      <w:r>
        <w:rPr>
          <w:shd w:val="clear" w:color="auto" w:fill="FFFFFF"/>
        </w:rPr>
        <w:t xml:space="preserve">Gutorova, N., Zhytnyi, O. and Kahanovska, T., 2019. Medical negligence is subject to criminal law. </w:t>
      </w:r>
      <w:r>
        <w:rPr>
          <w:i/>
          <w:iCs/>
          <w:shd w:val="clear" w:color="auto" w:fill="FFFFFF"/>
        </w:rPr>
        <w:t>Wiad Lek</w:t>
      </w:r>
      <w:r>
        <w:rPr>
          <w:shd w:val="clear" w:color="auto" w:fill="FFFFFF"/>
        </w:rPr>
        <w:t>, </w:t>
      </w:r>
      <w:r>
        <w:rPr>
          <w:i/>
          <w:iCs/>
          <w:shd w:val="clear" w:color="auto" w:fill="FFFFFF"/>
        </w:rPr>
        <w:t>72</w:t>
      </w:r>
      <w:r>
        <w:rPr>
          <w:shd w:val="clear" w:color="auto" w:fill="FFFFFF"/>
        </w:rPr>
        <w:t>(11), pp.2161-2166.</w:t>
      </w:r>
    </w:p>
    <w:p w14:paraId="683A29FE" w14:textId="77777777" w:rsidR="009D67D5" w:rsidRPr="00793D65" w:rsidRDefault="00ED48CB" w:rsidP="009D67D5">
      <w:pPr>
        <w:ind w:left="720" w:hanging="720"/>
        <w:jc w:val="both"/>
        <w:rPr>
          <w:shd w:val="clear" w:color="auto" w:fill="FFFFFF"/>
        </w:rPr>
      </w:pPr>
      <w:r w:rsidRPr="00793D65">
        <w:rPr>
          <w:shd w:val="clear" w:color="auto" w:fill="FFFFFF"/>
        </w:rPr>
        <w:t>Jakhongir, B., 2021. Criminal liability of minors in some developed countries and implementation of advanced experience in this field to national legislation. </w:t>
      </w:r>
      <w:r w:rsidRPr="00793D65">
        <w:rPr>
          <w:i/>
          <w:iCs/>
          <w:shd w:val="clear" w:color="auto" w:fill="FFFFFF"/>
        </w:rPr>
        <w:t>tsul legal report</w:t>
      </w:r>
      <w:r w:rsidRPr="00793D65">
        <w:rPr>
          <w:shd w:val="clear" w:color="auto" w:fill="FFFFFF"/>
        </w:rPr>
        <w:t>, p.134.</w:t>
      </w:r>
    </w:p>
    <w:p w14:paraId="1A69E166" w14:textId="77777777" w:rsidR="009D67D5" w:rsidRDefault="00ED48CB" w:rsidP="009D67D5">
      <w:pPr>
        <w:ind w:left="720" w:hanging="720"/>
        <w:jc w:val="both"/>
      </w:pPr>
      <w:r>
        <w:rPr>
          <w:shd w:val="clear" w:color="auto" w:fill="FFFFFF"/>
        </w:rPr>
        <w:t>Mac Síthigh, D., 2020. The road to responsibilities: New attitudes towards internet intermediaries. </w:t>
      </w:r>
      <w:r>
        <w:rPr>
          <w:i/>
          <w:iCs/>
          <w:shd w:val="clear" w:color="auto" w:fill="FFFFFF"/>
        </w:rPr>
        <w:t>Information &amp; Communications Technology Law</w:t>
      </w:r>
      <w:r>
        <w:rPr>
          <w:shd w:val="clear" w:color="auto" w:fill="FFFFFF"/>
        </w:rPr>
        <w:t>, </w:t>
      </w:r>
      <w:r>
        <w:rPr>
          <w:i/>
          <w:iCs/>
          <w:shd w:val="clear" w:color="auto" w:fill="FFFFFF"/>
        </w:rPr>
        <w:t>29</w:t>
      </w:r>
      <w:r>
        <w:rPr>
          <w:shd w:val="clear" w:color="auto" w:fill="FFFFFF"/>
        </w:rPr>
        <w:t>(1), pp.1-21</w:t>
      </w:r>
    </w:p>
    <w:p w14:paraId="6AF8BDA6" w14:textId="77777777" w:rsidR="009D67D5" w:rsidRPr="00793D65" w:rsidRDefault="00ED48CB" w:rsidP="009D67D5">
      <w:pPr>
        <w:ind w:left="720" w:hanging="720"/>
        <w:jc w:val="both"/>
      </w:pPr>
      <w:r w:rsidRPr="00793D65">
        <w:rPr>
          <w:shd w:val="clear" w:color="auto" w:fill="FFFFFF"/>
        </w:rPr>
        <w:t>Ryder, N., 2018. ‘Too scared to prosecute and too scared to jail?’A critical and comparative analysis of enforcement of financial crime legislation against corporations in the USA and the UK. </w:t>
      </w:r>
      <w:r w:rsidRPr="00793D65">
        <w:rPr>
          <w:i/>
          <w:iCs/>
          <w:shd w:val="clear" w:color="auto" w:fill="FFFFFF"/>
        </w:rPr>
        <w:t>The Journal of Criminal Law</w:t>
      </w:r>
      <w:r w:rsidRPr="00793D65">
        <w:rPr>
          <w:shd w:val="clear" w:color="auto" w:fill="FFFFFF"/>
        </w:rPr>
        <w:t>, </w:t>
      </w:r>
      <w:r w:rsidRPr="00793D65">
        <w:rPr>
          <w:i/>
          <w:iCs/>
          <w:shd w:val="clear" w:color="auto" w:fill="FFFFFF"/>
        </w:rPr>
        <w:t>82</w:t>
      </w:r>
      <w:r w:rsidRPr="00793D65">
        <w:rPr>
          <w:shd w:val="clear" w:color="auto" w:fill="FFFFFF"/>
        </w:rPr>
        <w:t>(3), pp.245-263.</w:t>
      </w:r>
    </w:p>
    <w:p w14:paraId="639080F7" w14:textId="77777777" w:rsidR="009D67D5" w:rsidRPr="00793D65" w:rsidRDefault="00ED48CB" w:rsidP="009D67D5">
      <w:pPr>
        <w:ind w:left="720" w:hanging="720"/>
        <w:jc w:val="both"/>
      </w:pPr>
      <w:r>
        <w:rPr>
          <w:shd w:val="clear" w:color="auto" w:fill="FFFFFF"/>
        </w:rPr>
        <w:t>Stuart-Cole, E., 2018. Medical manslaughter: The effect of lay findings of (criminal) gross negligence on professional tribunals: General Medical Council v Dr Bawa-Garba [2018] EWHC 76. </w:t>
      </w:r>
      <w:r>
        <w:rPr>
          <w:i/>
          <w:iCs/>
          <w:shd w:val="clear" w:color="auto" w:fill="FFFFFF"/>
        </w:rPr>
        <w:t>The Journal of Criminal Law</w:t>
      </w:r>
      <w:r>
        <w:rPr>
          <w:shd w:val="clear" w:color="auto" w:fill="FFFFFF"/>
        </w:rPr>
        <w:t>, </w:t>
      </w:r>
      <w:r>
        <w:rPr>
          <w:i/>
          <w:iCs/>
          <w:shd w:val="clear" w:color="auto" w:fill="FFFFFF"/>
        </w:rPr>
        <w:t>82</w:t>
      </w:r>
      <w:r>
        <w:rPr>
          <w:shd w:val="clear" w:color="auto" w:fill="FFFFFF"/>
        </w:rPr>
        <w:t>(3), pp.197-200.</w:t>
      </w:r>
    </w:p>
    <w:sectPr w:rsidR="009D67D5" w:rsidRPr="00793D65" w:rsidSect="000F1742">
      <w:head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6FFB5" w14:textId="77777777" w:rsidR="00112ADF" w:rsidRDefault="00112ADF">
      <w:pPr>
        <w:spacing w:line="240" w:lineRule="auto"/>
      </w:pPr>
      <w:r>
        <w:separator/>
      </w:r>
    </w:p>
  </w:endnote>
  <w:endnote w:type="continuationSeparator" w:id="0">
    <w:p w14:paraId="3977038B" w14:textId="77777777" w:rsidR="00112ADF" w:rsidRDefault="00112A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12D22" w14:textId="77777777" w:rsidR="00112ADF" w:rsidRDefault="00112ADF">
      <w:pPr>
        <w:spacing w:line="240" w:lineRule="auto"/>
      </w:pPr>
      <w:r>
        <w:separator/>
      </w:r>
    </w:p>
  </w:footnote>
  <w:footnote w:type="continuationSeparator" w:id="0">
    <w:p w14:paraId="383352CE" w14:textId="77777777" w:rsidR="00112ADF" w:rsidRDefault="00112AD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945634"/>
      <w:docPartObj>
        <w:docPartGallery w:val="Page Numbers (Top of Page)"/>
        <w:docPartUnique/>
      </w:docPartObj>
    </w:sdtPr>
    <w:sdtEndPr>
      <w:rPr>
        <w:noProof/>
      </w:rPr>
    </w:sdtEndPr>
    <w:sdtContent>
      <w:p w14:paraId="39E880C1" w14:textId="77777777" w:rsidR="000F1742" w:rsidRDefault="00ED48CB">
        <w:pPr>
          <w:pStyle w:val="Header"/>
          <w:jc w:val="right"/>
        </w:pPr>
        <w:r>
          <w:fldChar w:fldCharType="begin"/>
        </w:r>
        <w:r>
          <w:instrText xml:space="preserve"> PAGE   \* MERGEFORMAT </w:instrText>
        </w:r>
        <w:r>
          <w:fldChar w:fldCharType="separate"/>
        </w:r>
        <w:r w:rsidR="00CB3561">
          <w:rPr>
            <w:noProof/>
          </w:rPr>
          <w:t>6</w:t>
        </w:r>
        <w:r>
          <w:rPr>
            <w:noProof/>
          </w:rPr>
          <w:fldChar w:fldCharType="end"/>
        </w:r>
      </w:p>
    </w:sdtContent>
  </w:sdt>
  <w:p w14:paraId="27A04102" w14:textId="77777777" w:rsidR="000F1742" w:rsidRDefault="000F17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73DF7"/>
    <w:multiLevelType w:val="hybridMultilevel"/>
    <w:tmpl w:val="EA3803BA"/>
    <w:lvl w:ilvl="0" w:tplc="2506D3BA">
      <w:start w:val="1"/>
      <w:numFmt w:val="decimal"/>
      <w:lvlText w:val="%1."/>
      <w:lvlJc w:val="left"/>
      <w:pPr>
        <w:ind w:left="720" w:hanging="360"/>
      </w:pPr>
    </w:lvl>
    <w:lvl w:ilvl="1" w:tplc="3E243FEA" w:tentative="1">
      <w:start w:val="1"/>
      <w:numFmt w:val="lowerLetter"/>
      <w:lvlText w:val="%2."/>
      <w:lvlJc w:val="left"/>
      <w:pPr>
        <w:ind w:left="1440" w:hanging="360"/>
      </w:pPr>
    </w:lvl>
    <w:lvl w:ilvl="2" w:tplc="451EFAE8" w:tentative="1">
      <w:start w:val="1"/>
      <w:numFmt w:val="lowerRoman"/>
      <w:lvlText w:val="%3."/>
      <w:lvlJc w:val="right"/>
      <w:pPr>
        <w:ind w:left="2160" w:hanging="180"/>
      </w:pPr>
    </w:lvl>
    <w:lvl w:ilvl="3" w:tplc="1B8AF7A6" w:tentative="1">
      <w:start w:val="1"/>
      <w:numFmt w:val="decimal"/>
      <w:lvlText w:val="%4."/>
      <w:lvlJc w:val="left"/>
      <w:pPr>
        <w:ind w:left="2880" w:hanging="360"/>
      </w:pPr>
    </w:lvl>
    <w:lvl w:ilvl="4" w:tplc="3DF2D35C" w:tentative="1">
      <w:start w:val="1"/>
      <w:numFmt w:val="lowerLetter"/>
      <w:lvlText w:val="%5."/>
      <w:lvlJc w:val="left"/>
      <w:pPr>
        <w:ind w:left="3600" w:hanging="360"/>
      </w:pPr>
    </w:lvl>
    <w:lvl w:ilvl="5" w:tplc="EB687F98" w:tentative="1">
      <w:start w:val="1"/>
      <w:numFmt w:val="lowerRoman"/>
      <w:lvlText w:val="%6."/>
      <w:lvlJc w:val="right"/>
      <w:pPr>
        <w:ind w:left="4320" w:hanging="180"/>
      </w:pPr>
    </w:lvl>
    <w:lvl w:ilvl="6" w:tplc="58702764" w:tentative="1">
      <w:start w:val="1"/>
      <w:numFmt w:val="decimal"/>
      <w:lvlText w:val="%7."/>
      <w:lvlJc w:val="left"/>
      <w:pPr>
        <w:ind w:left="5040" w:hanging="360"/>
      </w:pPr>
    </w:lvl>
    <w:lvl w:ilvl="7" w:tplc="7F94C472" w:tentative="1">
      <w:start w:val="1"/>
      <w:numFmt w:val="lowerLetter"/>
      <w:lvlText w:val="%8."/>
      <w:lvlJc w:val="left"/>
      <w:pPr>
        <w:ind w:left="5760" w:hanging="360"/>
      </w:pPr>
    </w:lvl>
    <w:lvl w:ilvl="8" w:tplc="EB129622" w:tentative="1">
      <w:start w:val="1"/>
      <w:numFmt w:val="lowerRoman"/>
      <w:lvlText w:val="%9."/>
      <w:lvlJc w:val="right"/>
      <w:pPr>
        <w:ind w:left="6480" w:hanging="180"/>
      </w:pPr>
    </w:lvl>
  </w:abstractNum>
  <w:abstractNum w:abstractNumId="1" w15:restartNumberingAfterBreak="0">
    <w:nsid w:val="7CED7300"/>
    <w:multiLevelType w:val="multilevel"/>
    <w:tmpl w:val="91B8C65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639841459">
    <w:abstractNumId w:val="1"/>
  </w:num>
  <w:num w:numId="2" w16cid:durableId="178783157">
    <w:abstractNumId w:val="1"/>
  </w:num>
  <w:num w:numId="3" w16cid:durableId="476188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3342"/>
    <w:rsid w:val="00090BA4"/>
    <w:rsid w:val="00097C8D"/>
    <w:rsid w:val="000D07A9"/>
    <w:rsid w:val="000E47E3"/>
    <w:rsid w:val="000F1742"/>
    <w:rsid w:val="00112ADF"/>
    <w:rsid w:val="00116994"/>
    <w:rsid w:val="0014026C"/>
    <w:rsid w:val="00151BFB"/>
    <w:rsid w:val="00153596"/>
    <w:rsid w:val="00191798"/>
    <w:rsid w:val="001C59D8"/>
    <w:rsid w:val="00207106"/>
    <w:rsid w:val="00217A5A"/>
    <w:rsid w:val="00232C01"/>
    <w:rsid w:val="002848F3"/>
    <w:rsid w:val="002A6B23"/>
    <w:rsid w:val="002E4DDF"/>
    <w:rsid w:val="00305C95"/>
    <w:rsid w:val="00312553"/>
    <w:rsid w:val="00342D71"/>
    <w:rsid w:val="003451E0"/>
    <w:rsid w:val="00364E80"/>
    <w:rsid w:val="00392E35"/>
    <w:rsid w:val="00395710"/>
    <w:rsid w:val="003C48E9"/>
    <w:rsid w:val="003F1D29"/>
    <w:rsid w:val="0040187E"/>
    <w:rsid w:val="0040480D"/>
    <w:rsid w:val="00407D09"/>
    <w:rsid w:val="00415712"/>
    <w:rsid w:val="0042072C"/>
    <w:rsid w:val="00453342"/>
    <w:rsid w:val="00495515"/>
    <w:rsid w:val="004B68C2"/>
    <w:rsid w:val="004E4644"/>
    <w:rsid w:val="004F3C1D"/>
    <w:rsid w:val="00506583"/>
    <w:rsid w:val="00560391"/>
    <w:rsid w:val="00593251"/>
    <w:rsid w:val="005A4966"/>
    <w:rsid w:val="005F3B6B"/>
    <w:rsid w:val="00621E41"/>
    <w:rsid w:val="006A71CB"/>
    <w:rsid w:val="006E5FF0"/>
    <w:rsid w:val="006F2197"/>
    <w:rsid w:val="00712158"/>
    <w:rsid w:val="00746119"/>
    <w:rsid w:val="00763F2A"/>
    <w:rsid w:val="00771DC4"/>
    <w:rsid w:val="00793D65"/>
    <w:rsid w:val="007A3E4F"/>
    <w:rsid w:val="007E46F4"/>
    <w:rsid w:val="00803B06"/>
    <w:rsid w:val="00821D21"/>
    <w:rsid w:val="00843B53"/>
    <w:rsid w:val="0085503E"/>
    <w:rsid w:val="00856AB7"/>
    <w:rsid w:val="00886CAC"/>
    <w:rsid w:val="00892FEA"/>
    <w:rsid w:val="008B412A"/>
    <w:rsid w:val="008C075C"/>
    <w:rsid w:val="008C5337"/>
    <w:rsid w:val="00952C42"/>
    <w:rsid w:val="009549D6"/>
    <w:rsid w:val="009A013F"/>
    <w:rsid w:val="009B1BB5"/>
    <w:rsid w:val="009C30D2"/>
    <w:rsid w:val="009C55DE"/>
    <w:rsid w:val="009D5713"/>
    <w:rsid w:val="009D67D5"/>
    <w:rsid w:val="009E0E14"/>
    <w:rsid w:val="009F294A"/>
    <w:rsid w:val="00A00B67"/>
    <w:rsid w:val="00A06FA7"/>
    <w:rsid w:val="00A15FB4"/>
    <w:rsid w:val="00A31B63"/>
    <w:rsid w:val="00A3354F"/>
    <w:rsid w:val="00A51000"/>
    <w:rsid w:val="00AC2E20"/>
    <w:rsid w:val="00B0043F"/>
    <w:rsid w:val="00B04C9A"/>
    <w:rsid w:val="00B22CE8"/>
    <w:rsid w:val="00B552B1"/>
    <w:rsid w:val="00BA09EF"/>
    <w:rsid w:val="00BB44AA"/>
    <w:rsid w:val="00BE2218"/>
    <w:rsid w:val="00C07C2B"/>
    <w:rsid w:val="00C26DEF"/>
    <w:rsid w:val="00C54624"/>
    <w:rsid w:val="00CB3561"/>
    <w:rsid w:val="00CE3B30"/>
    <w:rsid w:val="00CF5117"/>
    <w:rsid w:val="00D03892"/>
    <w:rsid w:val="00D404BD"/>
    <w:rsid w:val="00D771E8"/>
    <w:rsid w:val="00DA013A"/>
    <w:rsid w:val="00DB77EE"/>
    <w:rsid w:val="00DD7A9B"/>
    <w:rsid w:val="00E27DD9"/>
    <w:rsid w:val="00E70247"/>
    <w:rsid w:val="00ED48CB"/>
    <w:rsid w:val="00EF3D8D"/>
    <w:rsid w:val="00EF634C"/>
    <w:rsid w:val="00F24EFA"/>
    <w:rsid w:val="00F40025"/>
    <w:rsid w:val="00FC67C6"/>
    <w:rsid w:val="00FD2C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B108C"/>
  <w15:chartTrackingRefBased/>
  <w15:docId w15:val="{67A96936-4343-468F-A14A-4F5F245F7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87E"/>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3F1D29"/>
    <w:pPr>
      <w:numPr>
        <w:numId w:val="2"/>
      </w:numPr>
      <w:outlineLvl w:val="0"/>
    </w:pPr>
    <w:rPr>
      <w:b/>
      <w:sz w:val="28"/>
    </w:rPr>
  </w:style>
  <w:style w:type="paragraph" w:styleId="Heading2">
    <w:name w:val="heading 2"/>
    <w:basedOn w:val="Normal"/>
    <w:next w:val="Normal"/>
    <w:link w:val="Heading2Char"/>
    <w:uiPriority w:val="9"/>
    <w:unhideWhenUsed/>
    <w:qFormat/>
    <w:rsid w:val="003F1D29"/>
    <w:pPr>
      <w:numPr>
        <w:ilvl w:val="1"/>
        <w:numId w:val="2"/>
      </w:numPr>
      <w:outlineLvl w:val="1"/>
    </w:pPr>
    <w:rPr>
      <w:b/>
      <w:sz w:val="26"/>
    </w:rPr>
  </w:style>
  <w:style w:type="paragraph" w:styleId="Heading3">
    <w:name w:val="heading 3"/>
    <w:basedOn w:val="Normal"/>
    <w:next w:val="Normal"/>
    <w:link w:val="Heading3Char"/>
    <w:uiPriority w:val="9"/>
    <w:unhideWhenUsed/>
    <w:qFormat/>
    <w:rsid w:val="003F1D29"/>
    <w:pPr>
      <w:numPr>
        <w:ilvl w:val="2"/>
        <w:numId w:val="1"/>
      </w:num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87E"/>
    <w:rPr>
      <w:rFonts w:ascii="Times New Roman" w:hAnsi="Times New Roman"/>
      <w:b/>
      <w:sz w:val="28"/>
    </w:rPr>
  </w:style>
  <w:style w:type="character" w:customStyle="1" w:styleId="Heading2Char">
    <w:name w:val="Heading 2 Char"/>
    <w:basedOn w:val="DefaultParagraphFont"/>
    <w:link w:val="Heading2"/>
    <w:uiPriority w:val="9"/>
    <w:rsid w:val="003F1D29"/>
    <w:rPr>
      <w:rFonts w:ascii="Times New Roman" w:hAnsi="Times New Roman"/>
      <w:b/>
      <w:sz w:val="26"/>
      <w:lang w:val="en-GB"/>
    </w:rPr>
  </w:style>
  <w:style w:type="character" w:customStyle="1" w:styleId="Heading3Char">
    <w:name w:val="Heading 3 Char"/>
    <w:basedOn w:val="DefaultParagraphFont"/>
    <w:link w:val="Heading3"/>
    <w:uiPriority w:val="9"/>
    <w:rsid w:val="003F1D29"/>
    <w:rPr>
      <w:rFonts w:ascii="Times New Roman" w:hAnsi="Times New Roman"/>
      <w:b/>
      <w:sz w:val="24"/>
      <w:lang w:val="en-GB"/>
    </w:rPr>
  </w:style>
  <w:style w:type="character" w:styleId="Hyperlink">
    <w:name w:val="Hyperlink"/>
    <w:basedOn w:val="DefaultParagraphFont"/>
    <w:uiPriority w:val="99"/>
    <w:unhideWhenUsed/>
    <w:rsid w:val="00153596"/>
    <w:rPr>
      <w:color w:val="0000FF"/>
      <w:u w:val="single"/>
    </w:rPr>
  </w:style>
  <w:style w:type="character" w:styleId="Emphasis">
    <w:name w:val="Emphasis"/>
    <w:basedOn w:val="DefaultParagraphFont"/>
    <w:uiPriority w:val="20"/>
    <w:qFormat/>
    <w:rsid w:val="002848F3"/>
    <w:rPr>
      <w:i/>
      <w:iCs/>
    </w:rPr>
  </w:style>
  <w:style w:type="paragraph" w:styleId="NoSpacing">
    <w:name w:val="No Spacing"/>
    <w:uiPriority w:val="1"/>
    <w:qFormat/>
    <w:rsid w:val="00E27DD9"/>
    <w:pPr>
      <w:spacing w:after="0" w:line="240" w:lineRule="auto"/>
    </w:pPr>
    <w:rPr>
      <w:rFonts w:eastAsiaTheme="minorEastAsia"/>
      <w:lang w:val="en-GB" w:eastAsia="zh-CN"/>
    </w:rPr>
  </w:style>
  <w:style w:type="paragraph" w:styleId="ListParagraph">
    <w:name w:val="List Paragraph"/>
    <w:basedOn w:val="Normal"/>
    <w:uiPriority w:val="34"/>
    <w:qFormat/>
    <w:rsid w:val="009D67D5"/>
    <w:pPr>
      <w:ind w:left="720"/>
      <w:contextualSpacing/>
    </w:pPr>
  </w:style>
  <w:style w:type="paragraph" w:styleId="Header">
    <w:name w:val="header"/>
    <w:basedOn w:val="Normal"/>
    <w:link w:val="HeaderChar"/>
    <w:uiPriority w:val="99"/>
    <w:unhideWhenUsed/>
    <w:rsid w:val="000F1742"/>
    <w:pPr>
      <w:tabs>
        <w:tab w:val="center" w:pos="4680"/>
        <w:tab w:val="right" w:pos="9360"/>
      </w:tabs>
      <w:spacing w:line="240" w:lineRule="auto"/>
    </w:pPr>
  </w:style>
  <w:style w:type="character" w:customStyle="1" w:styleId="HeaderChar">
    <w:name w:val="Header Char"/>
    <w:basedOn w:val="DefaultParagraphFont"/>
    <w:link w:val="Header"/>
    <w:uiPriority w:val="99"/>
    <w:rsid w:val="000F1742"/>
    <w:rPr>
      <w:rFonts w:ascii="Times New Roman" w:hAnsi="Times New Roman"/>
      <w:sz w:val="24"/>
      <w:lang w:val="en-GB"/>
    </w:rPr>
  </w:style>
  <w:style w:type="paragraph" w:styleId="Footer">
    <w:name w:val="footer"/>
    <w:basedOn w:val="Normal"/>
    <w:link w:val="FooterChar"/>
    <w:uiPriority w:val="99"/>
    <w:unhideWhenUsed/>
    <w:rsid w:val="000F1742"/>
    <w:pPr>
      <w:tabs>
        <w:tab w:val="center" w:pos="4680"/>
        <w:tab w:val="right" w:pos="9360"/>
      </w:tabs>
      <w:spacing w:line="240" w:lineRule="auto"/>
    </w:pPr>
  </w:style>
  <w:style w:type="character" w:customStyle="1" w:styleId="FooterChar">
    <w:name w:val="Footer Char"/>
    <w:basedOn w:val="DefaultParagraphFont"/>
    <w:link w:val="Footer"/>
    <w:uiPriority w:val="99"/>
    <w:rsid w:val="000F1742"/>
    <w:rPr>
      <w:rFonts w:ascii="Times New Roman" w:hAnsi="Times New Roman"/>
      <w:sz w:val="24"/>
      <w:lang w:val="en-GB"/>
    </w:rPr>
  </w:style>
  <w:style w:type="paragraph" w:styleId="TOCHeading">
    <w:name w:val="TOC Heading"/>
    <w:basedOn w:val="Heading1"/>
    <w:next w:val="Normal"/>
    <w:uiPriority w:val="39"/>
    <w:unhideWhenUsed/>
    <w:qFormat/>
    <w:rsid w:val="009A013F"/>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9A013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0404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cases/r-v-evans.php"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9D9E0-CD30-46F2-BA79-594DAA66A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1664</Words>
  <Characters>9489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Georgiana Izabela Cosor (2127686)</cp:lastModifiedBy>
  <cp:revision>2</cp:revision>
  <dcterms:created xsi:type="dcterms:W3CDTF">2022-11-10T19:01:00Z</dcterms:created>
  <dcterms:modified xsi:type="dcterms:W3CDTF">2022-11-10T19:01:00Z</dcterms:modified>
</cp:coreProperties>
</file>