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5DB0A8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D61CD">
        <w:rPr>
          <w:rFonts w:asciiTheme="minorBidi" w:hAnsiTheme="minorBidi"/>
          <w:sz w:val="28"/>
          <w:szCs w:val="28"/>
        </w:rPr>
        <w:t>Haris Khan</w:t>
      </w:r>
    </w:p>
    <w:p w14:paraId="485B6F49" w14:textId="59A7265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D61CD">
        <w:rPr>
          <w:rFonts w:asciiTheme="minorBidi" w:hAnsiTheme="minorBidi"/>
          <w:sz w:val="28"/>
          <w:szCs w:val="28"/>
        </w:rPr>
        <w:t>2525297</w:t>
      </w:r>
    </w:p>
    <w:p w14:paraId="3C1E7A20" w14:textId="319A838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47159">
        <w:rPr>
          <w:rFonts w:asciiTheme="minorBidi" w:hAnsiTheme="minorBidi"/>
          <w:sz w:val="28"/>
          <w:szCs w:val="28"/>
        </w:rPr>
        <w:t>LCHS4001</w:t>
      </w:r>
    </w:p>
    <w:p w14:paraId="4EEB2DA3" w14:textId="3C4C11A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F6099">
        <w:rPr>
          <w:rFonts w:asciiTheme="minorBidi" w:hAnsiTheme="minorBidi"/>
          <w:sz w:val="28"/>
          <w:szCs w:val="28"/>
        </w:rPr>
        <w:t>Academic and Employability Skills</w:t>
      </w:r>
    </w:p>
    <w:p w14:paraId="112342CB" w14:textId="24EE97D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14595">
        <w:rPr>
          <w:rFonts w:asciiTheme="minorBidi" w:hAnsiTheme="minorBidi"/>
          <w:sz w:val="28"/>
          <w:szCs w:val="28"/>
        </w:rPr>
        <w:t>Reza Tag</w:t>
      </w:r>
      <w:r w:rsidR="00147159">
        <w:rPr>
          <w:rFonts w:asciiTheme="minorBidi" w:hAnsiTheme="minorBidi"/>
          <w:sz w:val="28"/>
          <w:szCs w:val="28"/>
        </w:rPr>
        <w:t>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A89896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CF6099">
        <w:rPr>
          <w:rFonts w:asciiTheme="minorBidi" w:hAnsiTheme="minorBidi"/>
          <w:sz w:val="28"/>
          <w:szCs w:val="28"/>
        </w:rPr>
        <w:t>26/03/2026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21A32578" w14:textId="3FAEAC01" w:rsidR="008E0CBB" w:rsidRDefault="00C3145C" w:rsidP="008E0CBB">
          <w:pPr>
            <w:pStyle w:val="TOC1"/>
            <w:tabs>
              <w:tab w:val="right" w:leader="dot" w:pos="9016"/>
            </w:tabs>
          </w:pPr>
          <w:r>
            <w:rPr>
              <w:rFonts w:cs="Segoe UI"/>
              <w:color w:val="0F1115"/>
              <w:shd w:val="clear" w:color="auto" w:fill="FFFFFF"/>
            </w:rPr>
            <w:t xml:space="preserve">1: Written Report </w:t>
          </w:r>
          <w:r>
            <w:rPr>
              <w:rFonts w:cs="Segoe UI"/>
              <w:color w:val="0F1115"/>
            </w:rPr>
            <w:br/>
          </w:r>
          <w:r>
            <w:rPr>
              <w:rFonts w:cs="Segoe UI"/>
              <w:color w:val="0F1115"/>
              <w:shd w:val="clear" w:color="auto" w:fill="FFFFFF"/>
            </w:rPr>
            <w:t>1.1 Introduction 3</w:t>
          </w:r>
          <w:r>
            <w:rPr>
              <w:rFonts w:cs="Segoe UI"/>
              <w:color w:val="0F1115"/>
            </w:rPr>
            <w:br/>
          </w:r>
          <w:r>
            <w:rPr>
              <w:rFonts w:cs="Segoe UI"/>
              <w:color w:val="0F1115"/>
              <w:shd w:val="clear" w:color="auto" w:fill="FFFFFF"/>
            </w:rPr>
            <w:t>1.2 Description of, and background to, Mental Health Support Worker in Healthcare 3</w:t>
          </w:r>
          <w:r>
            <w:rPr>
              <w:rFonts w:cs="Segoe UI"/>
              <w:color w:val="0F1115"/>
            </w:rPr>
            <w:br/>
          </w:r>
          <w:r>
            <w:rPr>
              <w:rFonts w:cs="Segoe UI"/>
              <w:color w:val="0F1115"/>
              <w:shd w:val="clear" w:color="auto" w:fill="FFFFFF"/>
            </w:rPr>
            <w:t>1.3 Evaluation of the skills needed for Mental Health Support Worker 3</w:t>
          </w:r>
          <w:r>
            <w:rPr>
              <w:rFonts w:cs="Segoe UI"/>
              <w:color w:val="0F1115"/>
            </w:rPr>
            <w:br/>
          </w:r>
          <w:r>
            <w:rPr>
              <w:rFonts w:cs="Segoe UI"/>
              <w:color w:val="0F1115"/>
              <w:shd w:val="clear" w:color="auto" w:fill="FFFFFF"/>
            </w:rPr>
            <w:t xml:space="preserve">1.4 Strategies to improve the skills for Mental Health Support Worker </w:t>
          </w:r>
          <w:r w:rsidR="007969D0">
            <w:rPr>
              <w:rFonts w:cs="Segoe UI"/>
              <w:color w:val="0F1115"/>
              <w:shd w:val="clear" w:color="auto" w:fill="FFFFFF"/>
            </w:rPr>
            <w:t>4</w:t>
          </w:r>
          <w:r>
            <w:rPr>
              <w:rFonts w:cs="Segoe UI"/>
              <w:color w:val="0F1115"/>
            </w:rPr>
            <w:br/>
          </w:r>
          <w:r>
            <w:rPr>
              <w:rFonts w:cs="Segoe UI"/>
              <w:color w:val="0F1115"/>
              <w:shd w:val="clear" w:color="auto" w:fill="FFFFFF"/>
            </w:rPr>
            <w:t>1.</w:t>
          </w:r>
          <w:r w:rsidR="007969D0">
            <w:rPr>
              <w:rFonts w:cs="Segoe UI"/>
              <w:color w:val="0F1115"/>
              <w:shd w:val="clear" w:color="auto" w:fill="FFFFFF"/>
            </w:rPr>
            <w:t>5</w:t>
          </w:r>
          <w:r>
            <w:rPr>
              <w:rFonts w:cs="Segoe UI"/>
              <w:color w:val="0F1115"/>
              <w:shd w:val="clear" w:color="auto" w:fill="FFFFFF"/>
            </w:rPr>
            <w:t xml:space="preserve"> Conclusion </w:t>
          </w:r>
          <w:r w:rsidR="007969D0">
            <w:rPr>
              <w:rFonts w:cs="Segoe UI"/>
              <w:color w:val="0F1115"/>
              <w:shd w:val="clear" w:color="auto" w:fill="FFFFFF"/>
            </w:rPr>
            <w:t>5</w:t>
          </w:r>
          <w:r>
            <w:rPr>
              <w:rFonts w:cs="Segoe UI"/>
              <w:color w:val="0F1115"/>
            </w:rPr>
            <w:br/>
          </w:r>
          <w:r>
            <w:rPr>
              <w:rFonts w:cs="Segoe UI"/>
              <w:color w:val="0F1115"/>
              <w:shd w:val="clear" w:color="auto" w:fill="FFFFFF"/>
            </w:rPr>
            <w:t>1.</w:t>
          </w:r>
          <w:r w:rsidR="007969D0">
            <w:rPr>
              <w:rFonts w:cs="Segoe UI"/>
              <w:color w:val="0F1115"/>
              <w:shd w:val="clear" w:color="auto" w:fill="FFFFFF"/>
            </w:rPr>
            <w:t>6</w:t>
          </w:r>
          <w:r>
            <w:rPr>
              <w:rFonts w:cs="Segoe UI"/>
              <w:color w:val="0F1115"/>
              <w:shd w:val="clear" w:color="auto" w:fill="FFFFFF"/>
            </w:rPr>
            <w:t xml:space="preserve"> Reference List </w:t>
          </w:r>
          <w:r w:rsidR="007969D0">
            <w:rPr>
              <w:rFonts w:cs="Segoe UI"/>
              <w:color w:val="0F1115"/>
              <w:shd w:val="clear" w:color="auto" w:fill="FFFFFF"/>
            </w:rPr>
            <w:t>6</w:t>
          </w:r>
        </w:p>
        <w:p w14:paraId="6138A55F" w14:textId="0D6B9271" w:rsidR="00184A9A" w:rsidRPr="00242974" w:rsidRDefault="00000000"/>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3710CBC1" w:rsidR="00933720" w:rsidRDefault="00AA77C8" w:rsidP="00912B25">
      <w:pPr>
        <w:pStyle w:val="Heading1"/>
        <w:spacing w:line="360" w:lineRule="auto"/>
        <w:rPr>
          <w:rFonts w:ascii="Arial" w:hAnsi="Arial" w:cs="Arial"/>
          <w:color w:val="4472C4" w:themeColor="accent1"/>
          <w:sz w:val="22"/>
          <w:szCs w:val="22"/>
        </w:rPr>
      </w:pPr>
      <w:bookmarkStart w:id="0" w:name="_Toc212100517"/>
      <w:r w:rsidRPr="002C5B13">
        <w:rPr>
          <w:rFonts w:ascii="Arial" w:hAnsi="Arial" w:cs="Arial"/>
          <w:color w:val="4472C4" w:themeColor="accent1"/>
          <w:sz w:val="22"/>
          <w:szCs w:val="22"/>
        </w:rPr>
        <w:lastRenderedPageBreak/>
        <w:t>1</w:t>
      </w:r>
      <w:r w:rsidR="00A035CD" w:rsidRPr="002C5B13">
        <w:rPr>
          <w:rFonts w:ascii="Arial" w:hAnsi="Arial" w:cs="Arial"/>
          <w:color w:val="4472C4" w:themeColor="accent1"/>
          <w:sz w:val="22"/>
          <w:szCs w:val="22"/>
        </w:rPr>
        <w:t xml:space="preserve">: </w:t>
      </w:r>
      <w:r w:rsidR="00A513B0" w:rsidRPr="002C5B13">
        <w:rPr>
          <w:rFonts w:ascii="Arial" w:hAnsi="Arial" w:cs="Arial"/>
          <w:color w:val="4472C4" w:themeColor="accent1"/>
          <w:sz w:val="22"/>
          <w:szCs w:val="22"/>
        </w:rPr>
        <w:t>Written Report</w:t>
      </w:r>
      <w:bookmarkEnd w:id="0"/>
    </w:p>
    <w:p w14:paraId="64712A12" w14:textId="77777777" w:rsidR="002C5B13" w:rsidRPr="002C5B13" w:rsidRDefault="002C5B13" w:rsidP="00912B25">
      <w:pPr>
        <w:spacing w:line="360" w:lineRule="auto"/>
      </w:pPr>
    </w:p>
    <w:p w14:paraId="289B2E94" w14:textId="215FDD4E" w:rsidR="007A15E4" w:rsidRPr="002C5B13" w:rsidRDefault="00A035CD" w:rsidP="00912B25">
      <w:pPr>
        <w:pStyle w:val="Heading2"/>
        <w:numPr>
          <w:ilvl w:val="1"/>
          <w:numId w:val="23"/>
        </w:numPr>
        <w:spacing w:line="360" w:lineRule="auto"/>
        <w:rPr>
          <w:rFonts w:ascii="Arial" w:hAnsi="Arial" w:cs="Arial"/>
          <w:color w:val="4472C4" w:themeColor="accent1"/>
          <w:sz w:val="22"/>
          <w:szCs w:val="22"/>
        </w:rPr>
      </w:pPr>
      <w:bookmarkStart w:id="1" w:name="_Toc212100518"/>
      <w:r w:rsidRPr="002C5B13">
        <w:rPr>
          <w:rFonts w:ascii="Arial" w:hAnsi="Arial" w:cs="Arial"/>
          <w:color w:val="4472C4" w:themeColor="accent1"/>
          <w:sz w:val="22"/>
          <w:szCs w:val="22"/>
        </w:rPr>
        <w:t>Introduction</w:t>
      </w:r>
      <w:bookmarkEnd w:id="1"/>
    </w:p>
    <w:p w14:paraId="4CC61BC1" w14:textId="60D7FEE4" w:rsidR="00F36ADC" w:rsidRDefault="0066142D" w:rsidP="00912B25">
      <w:pPr>
        <w:spacing w:after="0" w:line="360" w:lineRule="auto"/>
        <w:jc w:val="both"/>
        <w:rPr>
          <w:rFonts w:ascii="Arial" w:hAnsi="Arial" w:cs="Arial"/>
          <w:sz w:val="22"/>
        </w:rPr>
      </w:pPr>
      <w:r w:rsidRPr="002C5B13">
        <w:rPr>
          <w:rFonts w:ascii="Arial" w:hAnsi="Arial" w:cs="Arial"/>
          <w:sz w:val="22"/>
        </w:rPr>
        <w:t xml:space="preserve">This report will focus on the role of a Mental Health Support Worker (MHSW) within the UK healthcare system. This role was selected due to its critical function in providing frontline, person-centred care, which is fundamental to positive patient outcomes and overall system </w:t>
      </w:r>
      <w:r w:rsidR="00A336BD" w:rsidRPr="002C5B13">
        <w:rPr>
          <w:rFonts w:ascii="Arial" w:hAnsi="Arial" w:cs="Arial"/>
          <w:sz w:val="22"/>
        </w:rPr>
        <w:t>efficiency</w:t>
      </w:r>
      <w:r w:rsidRPr="002C5B13">
        <w:rPr>
          <w:rFonts w:ascii="Arial" w:hAnsi="Arial" w:cs="Arial"/>
          <w:sz w:val="22"/>
        </w:rPr>
        <w:t>. MHSWs are vital as they form the primary point of contact for many individuals experiencing mental distress, offering consistent support that bridges clinical interventions and daily living. This report will first describe the background and key duties of the MHSW, then evaluate three essential skills for the role. Finally, it will propose three practical strategies to develop these skills, concluding with the role's overarching importance to high-quality care.</w:t>
      </w:r>
    </w:p>
    <w:p w14:paraId="5225209C" w14:textId="77777777" w:rsidR="00912B25" w:rsidRPr="002C5B13" w:rsidRDefault="00912B25" w:rsidP="00912B25">
      <w:pPr>
        <w:spacing w:after="0" w:line="360" w:lineRule="auto"/>
        <w:jc w:val="both"/>
        <w:rPr>
          <w:rFonts w:ascii="Arial" w:hAnsi="Arial" w:cs="Arial"/>
          <w:sz w:val="22"/>
        </w:rPr>
      </w:pPr>
    </w:p>
    <w:p w14:paraId="50A9FBC6" w14:textId="128B6177" w:rsidR="008B0B22" w:rsidRPr="002C5B13" w:rsidRDefault="00AA77C8" w:rsidP="00912B25">
      <w:pPr>
        <w:pStyle w:val="Heading2"/>
        <w:spacing w:line="360" w:lineRule="auto"/>
        <w:rPr>
          <w:rFonts w:ascii="Arial" w:hAnsi="Arial" w:cs="Arial"/>
          <w:color w:val="4472C4" w:themeColor="accent1"/>
          <w:sz w:val="22"/>
          <w:szCs w:val="22"/>
        </w:rPr>
      </w:pPr>
      <w:bookmarkStart w:id="2" w:name="_Toc212100519"/>
      <w:r w:rsidRPr="002C5B13">
        <w:rPr>
          <w:rFonts w:ascii="Arial" w:hAnsi="Arial" w:cs="Arial"/>
          <w:color w:val="4472C4" w:themeColor="accent1"/>
          <w:sz w:val="22"/>
          <w:szCs w:val="22"/>
        </w:rPr>
        <w:t>1</w:t>
      </w:r>
      <w:r w:rsidR="002370CE" w:rsidRPr="002C5B13">
        <w:rPr>
          <w:rFonts w:ascii="Arial" w:hAnsi="Arial" w:cs="Arial"/>
          <w:color w:val="4472C4" w:themeColor="accent1"/>
          <w:sz w:val="22"/>
          <w:szCs w:val="22"/>
        </w:rPr>
        <w:t xml:space="preserve">.2 </w:t>
      </w:r>
      <w:r w:rsidR="006912C4" w:rsidRPr="002C5B13">
        <w:rPr>
          <w:rFonts w:ascii="Arial" w:hAnsi="Arial" w:cs="Arial"/>
          <w:color w:val="4472C4" w:themeColor="accent1"/>
          <w:sz w:val="22"/>
          <w:szCs w:val="22"/>
        </w:rPr>
        <w:t>Description</w:t>
      </w:r>
      <w:r w:rsidR="00070818" w:rsidRPr="002C5B13">
        <w:rPr>
          <w:rFonts w:ascii="Arial" w:hAnsi="Arial" w:cs="Arial"/>
          <w:color w:val="4472C4" w:themeColor="accent1"/>
          <w:sz w:val="22"/>
          <w:szCs w:val="22"/>
        </w:rPr>
        <w:t xml:space="preserve"> of</w:t>
      </w:r>
      <w:r w:rsidR="006912C4" w:rsidRPr="002C5B13">
        <w:rPr>
          <w:rFonts w:ascii="Arial" w:hAnsi="Arial" w:cs="Arial"/>
          <w:color w:val="4472C4" w:themeColor="accent1"/>
          <w:sz w:val="22"/>
          <w:szCs w:val="22"/>
        </w:rPr>
        <w:t>, and background to</w:t>
      </w:r>
      <w:r w:rsidR="00CD4774" w:rsidRPr="002C5B13">
        <w:rPr>
          <w:rFonts w:ascii="Arial" w:hAnsi="Arial" w:cs="Arial"/>
          <w:color w:val="4472C4" w:themeColor="accent1"/>
          <w:sz w:val="22"/>
          <w:szCs w:val="22"/>
        </w:rPr>
        <w:t>,</w:t>
      </w:r>
      <w:r w:rsidR="00070818" w:rsidRPr="002C5B13">
        <w:rPr>
          <w:rFonts w:ascii="Arial" w:hAnsi="Arial" w:cs="Arial"/>
          <w:color w:val="4472C4" w:themeColor="accent1"/>
          <w:sz w:val="22"/>
          <w:szCs w:val="22"/>
        </w:rPr>
        <w:t xml:space="preserve"> </w:t>
      </w:r>
      <w:r w:rsidR="00204A24" w:rsidRPr="002C5B13">
        <w:rPr>
          <w:rFonts w:ascii="Arial" w:hAnsi="Arial" w:cs="Arial"/>
          <w:color w:val="4472C4" w:themeColor="accent1"/>
          <w:sz w:val="22"/>
          <w:szCs w:val="22"/>
        </w:rPr>
        <w:t>Mental Health Support Worker (MHSW)</w:t>
      </w:r>
      <w:r w:rsidR="008B0B22" w:rsidRPr="002C5B13">
        <w:rPr>
          <w:rFonts w:ascii="Arial" w:hAnsi="Arial" w:cs="Arial"/>
          <w:color w:val="4472C4" w:themeColor="accent1"/>
          <w:sz w:val="22"/>
          <w:szCs w:val="22"/>
        </w:rPr>
        <w:t xml:space="preserve"> in Healthcare</w:t>
      </w:r>
      <w:bookmarkEnd w:id="2"/>
      <w:r w:rsidR="008B0B22" w:rsidRPr="002C5B13">
        <w:rPr>
          <w:rFonts w:ascii="Arial" w:hAnsi="Arial" w:cs="Arial"/>
          <w:color w:val="4472C4" w:themeColor="accent1"/>
          <w:sz w:val="22"/>
          <w:szCs w:val="22"/>
        </w:rPr>
        <w:t xml:space="preserve"> </w:t>
      </w:r>
    </w:p>
    <w:p w14:paraId="285DA109" w14:textId="77777777" w:rsidR="008C5B17" w:rsidRPr="002C5B13" w:rsidRDefault="008C5B17"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t>A Mental Health Support Worker operates across various settings, including inpatient units, community mental health teams, and residential homes, to provide practical and emotional support to individuals experiencing mental health challenges. Their duties are multifaceted, encompassing the implementation of care plans, monitoring and recording an individual's mental state, and assisting with daily living activities such as budgeting, shopping, and maintaining a safe living environment. They work collaboratively with a multi-disciplinary team (MDT) including nurses, psychiatrists, and occupational therapists to ensure a holistic approach to care (NHS England, 2021).</w:t>
      </w:r>
    </w:p>
    <w:p w14:paraId="425D6155" w14:textId="5073166D" w:rsidR="00676FEB" w:rsidRPr="002C5B13" w:rsidRDefault="008C5B17"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t>Perhaps the most important duty of the MHSW is to build a therapeutic rapport based on trust and empathy. This relationship is the cornerstone of effective support, allowing for early identification of relapse indicators, de-escalation of crises, and the promotion of service user autonomy. To perform this role effectively, a MHSW requires a diverse skill set. Key among these are robust communication skills to interact with service users, families, and colleagues; empathy to understand the individual's unique experience; and resilience to manage the emotional demands of the role while maintaining professional boundaries.</w:t>
      </w:r>
    </w:p>
    <w:p w14:paraId="4010C35E" w14:textId="71DEBD57" w:rsidR="00EC7EBE" w:rsidRPr="002C5B13" w:rsidRDefault="00676FEB" w:rsidP="00912B25">
      <w:pPr>
        <w:spacing w:after="0" w:line="360" w:lineRule="auto"/>
        <w:jc w:val="both"/>
        <w:rPr>
          <w:rFonts w:ascii="Arial" w:hAnsi="Arial" w:cs="Arial"/>
          <w:color w:val="4472C4" w:themeColor="accent1"/>
          <w:sz w:val="22"/>
        </w:rPr>
      </w:pPr>
      <w:r w:rsidRPr="002C5B13">
        <w:rPr>
          <w:rFonts w:ascii="Arial" w:hAnsi="Arial" w:cs="Arial"/>
          <w:color w:val="4472C4" w:themeColor="accent1"/>
          <w:sz w:val="22"/>
        </w:rPr>
        <w:t xml:space="preserve">1.3 </w:t>
      </w:r>
      <w:r w:rsidR="00805726" w:rsidRPr="002C5B13">
        <w:rPr>
          <w:rFonts w:ascii="Arial" w:hAnsi="Arial" w:cs="Arial"/>
          <w:color w:val="4472C4" w:themeColor="accent1"/>
          <w:sz w:val="22"/>
        </w:rPr>
        <w:t xml:space="preserve">Evaluation of the </w:t>
      </w:r>
      <w:r w:rsidR="00D4006B" w:rsidRPr="002C5B13">
        <w:rPr>
          <w:rFonts w:ascii="Arial" w:hAnsi="Arial" w:cs="Arial"/>
          <w:color w:val="4472C4" w:themeColor="accent1"/>
          <w:sz w:val="22"/>
        </w:rPr>
        <w:t xml:space="preserve">skills needed for </w:t>
      </w:r>
      <w:r w:rsidR="0079289B">
        <w:rPr>
          <w:rFonts w:ascii="Arial" w:hAnsi="Arial" w:cs="Arial"/>
          <w:color w:val="4472C4" w:themeColor="accent1"/>
          <w:sz w:val="22"/>
        </w:rPr>
        <w:t xml:space="preserve">Mental Health Support Worker </w:t>
      </w:r>
      <w:r w:rsidR="00070010">
        <w:rPr>
          <w:rFonts w:ascii="Arial" w:hAnsi="Arial" w:cs="Arial"/>
          <w:color w:val="4472C4" w:themeColor="accent1"/>
          <w:sz w:val="22"/>
        </w:rPr>
        <w:t>(</w:t>
      </w:r>
      <w:r w:rsidR="0079289B">
        <w:rPr>
          <w:rFonts w:ascii="Arial" w:hAnsi="Arial" w:cs="Arial"/>
          <w:color w:val="4472C4" w:themeColor="accent1"/>
          <w:sz w:val="22"/>
        </w:rPr>
        <w:t>MHSW</w:t>
      </w:r>
      <w:r w:rsidR="00070010">
        <w:rPr>
          <w:rFonts w:ascii="Arial" w:hAnsi="Arial" w:cs="Arial"/>
          <w:color w:val="4472C4" w:themeColor="accent1"/>
          <w:sz w:val="22"/>
        </w:rPr>
        <w:t>)</w:t>
      </w:r>
      <w:r w:rsidR="007138EF" w:rsidRPr="002C5B13">
        <w:rPr>
          <w:rFonts w:ascii="Arial" w:hAnsi="Arial" w:cs="Arial"/>
          <w:color w:val="4472C4" w:themeColor="accent1"/>
          <w:sz w:val="22"/>
        </w:rPr>
        <w:t xml:space="preserve"> in Healthcare</w:t>
      </w:r>
    </w:p>
    <w:p w14:paraId="2C862D0A" w14:textId="77777777" w:rsidR="007A15E4" w:rsidRPr="002C5B13" w:rsidRDefault="007A15E4"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t>The three most important skills for a Mental Health Support Worker are communication, empathy, and resilience. These were chosen because they form an interconnected triad that enables effective, safe, and sustainable practice.</w:t>
      </w:r>
    </w:p>
    <w:p w14:paraId="327AAA75" w14:textId="77777777" w:rsidR="007A15E4" w:rsidRPr="002C5B13" w:rsidRDefault="007A15E4"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lastRenderedPageBreak/>
        <w:t>Effective communication is the bedrock of all interactions. For a MHSW, this involves more than simply exchanging information; it requires active listening, the ability to use clear and accessible language, and proficiency in non-verbal cues. This skill allows the worker to accurately assess a service user's mental state, de-escalate potentially volatile situations, and advocate effectively on their behalf within the MDT. For instance, a MHSW might use open-ended questions and reflective listening to help a withdrawn service user articulate feelings of paranoia. Without this skill, crucial information could be missed, leading to inappropriate care interventions or a failure to prevent a crisis (Koprowska, 2020).</w:t>
      </w:r>
    </w:p>
    <w:p w14:paraId="26EA0B78" w14:textId="77777777" w:rsidR="007A15E4" w:rsidRPr="002C5B13" w:rsidRDefault="007A15E4"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t>Empathy, the capacity to understand and share the feelings of another, is the skill that transforms a functional interaction into a therapeutic one. It allows the MHSW to see the world from the service user's perspective, validating their experiences without judgment. This is crucial for building the trust necessary for a service user to feel safe and engaged in their own recovery. In practice, an empathic response to a service user expressing suicidal ideation—such as acknowledging their pain rather than dismissing it—can be the critical factor that encourages them to accept help. A lack of empathy can lead to interactions that feel clinical and dismissive, potentially causing the service user to feel further isolated and disengage from services entirely (Moudatsou et al., 2020).</w:t>
      </w:r>
    </w:p>
    <w:p w14:paraId="7BC6C093" w14:textId="77777777" w:rsidR="007A15E4" w:rsidRPr="002C5B13" w:rsidRDefault="007A15E4"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t>Resilience is the skill that enables a MHSW to maintain their own well-being and professional effectiveness amidst the emotional challenges of the role. Working with individuals in severe distress, witnessing trauma, and managing risk can lead to compassion fatigue or burnout. A resilient worker can process these experiences, maintain professional boundaries, and continue to provide consistent, high-quality care. For example, after a service user experiences a significant relapse, a resilient MHSW would be able to reflect on the incident, seek support from their team, and return to their duties without carrying unresolved emotional burden. Without resilience, staff are at high risk of burnout, which can lead to high turnover rates, inconsistency of care for service users, and a negative impact on team morale (Grant and Kinman, 2014).</w:t>
      </w:r>
    </w:p>
    <w:p w14:paraId="7338813D" w14:textId="77777777" w:rsidR="00C85A7C" w:rsidRPr="002C5B13" w:rsidRDefault="00C85A7C" w:rsidP="00912B25">
      <w:pPr>
        <w:spacing w:after="0" w:line="360" w:lineRule="auto"/>
        <w:jc w:val="both"/>
        <w:rPr>
          <w:rFonts w:ascii="Arial" w:hAnsi="Arial" w:cs="Arial"/>
          <w:sz w:val="22"/>
        </w:rPr>
      </w:pPr>
    </w:p>
    <w:p w14:paraId="01C49510" w14:textId="02ADD4A1" w:rsidR="002370CE" w:rsidRPr="002C5B13" w:rsidRDefault="00AA77C8" w:rsidP="00912B25">
      <w:pPr>
        <w:pStyle w:val="Heading2"/>
        <w:spacing w:line="360" w:lineRule="auto"/>
        <w:rPr>
          <w:rFonts w:ascii="Arial" w:hAnsi="Arial" w:cs="Arial"/>
          <w:color w:val="4472C4" w:themeColor="accent1"/>
          <w:sz w:val="22"/>
          <w:szCs w:val="22"/>
        </w:rPr>
      </w:pPr>
      <w:bookmarkStart w:id="3" w:name="_Toc212100520"/>
      <w:r w:rsidRPr="002C5B13">
        <w:rPr>
          <w:rFonts w:ascii="Arial" w:hAnsi="Arial" w:cs="Arial"/>
          <w:color w:val="4472C4" w:themeColor="accent1"/>
          <w:sz w:val="22"/>
          <w:szCs w:val="22"/>
        </w:rPr>
        <w:t>1</w:t>
      </w:r>
      <w:r w:rsidR="00774092" w:rsidRPr="002C5B13">
        <w:rPr>
          <w:rFonts w:ascii="Arial" w:hAnsi="Arial" w:cs="Arial"/>
          <w:color w:val="4472C4" w:themeColor="accent1"/>
          <w:sz w:val="22"/>
          <w:szCs w:val="22"/>
        </w:rPr>
        <w:t>.</w:t>
      </w:r>
      <w:r w:rsidR="00E1725A" w:rsidRPr="002C5B13">
        <w:rPr>
          <w:rFonts w:ascii="Arial" w:hAnsi="Arial" w:cs="Arial"/>
          <w:color w:val="4472C4" w:themeColor="accent1"/>
          <w:sz w:val="22"/>
          <w:szCs w:val="22"/>
        </w:rPr>
        <w:t>4</w:t>
      </w:r>
      <w:r w:rsidR="005D5457" w:rsidRPr="002C5B13">
        <w:rPr>
          <w:rFonts w:ascii="Arial" w:hAnsi="Arial" w:cs="Arial"/>
          <w:color w:val="4472C4" w:themeColor="accent1"/>
          <w:sz w:val="22"/>
          <w:szCs w:val="22"/>
        </w:rPr>
        <w:t xml:space="preserve"> </w:t>
      </w:r>
      <w:r w:rsidR="003003FD" w:rsidRPr="002C5B13">
        <w:rPr>
          <w:rFonts w:ascii="Arial" w:hAnsi="Arial" w:cs="Arial"/>
          <w:color w:val="4472C4" w:themeColor="accent1"/>
          <w:sz w:val="22"/>
          <w:szCs w:val="22"/>
        </w:rPr>
        <w:t>Strategies</w:t>
      </w:r>
      <w:r w:rsidR="00183CB9" w:rsidRPr="002C5B13">
        <w:rPr>
          <w:rFonts w:ascii="Arial" w:hAnsi="Arial" w:cs="Arial"/>
          <w:color w:val="4472C4" w:themeColor="accent1"/>
          <w:sz w:val="22"/>
          <w:szCs w:val="22"/>
        </w:rPr>
        <w:t xml:space="preserve"> to improve the skills</w:t>
      </w:r>
      <w:r w:rsidR="005D5457" w:rsidRPr="002C5B13">
        <w:rPr>
          <w:rFonts w:ascii="Arial" w:hAnsi="Arial" w:cs="Arial"/>
          <w:color w:val="4472C4" w:themeColor="accent1"/>
          <w:sz w:val="22"/>
          <w:szCs w:val="22"/>
        </w:rPr>
        <w:t xml:space="preserve"> </w:t>
      </w:r>
      <w:r w:rsidR="00070818" w:rsidRPr="002C5B13">
        <w:rPr>
          <w:rFonts w:ascii="Arial" w:hAnsi="Arial" w:cs="Arial"/>
          <w:color w:val="4472C4" w:themeColor="accent1"/>
          <w:sz w:val="22"/>
          <w:szCs w:val="22"/>
        </w:rPr>
        <w:t xml:space="preserve">for [Your </w:t>
      </w:r>
      <w:r w:rsidR="007138EF" w:rsidRPr="002C5B13">
        <w:rPr>
          <w:rFonts w:ascii="Arial" w:hAnsi="Arial" w:cs="Arial"/>
          <w:color w:val="4472C4" w:themeColor="accent1"/>
          <w:sz w:val="22"/>
          <w:szCs w:val="22"/>
        </w:rPr>
        <w:t>Role</w:t>
      </w:r>
      <w:r w:rsidR="00070818" w:rsidRPr="002C5B13">
        <w:rPr>
          <w:rFonts w:ascii="Arial" w:hAnsi="Arial" w:cs="Arial"/>
          <w:color w:val="4472C4" w:themeColor="accent1"/>
          <w:sz w:val="22"/>
          <w:szCs w:val="22"/>
        </w:rPr>
        <w:t>]</w:t>
      </w:r>
      <w:bookmarkEnd w:id="3"/>
    </w:p>
    <w:p w14:paraId="106771A3" w14:textId="12A046B4" w:rsidR="004043DA" w:rsidRPr="002C5B13" w:rsidRDefault="004043DA"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t>Three effective strategies to enhance the skills of a Mental Health Support Worker are reflective practice, clinical supervision, and simulation-based training. These strategies were chosen because they are evidence-based approaches that address the practical application and emotional management of core skills.</w:t>
      </w:r>
    </w:p>
    <w:p w14:paraId="6B7F3EEC" w14:textId="77777777" w:rsidR="004043DA" w:rsidRPr="002C5B13" w:rsidRDefault="004043DA"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lastRenderedPageBreak/>
        <w:t>Reflective practice is a structured method for learning from experience. By systematically reviewing interactions and decisions, a MHSW can identify what was effective and what could be improved. This process, often guided by models like Gibbs' Reflective Cycle (1988), helps to deepen understanding of communication patterns, emotional responses, and the application of empathy. For instance, after a difficult interaction with a service user who was agitated, a MHSW could use reflection to analyse their own verbal and non-verbal communication, exploring how a different approach might have altered the outcome. This turns daily experiences into powerful learning opportunities.</w:t>
      </w:r>
    </w:p>
    <w:p w14:paraId="0B9DD33B" w14:textId="77777777" w:rsidR="004043DA" w:rsidRPr="002C5B13" w:rsidRDefault="004043DA"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t>Clinical supervision provides a formal, protected space for MHSWs to discuss their caseload and emotional responses with a more experienced practitioner. It is a crucial strategy for developing resilience and ensuring safe practice. Within supervision, a worker can explore the emotional impact of their work, receive guidance on complex cases, and have their empathic responses validated or challenged. For example, a MHSW struggling with feelings of helplessness after a service user's repeated self-harm could use supervision to process these emotions, develop a renewed sense of professional purpose, and collaboratively create a more robust care plan with their supervisor. This proactive support is essential for preventing burnout and maintaining a high standard of care (Dawson and Moghaddam, 2020).</w:t>
      </w:r>
    </w:p>
    <w:p w14:paraId="2703A512" w14:textId="6D76988E" w:rsidR="00500295" w:rsidRPr="002C5B13" w:rsidRDefault="004043DA" w:rsidP="00912B25">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C5B13">
        <w:rPr>
          <w:rFonts w:ascii="Arial" w:hAnsi="Arial" w:cs="Arial"/>
          <w:color w:val="0F1115"/>
          <w:sz w:val="22"/>
          <w:szCs w:val="22"/>
        </w:rPr>
        <w:t>Simulation-based training offers a safe environment to practice complex skills without real-world consequences. Using role-play with actors or colleagues, MHSWs can rehearse challenging scenarios, such as de-escalating a crisis or having a difficult conversation about medication adherence. This strategy allows for immediate feedback on communication, boundary-setting, and the demonstration of empathy. For instance, a simulation of a service user in a psychotic episode allows a MHSW to practice de-escalation techniques, receive feedback on their tone and phrasing, and refine their approach in a controlled setting. By building muscle memory and confidence, simulation directly improves the application of skills in high-pressure situations.</w:t>
      </w:r>
    </w:p>
    <w:p w14:paraId="1497148C" w14:textId="62021E54" w:rsidR="00A946CB" w:rsidRPr="002C5B13" w:rsidRDefault="00AA77C8" w:rsidP="00912B25">
      <w:pPr>
        <w:pStyle w:val="Heading2"/>
        <w:spacing w:line="360" w:lineRule="auto"/>
        <w:rPr>
          <w:rFonts w:ascii="Arial" w:hAnsi="Arial" w:cs="Arial"/>
          <w:color w:val="4472C4" w:themeColor="accent1"/>
          <w:sz w:val="22"/>
          <w:szCs w:val="22"/>
        </w:rPr>
      </w:pPr>
      <w:bookmarkStart w:id="4" w:name="_Toc212100521"/>
      <w:r w:rsidRPr="002C5B13">
        <w:rPr>
          <w:rFonts w:ascii="Arial" w:hAnsi="Arial" w:cs="Arial"/>
          <w:color w:val="4472C4" w:themeColor="accent1"/>
          <w:sz w:val="22"/>
          <w:szCs w:val="22"/>
        </w:rPr>
        <w:t>1</w:t>
      </w:r>
      <w:r w:rsidR="00A946CB" w:rsidRPr="002C5B13">
        <w:rPr>
          <w:rFonts w:ascii="Arial" w:hAnsi="Arial" w:cs="Arial"/>
          <w:color w:val="4472C4" w:themeColor="accent1"/>
          <w:sz w:val="22"/>
          <w:szCs w:val="22"/>
        </w:rPr>
        <w:t>.</w:t>
      </w:r>
      <w:r w:rsidR="007969D0">
        <w:rPr>
          <w:rFonts w:ascii="Arial" w:hAnsi="Arial" w:cs="Arial"/>
          <w:color w:val="4472C4" w:themeColor="accent1"/>
          <w:sz w:val="22"/>
          <w:szCs w:val="22"/>
        </w:rPr>
        <w:t>5</w:t>
      </w:r>
      <w:r w:rsidR="00A946CB" w:rsidRPr="002C5B13">
        <w:rPr>
          <w:rFonts w:ascii="Arial" w:hAnsi="Arial" w:cs="Arial"/>
          <w:color w:val="4472C4" w:themeColor="accent1"/>
          <w:sz w:val="22"/>
          <w:szCs w:val="22"/>
        </w:rPr>
        <w:t xml:space="preserve"> Conclusion</w:t>
      </w:r>
      <w:bookmarkEnd w:id="4"/>
    </w:p>
    <w:p w14:paraId="65E04C43" w14:textId="0BA8179F" w:rsidR="00610752" w:rsidRPr="002C5B13" w:rsidRDefault="00610752" w:rsidP="00912B25">
      <w:pPr>
        <w:spacing w:line="360" w:lineRule="auto"/>
        <w:rPr>
          <w:rFonts w:ascii="Arial" w:hAnsi="Arial" w:cs="Arial"/>
          <w:sz w:val="22"/>
        </w:rPr>
      </w:pPr>
      <w:r w:rsidRPr="002C5B13">
        <w:rPr>
          <w:rFonts w:ascii="Arial" w:hAnsi="Arial" w:cs="Arial"/>
          <w:color w:val="0F1115"/>
          <w:sz w:val="22"/>
          <w:shd w:val="clear" w:color="auto" w:fill="FFFFFF"/>
        </w:rPr>
        <w:t xml:space="preserve">In conclusion, the role of the Mental Health Support Worker is indispensable to the provision of safe, high-quality, and person-centred mental health care in the UK. The effectiveness of the role is fundamentally dependent on the core skills of communication, empathy, and resilience, which enable workers to build therapeutic relationships, understand complex needs, and sustain their own well-being. Strategies such as reflective practice, clinical supervision, and simulation-based training offer clear and practical pathways for developing these essential competencies. By investing in the continuous development of Mental Health </w:t>
      </w:r>
      <w:r w:rsidRPr="002C5B13">
        <w:rPr>
          <w:rFonts w:ascii="Arial" w:hAnsi="Arial" w:cs="Arial"/>
          <w:color w:val="0F1115"/>
          <w:sz w:val="22"/>
          <w:shd w:val="clear" w:color="auto" w:fill="FFFFFF"/>
        </w:rPr>
        <w:lastRenderedPageBreak/>
        <w:t>Support Workers, the healthcare system not only enhances individual outcomes but also strengthens the foundation of its mental health services.</w:t>
      </w:r>
    </w:p>
    <w:p w14:paraId="266D9D18" w14:textId="77777777" w:rsidR="00610752" w:rsidRPr="002C5B13" w:rsidRDefault="00610752" w:rsidP="00912B25">
      <w:pPr>
        <w:spacing w:line="360" w:lineRule="auto"/>
        <w:rPr>
          <w:rFonts w:ascii="Arial" w:hAnsi="Arial" w:cs="Arial"/>
          <w:sz w:val="22"/>
        </w:rPr>
      </w:pPr>
    </w:p>
    <w:p w14:paraId="6C4B494D" w14:textId="224B95C3" w:rsidR="00226D31" w:rsidRPr="002C5B13" w:rsidRDefault="00AA77C8" w:rsidP="00912B25">
      <w:pPr>
        <w:pStyle w:val="Heading2"/>
        <w:spacing w:line="360" w:lineRule="auto"/>
        <w:rPr>
          <w:rFonts w:ascii="Arial" w:hAnsi="Arial" w:cs="Arial"/>
          <w:color w:val="4472C4" w:themeColor="accent1"/>
          <w:sz w:val="22"/>
          <w:szCs w:val="22"/>
        </w:rPr>
      </w:pPr>
      <w:bookmarkStart w:id="5" w:name="_Toc212100522"/>
      <w:r w:rsidRPr="002C5B13">
        <w:rPr>
          <w:rFonts w:ascii="Arial" w:hAnsi="Arial" w:cs="Arial"/>
          <w:color w:val="4472C4" w:themeColor="accent1"/>
          <w:sz w:val="22"/>
          <w:szCs w:val="22"/>
        </w:rPr>
        <w:t>1</w:t>
      </w:r>
      <w:r w:rsidR="00226D31" w:rsidRPr="002C5B13">
        <w:rPr>
          <w:rFonts w:ascii="Arial" w:hAnsi="Arial" w:cs="Arial"/>
          <w:color w:val="4472C4" w:themeColor="accent1"/>
          <w:sz w:val="22"/>
          <w:szCs w:val="22"/>
        </w:rPr>
        <w:t>.</w:t>
      </w:r>
      <w:r w:rsidR="007969D0">
        <w:rPr>
          <w:rFonts w:ascii="Arial" w:hAnsi="Arial" w:cs="Arial"/>
          <w:color w:val="4472C4" w:themeColor="accent1"/>
          <w:sz w:val="22"/>
          <w:szCs w:val="22"/>
        </w:rPr>
        <w:t>6</w:t>
      </w:r>
      <w:r w:rsidR="00226D31" w:rsidRPr="002C5B13">
        <w:rPr>
          <w:rFonts w:ascii="Arial" w:hAnsi="Arial" w:cs="Arial"/>
          <w:color w:val="4472C4" w:themeColor="accent1"/>
          <w:sz w:val="22"/>
          <w:szCs w:val="22"/>
        </w:rPr>
        <w:t xml:space="preserve"> Reference List</w:t>
      </w:r>
      <w:bookmarkEnd w:id="5"/>
    </w:p>
    <w:p w14:paraId="53BC0BBF" w14:textId="77777777" w:rsidR="002C5B13" w:rsidRPr="002C5B13" w:rsidRDefault="002C5B13" w:rsidP="00912B25">
      <w:pPr>
        <w:shd w:val="clear" w:color="auto" w:fill="FFFFFF"/>
        <w:spacing w:before="240" w:after="240" w:line="360" w:lineRule="auto"/>
        <w:rPr>
          <w:rFonts w:ascii="Arial" w:eastAsia="Times New Roman" w:hAnsi="Arial" w:cs="Arial"/>
          <w:color w:val="0F1115"/>
          <w:kern w:val="0"/>
          <w:sz w:val="22"/>
          <w:lang w:eastAsia="en-GB"/>
          <w14:ligatures w14:val="none"/>
        </w:rPr>
      </w:pPr>
      <w:r w:rsidRPr="002C5B13">
        <w:rPr>
          <w:rFonts w:ascii="Arial" w:eastAsia="Times New Roman" w:hAnsi="Arial" w:cs="Arial"/>
          <w:color w:val="0F1115"/>
          <w:kern w:val="0"/>
          <w:sz w:val="22"/>
          <w:lang w:eastAsia="en-GB"/>
          <w14:ligatures w14:val="none"/>
        </w:rPr>
        <w:t>Dawson, I. and Moghaddam, N. (2020) ‘The meaning and experience of clinical supervision for support workers in adult community mental health services’, </w:t>
      </w:r>
      <w:r w:rsidRPr="002C5B13">
        <w:rPr>
          <w:rFonts w:ascii="Arial" w:eastAsia="Times New Roman" w:hAnsi="Arial" w:cs="Arial"/>
          <w:i/>
          <w:iCs/>
          <w:color w:val="0F1115"/>
          <w:kern w:val="0"/>
          <w:sz w:val="22"/>
          <w:lang w:eastAsia="en-GB"/>
          <w14:ligatures w14:val="none"/>
        </w:rPr>
        <w:t>Journal of Mental Health Training, Education and Practice</w:t>
      </w:r>
      <w:r w:rsidRPr="002C5B13">
        <w:rPr>
          <w:rFonts w:ascii="Arial" w:eastAsia="Times New Roman" w:hAnsi="Arial" w:cs="Arial"/>
          <w:color w:val="0F1115"/>
          <w:kern w:val="0"/>
          <w:sz w:val="22"/>
          <w:lang w:eastAsia="en-GB"/>
          <w14:ligatures w14:val="none"/>
        </w:rPr>
        <w:t>, 15(5), pp. 273-286.</w:t>
      </w:r>
    </w:p>
    <w:p w14:paraId="701B8BB4" w14:textId="77777777" w:rsidR="002C5B13" w:rsidRPr="002C5B13" w:rsidRDefault="002C5B13" w:rsidP="00912B25">
      <w:pPr>
        <w:shd w:val="clear" w:color="auto" w:fill="FFFFFF"/>
        <w:spacing w:before="240" w:after="240" w:line="360" w:lineRule="auto"/>
        <w:rPr>
          <w:rFonts w:ascii="Arial" w:eastAsia="Times New Roman" w:hAnsi="Arial" w:cs="Arial"/>
          <w:color w:val="0F1115"/>
          <w:kern w:val="0"/>
          <w:sz w:val="22"/>
          <w:lang w:eastAsia="en-GB"/>
          <w14:ligatures w14:val="none"/>
        </w:rPr>
      </w:pPr>
      <w:r w:rsidRPr="002C5B13">
        <w:rPr>
          <w:rFonts w:ascii="Arial" w:eastAsia="Times New Roman" w:hAnsi="Arial" w:cs="Arial"/>
          <w:color w:val="0F1115"/>
          <w:kern w:val="0"/>
          <w:sz w:val="22"/>
          <w:lang w:eastAsia="en-GB"/>
          <w14:ligatures w14:val="none"/>
        </w:rPr>
        <w:t>Gibbs, G. (1988) </w:t>
      </w:r>
      <w:r w:rsidRPr="002C5B13">
        <w:rPr>
          <w:rFonts w:ascii="Arial" w:eastAsia="Times New Roman" w:hAnsi="Arial" w:cs="Arial"/>
          <w:i/>
          <w:iCs/>
          <w:color w:val="0F1115"/>
          <w:kern w:val="0"/>
          <w:sz w:val="22"/>
          <w:lang w:eastAsia="en-GB"/>
          <w14:ligatures w14:val="none"/>
        </w:rPr>
        <w:t>Learning by Doing: A Guide to Teaching and Learning Methods</w:t>
      </w:r>
      <w:r w:rsidRPr="002C5B13">
        <w:rPr>
          <w:rFonts w:ascii="Arial" w:eastAsia="Times New Roman" w:hAnsi="Arial" w:cs="Arial"/>
          <w:color w:val="0F1115"/>
          <w:kern w:val="0"/>
          <w:sz w:val="22"/>
          <w:lang w:eastAsia="en-GB"/>
          <w14:ligatures w14:val="none"/>
        </w:rPr>
        <w:t>. Oxford: Further Education Unit, Oxford Polytechnic.</w:t>
      </w:r>
    </w:p>
    <w:p w14:paraId="6BCB791D" w14:textId="77777777" w:rsidR="002C5B13" w:rsidRPr="002C5B13" w:rsidRDefault="002C5B13" w:rsidP="00912B25">
      <w:pPr>
        <w:shd w:val="clear" w:color="auto" w:fill="FFFFFF"/>
        <w:spacing w:before="240" w:after="240" w:line="360" w:lineRule="auto"/>
        <w:rPr>
          <w:rFonts w:ascii="Arial" w:eastAsia="Times New Roman" w:hAnsi="Arial" w:cs="Arial"/>
          <w:color w:val="0F1115"/>
          <w:kern w:val="0"/>
          <w:sz w:val="22"/>
          <w:lang w:eastAsia="en-GB"/>
          <w14:ligatures w14:val="none"/>
        </w:rPr>
      </w:pPr>
      <w:r w:rsidRPr="002C5B13">
        <w:rPr>
          <w:rFonts w:ascii="Arial" w:eastAsia="Times New Roman" w:hAnsi="Arial" w:cs="Arial"/>
          <w:color w:val="0F1115"/>
          <w:kern w:val="0"/>
          <w:sz w:val="22"/>
          <w:lang w:eastAsia="en-GB"/>
          <w14:ligatures w14:val="none"/>
        </w:rPr>
        <w:t>Grant, L. and Kinman, G. (2014) ‘Emotional resilience in the helping professions and how it can be enhanced’, </w:t>
      </w:r>
      <w:r w:rsidRPr="002C5B13">
        <w:rPr>
          <w:rFonts w:ascii="Arial" w:eastAsia="Times New Roman" w:hAnsi="Arial" w:cs="Arial"/>
          <w:i/>
          <w:iCs/>
          <w:color w:val="0F1115"/>
          <w:kern w:val="0"/>
          <w:sz w:val="22"/>
          <w:lang w:eastAsia="en-GB"/>
          <w14:ligatures w14:val="none"/>
        </w:rPr>
        <w:t>Health and Social Care Education</w:t>
      </w:r>
      <w:r w:rsidRPr="002C5B13">
        <w:rPr>
          <w:rFonts w:ascii="Arial" w:eastAsia="Times New Roman" w:hAnsi="Arial" w:cs="Arial"/>
          <w:color w:val="0F1115"/>
          <w:kern w:val="0"/>
          <w:sz w:val="22"/>
          <w:lang w:eastAsia="en-GB"/>
          <w14:ligatures w14:val="none"/>
        </w:rPr>
        <w:t>, 3(1), pp. 23-27.</w:t>
      </w:r>
    </w:p>
    <w:p w14:paraId="77F25022" w14:textId="77777777" w:rsidR="002C5B13" w:rsidRPr="002C5B13" w:rsidRDefault="002C5B13" w:rsidP="00912B25">
      <w:pPr>
        <w:shd w:val="clear" w:color="auto" w:fill="FFFFFF"/>
        <w:spacing w:before="240" w:after="240" w:line="360" w:lineRule="auto"/>
        <w:rPr>
          <w:rFonts w:ascii="Arial" w:eastAsia="Times New Roman" w:hAnsi="Arial" w:cs="Arial"/>
          <w:color w:val="0F1115"/>
          <w:kern w:val="0"/>
          <w:sz w:val="22"/>
          <w:lang w:eastAsia="en-GB"/>
          <w14:ligatures w14:val="none"/>
        </w:rPr>
      </w:pPr>
      <w:r w:rsidRPr="002C5B13">
        <w:rPr>
          <w:rFonts w:ascii="Arial" w:eastAsia="Times New Roman" w:hAnsi="Arial" w:cs="Arial"/>
          <w:color w:val="0F1115"/>
          <w:kern w:val="0"/>
          <w:sz w:val="22"/>
          <w:lang w:eastAsia="en-GB"/>
          <w14:ligatures w14:val="none"/>
        </w:rPr>
        <w:t>Koprowska, J. (2020) </w:t>
      </w:r>
      <w:r w:rsidRPr="002C5B13">
        <w:rPr>
          <w:rFonts w:ascii="Arial" w:eastAsia="Times New Roman" w:hAnsi="Arial" w:cs="Arial"/>
          <w:i/>
          <w:iCs/>
          <w:color w:val="0F1115"/>
          <w:kern w:val="0"/>
          <w:sz w:val="22"/>
          <w:lang w:eastAsia="en-GB"/>
          <w14:ligatures w14:val="none"/>
        </w:rPr>
        <w:t>Communication and Interpersonal Skills in Social Work</w:t>
      </w:r>
      <w:r w:rsidRPr="002C5B13">
        <w:rPr>
          <w:rFonts w:ascii="Arial" w:eastAsia="Times New Roman" w:hAnsi="Arial" w:cs="Arial"/>
          <w:color w:val="0F1115"/>
          <w:kern w:val="0"/>
          <w:sz w:val="22"/>
          <w:lang w:eastAsia="en-GB"/>
          <w14:ligatures w14:val="none"/>
        </w:rPr>
        <w:t>. 5th edn. London: Sage Publications.</w:t>
      </w:r>
    </w:p>
    <w:p w14:paraId="25F91945" w14:textId="77777777" w:rsidR="002C5B13" w:rsidRPr="002C5B13" w:rsidRDefault="002C5B13" w:rsidP="00912B25">
      <w:pPr>
        <w:shd w:val="clear" w:color="auto" w:fill="FFFFFF"/>
        <w:spacing w:before="240" w:after="240" w:line="360" w:lineRule="auto"/>
        <w:rPr>
          <w:rFonts w:ascii="Arial" w:eastAsia="Times New Roman" w:hAnsi="Arial" w:cs="Arial"/>
          <w:color w:val="0F1115"/>
          <w:kern w:val="0"/>
          <w:sz w:val="22"/>
          <w:lang w:eastAsia="en-GB"/>
          <w14:ligatures w14:val="none"/>
        </w:rPr>
      </w:pPr>
      <w:r w:rsidRPr="002C5B13">
        <w:rPr>
          <w:rFonts w:ascii="Arial" w:eastAsia="Times New Roman" w:hAnsi="Arial" w:cs="Arial"/>
          <w:color w:val="0F1115"/>
          <w:kern w:val="0"/>
          <w:sz w:val="22"/>
          <w:lang w:eastAsia="en-GB"/>
          <w14:ligatures w14:val="none"/>
        </w:rPr>
        <w:t>Moudatsou, M., Stavropoulou, A., Philalithis, A. and Koukouli, S. (2020) ‘The role of empathy in health and social care professionals’, </w:t>
      </w:r>
      <w:r w:rsidRPr="002C5B13">
        <w:rPr>
          <w:rFonts w:ascii="Arial" w:eastAsia="Times New Roman" w:hAnsi="Arial" w:cs="Arial"/>
          <w:i/>
          <w:iCs/>
          <w:color w:val="0F1115"/>
          <w:kern w:val="0"/>
          <w:sz w:val="22"/>
          <w:lang w:eastAsia="en-GB"/>
          <w14:ligatures w14:val="none"/>
        </w:rPr>
        <w:t>Healthcare</w:t>
      </w:r>
      <w:r w:rsidRPr="002C5B13">
        <w:rPr>
          <w:rFonts w:ascii="Arial" w:eastAsia="Times New Roman" w:hAnsi="Arial" w:cs="Arial"/>
          <w:color w:val="0F1115"/>
          <w:kern w:val="0"/>
          <w:sz w:val="22"/>
          <w:lang w:eastAsia="en-GB"/>
          <w14:ligatures w14:val="none"/>
        </w:rPr>
        <w:t>, 8(1), p. 26.</w:t>
      </w:r>
    </w:p>
    <w:p w14:paraId="604B3BB7" w14:textId="7626EBB8" w:rsidR="002C5B13" w:rsidRPr="002C5B13" w:rsidRDefault="002C5B13" w:rsidP="00912B25">
      <w:pPr>
        <w:shd w:val="clear" w:color="auto" w:fill="FFFFFF"/>
        <w:spacing w:before="240" w:after="0" w:line="360" w:lineRule="auto"/>
        <w:rPr>
          <w:rFonts w:ascii="Arial" w:eastAsia="Times New Roman" w:hAnsi="Arial" w:cs="Arial"/>
          <w:color w:val="0F1115"/>
          <w:kern w:val="0"/>
          <w:sz w:val="22"/>
          <w:lang w:eastAsia="en-GB"/>
          <w14:ligatures w14:val="none"/>
        </w:rPr>
      </w:pPr>
      <w:r w:rsidRPr="002C5B13">
        <w:rPr>
          <w:rFonts w:ascii="Arial" w:eastAsia="Times New Roman" w:hAnsi="Arial" w:cs="Arial"/>
          <w:color w:val="0F1115"/>
          <w:kern w:val="0"/>
          <w:sz w:val="22"/>
          <w:lang w:eastAsia="en-GB"/>
          <w14:ligatures w14:val="none"/>
        </w:rPr>
        <w:t>NHS England (2021) </w:t>
      </w:r>
      <w:r w:rsidRPr="002C5B13">
        <w:rPr>
          <w:rFonts w:ascii="Arial" w:eastAsia="Times New Roman" w:hAnsi="Arial" w:cs="Arial"/>
          <w:i/>
          <w:iCs/>
          <w:color w:val="0F1115"/>
          <w:kern w:val="0"/>
          <w:sz w:val="22"/>
          <w:lang w:eastAsia="en-GB"/>
          <w14:ligatures w14:val="none"/>
        </w:rPr>
        <w:t>The mental health workforce: roles and responsibilities</w:t>
      </w:r>
      <w:r w:rsidRPr="002C5B13">
        <w:rPr>
          <w:rFonts w:ascii="Arial" w:eastAsia="Times New Roman" w:hAnsi="Arial" w:cs="Arial"/>
          <w:color w:val="0F1115"/>
          <w:kern w:val="0"/>
          <w:sz w:val="22"/>
          <w:lang w:eastAsia="en-GB"/>
          <w14:ligatures w14:val="none"/>
        </w:rPr>
        <w:t>. Available at: </w:t>
      </w:r>
      <w:hyperlink r:id="rId9" w:tgtFrame="_blank" w:history="1">
        <w:r w:rsidRPr="002C5B13">
          <w:rPr>
            <w:rFonts w:ascii="Arial" w:eastAsia="Times New Roman" w:hAnsi="Arial" w:cs="Arial"/>
            <w:color w:val="0000FF"/>
            <w:kern w:val="0"/>
            <w:sz w:val="22"/>
            <w:u w:val="single"/>
            <w:lang w:eastAsia="en-GB"/>
            <w14:ligatures w14:val="none"/>
          </w:rPr>
          <w:t>https://www.england.nhs.uk/mental-health/</w:t>
        </w:r>
      </w:hyperlink>
      <w:r w:rsidRPr="002C5B13">
        <w:rPr>
          <w:rFonts w:ascii="Arial" w:eastAsia="Times New Roman" w:hAnsi="Arial" w:cs="Arial"/>
          <w:color w:val="0F1115"/>
          <w:kern w:val="0"/>
          <w:sz w:val="22"/>
          <w:lang w:eastAsia="en-GB"/>
          <w14:ligatures w14:val="none"/>
        </w:rPr>
        <w:t> (Accessed: 2</w:t>
      </w:r>
      <w:r w:rsidR="00CD4540">
        <w:rPr>
          <w:rFonts w:ascii="Arial" w:eastAsia="Times New Roman" w:hAnsi="Arial" w:cs="Arial"/>
          <w:color w:val="0F1115"/>
          <w:kern w:val="0"/>
          <w:sz w:val="22"/>
          <w:lang w:eastAsia="en-GB"/>
          <w14:ligatures w14:val="none"/>
        </w:rPr>
        <w:t>1st</w:t>
      </w:r>
      <w:r w:rsidRPr="002C5B13">
        <w:rPr>
          <w:rFonts w:ascii="Arial" w:eastAsia="Times New Roman" w:hAnsi="Arial" w:cs="Arial"/>
          <w:color w:val="0F1115"/>
          <w:kern w:val="0"/>
          <w:sz w:val="22"/>
          <w:lang w:eastAsia="en-GB"/>
          <w14:ligatures w14:val="none"/>
        </w:rPr>
        <w:t xml:space="preserve"> March 2026).</w:t>
      </w:r>
    </w:p>
    <w:p w14:paraId="1D0F2D59" w14:textId="04FD5966" w:rsidR="004552CE" w:rsidRPr="005E44B5" w:rsidRDefault="004552CE" w:rsidP="005E44B5">
      <w:pPr>
        <w:rPr>
          <w:color w:val="FF0000"/>
        </w:rPr>
      </w:pPr>
    </w:p>
    <w:sectPr w:rsidR="004552CE" w:rsidRPr="005E44B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B9EBB" w14:textId="77777777" w:rsidR="005520F1" w:rsidRDefault="005520F1" w:rsidP="003C7C97">
      <w:pPr>
        <w:spacing w:after="0" w:line="240" w:lineRule="auto"/>
      </w:pPr>
      <w:r>
        <w:separator/>
      </w:r>
    </w:p>
  </w:endnote>
  <w:endnote w:type="continuationSeparator" w:id="0">
    <w:p w14:paraId="595502A5" w14:textId="77777777" w:rsidR="005520F1" w:rsidRDefault="005520F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581967"/>
      <w:docPartObj>
        <w:docPartGallery w:val="Page Numbers (Bottom of Page)"/>
        <w:docPartUnique/>
      </w:docPartObj>
    </w:sdtPr>
    <w:sdtEndPr>
      <w:rPr>
        <w:noProof/>
      </w:rPr>
    </w:sdtEndPr>
    <w:sdtContent>
      <w:p w14:paraId="2781A5D9" w14:textId="1B345E79" w:rsidR="00DC1ADC" w:rsidRDefault="00DC1A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2AD26A" w14:textId="77777777" w:rsidR="00DC1ADC" w:rsidRDefault="00DC1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00B49" w14:textId="77777777" w:rsidR="005520F1" w:rsidRDefault="005520F1" w:rsidP="003C7C97">
      <w:pPr>
        <w:spacing w:after="0" w:line="240" w:lineRule="auto"/>
      </w:pPr>
      <w:r>
        <w:separator/>
      </w:r>
    </w:p>
  </w:footnote>
  <w:footnote w:type="continuationSeparator" w:id="0">
    <w:p w14:paraId="30EB5483" w14:textId="77777777" w:rsidR="005520F1" w:rsidRDefault="005520F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1832E7F"/>
    <w:multiLevelType w:val="multilevel"/>
    <w:tmpl w:val="07627942"/>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2"/>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4"/>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3"/>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792745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010"/>
    <w:rsid w:val="00070818"/>
    <w:rsid w:val="0008238F"/>
    <w:rsid w:val="00082EC6"/>
    <w:rsid w:val="00085388"/>
    <w:rsid w:val="000D41DC"/>
    <w:rsid w:val="00125D37"/>
    <w:rsid w:val="00127C1A"/>
    <w:rsid w:val="00147159"/>
    <w:rsid w:val="00150D81"/>
    <w:rsid w:val="00160C24"/>
    <w:rsid w:val="00166CEB"/>
    <w:rsid w:val="00183CB9"/>
    <w:rsid w:val="00184A9A"/>
    <w:rsid w:val="001947DF"/>
    <w:rsid w:val="001B22BB"/>
    <w:rsid w:val="001B619C"/>
    <w:rsid w:val="001D1D3C"/>
    <w:rsid w:val="00204A24"/>
    <w:rsid w:val="002205D4"/>
    <w:rsid w:val="00222C3A"/>
    <w:rsid w:val="00226D31"/>
    <w:rsid w:val="00236401"/>
    <w:rsid w:val="002370CE"/>
    <w:rsid w:val="00242974"/>
    <w:rsid w:val="002976D4"/>
    <w:rsid w:val="002A5577"/>
    <w:rsid w:val="002B4AA4"/>
    <w:rsid w:val="002C5B13"/>
    <w:rsid w:val="002E71BA"/>
    <w:rsid w:val="002F5066"/>
    <w:rsid w:val="003003FD"/>
    <w:rsid w:val="00310245"/>
    <w:rsid w:val="00314595"/>
    <w:rsid w:val="00316C95"/>
    <w:rsid w:val="003458DB"/>
    <w:rsid w:val="003523D3"/>
    <w:rsid w:val="00364C35"/>
    <w:rsid w:val="00396F60"/>
    <w:rsid w:val="003A51D6"/>
    <w:rsid w:val="003B125E"/>
    <w:rsid w:val="003B2A5E"/>
    <w:rsid w:val="003C7C97"/>
    <w:rsid w:val="004043DA"/>
    <w:rsid w:val="00406B8D"/>
    <w:rsid w:val="00410068"/>
    <w:rsid w:val="0041618E"/>
    <w:rsid w:val="0042295C"/>
    <w:rsid w:val="00426EEC"/>
    <w:rsid w:val="004466C3"/>
    <w:rsid w:val="004552CE"/>
    <w:rsid w:val="00481FF7"/>
    <w:rsid w:val="00500295"/>
    <w:rsid w:val="00501AAF"/>
    <w:rsid w:val="00527AFA"/>
    <w:rsid w:val="005419DA"/>
    <w:rsid w:val="005520F1"/>
    <w:rsid w:val="005678AC"/>
    <w:rsid w:val="005709B1"/>
    <w:rsid w:val="00572B3B"/>
    <w:rsid w:val="005836D2"/>
    <w:rsid w:val="00587C58"/>
    <w:rsid w:val="005A7FD4"/>
    <w:rsid w:val="005B1A84"/>
    <w:rsid w:val="005D1AF9"/>
    <w:rsid w:val="005D5457"/>
    <w:rsid w:val="005E2699"/>
    <w:rsid w:val="005E44B5"/>
    <w:rsid w:val="00610752"/>
    <w:rsid w:val="00612DEA"/>
    <w:rsid w:val="00614572"/>
    <w:rsid w:val="006232DF"/>
    <w:rsid w:val="00631F2E"/>
    <w:rsid w:val="006457C0"/>
    <w:rsid w:val="00652BB7"/>
    <w:rsid w:val="0066142D"/>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9289B"/>
    <w:rsid w:val="007969D0"/>
    <w:rsid w:val="007A15E4"/>
    <w:rsid w:val="007B0F6D"/>
    <w:rsid w:val="007C62C3"/>
    <w:rsid w:val="007D25AA"/>
    <w:rsid w:val="007D61CD"/>
    <w:rsid w:val="007F0873"/>
    <w:rsid w:val="00805726"/>
    <w:rsid w:val="00814B66"/>
    <w:rsid w:val="00815117"/>
    <w:rsid w:val="008520F8"/>
    <w:rsid w:val="00855F34"/>
    <w:rsid w:val="008826B6"/>
    <w:rsid w:val="00892DB6"/>
    <w:rsid w:val="008B0B22"/>
    <w:rsid w:val="008C58B0"/>
    <w:rsid w:val="008C591B"/>
    <w:rsid w:val="008C5B17"/>
    <w:rsid w:val="008C6182"/>
    <w:rsid w:val="008E0CBB"/>
    <w:rsid w:val="00912B25"/>
    <w:rsid w:val="00926458"/>
    <w:rsid w:val="00933720"/>
    <w:rsid w:val="009C7E52"/>
    <w:rsid w:val="009E4934"/>
    <w:rsid w:val="009F40A7"/>
    <w:rsid w:val="009F5CE6"/>
    <w:rsid w:val="00A035CD"/>
    <w:rsid w:val="00A336BD"/>
    <w:rsid w:val="00A50E80"/>
    <w:rsid w:val="00A513B0"/>
    <w:rsid w:val="00A63F7F"/>
    <w:rsid w:val="00A667CE"/>
    <w:rsid w:val="00A75042"/>
    <w:rsid w:val="00A774BC"/>
    <w:rsid w:val="00A82678"/>
    <w:rsid w:val="00A929CB"/>
    <w:rsid w:val="00A946CB"/>
    <w:rsid w:val="00AA77C8"/>
    <w:rsid w:val="00AC7BE2"/>
    <w:rsid w:val="00AE35BF"/>
    <w:rsid w:val="00B1067E"/>
    <w:rsid w:val="00B81790"/>
    <w:rsid w:val="00B81BBC"/>
    <w:rsid w:val="00BD03D5"/>
    <w:rsid w:val="00C3145C"/>
    <w:rsid w:val="00C3215E"/>
    <w:rsid w:val="00C45272"/>
    <w:rsid w:val="00C47770"/>
    <w:rsid w:val="00C75856"/>
    <w:rsid w:val="00C85A7C"/>
    <w:rsid w:val="00C95214"/>
    <w:rsid w:val="00CC3F59"/>
    <w:rsid w:val="00CD4540"/>
    <w:rsid w:val="00CD4774"/>
    <w:rsid w:val="00CF6099"/>
    <w:rsid w:val="00D10AAF"/>
    <w:rsid w:val="00D27540"/>
    <w:rsid w:val="00D4006B"/>
    <w:rsid w:val="00D40D7A"/>
    <w:rsid w:val="00D64A0D"/>
    <w:rsid w:val="00D750B4"/>
    <w:rsid w:val="00D81C18"/>
    <w:rsid w:val="00D8461A"/>
    <w:rsid w:val="00D95CAF"/>
    <w:rsid w:val="00DB60B6"/>
    <w:rsid w:val="00DC1ADC"/>
    <w:rsid w:val="00DC1CC6"/>
    <w:rsid w:val="00E067A8"/>
    <w:rsid w:val="00E13924"/>
    <w:rsid w:val="00E15FD5"/>
    <w:rsid w:val="00E1725A"/>
    <w:rsid w:val="00E33758"/>
    <w:rsid w:val="00E53E5E"/>
    <w:rsid w:val="00E64325"/>
    <w:rsid w:val="00E673C5"/>
    <w:rsid w:val="00E67967"/>
    <w:rsid w:val="00E82723"/>
    <w:rsid w:val="00E864AF"/>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ds-markdown-paragraph">
    <w:name w:val="ds-markdown-paragraph"/>
    <w:basedOn w:val="Normal"/>
    <w:rsid w:val="008C5B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ngland.nhs.uk/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1464</Words>
  <Characters>8349</Characters>
  <Application>Microsoft Office Word</Application>
  <DocSecurity>0</DocSecurity>
  <Lines>69</Lines>
  <Paragraphs>19</Paragraphs>
  <ScaleCrop>false</ScaleCrop>
  <Company>University of Wales Trinity Saint David</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Haris Khan</cp:lastModifiedBy>
  <cp:revision>3</cp:revision>
  <dcterms:created xsi:type="dcterms:W3CDTF">2026-03-26T23:44:00Z</dcterms:created>
  <dcterms:modified xsi:type="dcterms:W3CDTF">2026-03-26T23:49:00Z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