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8B195">
      <w:pPr>
        <w:jc w:val="center"/>
        <w:rPr>
          <w:lang w:val="en-US"/>
        </w:rPr>
      </w:pPr>
    </w:p>
    <w:p w14:paraId="1E674058">
      <w:pPr>
        <w:jc w:val="center"/>
        <w:rPr>
          <w:lang w:val="en-US"/>
        </w:rPr>
      </w:pPr>
      <w:r>
        <w:rPr>
          <w:lang w:val="en-US"/>
        </w:rPr>
        <w:drawing>
          <wp:inline distT="0" distB="0" distL="0" distR="0">
            <wp:extent cx="2742565" cy="998220"/>
            <wp:effectExtent l="0" t="0" r="635" b="7620"/>
            <wp:docPr id="8" name="Picture 8"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l="9187" t="13196" r="8800" b="15294"/>
                    <a:stretch>
                      <a:fillRect/>
                    </a:stretch>
                  </pic:blipFill>
                  <pic:spPr>
                    <a:xfrm>
                      <a:off x="0" y="0"/>
                      <a:ext cx="2755406" cy="1003478"/>
                    </a:xfrm>
                    <a:prstGeom prst="rect">
                      <a:avLst/>
                    </a:prstGeom>
                    <a:noFill/>
                    <a:ln>
                      <a:noFill/>
                    </a:ln>
                  </pic:spPr>
                </pic:pic>
              </a:graphicData>
            </a:graphic>
          </wp:inline>
        </w:drawing>
      </w:r>
    </w:p>
    <w:p w14:paraId="308D0F9D">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Program: Master of Business Administration</w:t>
      </w:r>
    </w:p>
    <w:p w14:paraId="157CAD27">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Module Name: Human Capital Management</w:t>
      </w:r>
    </w:p>
    <w:p w14:paraId="46B25A1B">
      <w:pPr>
        <w:spacing w:after="240" w:line="360" w:lineRule="auto"/>
        <w:jc w:val="center"/>
        <w:rPr>
          <w:rFonts w:ascii="Times New Roman" w:hAnsi="Times New Roman" w:cs="Times New Roman"/>
          <w:b/>
          <w:bCs/>
          <w:sz w:val="32"/>
          <w:szCs w:val="24"/>
        </w:rPr>
      </w:pPr>
      <w:r>
        <w:rPr>
          <w:rFonts w:ascii="Times New Roman" w:hAnsi="Times New Roman" w:cs="Times New Roman"/>
          <w:b/>
          <w:bCs/>
          <w:sz w:val="32"/>
          <w:szCs w:val="24"/>
        </w:rPr>
        <w:t>Module Code: LCMB7023</w:t>
      </w:r>
    </w:p>
    <w:p w14:paraId="5B558BE0">
      <w:pPr>
        <w:spacing w:after="240" w:line="360" w:lineRule="auto"/>
        <w:jc w:val="center"/>
        <w:rPr>
          <w:rFonts w:hint="default" w:ascii="Times New Roman" w:hAnsi="Times New Roman" w:cs="Times New Roman"/>
          <w:b/>
          <w:bCs/>
          <w:sz w:val="32"/>
          <w:szCs w:val="24"/>
          <w:lang w:val="en-US"/>
        </w:rPr>
      </w:pPr>
      <w:r>
        <w:rPr>
          <w:rFonts w:hint="default" w:ascii="Times New Roman" w:hAnsi="Times New Roman" w:cs="Times New Roman"/>
          <w:b/>
          <w:bCs/>
          <w:sz w:val="32"/>
          <w:szCs w:val="24"/>
          <w:lang w:val="en-US"/>
        </w:rPr>
        <w:t>Module Lecturer: Eno Maycock</w:t>
      </w:r>
    </w:p>
    <w:p w14:paraId="42F1134A">
      <w:pPr>
        <w:spacing w:after="240" w:line="360" w:lineRule="auto"/>
        <w:jc w:val="center"/>
        <w:rPr>
          <w:rFonts w:ascii="Times New Roman" w:hAnsi="Times New Roman" w:cs="Times New Roman"/>
          <w:b/>
          <w:bCs/>
          <w:i/>
          <w:sz w:val="32"/>
          <w:szCs w:val="24"/>
        </w:rPr>
      </w:pPr>
      <w:r>
        <w:rPr>
          <w:rFonts w:ascii="Times New Roman" w:hAnsi="Times New Roman" w:cs="Times New Roman"/>
          <w:b/>
          <w:bCs/>
          <w:i/>
          <w:sz w:val="32"/>
          <w:szCs w:val="24"/>
        </w:rPr>
        <w:t>Designing A Human Capital Architecture for Strategic Renewal</w:t>
      </w:r>
    </w:p>
    <w:p w14:paraId="7BD9D125">
      <w:pPr>
        <w:jc w:val="center"/>
        <w:rPr>
          <w:rFonts w:hint="default" w:ascii="Times New Roman" w:hAnsi="Times New Roman" w:cs="Times New Roman"/>
          <w:b/>
          <w:bCs/>
          <w:sz w:val="32"/>
          <w:szCs w:val="24"/>
          <w:lang w:val="en-US"/>
        </w:rPr>
      </w:pPr>
      <w:r>
        <w:rPr>
          <w:rFonts w:ascii="Times New Roman" w:hAnsi="Times New Roman" w:cs="Times New Roman"/>
          <w:b/>
          <w:bCs/>
          <w:sz w:val="32"/>
          <w:szCs w:val="24"/>
        </w:rPr>
        <w:t>Student Name:</w:t>
      </w:r>
      <w:r>
        <w:rPr>
          <w:rFonts w:hint="default" w:ascii="Times New Roman" w:hAnsi="Times New Roman" w:cs="Times New Roman"/>
          <w:b/>
          <w:bCs/>
          <w:sz w:val="32"/>
          <w:szCs w:val="24"/>
          <w:lang w:val="en-US"/>
        </w:rPr>
        <w:t xml:space="preserve"> Nirmal Trivedi</w:t>
      </w:r>
    </w:p>
    <w:p w14:paraId="0324940B">
      <w:pPr>
        <w:jc w:val="center"/>
        <w:rPr>
          <w:rFonts w:hint="default" w:ascii="Times New Roman" w:hAnsi="Times New Roman" w:cs="Times New Roman"/>
          <w:b/>
          <w:bCs/>
          <w:sz w:val="32"/>
          <w:szCs w:val="24"/>
          <w:lang w:val="en-US"/>
        </w:rPr>
      </w:pPr>
      <w:r>
        <w:rPr>
          <w:rFonts w:ascii="Times New Roman" w:hAnsi="Times New Roman" w:cs="Times New Roman"/>
          <w:b/>
          <w:bCs/>
          <w:sz w:val="32"/>
          <w:szCs w:val="24"/>
        </w:rPr>
        <w:t>Student Id:</w:t>
      </w:r>
      <w:r>
        <w:rPr>
          <w:rFonts w:hint="default" w:ascii="Times New Roman" w:hAnsi="Times New Roman" w:cs="Times New Roman"/>
          <w:b/>
          <w:bCs/>
          <w:sz w:val="32"/>
          <w:szCs w:val="24"/>
          <w:lang w:val="en-US"/>
        </w:rPr>
        <w:t>2534890</w:t>
      </w:r>
      <w:bookmarkStart w:id="0" w:name="_GoBack"/>
      <w:bookmarkEnd w:id="0"/>
    </w:p>
    <w:p w14:paraId="1F99B1EA">
      <w:pPr>
        <w:jc w:val="center"/>
        <w:rPr>
          <w:rFonts w:hint="default" w:ascii="Times New Roman" w:hAnsi="Times New Roman" w:cs="Times New Roman"/>
          <w:b/>
          <w:bCs/>
          <w:sz w:val="32"/>
          <w:szCs w:val="24"/>
          <w:lang w:val="en-US"/>
        </w:rPr>
      </w:pPr>
    </w:p>
    <w:p w14:paraId="4B339F0E">
      <w:pPr>
        <w:jc w:val="center"/>
        <w:rPr>
          <w:rFonts w:hint="default" w:ascii="Times New Roman" w:hAnsi="Times New Roman" w:cs="Times New Roman"/>
          <w:b/>
          <w:bCs/>
          <w:sz w:val="32"/>
          <w:szCs w:val="24"/>
          <w:lang w:val="en-US"/>
        </w:rPr>
      </w:pPr>
    </w:p>
    <w:p w14:paraId="4B5DEE85">
      <w:pPr>
        <w:jc w:val="center"/>
        <w:rPr>
          <w:lang w:val="en-US"/>
        </w:rPr>
      </w:pPr>
    </w:p>
    <w:p w14:paraId="01781292">
      <w:pPr>
        <w:jc w:val="center"/>
        <w:rPr>
          <w:lang w:val="en-US"/>
        </w:rPr>
      </w:pPr>
    </w:p>
    <w:p w14:paraId="4CFFC99D">
      <w:pPr>
        <w:jc w:val="center"/>
        <w:rPr>
          <w:lang w:val="en-US"/>
        </w:rPr>
      </w:pPr>
    </w:p>
    <w:p w14:paraId="6AB26BA0">
      <w:pPr>
        <w:jc w:val="center"/>
        <w:rPr>
          <w:lang w:val="en-US"/>
        </w:rPr>
      </w:pPr>
    </w:p>
    <w:p w14:paraId="101ED72C">
      <w:pPr>
        <w:jc w:val="center"/>
        <w:rPr>
          <w:lang w:val="en-US"/>
        </w:rPr>
      </w:pPr>
    </w:p>
    <w:p w14:paraId="7B01BA73">
      <w:pPr>
        <w:jc w:val="center"/>
        <w:rPr>
          <w:lang w:val="en-US"/>
        </w:rPr>
      </w:pPr>
    </w:p>
    <w:p w14:paraId="7F8BD0C5">
      <w:pPr>
        <w:jc w:val="center"/>
        <w:rPr>
          <w:lang w:val="en-US"/>
        </w:rPr>
      </w:pPr>
    </w:p>
    <w:p w14:paraId="22B28BB8">
      <w:pPr>
        <w:jc w:val="center"/>
        <w:rPr>
          <w:lang w:val="en-US"/>
        </w:rPr>
      </w:pPr>
    </w:p>
    <w:p w14:paraId="4332E684">
      <w:pPr>
        <w:jc w:val="center"/>
        <w:rPr>
          <w:lang w:val="en-US"/>
        </w:rPr>
      </w:pPr>
    </w:p>
    <w:p w14:paraId="5EF65E54">
      <w:pPr>
        <w:jc w:val="center"/>
        <w:rPr>
          <w:lang w:val="en-US"/>
        </w:rPr>
      </w:pPr>
    </w:p>
    <w:p w14:paraId="6057D1C8">
      <w:pPr>
        <w:jc w:val="center"/>
        <w:rPr>
          <w:lang w:val="en-US"/>
        </w:rPr>
      </w:pPr>
    </w:p>
    <w:p w14:paraId="55E69DD5">
      <w:pPr>
        <w:jc w:val="both"/>
        <w:rPr>
          <w:lang w:val="en-US"/>
        </w:rPr>
      </w:pPr>
    </w:p>
    <w:p w14:paraId="26D6E96D">
      <w:pPr>
        <w:jc w:val="center"/>
        <w:rPr>
          <w:lang w:val="en-US"/>
        </w:rPr>
      </w:pPr>
    </w:p>
    <w:p w14:paraId="7DECC4A3">
      <w:pPr>
        <w:jc w:val="both"/>
        <w:rPr>
          <w:rFonts w:ascii="Arial" w:hAnsi="Arial" w:cs="Arial"/>
          <w:b/>
          <w:bCs/>
          <w:sz w:val="24"/>
          <w:szCs w:val="24"/>
        </w:rPr>
      </w:pPr>
      <w:r>
        <w:rPr>
          <w:rFonts w:ascii="Arial" w:hAnsi="Arial" w:cs="Arial"/>
          <w:b/>
          <w:bCs/>
          <w:sz w:val="24"/>
          <w:szCs w:val="24"/>
        </w:rPr>
        <w:t>TABLE OF CONTENTS</w:t>
      </w:r>
    </w:p>
    <w:p w14:paraId="7F40A5FC">
      <w:pPr>
        <w:numPr>
          <w:ilvl w:val="0"/>
          <w:numId w:val="1"/>
        </w:numPr>
        <w:jc w:val="both"/>
        <w:rPr>
          <w:rFonts w:ascii="Arial" w:hAnsi="Arial" w:cs="Arial"/>
          <w:b/>
          <w:bCs/>
          <w:sz w:val="24"/>
          <w:szCs w:val="24"/>
        </w:rPr>
      </w:pPr>
      <w:r>
        <w:rPr>
          <w:rFonts w:ascii="Arial" w:hAnsi="Arial" w:cs="Arial"/>
          <w:b/>
          <w:bCs/>
          <w:sz w:val="24"/>
          <w:szCs w:val="24"/>
        </w:rPr>
        <w:t>Executive Summary</w:t>
      </w:r>
    </w:p>
    <w:p w14:paraId="6E2CAFA7">
      <w:pPr>
        <w:numPr>
          <w:ilvl w:val="0"/>
          <w:numId w:val="1"/>
        </w:numPr>
        <w:jc w:val="both"/>
        <w:rPr>
          <w:rFonts w:ascii="Arial" w:hAnsi="Arial" w:cs="Arial"/>
          <w:b/>
          <w:bCs/>
          <w:sz w:val="24"/>
          <w:szCs w:val="24"/>
        </w:rPr>
      </w:pPr>
      <w:r>
        <w:rPr>
          <w:rFonts w:ascii="Arial" w:hAnsi="Arial" w:cs="Arial"/>
          <w:b/>
          <w:bCs/>
          <w:sz w:val="24"/>
          <w:szCs w:val="24"/>
        </w:rPr>
        <w:t>Introduction</w:t>
      </w:r>
    </w:p>
    <w:p w14:paraId="435B844B">
      <w:pPr>
        <w:jc w:val="both"/>
        <w:rPr>
          <w:rFonts w:hint="default" w:ascii="Arial" w:hAnsi="Arial" w:cs="Arial"/>
          <w:b/>
          <w:bCs/>
          <w:sz w:val="24"/>
          <w:szCs w:val="24"/>
          <w:lang w:val="en-US"/>
        </w:rPr>
      </w:pPr>
      <w:r>
        <w:rPr>
          <w:rFonts w:ascii="Arial" w:hAnsi="Arial" w:cs="Arial"/>
          <w:b/>
          <w:bCs/>
          <w:sz w:val="24"/>
          <w:szCs w:val="24"/>
        </w:rPr>
        <w:t>Task A: Socialisation, Identity and Business Activism</w:t>
      </w:r>
      <w:r>
        <w:rPr>
          <w:rFonts w:hint="default" w:ascii="Arial" w:hAnsi="Arial" w:cs="Arial"/>
          <w:b/>
          <w:bCs/>
          <w:sz w:val="24"/>
          <w:szCs w:val="24"/>
          <w:lang w:val="en-US"/>
        </w:rPr>
        <w:t>……………………………4</w:t>
      </w:r>
    </w:p>
    <w:p w14:paraId="28EEF702">
      <w:pPr>
        <w:numPr>
          <w:ilvl w:val="0"/>
          <w:numId w:val="2"/>
        </w:numPr>
        <w:jc w:val="both"/>
        <w:rPr>
          <w:rFonts w:ascii="Arial" w:hAnsi="Arial" w:cs="Arial"/>
          <w:b/>
          <w:bCs/>
          <w:sz w:val="24"/>
          <w:szCs w:val="24"/>
        </w:rPr>
      </w:pPr>
      <w:r>
        <w:rPr>
          <w:rFonts w:ascii="Arial" w:hAnsi="Arial" w:cs="Arial"/>
          <w:b/>
          <w:bCs/>
          <w:sz w:val="24"/>
          <w:szCs w:val="24"/>
        </w:rPr>
        <w:t>Traditional Onboarding vs Strategic Organisational Socialisation</w:t>
      </w:r>
    </w:p>
    <w:p w14:paraId="7286BF52">
      <w:pPr>
        <w:numPr>
          <w:ilvl w:val="0"/>
          <w:numId w:val="2"/>
        </w:numPr>
        <w:jc w:val="both"/>
        <w:rPr>
          <w:rFonts w:ascii="Arial" w:hAnsi="Arial" w:cs="Arial"/>
          <w:b/>
          <w:bCs/>
          <w:sz w:val="24"/>
          <w:szCs w:val="24"/>
        </w:rPr>
      </w:pPr>
      <w:r>
        <w:rPr>
          <w:rFonts w:ascii="Arial" w:hAnsi="Arial" w:cs="Arial"/>
          <w:b/>
          <w:bCs/>
          <w:sz w:val="24"/>
          <w:szCs w:val="24"/>
        </w:rPr>
        <w:t>Psychological Contract Theory</w:t>
      </w:r>
    </w:p>
    <w:p w14:paraId="3666A473">
      <w:pPr>
        <w:numPr>
          <w:ilvl w:val="0"/>
          <w:numId w:val="2"/>
        </w:numPr>
        <w:jc w:val="both"/>
        <w:rPr>
          <w:rFonts w:ascii="Arial" w:hAnsi="Arial" w:cs="Arial"/>
          <w:b/>
          <w:bCs/>
          <w:sz w:val="24"/>
          <w:szCs w:val="24"/>
        </w:rPr>
      </w:pPr>
      <w:r>
        <w:rPr>
          <w:rFonts w:ascii="Arial" w:hAnsi="Arial" w:cs="Arial"/>
          <w:b/>
          <w:bCs/>
          <w:sz w:val="24"/>
          <w:szCs w:val="24"/>
        </w:rPr>
        <w:t>Identity Construction Theory</w:t>
      </w:r>
    </w:p>
    <w:p w14:paraId="1ABFACC4">
      <w:pPr>
        <w:numPr>
          <w:ilvl w:val="0"/>
          <w:numId w:val="2"/>
        </w:numPr>
        <w:jc w:val="both"/>
        <w:rPr>
          <w:rFonts w:ascii="Arial" w:hAnsi="Arial" w:cs="Arial"/>
          <w:b/>
          <w:bCs/>
          <w:sz w:val="24"/>
          <w:szCs w:val="24"/>
        </w:rPr>
      </w:pPr>
      <w:r>
        <w:rPr>
          <w:rFonts w:ascii="Arial" w:hAnsi="Arial" w:cs="Arial"/>
          <w:b/>
          <w:bCs/>
          <w:sz w:val="24"/>
          <w:szCs w:val="24"/>
        </w:rPr>
        <w:t>Strategic Socialisation Framework</w:t>
      </w:r>
    </w:p>
    <w:p w14:paraId="46539EA3">
      <w:pPr>
        <w:numPr>
          <w:ilvl w:val="1"/>
          <w:numId w:val="2"/>
        </w:numPr>
        <w:jc w:val="both"/>
        <w:rPr>
          <w:rFonts w:ascii="Arial" w:hAnsi="Arial" w:cs="Arial"/>
          <w:b/>
          <w:bCs/>
          <w:sz w:val="24"/>
          <w:szCs w:val="24"/>
        </w:rPr>
      </w:pPr>
      <w:r>
        <w:rPr>
          <w:rFonts w:ascii="Arial" w:hAnsi="Arial" w:cs="Arial"/>
          <w:b/>
          <w:bCs/>
          <w:sz w:val="24"/>
          <w:szCs w:val="24"/>
        </w:rPr>
        <w:t>Stage 1: Pre-Boarding</w:t>
      </w:r>
    </w:p>
    <w:p w14:paraId="10F9BF57">
      <w:pPr>
        <w:numPr>
          <w:ilvl w:val="1"/>
          <w:numId w:val="2"/>
        </w:numPr>
        <w:jc w:val="both"/>
        <w:rPr>
          <w:rFonts w:ascii="Arial" w:hAnsi="Arial" w:cs="Arial"/>
          <w:b/>
          <w:bCs/>
          <w:sz w:val="24"/>
          <w:szCs w:val="24"/>
        </w:rPr>
      </w:pPr>
      <w:r>
        <w:rPr>
          <w:rFonts w:ascii="Arial" w:hAnsi="Arial" w:cs="Arial"/>
          <w:b/>
          <w:bCs/>
          <w:sz w:val="24"/>
          <w:szCs w:val="24"/>
        </w:rPr>
        <w:t>Stage 2: First 90 Days</w:t>
      </w:r>
    </w:p>
    <w:p w14:paraId="582E2433">
      <w:pPr>
        <w:numPr>
          <w:ilvl w:val="1"/>
          <w:numId w:val="2"/>
        </w:numPr>
        <w:jc w:val="both"/>
        <w:rPr>
          <w:rFonts w:ascii="Arial" w:hAnsi="Arial" w:cs="Arial"/>
          <w:b/>
          <w:bCs/>
          <w:sz w:val="24"/>
          <w:szCs w:val="24"/>
        </w:rPr>
      </w:pPr>
      <w:r>
        <w:rPr>
          <w:rFonts w:ascii="Arial" w:hAnsi="Arial" w:cs="Arial"/>
          <w:b/>
          <w:bCs/>
          <w:sz w:val="24"/>
          <w:szCs w:val="24"/>
        </w:rPr>
        <w:t>Stage 3: Year One</w:t>
      </w:r>
    </w:p>
    <w:p w14:paraId="7D2FB02F">
      <w:pPr>
        <w:numPr>
          <w:ilvl w:val="0"/>
          <w:numId w:val="2"/>
        </w:numPr>
        <w:jc w:val="both"/>
        <w:rPr>
          <w:rFonts w:ascii="Arial" w:hAnsi="Arial" w:cs="Arial"/>
          <w:b/>
          <w:bCs/>
          <w:sz w:val="24"/>
          <w:szCs w:val="24"/>
        </w:rPr>
      </w:pPr>
      <w:r>
        <w:rPr>
          <w:rFonts w:ascii="Arial" w:hAnsi="Arial" w:cs="Arial"/>
          <w:b/>
          <w:bCs/>
          <w:sz w:val="24"/>
          <w:szCs w:val="24"/>
        </w:rPr>
        <w:t>Organisational Identification</w:t>
      </w:r>
    </w:p>
    <w:p w14:paraId="2986FE5A">
      <w:pPr>
        <w:numPr>
          <w:ilvl w:val="0"/>
          <w:numId w:val="2"/>
        </w:numPr>
        <w:jc w:val="both"/>
        <w:rPr>
          <w:rFonts w:ascii="Arial" w:hAnsi="Arial" w:cs="Arial"/>
          <w:b/>
          <w:bCs/>
          <w:sz w:val="24"/>
          <w:szCs w:val="24"/>
        </w:rPr>
      </w:pPr>
      <w:r>
        <w:rPr>
          <w:rFonts w:ascii="Arial" w:hAnsi="Arial" w:cs="Arial"/>
          <w:b/>
          <w:bCs/>
          <w:sz w:val="24"/>
          <w:szCs w:val="24"/>
        </w:rPr>
        <w:t>Ethical Professionalism</w:t>
      </w:r>
    </w:p>
    <w:p w14:paraId="3AD87F2A">
      <w:pPr>
        <w:numPr>
          <w:ilvl w:val="0"/>
          <w:numId w:val="2"/>
        </w:numPr>
        <w:jc w:val="both"/>
        <w:rPr>
          <w:rFonts w:ascii="Arial" w:hAnsi="Arial" w:cs="Arial"/>
          <w:b/>
          <w:bCs/>
          <w:sz w:val="24"/>
          <w:szCs w:val="24"/>
        </w:rPr>
      </w:pPr>
      <w:r>
        <w:rPr>
          <w:rFonts w:ascii="Arial" w:hAnsi="Arial" w:cs="Arial"/>
          <w:b/>
          <w:bCs/>
          <w:sz w:val="24"/>
          <w:szCs w:val="24"/>
        </w:rPr>
        <w:t>Business Activism</w:t>
      </w:r>
    </w:p>
    <w:p w14:paraId="1E933824">
      <w:pPr>
        <w:jc w:val="both"/>
        <w:rPr>
          <w:rFonts w:hint="default" w:ascii="Arial" w:hAnsi="Arial" w:cs="Arial"/>
          <w:b/>
          <w:bCs/>
          <w:sz w:val="24"/>
          <w:szCs w:val="24"/>
          <w:lang w:val="en-US"/>
        </w:rPr>
      </w:pPr>
      <w:r>
        <w:rPr>
          <w:rFonts w:ascii="Arial" w:hAnsi="Arial" w:cs="Arial"/>
          <w:b/>
          <w:bCs/>
          <w:sz w:val="24"/>
          <w:szCs w:val="24"/>
        </w:rPr>
        <w:t>Task B: Job Design</w:t>
      </w:r>
      <w:r>
        <w:rPr>
          <w:rFonts w:hint="default" w:ascii="Arial" w:hAnsi="Arial" w:cs="Arial"/>
          <w:b/>
          <w:bCs/>
          <w:sz w:val="24"/>
          <w:szCs w:val="24"/>
          <w:lang w:val="en-US"/>
        </w:rPr>
        <w:t>………………………………………………………………………8</w:t>
      </w:r>
    </w:p>
    <w:p w14:paraId="10DD744E">
      <w:pPr>
        <w:numPr>
          <w:ilvl w:val="0"/>
          <w:numId w:val="3"/>
        </w:numPr>
        <w:jc w:val="both"/>
        <w:rPr>
          <w:rFonts w:ascii="Arial" w:hAnsi="Arial" w:cs="Arial"/>
          <w:b/>
          <w:bCs/>
          <w:sz w:val="24"/>
          <w:szCs w:val="24"/>
        </w:rPr>
      </w:pPr>
      <w:r>
        <w:rPr>
          <w:rFonts w:ascii="Arial" w:hAnsi="Arial" w:cs="Arial"/>
          <w:b/>
          <w:bCs/>
          <w:sz w:val="24"/>
          <w:szCs w:val="24"/>
        </w:rPr>
        <w:t>Innovative Job Design Strategy</w:t>
      </w:r>
    </w:p>
    <w:p w14:paraId="1AC382CB">
      <w:pPr>
        <w:numPr>
          <w:ilvl w:val="1"/>
          <w:numId w:val="3"/>
        </w:numPr>
        <w:jc w:val="both"/>
        <w:rPr>
          <w:rFonts w:ascii="Arial" w:hAnsi="Arial" w:cs="Arial"/>
          <w:b/>
          <w:bCs/>
          <w:sz w:val="24"/>
          <w:szCs w:val="24"/>
        </w:rPr>
      </w:pPr>
      <w:r>
        <w:rPr>
          <w:rFonts w:ascii="Arial" w:hAnsi="Arial" w:cs="Arial"/>
          <w:b/>
          <w:bCs/>
          <w:sz w:val="24"/>
          <w:szCs w:val="24"/>
        </w:rPr>
        <w:t>Job Characteristics Model (JCM)</w:t>
      </w:r>
    </w:p>
    <w:p w14:paraId="597D70E6">
      <w:pPr>
        <w:numPr>
          <w:ilvl w:val="1"/>
          <w:numId w:val="3"/>
        </w:numPr>
        <w:jc w:val="both"/>
        <w:rPr>
          <w:rFonts w:ascii="Arial" w:hAnsi="Arial" w:cs="Arial"/>
          <w:b/>
          <w:bCs/>
          <w:sz w:val="24"/>
          <w:szCs w:val="24"/>
        </w:rPr>
      </w:pPr>
      <w:r>
        <w:rPr>
          <w:rFonts w:ascii="Arial" w:hAnsi="Arial" w:cs="Arial"/>
          <w:b/>
          <w:bCs/>
          <w:sz w:val="24"/>
          <w:szCs w:val="24"/>
        </w:rPr>
        <w:t>Job Crafting Theory</w:t>
      </w:r>
    </w:p>
    <w:p w14:paraId="3C610883">
      <w:pPr>
        <w:numPr>
          <w:ilvl w:val="1"/>
          <w:numId w:val="3"/>
        </w:numPr>
        <w:jc w:val="both"/>
        <w:rPr>
          <w:rFonts w:ascii="Arial" w:hAnsi="Arial" w:cs="Arial"/>
          <w:b/>
          <w:bCs/>
          <w:sz w:val="24"/>
          <w:szCs w:val="24"/>
        </w:rPr>
      </w:pPr>
      <w:r>
        <w:rPr>
          <w:rFonts w:ascii="Arial" w:hAnsi="Arial" w:cs="Arial"/>
          <w:b/>
          <w:bCs/>
          <w:sz w:val="24"/>
          <w:szCs w:val="24"/>
        </w:rPr>
        <w:t>Skills-Based Architecture and Internal Talent Marketplace</w:t>
      </w:r>
    </w:p>
    <w:p w14:paraId="71906513">
      <w:pPr>
        <w:numPr>
          <w:ilvl w:val="0"/>
          <w:numId w:val="3"/>
        </w:numPr>
        <w:jc w:val="both"/>
        <w:rPr>
          <w:rFonts w:ascii="Arial" w:hAnsi="Arial" w:cs="Arial"/>
          <w:b/>
          <w:bCs/>
          <w:sz w:val="24"/>
          <w:szCs w:val="24"/>
        </w:rPr>
      </w:pPr>
      <w:r>
        <w:rPr>
          <w:rFonts w:ascii="Arial" w:hAnsi="Arial" w:cs="Arial"/>
          <w:b/>
          <w:bCs/>
          <w:sz w:val="24"/>
          <w:szCs w:val="24"/>
        </w:rPr>
        <w:t>Effect on Intrinsic Motivation and Innovation</w:t>
      </w:r>
    </w:p>
    <w:p w14:paraId="4B8281CA">
      <w:pPr>
        <w:numPr>
          <w:ilvl w:val="1"/>
          <w:numId w:val="3"/>
        </w:numPr>
        <w:jc w:val="both"/>
        <w:rPr>
          <w:rFonts w:ascii="Arial" w:hAnsi="Arial" w:cs="Arial"/>
          <w:b/>
          <w:bCs/>
          <w:sz w:val="24"/>
          <w:szCs w:val="24"/>
        </w:rPr>
      </w:pPr>
      <w:r>
        <w:rPr>
          <w:rFonts w:ascii="Arial" w:hAnsi="Arial" w:cs="Arial"/>
          <w:b/>
          <w:bCs/>
          <w:sz w:val="24"/>
          <w:szCs w:val="24"/>
        </w:rPr>
        <w:t>Self-Determination Theory (SDT)</w:t>
      </w:r>
    </w:p>
    <w:p w14:paraId="68B9EDD5">
      <w:pPr>
        <w:numPr>
          <w:ilvl w:val="1"/>
          <w:numId w:val="3"/>
        </w:numPr>
        <w:jc w:val="both"/>
        <w:rPr>
          <w:rFonts w:ascii="Arial" w:hAnsi="Arial" w:cs="Arial"/>
          <w:b/>
          <w:bCs/>
          <w:sz w:val="24"/>
          <w:szCs w:val="24"/>
        </w:rPr>
      </w:pPr>
      <w:r>
        <w:rPr>
          <w:rFonts w:ascii="Arial" w:hAnsi="Arial" w:cs="Arial"/>
          <w:b/>
          <w:bCs/>
          <w:sz w:val="24"/>
          <w:szCs w:val="24"/>
        </w:rPr>
        <w:t>Benefits for Innovation</w:t>
      </w:r>
    </w:p>
    <w:p w14:paraId="3FE60136">
      <w:pPr>
        <w:numPr>
          <w:ilvl w:val="1"/>
          <w:numId w:val="3"/>
        </w:numPr>
        <w:jc w:val="both"/>
        <w:rPr>
          <w:rFonts w:ascii="Arial" w:hAnsi="Arial" w:cs="Arial"/>
          <w:b/>
          <w:bCs/>
          <w:sz w:val="24"/>
          <w:szCs w:val="24"/>
        </w:rPr>
      </w:pPr>
      <w:r>
        <w:rPr>
          <w:rFonts w:ascii="Arial" w:hAnsi="Arial" w:cs="Arial"/>
          <w:b/>
          <w:bCs/>
          <w:sz w:val="24"/>
          <w:szCs w:val="24"/>
        </w:rPr>
        <w:t>Challenges</w:t>
      </w:r>
    </w:p>
    <w:p w14:paraId="75C93F9E">
      <w:pPr>
        <w:numPr>
          <w:ilvl w:val="1"/>
          <w:numId w:val="3"/>
        </w:numPr>
        <w:jc w:val="both"/>
        <w:rPr>
          <w:rFonts w:ascii="Arial" w:hAnsi="Arial" w:cs="Arial"/>
          <w:b/>
          <w:bCs/>
          <w:sz w:val="24"/>
          <w:szCs w:val="24"/>
        </w:rPr>
      </w:pPr>
      <w:r>
        <w:rPr>
          <w:rFonts w:ascii="Arial" w:hAnsi="Arial" w:cs="Arial"/>
          <w:b/>
          <w:bCs/>
          <w:sz w:val="24"/>
          <w:szCs w:val="24"/>
        </w:rPr>
        <w:t>Recommendations</w:t>
      </w:r>
    </w:p>
    <w:p w14:paraId="449A89C8">
      <w:pPr>
        <w:jc w:val="both"/>
        <w:rPr>
          <w:rFonts w:hint="default" w:ascii="Arial" w:hAnsi="Arial" w:cs="Arial"/>
          <w:b/>
          <w:bCs/>
          <w:sz w:val="24"/>
          <w:szCs w:val="24"/>
          <w:lang w:val="en-US"/>
        </w:rPr>
      </w:pPr>
      <w:r>
        <w:rPr>
          <w:rFonts w:ascii="Arial" w:hAnsi="Arial" w:cs="Arial"/>
          <w:b/>
          <w:bCs/>
          <w:sz w:val="24"/>
          <w:szCs w:val="24"/>
        </w:rPr>
        <w:t>Task C: Reflective Report</w:t>
      </w:r>
      <w:r>
        <w:rPr>
          <w:rFonts w:hint="default" w:ascii="Arial" w:hAnsi="Arial" w:cs="Arial"/>
          <w:b/>
          <w:bCs/>
          <w:sz w:val="24"/>
          <w:szCs w:val="24"/>
          <w:lang w:val="en-US"/>
        </w:rPr>
        <w:t>………………………………………………………………10</w:t>
      </w:r>
    </w:p>
    <w:p w14:paraId="77A4A162">
      <w:pPr>
        <w:numPr>
          <w:ilvl w:val="0"/>
          <w:numId w:val="4"/>
        </w:numPr>
        <w:jc w:val="both"/>
        <w:rPr>
          <w:rFonts w:ascii="Arial" w:hAnsi="Arial" w:cs="Arial"/>
          <w:b/>
          <w:bCs/>
          <w:sz w:val="24"/>
          <w:szCs w:val="24"/>
        </w:rPr>
      </w:pPr>
      <w:r>
        <w:rPr>
          <w:rFonts w:ascii="Arial" w:hAnsi="Arial" w:cs="Arial"/>
          <w:b/>
          <w:bCs/>
          <w:sz w:val="24"/>
          <w:szCs w:val="24"/>
        </w:rPr>
        <w:t>Reflection on Artificial Intelligence in HRM</w:t>
      </w:r>
    </w:p>
    <w:p w14:paraId="01D023BE">
      <w:pPr>
        <w:numPr>
          <w:ilvl w:val="0"/>
          <w:numId w:val="4"/>
        </w:numPr>
        <w:jc w:val="both"/>
        <w:rPr>
          <w:rFonts w:ascii="Arial" w:hAnsi="Arial" w:cs="Arial"/>
          <w:b/>
          <w:bCs/>
          <w:sz w:val="24"/>
          <w:szCs w:val="24"/>
        </w:rPr>
      </w:pPr>
      <w:r>
        <w:rPr>
          <w:rFonts w:ascii="Arial" w:hAnsi="Arial" w:cs="Arial"/>
          <w:b/>
          <w:bCs/>
          <w:sz w:val="24"/>
          <w:szCs w:val="24"/>
        </w:rPr>
        <w:t>Human Judgement and Ethical Considerations</w:t>
      </w:r>
    </w:p>
    <w:p w14:paraId="28F7DC4F">
      <w:pPr>
        <w:numPr>
          <w:ilvl w:val="0"/>
          <w:numId w:val="4"/>
        </w:numPr>
        <w:jc w:val="both"/>
        <w:rPr>
          <w:rFonts w:ascii="Arial" w:hAnsi="Arial" w:cs="Arial"/>
          <w:b/>
          <w:bCs/>
          <w:sz w:val="24"/>
          <w:szCs w:val="24"/>
        </w:rPr>
      </w:pPr>
      <w:r>
        <w:rPr>
          <w:rFonts w:ascii="Arial" w:hAnsi="Arial" w:cs="Arial"/>
          <w:b/>
          <w:bCs/>
          <w:sz w:val="24"/>
          <w:szCs w:val="24"/>
        </w:rPr>
        <w:t>Personal Capability Development Plan (PCDP)</w:t>
      </w:r>
    </w:p>
    <w:p w14:paraId="47CB8397">
      <w:pPr>
        <w:numPr>
          <w:ilvl w:val="0"/>
          <w:numId w:val="4"/>
        </w:numPr>
        <w:jc w:val="both"/>
        <w:rPr>
          <w:rFonts w:ascii="Arial" w:hAnsi="Arial" w:cs="Arial"/>
          <w:b/>
          <w:bCs/>
          <w:sz w:val="24"/>
          <w:szCs w:val="24"/>
        </w:rPr>
      </w:pPr>
      <w:r>
        <w:rPr>
          <w:rFonts w:ascii="Arial" w:hAnsi="Arial" w:cs="Arial"/>
          <w:b/>
          <w:bCs/>
          <w:sz w:val="24"/>
          <w:szCs w:val="24"/>
        </w:rPr>
        <w:t>Conclusion</w:t>
      </w:r>
    </w:p>
    <w:p w14:paraId="2686B87D">
      <w:pPr>
        <w:numPr>
          <w:ilvl w:val="0"/>
          <w:numId w:val="4"/>
        </w:numPr>
        <w:jc w:val="both"/>
        <w:rPr>
          <w:rFonts w:ascii="Arial" w:hAnsi="Arial" w:cs="Arial"/>
          <w:b/>
          <w:bCs/>
          <w:sz w:val="24"/>
          <w:szCs w:val="24"/>
        </w:rPr>
      </w:pPr>
      <w:r>
        <w:rPr>
          <w:rFonts w:ascii="Arial" w:hAnsi="Arial" w:cs="Arial"/>
          <w:b/>
          <w:bCs/>
          <w:sz w:val="24"/>
          <w:szCs w:val="24"/>
        </w:rPr>
        <w:t>References</w:t>
      </w:r>
    </w:p>
    <w:p w14:paraId="220467AC">
      <w:pPr>
        <w:ind w:left="720"/>
        <w:jc w:val="both"/>
        <w:rPr>
          <w:rFonts w:ascii="Arial" w:hAnsi="Arial" w:cs="Arial"/>
          <w:b/>
          <w:bCs/>
          <w:sz w:val="24"/>
          <w:szCs w:val="24"/>
        </w:rPr>
      </w:pPr>
    </w:p>
    <w:p w14:paraId="633A24D1">
      <w:pPr>
        <w:jc w:val="both"/>
        <w:rPr>
          <w:rFonts w:ascii="Arial" w:hAnsi="Arial" w:cs="Arial"/>
          <w:b/>
          <w:bCs/>
          <w:sz w:val="24"/>
          <w:szCs w:val="24"/>
        </w:rPr>
      </w:pPr>
      <w:r>
        <w:rPr>
          <w:rFonts w:ascii="Arial" w:hAnsi="Arial" w:cs="Arial"/>
          <w:b/>
          <w:bCs/>
          <w:sz w:val="24"/>
          <w:szCs w:val="24"/>
        </w:rPr>
        <w:t>Executive Summary :</w:t>
      </w:r>
    </w:p>
    <w:p w14:paraId="06535B2B">
      <w:pPr>
        <w:jc w:val="both"/>
        <w:rPr>
          <w:rFonts w:ascii="Arial" w:hAnsi="Arial" w:cs="Arial"/>
          <w:b/>
          <w:bCs/>
          <w:sz w:val="24"/>
          <w:szCs w:val="24"/>
        </w:rPr>
      </w:pPr>
    </w:p>
    <w:p w14:paraId="48381BBE">
      <w:pPr>
        <w:jc w:val="both"/>
        <w:rPr>
          <w:rFonts w:ascii="Arial" w:hAnsi="Arial" w:cs="Arial"/>
          <w:sz w:val="24"/>
          <w:szCs w:val="24"/>
        </w:rPr>
      </w:pPr>
      <w:r>
        <w:rPr>
          <w:b/>
          <w:bCs/>
        </w:rPr>
        <w:t xml:space="preserve"> </w:t>
      </w:r>
      <w:r>
        <w:rPr>
          <w:rFonts w:ascii="Arial" w:hAnsi="Arial" w:cs="Arial"/>
          <w:sz w:val="24"/>
          <w:szCs w:val="24"/>
        </w:rPr>
        <w:t>Helios Urban Mobility (HUM) is facing a number of human resource issues that are impeding organisational performance and strategic renewal. Challenges faced are an 8-month induction period, a low employee engagement score of 54% and high graduate attrition rates. These problems indicate problems with employee integration, engagement and retention. It is recommended in this report that the way companies approach onboarding is outdated and fails to meet the evolving needs of a digital and AI-driven world. However, HUM needs a strategic human capital approach by integrating organisational socialisation, innovative talent management, and ethical AI governance. The report suggests the development of an identity-based socialisation system to boost employee belonging and organisational commitment. It also outlines a skills-based workforce architecture and an internal talent marketplace to enable workforce agility and career development. Additionally, an AI governance framework which centers on human beings is recommended for responsible, transparent, and ethical AI use. All of these will create added value in the engagement of employees, lower turnover and foster the swift integration of the workforce, whilst working in close synergies to fulfil HUM's long-term mobility strategic goals.</w:t>
      </w:r>
    </w:p>
    <w:p w14:paraId="21FAA198">
      <w:pPr>
        <w:jc w:val="both"/>
        <w:rPr>
          <w:rFonts w:ascii="Arial" w:hAnsi="Arial" w:cs="Arial"/>
          <w:sz w:val="24"/>
          <w:szCs w:val="24"/>
        </w:rPr>
      </w:pPr>
    </w:p>
    <w:p w14:paraId="3AA09CB0">
      <w:pPr>
        <w:numPr>
          <w:ilvl w:val="0"/>
          <w:numId w:val="5"/>
        </w:numPr>
        <w:jc w:val="both"/>
        <w:rPr>
          <w:rFonts w:ascii="Arial" w:hAnsi="Arial" w:cs="Arial"/>
          <w:b/>
          <w:bCs/>
          <w:sz w:val="24"/>
          <w:szCs w:val="24"/>
          <w:u w:val="single"/>
        </w:rPr>
      </w:pPr>
      <w:r>
        <w:rPr>
          <w:rFonts w:ascii="Arial" w:hAnsi="Arial" w:cs="Arial"/>
          <w:b/>
          <w:bCs/>
          <w:sz w:val="24"/>
          <w:szCs w:val="24"/>
          <w:u w:val="single"/>
        </w:rPr>
        <w:t>Introduction :</w:t>
      </w:r>
    </w:p>
    <w:p w14:paraId="5411CB9A">
      <w:pPr>
        <w:numPr>
          <w:ilvl w:val="0"/>
          <w:numId w:val="0"/>
        </w:numPr>
        <w:jc w:val="both"/>
        <w:rPr>
          <w:rFonts w:ascii="Arial" w:hAnsi="Arial" w:cs="Arial"/>
          <w:b/>
          <w:bCs/>
          <w:sz w:val="24"/>
          <w:szCs w:val="24"/>
          <w:u w:val="single"/>
        </w:rPr>
      </w:pPr>
    </w:p>
    <w:p w14:paraId="3EA7D8E4">
      <w:pPr>
        <w:jc w:val="both"/>
        <w:rPr>
          <w:rFonts w:ascii="Arial" w:hAnsi="Arial" w:cs="Arial"/>
          <w:sz w:val="24"/>
          <w:szCs w:val="24"/>
        </w:rPr>
      </w:pPr>
      <w:r>
        <w:rPr>
          <w:rFonts w:ascii="Arial" w:hAnsi="Arial" w:cs="Arial"/>
          <w:sz w:val="24"/>
          <w:szCs w:val="24"/>
        </w:rPr>
        <w:t>Human capital has become a very important source of competitive advantage in today's organisations. In an era defined by digital transformation and artificial intelligence, organisations need to formulate strategies for their workforces to improve their capacity, engagement, and adaptability. Organisations that can effectively manage talent are better placed to respond to the changing business environment, Deloitte (2024) stated. Likewise, the OECD (2023) calls for lifelong learning and the World Economic Forum (2025) underlines workforce transformations with the human side.</w:t>
      </w:r>
    </w:p>
    <w:p w14:paraId="57823D9C">
      <w:pPr>
        <w:jc w:val="both"/>
        <w:rPr>
          <w:rFonts w:ascii="Arial" w:hAnsi="Arial" w:cs="Arial"/>
          <w:sz w:val="24"/>
          <w:szCs w:val="24"/>
        </w:rPr>
      </w:pPr>
    </w:p>
    <w:p w14:paraId="48386B35">
      <w:pPr>
        <w:jc w:val="both"/>
        <w:rPr>
          <w:rFonts w:ascii="Arial" w:hAnsi="Arial" w:cs="Arial"/>
          <w:sz w:val="24"/>
          <w:szCs w:val="24"/>
        </w:rPr>
      </w:pPr>
      <w:r>
        <w:rPr>
          <w:rFonts w:ascii="Arial" w:hAnsi="Arial" w:cs="Arial"/>
          <w:sz w:val="24"/>
          <w:szCs w:val="24"/>
        </w:rPr>
        <w:t>The urban mobility sector is constantly changing, and innovation and sustainability are central to the success of organisations in the field.In a rapidly evolving urban mobility sector, innovation and sustainability are key to organisational success, and Helios Urban Mobility (HUM) has an excellent grasp on these concepts. The company has experienced several human capital challenges, despite being strategically placed. This includes a long training programme (around 8 months), staff engagement rating of 54% and high employee turnover among the graduates. These problems are related to problems with employee integration, organisational commitment and ability to hold onto staff.</w:t>
      </w:r>
    </w:p>
    <w:p w14:paraId="22E47599">
      <w:pPr>
        <w:jc w:val="both"/>
        <w:rPr>
          <w:rFonts w:ascii="Arial" w:hAnsi="Arial" w:cs="Arial"/>
          <w:sz w:val="24"/>
          <w:szCs w:val="24"/>
        </w:rPr>
      </w:pPr>
    </w:p>
    <w:p w14:paraId="4A4D9E91">
      <w:pPr>
        <w:jc w:val="both"/>
        <w:rPr>
          <w:rFonts w:ascii="Arial" w:hAnsi="Arial" w:cs="Arial"/>
          <w:sz w:val="24"/>
          <w:szCs w:val="24"/>
        </w:rPr>
      </w:pPr>
      <w:r>
        <w:rPr>
          <w:rFonts w:ascii="Arial" w:hAnsi="Arial" w:cs="Arial"/>
          <w:sz w:val="24"/>
          <w:szCs w:val="24"/>
        </w:rPr>
        <w:t>This report aims to look at the redesign of HUM's human capital architecture to enable strategic renewal. The report appraises how organisational socialisation, identity development, ethical professionalism and business activism support to improve employee engagement and retention. It also offers actionable tips and insights for enhancing the effectiveness of workforces, while fostering the organisation's sustainability and innovation goals.</w:t>
      </w:r>
    </w:p>
    <w:p w14:paraId="7CBEE979">
      <w:pPr>
        <w:jc w:val="both"/>
        <w:rPr>
          <w:rFonts w:ascii="Arial" w:hAnsi="Arial" w:cs="Arial"/>
          <w:sz w:val="24"/>
          <w:szCs w:val="24"/>
        </w:rPr>
      </w:pPr>
    </w:p>
    <w:p w14:paraId="4560895E">
      <w:pPr>
        <w:jc w:val="both"/>
        <w:rPr>
          <w:rFonts w:ascii="Arial" w:hAnsi="Arial" w:cs="Arial"/>
          <w:sz w:val="24"/>
          <w:szCs w:val="24"/>
        </w:rPr>
      </w:pPr>
      <w:r>
        <w:rPr>
          <w:rFonts w:ascii="Arial" w:hAnsi="Arial" w:cs="Arial"/>
          <w:b/>
          <w:bCs/>
          <w:sz w:val="24"/>
          <w:szCs w:val="24"/>
        </w:rPr>
        <w:t>Task A: Socialisation, Identity and Business Activism</w:t>
      </w:r>
    </w:p>
    <w:p w14:paraId="6F3EC52F">
      <w:pPr>
        <w:numPr>
          <w:ilvl w:val="0"/>
          <w:numId w:val="5"/>
        </w:numPr>
        <w:ind w:left="0" w:leftChars="0" w:firstLine="0" w:firstLineChars="0"/>
        <w:jc w:val="both"/>
        <w:rPr>
          <w:rFonts w:ascii="Arial" w:hAnsi="Arial" w:cs="Arial"/>
          <w:b/>
          <w:bCs/>
          <w:sz w:val="24"/>
          <w:szCs w:val="24"/>
        </w:rPr>
      </w:pPr>
      <w:r>
        <w:rPr>
          <w:rFonts w:ascii="Arial" w:hAnsi="Arial" w:cs="Arial"/>
          <w:b/>
          <w:bCs/>
          <w:sz w:val="24"/>
          <w:szCs w:val="24"/>
        </w:rPr>
        <w:t xml:space="preserve">Traditional Onboarding (Traditional OS) is contrasted against Strategic Organisational Socialisation </w:t>
      </w:r>
      <w:r>
        <w:rPr>
          <w:rFonts w:hint="default" w:ascii="Arial" w:hAnsi="Arial" w:cs="Arial"/>
          <w:b/>
          <w:bCs/>
          <w:sz w:val="24"/>
          <w:szCs w:val="24"/>
          <w:lang w:val="en-US"/>
        </w:rPr>
        <w:t>:</w:t>
      </w:r>
    </w:p>
    <w:p w14:paraId="07410EC2">
      <w:pPr>
        <w:numPr>
          <w:ilvl w:val="0"/>
          <w:numId w:val="0"/>
        </w:numPr>
        <w:ind w:leftChars="0"/>
        <w:jc w:val="both"/>
        <w:rPr>
          <w:rFonts w:ascii="Arial" w:hAnsi="Arial" w:cs="Arial"/>
          <w:b/>
          <w:bCs/>
          <w:sz w:val="24"/>
          <w:szCs w:val="24"/>
        </w:rPr>
      </w:pPr>
    </w:p>
    <w:p w14:paraId="561F9E4C">
      <w:pPr>
        <w:jc w:val="both"/>
        <w:rPr>
          <w:rFonts w:ascii="Arial" w:hAnsi="Arial" w:cs="Arial"/>
          <w:sz w:val="24"/>
          <w:szCs w:val="24"/>
        </w:rPr>
      </w:pPr>
      <w:r>
        <w:rPr>
          <w:rFonts w:ascii="Arial" w:hAnsi="Arial" w:cs="Arial"/>
          <w:sz w:val="24"/>
          <w:szCs w:val="24"/>
        </w:rPr>
        <w:t>Traditional onboarding is tied to the usability of them; getting onboarding programs to cover organisational policies, procedures, compliance and role expectations. Activities can consist of orientation programmes or administrative matters, as well as training that is specific to the job. This is typically the option of implementing an approach that is cost effective, standardised and simple across the organisation (Frögéli et al. 2023). It helps employees to understand their role and get up and running in a relatively short time.</w:t>
      </w:r>
    </w:p>
    <w:p w14:paraId="1608BE20">
      <w:pPr>
        <w:jc w:val="both"/>
        <w:rPr>
          <w:rFonts w:ascii="Arial" w:hAnsi="Arial" w:cs="Arial"/>
          <w:sz w:val="24"/>
          <w:szCs w:val="24"/>
        </w:rPr>
      </w:pPr>
      <w:r>
        <w:rPr>
          <w:rFonts w:ascii="Arial" w:hAnsi="Arial" w:cs="Arial"/>
          <w:sz w:val="24"/>
          <w:szCs w:val="24"/>
        </w:rPr>
        <w:t xml:space="preserve"> </w:t>
      </w:r>
    </w:p>
    <w:p w14:paraId="68729668">
      <w:pPr>
        <w:jc w:val="both"/>
        <w:rPr>
          <w:rFonts w:ascii="Arial" w:hAnsi="Arial" w:cs="Arial"/>
          <w:sz w:val="24"/>
          <w:szCs w:val="24"/>
        </w:rPr>
      </w:pPr>
      <w:r>
        <w:rPr>
          <w:rFonts w:ascii="Arial" w:hAnsi="Arial" w:cs="Arial"/>
          <w:sz w:val="24"/>
          <w:szCs w:val="24"/>
        </w:rPr>
        <w:t>Older onboarding training focuses on getting the employee up and running, though, and neglects to address future employee growth. Staff can go through training and develop competencies in the role, but cannot build a strong emotional bond with organisational values and culture. It is an obstacle which can impact employee engagement and retention, as stated by Deloitte (2024).</w:t>
      </w:r>
    </w:p>
    <w:p w14:paraId="46A926DD">
      <w:pPr>
        <w:jc w:val="both"/>
        <w:rPr>
          <w:rFonts w:ascii="Arial" w:hAnsi="Arial" w:cs="Arial"/>
          <w:sz w:val="24"/>
          <w:szCs w:val="24"/>
        </w:rPr>
      </w:pPr>
    </w:p>
    <w:p w14:paraId="0F010A3F">
      <w:pPr>
        <w:jc w:val="both"/>
        <w:rPr>
          <w:rFonts w:ascii="Arial" w:hAnsi="Arial" w:cs="Arial"/>
          <w:sz w:val="24"/>
          <w:szCs w:val="24"/>
        </w:rPr>
      </w:pPr>
      <w:r>
        <w:rPr>
          <w:rFonts w:ascii="Arial" w:hAnsi="Arial" w:cs="Arial"/>
          <w:sz w:val="24"/>
          <w:szCs w:val="24"/>
        </w:rPr>
        <w:t>Organisational socialisation is an issue that exceeds the newest rubric of an organisation's induction phase and continues to issue support for its "embeddedness" and identity building in the longer and longer term. It is suggested that organisational socialisation processes affect the induction of organisational values, behaviours and expectations (Van Maanen and Schein 1979). Employees' relationship, organisational attachment and cultural learning is strengthened through mentoring, relationship building, and cultural learning.</w:t>
      </w:r>
    </w:p>
    <w:p w14:paraId="11743C0E">
      <w:pPr>
        <w:jc w:val="both"/>
        <w:rPr>
          <w:rFonts w:ascii="Arial" w:hAnsi="Arial" w:cs="Arial"/>
          <w:sz w:val="24"/>
          <w:szCs w:val="24"/>
        </w:rPr>
      </w:pPr>
    </w:p>
    <w:p w14:paraId="1675DCDB">
      <w:pPr>
        <w:jc w:val="both"/>
        <w:rPr>
          <w:rFonts w:ascii="Arial" w:hAnsi="Arial" w:cs="Arial"/>
          <w:sz w:val="24"/>
          <w:szCs w:val="24"/>
        </w:rPr>
      </w:pPr>
      <w:r>
        <w:rPr>
          <w:rFonts w:ascii="Arial" w:hAnsi="Arial" w:cs="Arial"/>
          <w:sz w:val="24"/>
          <w:szCs w:val="24"/>
        </w:rPr>
        <w:t>Numerous studies suggest strategic socialisation has a positive impact on employee engagement, commitment, and retention outcomes (Chong et al., 2024). In addition, Chowdhury et al. (2022) asserts that socialisation is a tool for the construction of identities in a workplace by having employees better understand their place within the workplace. Adopting a strategic approach to socialising employees in HUM would support its employees' understanding of organisational objectives, enhance engagement, and lower graduate turnover.</w:t>
      </w:r>
    </w:p>
    <w:p w14:paraId="2831FA96">
      <w:pPr>
        <w:jc w:val="both"/>
        <w:rPr>
          <w:rFonts w:ascii="Arial" w:hAnsi="Arial" w:cs="Arial"/>
          <w:sz w:val="24"/>
          <w:szCs w:val="24"/>
        </w:rPr>
      </w:pPr>
    </w:p>
    <w:p w14:paraId="0604E362">
      <w:pPr>
        <w:numPr>
          <w:ilvl w:val="0"/>
          <w:numId w:val="5"/>
        </w:numPr>
        <w:ind w:left="0" w:leftChars="0" w:firstLine="0" w:firstLineChars="0"/>
        <w:jc w:val="both"/>
        <w:rPr>
          <w:rFonts w:ascii="Arial" w:hAnsi="Arial" w:cs="Arial"/>
          <w:b/>
          <w:bCs/>
          <w:sz w:val="24"/>
          <w:szCs w:val="24"/>
          <w:u w:val="single"/>
        </w:rPr>
      </w:pPr>
      <w:r>
        <w:rPr>
          <w:rFonts w:ascii="Arial" w:hAnsi="Arial" w:cs="Arial"/>
          <w:b/>
          <w:bCs/>
          <w:sz w:val="24"/>
          <w:szCs w:val="24"/>
          <w:u w:val="single"/>
        </w:rPr>
        <w:t>Psychological Contract Theory :</w:t>
      </w:r>
    </w:p>
    <w:p w14:paraId="501F2DD8">
      <w:pPr>
        <w:numPr>
          <w:ilvl w:val="0"/>
          <w:numId w:val="0"/>
        </w:numPr>
        <w:ind w:leftChars="0"/>
        <w:jc w:val="both"/>
        <w:rPr>
          <w:rFonts w:ascii="Arial" w:hAnsi="Arial" w:cs="Arial"/>
          <w:b/>
          <w:bCs/>
          <w:sz w:val="24"/>
          <w:szCs w:val="24"/>
          <w:u w:val="single"/>
        </w:rPr>
      </w:pPr>
    </w:p>
    <w:p w14:paraId="0493EA44">
      <w:pPr>
        <w:jc w:val="both"/>
        <w:rPr>
          <w:rFonts w:ascii="Arial" w:hAnsi="Arial" w:cs="Arial"/>
          <w:sz w:val="24"/>
          <w:szCs w:val="24"/>
        </w:rPr>
      </w:pPr>
      <w:r>
        <w:rPr>
          <w:rFonts w:ascii="Arial" w:hAnsi="Arial" w:cs="Arial"/>
          <w:sz w:val="24"/>
          <w:szCs w:val="24"/>
        </w:rPr>
        <w:t>Psychological Contract Theory is an unspoken agreement between the employee and employer. Employees need to feel that they are valued, nurtured, acknowledged and given opportunities to move up the career ladder and take advantage of their contribution and commitment, says Rousseau.</w:t>
      </w:r>
    </w:p>
    <w:p w14:paraId="382526CD">
      <w:pPr>
        <w:jc w:val="both"/>
        <w:rPr>
          <w:rFonts w:ascii="Arial" w:hAnsi="Arial" w:cs="Arial"/>
          <w:sz w:val="24"/>
          <w:szCs w:val="24"/>
        </w:rPr>
      </w:pPr>
    </w:p>
    <w:p w14:paraId="398EE701">
      <w:pPr>
        <w:jc w:val="both"/>
        <w:rPr>
          <w:rFonts w:ascii="Arial" w:hAnsi="Arial" w:cs="Arial"/>
          <w:sz w:val="24"/>
          <w:szCs w:val="24"/>
        </w:rPr>
      </w:pPr>
      <w:r>
        <w:rPr>
          <w:rFonts w:ascii="Arial" w:hAnsi="Arial" w:cs="Arial"/>
          <w:sz w:val="24"/>
          <w:szCs w:val="24"/>
        </w:rPr>
        <w:t>High attrition rates for graduates at HUM can be a symptom of a misalignment between aspirations and reality of the work environment. Psychological contract breach tends to occur when employees' sense of opportunities they had been expecting were not achieved. This can limit trust, engagement, commitment to the Organisation.</w:t>
      </w:r>
    </w:p>
    <w:p w14:paraId="0EF9C132">
      <w:pPr>
        <w:jc w:val="both"/>
        <w:rPr>
          <w:rFonts w:ascii="Arial" w:hAnsi="Arial" w:cs="Arial"/>
          <w:sz w:val="24"/>
          <w:szCs w:val="24"/>
        </w:rPr>
      </w:pPr>
    </w:p>
    <w:p w14:paraId="3A40E2F6">
      <w:pPr>
        <w:jc w:val="both"/>
        <w:rPr>
          <w:rFonts w:ascii="Arial" w:hAnsi="Arial" w:cs="Arial"/>
          <w:sz w:val="24"/>
          <w:szCs w:val="24"/>
        </w:rPr>
      </w:pPr>
      <w:r>
        <w:rPr>
          <w:rFonts w:ascii="Arial" w:hAnsi="Arial" w:cs="Arial"/>
          <w:sz w:val="24"/>
          <w:szCs w:val="24"/>
        </w:rPr>
        <w:t>On the other hand, contract fulfillment boosts job satisfaction and retention. Rodgers et al (2023) identified that staff are less inclined to stay in the organisation if it fails to be in line with their expectations. Hence, HUM should facilitate actual employees' experience as well as development opportunities with the recruitment promise set.Thus, HUM should ensure thatwhat employees are promised is experienced and developed.</w:t>
      </w:r>
    </w:p>
    <w:p w14:paraId="215351E4">
      <w:pPr>
        <w:jc w:val="both"/>
        <w:rPr>
          <w:rFonts w:ascii="Arial" w:hAnsi="Arial" w:cs="Arial"/>
          <w:sz w:val="24"/>
          <w:szCs w:val="24"/>
        </w:rPr>
      </w:pPr>
    </w:p>
    <w:p w14:paraId="664FC9C9">
      <w:pPr>
        <w:numPr>
          <w:ilvl w:val="0"/>
          <w:numId w:val="5"/>
        </w:numPr>
        <w:ind w:left="0" w:leftChars="0" w:firstLine="0" w:firstLineChars="0"/>
        <w:jc w:val="both"/>
        <w:rPr>
          <w:rFonts w:ascii="Arial" w:hAnsi="Arial" w:cs="Arial"/>
          <w:b/>
          <w:bCs/>
          <w:sz w:val="24"/>
          <w:szCs w:val="24"/>
        </w:rPr>
      </w:pPr>
      <w:r>
        <w:rPr>
          <w:rFonts w:ascii="Arial" w:hAnsi="Arial" w:cs="Arial"/>
          <w:b/>
          <w:bCs/>
          <w:sz w:val="24"/>
          <w:szCs w:val="24"/>
        </w:rPr>
        <w:t>Hartmann-Albert's Approach to Constructive Change :</w:t>
      </w:r>
    </w:p>
    <w:p w14:paraId="04CEBF4F">
      <w:pPr>
        <w:numPr>
          <w:ilvl w:val="0"/>
          <w:numId w:val="0"/>
        </w:numPr>
        <w:ind w:leftChars="0"/>
        <w:jc w:val="both"/>
        <w:rPr>
          <w:rFonts w:ascii="Arial" w:hAnsi="Arial" w:cs="Arial"/>
          <w:b/>
          <w:bCs/>
          <w:sz w:val="24"/>
          <w:szCs w:val="24"/>
        </w:rPr>
      </w:pPr>
    </w:p>
    <w:p w14:paraId="1DFD1CBB">
      <w:pPr>
        <w:jc w:val="both"/>
        <w:rPr>
          <w:rFonts w:ascii="Arial" w:hAnsi="Arial" w:cs="Arial"/>
          <w:sz w:val="24"/>
          <w:szCs w:val="24"/>
        </w:rPr>
      </w:pPr>
      <w:r>
        <w:rPr>
          <w:rFonts w:ascii="Arial" w:hAnsi="Arial" w:cs="Arial"/>
          <w:sz w:val="24"/>
          <w:szCs w:val="24"/>
        </w:rPr>
        <w:t>According to Identity Construction Theory, a sense of self is gained by people in the process of interacting with others whenever they are engaged in a work-related experience. Opportunities may be seen in the work by employees, especially where there is overlap between the values within the organisation and those of the employees.</w:t>
      </w:r>
    </w:p>
    <w:p w14:paraId="6C19BC1A">
      <w:pPr>
        <w:jc w:val="both"/>
        <w:rPr>
          <w:rFonts w:ascii="Arial" w:hAnsi="Arial" w:cs="Arial"/>
          <w:sz w:val="24"/>
          <w:szCs w:val="24"/>
        </w:rPr>
      </w:pPr>
    </w:p>
    <w:p w14:paraId="1243FD51">
      <w:pPr>
        <w:jc w:val="both"/>
        <w:rPr>
          <w:rFonts w:ascii="Arial" w:hAnsi="Arial" w:cs="Arial"/>
          <w:sz w:val="24"/>
          <w:szCs w:val="24"/>
        </w:rPr>
      </w:pPr>
      <w:r>
        <w:rPr>
          <w:rFonts w:ascii="Arial" w:hAnsi="Arial" w:cs="Arial"/>
          <w:sz w:val="24"/>
          <w:szCs w:val="24"/>
        </w:rPr>
        <w:t>For HUM, the process of identity construction can be translated into aspects related to smart mobility, to urban innovation, or to environmental stewardship. Giving staff a strong sense of identity brings about better engagement.An engaged workforce brings better outcomes for sustainable transport solutions as they better understand how their work helps achieve this objective.</w:t>
      </w:r>
    </w:p>
    <w:p w14:paraId="11E7DDA4">
      <w:pPr>
        <w:jc w:val="both"/>
        <w:rPr>
          <w:rFonts w:ascii="Arial" w:hAnsi="Arial" w:cs="Arial"/>
          <w:sz w:val="24"/>
          <w:szCs w:val="24"/>
        </w:rPr>
      </w:pPr>
    </w:p>
    <w:p w14:paraId="32590E11">
      <w:pPr>
        <w:jc w:val="both"/>
        <w:rPr>
          <w:rFonts w:ascii="Arial" w:hAnsi="Arial" w:cs="Arial"/>
          <w:sz w:val="24"/>
          <w:szCs w:val="24"/>
        </w:rPr>
      </w:pPr>
      <w:r>
        <w:rPr>
          <w:rFonts w:ascii="Arial" w:hAnsi="Arial" w:cs="Arial"/>
          <w:sz w:val="24"/>
          <w:szCs w:val="24"/>
        </w:rPr>
        <w:t>Chowdhury et al. (2022) suggests that a better organisational identity leads to better commitment and engagement level among employees. Hence, HUM needs to ensure that their sustainability message is conveyed throughout the employee experience in order to promote 'meaningfulness' and increase organisational attachment.</w:t>
      </w:r>
    </w:p>
    <w:p w14:paraId="1B078206">
      <w:pPr>
        <w:jc w:val="both"/>
        <w:rPr>
          <w:rFonts w:ascii="Arial" w:hAnsi="Arial" w:cs="Arial"/>
          <w:sz w:val="24"/>
          <w:szCs w:val="24"/>
        </w:rPr>
      </w:pPr>
    </w:p>
    <w:p w14:paraId="0EE9D471">
      <w:pPr>
        <w:jc w:val="both"/>
        <w:rPr>
          <w:rFonts w:ascii="Arial" w:hAnsi="Arial" w:cs="Arial"/>
          <w:b/>
          <w:bCs/>
          <w:sz w:val="24"/>
          <w:szCs w:val="24"/>
        </w:rPr>
      </w:pPr>
      <w:r>
        <w:rPr>
          <w:rFonts w:ascii="Arial" w:hAnsi="Arial" w:cs="Arial"/>
          <w:b/>
          <w:bCs/>
          <w:sz w:val="24"/>
          <w:szCs w:val="24"/>
        </w:rPr>
        <w:t>5.Strategic Socialisation Framework :</w:t>
      </w:r>
    </w:p>
    <w:p w14:paraId="3B87A627">
      <w:pPr>
        <w:jc w:val="both"/>
        <w:rPr>
          <w:rFonts w:ascii="Arial" w:hAnsi="Arial" w:cs="Arial"/>
          <w:sz w:val="24"/>
          <w:szCs w:val="24"/>
        </w:rPr>
      </w:pPr>
      <w:r>
        <w:rPr>
          <w:rFonts w:ascii="Arial" w:hAnsi="Arial" w:cs="Arial"/>
          <w:sz w:val="24"/>
          <w:szCs w:val="24"/>
        </w:rPr>
        <w:t>HUM needs to adopt a three-stage strategic socialisation plan in order to enhance employee integration and retention.</w:t>
      </w:r>
    </w:p>
    <w:p w14:paraId="65879454">
      <w:pPr>
        <w:jc w:val="both"/>
        <w:rPr>
          <w:rFonts w:ascii="Arial" w:hAnsi="Arial" w:cs="Arial"/>
          <w:sz w:val="24"/>
          <w:szCs w:val="24"/>
        </w:rPr>
      </w:pPr>
    </w:p>
    <w:p w14:paraId="5DFDFB5C">
      <w:pPr>
        <w:jc w:val="both"/>
        <w:rPr>
          <w:rFonts w:ascii="Arial" w:hAnsi="Arial" w:cs="Arial"/>
          <w:sz w:val="24"/>
          <w:szCs w:val="24"/>
        </w:rPr>
      </w:pPr>
      <w:r>
        <w:rPr>
          <w:rFonts w:ascii="Arial" w:hAnsi="Arial" w:cs="Arial"/>
          <w:sz w:val="24"/>
          <w:szCs w:val="24"/>
        </w:rPr>
        <w:t>Stage 1: Pre-Boarding</w:t>
      </w:r>
    </w:p>
    <w:p w14:paraId="73A0E66A">
      <w:pPr>
        <w:jc w:val="both"/>
        <w:rPr>
          <w:rFonts w:ascii="Arial" w:hAnsi="Arial" w:cs="Arial"/>
          <w:sz w:val="24"/>
          <w:szCs w:val="24"/>
        </w:rPr>
      </w:pPr>
      <w:r>
        <w:rPr>
          <w:rFonts w:ascii="Arial" w:hAnsi="Arial" w:cs="Arial"/>
          <w:sz w:val="24"/>
          <w:szCs w:val="24"/>
        </w:rPr>
        <w:t>Prior to employment, new hires should receive a CEO welcome video, access to an AI learning portal, and a digital culture guide. These activities would help to diminish uncertainty and give employees an early awareness of the values and expectations of the organisation.</w:t>
      </w:r>
    </w:p>
    <w:p w14:paraId="6D5526AD">
      <w:pPr>
        <w:jc w:val="both"/>
        <w:rPr>
          <w:rFonts w:ascii="Arial" w:hAnsi="Arial" w:cs="Arial"/>
          <w:sz w:val="24"/>
          <w:szCs w:val="24"/>
        </w:rPr>
      </w:pPr>
    </w:p>
    <w:p w14:paraId="7EB46338">
      <w:pPr>
        <w:jc w:val="both"/>
        <w:rPr>
          <w:rFonts w:ascii="Arial" w:hAnsi="Arial" w:cs="Arial"/>
          <w:sz w:val="24"/>
          <w:szCs w:val="24"/>
        </w:rPr>
      </w:pPr>
      <w:r>
        <w:rPr>
          <w:rFonts w:ascii="Arial" w:hAnsi="Arial" w:cs="Arial"/>
          <w:sz w:val="24"/>
          <w:szCs w:val="24"/>
        </w:rPr>
        <w:t>Stage 2: First 90 Days</w:t>
      </w:r>
    </w:p>
    <w:p w14:paraId="694F5F24">
      <w:pPr>
        <w:jc w:val="both"/>
        <w:rPr>
          <w:rFonts w:ascii="Arial" w:hAnsi="Arial" w:cs="Arial"/>
          <w:sz w:val="24"/>
          <w:szCs w:val="24"/>
        </w:rPr>
      </w:pPr>
      <w:r>
        <w:rPr>
          <w:rFonts w:ascii="Arial" w:hAnsi="Arial" w:cs="Arial"/>
          <w:sz w:val="24"/>
          <w:szCs w:val="24"/>
        </w:rPr>
        <w:t>For the first quarter, the staff should be exposed to mentoring, cross-functional learning and innovation projects. These activities promote building relationships and quicker assimilation into the organisation.</w:t>
      </w:r>
    </w:p>
    <w:p w14:paraId="60024E9E">
      <w:pPr>
        <w:jc w:val="both"/>
        <w:rPr>
          <w:rFonts w:ascii="Arial" w:hAnsi="Arial" w:cs="Arial"/>
          <w:sz w:val="24"/>
          <w:szCs w:val="24"/>
        </w:rPr>
      </w:pPr>
    </w:p>
    <w:p w14:paraId="0E434689">
      <w:pPr>
        <w:jc w:val="both"/>
        <w:rPr>
          <w:rFonts w:hint="default" w:ascii="Arial" w:hAnsi="Arial" w:cs="Arial"/>
          <w:sz w:val="24"/>
          <w:szCs w:val="24"/>
          <w:lang w:val="en-US"/>
        </w:rPr>
      </w:pPr>
      <w:r>
        <w:rPr>
          <w:rFonts w:ascii="Arial" w:hAnsi="Arial" w:cs="Arial"/>
          <w:sz w:val="24"/>
          <w:szCs w:val="24"/>
        </w:rPr>
        <w:t>Stage 3: Year One</w:t>
      </w:r>
    </w:p>
    <w:p w14:paraId="5264846B">
      <w:pPr>
        <w:jc w:val="both"/>
        <w:rPr>
          <w:rFonts w:ascii="Arial" w:hAnsi="Arial" w:cs="Arial"/>
          <w:sz w:val="24"/>
          <w:szCs w:val="24"/>
        </w:rPr>
      </w:pPr>
      <w:r>
        <w:rPr>
          <w:rFonts w:ascii="Arial" w:hAnsi="Arial" w:cs="Arial"/>
          <w:sz w:val="24"/>
          <w:szCs w:val="24"/>
        </w:rPr>
        <w:t>Leadership shadowing, internal career progression and planned career paths should be emphasized in long-term development. They are an example of organisational commitment to employee development and offer clear development pathways.</w:t>
      </w:r>
    </w:p>
    <w:p w14:paraId="6C65B42B">
      <w:pPr>
        <w:jc w:val="both"/>
        <w:rPr>
          <w:rFonts w:ascii="Arial" w:hAnsi="Arial" w:cs="Arial"/>
          <w:sz w:val="24"/>
          <w:szCs w:val="24"/>
        </w:rPr>
      </w:pPr>
      <w:r>
        <w:rPr>
          <w:rFonts w:ascii="Arial" w:hAnsi="Arial" w:cs="Arial"/>
          <w:sz w:val="24"/>
          <w:szCs w:val="24"/>
        </w:rPr>
        <w:t>Conducted by Chong et al. (2024) and Deloitte (2024), strategic socialisation programmes have been seen to lead to increased engagement, commitment and retention. This approach would allow HUM to enhance employee development and tackle existing onboarding and turnover issues.</w:t>
      </w:r>
      <w:r>
        <w:t xml:space="preserve"> </w:t>
      </w:r>
      <w:r>
        <w:rPr>
          <w:rFonts w:ascii="Arial" w:hAnsi="Arial" w:cs="Arial"/>
          <w:sz w:val="24"/>
          <w:szCs w:val="24"/>
        </w:rPr>
        <w:t>Strategic Socialisation Framework (≈220 words)</w:t>
      </w:r>
    </w:p>
    <w:p w14:paraId="14BDC1BF">
      <w:pPr>
        <w:jc w:val="both"/>
        <w:rPr>
          <w:rFonts w:ascii="Arial" w:hAnsi="Arial" w:cs="Arial"/>
          <w:sz w:val="24"/>
          <w:szCs w:val="24"/>
        </w:rPr>
      </w:pPr>
      <w:r>
        <w:rPr>
          <w:rFonts w:ascii="Arial" w:hAnsi="Arial" w:cs="Arial"/>
          <w:sz w:val="24"/>
          <w:szCs w:val="24"/>
        </w:rPr>
        <w:t>HUM needs to adopt a three-stage strategic socialisation plan in order to enhance employee integration and retention.</w:t>
      </w:r>
    </w:p>
    <w:p w14:paraId="6E3F76A5">
      <w:pPr>
        <w:jc w:val="both"/>
      </w:pPr>
    </w:p>
    <w:p w14:paraId="1CD7833E">
      <w:pPr>
        <w:numPr>
          <w:ilvl w:val="0"/>
          <w:numId w:val="0"/>
        </w:numPr>
        <w:ind w:leftChars="0"/>
        <w:jc w:val="both"/>
        <w:rPr>
          <w:rFonts w:ascii="Arial" w:hAnsi="Arial" w:cs="Arial"/>
          <w:b/>
          <w:bCs/>
          <w:sz w:val="24"/>
          <w:szCs w:val="24"/>
        </w:rPr>
      </w:pPr>
      <w:r>
        <w:rPr>
          <w:rFonts w:hint="default" w:ascii="Arial" w:hAnsi="Arial" w:cs="Arial"/>
          <w:b/>
          <w:bCs/>
          <w:sz w:val="24"/>
          <w:szCs w:val="24"/>
          <w:lang w:val="en-US"/>
        </w:rPr>
        <w:t>6.</w:t>
      </w:r>
      <w:r>
        <w:rPr>
          <w:rFonts w:ascii="Arial" w:hAnsi="Arial" w:cs="Arial"/>
          <w:b/>
          <w:bCs/>
          <w:sz w:val="24"/>
          <w:szCs w:val="24"/>
        </w:rPr>
        <w:t>Organisational Identification :</w:t>
      </w:r>
    </w:p>
    <w:p w14:paraId="762A32A1">
      <w:pPr>
        <w:numPr>
          <w:ilvl w:val="0"/>
          <w:numId w:val="0"/>
        </w:numPr>
        <w:ind w:leftChars="0"/>
        <w:jc w:val="both"/>
        <w:rPr>
          <w:rFonts w:ascii="Arial" w:hAnsi="Arial" w:cs="Arial"/>
          <w:b/>
          <w:bCs/>
          <w:sz w:val="24"/>
          <w:szCs w:val="24"/>
        </w:rPr>
      </w:pPr>
    </w:p>
    <w:p w14:paraId="12D2B0CD">
      <w:pPr>
        <w:jc w:val="both"/>
        <w:rPr>
          <w:rFonts w:ascii="Arial" w:hAnsi="Arial" w:cs="Arial"/>
          <w:sz w:val="24"/>
          <w:szCs w:val="24"/>
        </w:rPr>
      </w:pPr>
      <w:r>
        <w:rPr>
          <w:rFonts w:ascii="Arial" w:hAnsi="Arial" w:cs="Arial"/>
          <w:sz w:val="24"/>
          <w:szCs w:val="24"/>
        </w:rPr>
        <w:t>Social Identity Theory states that workers develop some of their identities through their affiliation with organisations. High levels of organisational identification promotes commitment, loyalty and engagement.</w:t>
      </w:r>
    </w:p>
    <w:p w14:paraId="430AEBBE">
      <w:pPr>
        <w:jc w:val="both"/>
        <w:rPr>
          <w:rFonts w:ascii="Arial" w:hAnsi="Arial" w:cs="Arial"/>
          <w:sz w:val="24"/>
          <w:szCs w:val="24"/>
        </w:rPr>
      </w:pPr>
    </w:p>
    <w:p w14:paraId="37D562B1">
      <w:pPr>
        <w:jc w:val="both"/>
        <w:rPr>
          <w:rFonts w:ascii="Arial" w:hAnsi="Arial" w:cs="Arial"/>
          <w:sz w:val="24"/>
          <w:szCs w:val="24"/>
        </w:rPr>
      </w:pPr>
      <w:r>
        <w:rPr>
          <w:rFonts w:ascii="Arial" w:hAnsi="Arial" w:cs="Arial"/>
          <w:sz w:val="24"/>
          <w:szCs w:val="24"/>
        </w:rPr>
        <w:t>For organisational identification, HUM can be enhanced with purpose driven communication, through involvement in sustainability projects and by implementing employee recognition systems. These practices assist employees to link their values to organisational goals.</w:t>
      </w:r>
    </w:p>
    <w:p w14:paraId="5031C0A3">
      <w:pPr>
        <w:jc w:val="both"/>
        <w:rPr>
          <w:rFonts w:ascii="Arial" w:hAnsi="Arial" w:cs="Arial"/>
          <w:sz w:val="24"/>
          <w:szCs w:val="24"/>
        </w:rPr>
      </w:pPr>
      <w:r>
        <w:rPr>
          <w:rFonts w:ascii="Arial" w:hAnsi="Arial" w:cs="Arial"/>
          <w:sz w:val="24"/>
          <w:szCs w:val="24"/>
        </w:rPr>
        <w:t>Employees now prioritise having a meaningful job and working for an organisation that has a mission (World Economic Forum 2025). Thus, building organisational identification would help to retain employees and engage them in HUM.</w:t>
      </w:r>
    </w:p>
    <w:p w14:paraId="63A9FAEA">
      <w:pPr>
        <w:jc w:val="both"/>
        <w:rPr>
          <w:rFonts w:ascii="Arial" w:hAnsi="Arial" w:cs="Arial"/>
          <w:b/>
          <w:bCs/>
          <w:sz w:val="24"/>
          <w:szCs w:val="24"/>
        </w:rPr>
      </w:pPr>
    </w:p>
    <w:p w14:paraId="4F4A5FD3">
      <w:pPr>
        <w:jc w:val="both"/>
        <w:rPr>
          <w:rFonts w:ascii="Arial" w:hAnsi="Arial" w:cs="Arial"/>
          <w:sz w:val="24"/>
          <w:szCs w:val="24"/>
        </w:rPr>
      </w:pPr>
      <w:r>
        <w:rPr>
          <w:rFonts w:ascii="Arial" w:hAnsi="Arial" w:cs="Arial"/>
          <w:b/>
          <w:bCs/>
          <w:sz w:val="24"/>
          <w:szCs w:val="24"/>
        </w:rPr>
        <w:t>7. Ethical Professionalism</w:t>
      </w:r>
      <w:r>
        <w:rPr>
          <w:rFonts w:ascii="Arial" w:hAnsi="Arial" w:cs="Arial"/>
          <w:sz w:val="24"/>
          <w:szCs w:val="24"/>
        </w:rPr>
        <w:t xml:space="preserve"> :</w:t>
      </w:r>
    </w:p>
    <w:p w14:paraId="734B1198">
      <w:pPr>
        <w:jc w:val="both"/>
        <w:rPr>
          <w:rFonts w:ascii="Arial" w:hAnsi="Arial" w:cs="Arial"/>
          <w:sz w:val="24"/>
          <w:szCs w:val="24"/>
        </w:rPr>
      </w:pPr>
      <w:r>
        <w:rPr>
          <w:rFonts w:ascii="Arial" w:hAnsi="Arial" w:cs="Arial"/>
          <w:sz w:val="24"/>
          <w:szCs w:val="24"/>
        </w:rPr>
        <w:t>Case studies in AI's application underscore the significance of ethical professionalism as HUM turns to these new technologies. Transparency, fairness, accountability and human oversight are key prerequisites for responsible AI.</w:t>
      </w:r>
    </w:p>
    <w:p w14:paraId="53C689A4">
      <w:pPr>
        <w:jc w:val="both"/>
        <w:rPr>
          <w:rFonts w:ascii="Arial" w:hAnsi="Arial" w:cs="Arial"/>
          <w:sz w:val="24"/>
          <w:szCs w:val="24"/>
        </w:rPr>
      </w:pPr>
    </w:p>
    <w:p w14:paraId="21EEDC4C">
      <w:pPr>
        <w:jc w:val="both"/>
        <w:rPr>
          <w:rFonts w:ascii="Arial" w:hAnsi="Arial" w:cs="Arial"/>
          <w:sz w:val="24"/>
          <w:szCs w:val="24"/>
        </w:rPr>
      </w:pPr>
      <w:r>
        <w:rPr>
          <w:rFonts w:ascii="Arial" w:hAnsi="Arial" w:cs="Arial"/>
          <w:sz w:val="24"/>
          <w:szCs w:val="24"/>
        </w:rPr>
        <w:t>UNESCO (2021) highlights the need to think about how AI systems can contribute to human wellbeing, respecting human rights and human dignity. In the same way, Dignum (2020) states that organisations need to be responsible for AI-driven decisions.</w:t>
      </w:r>
    </w:p>
    <w:p w14:paraId="06DD7A06">
      <w:pPr>
        <w:jc w:val="both"/>
        <w:rPr>
          <w:rFonts w:ascii="Arial" w:hAnsi="Arial" w:cs="Arial"/>
          <w:sz w:val="24"/>
          <w:szCs w:val="24"/>
        </w:rPr>
      </w:pPr>
    </w:p>
    <w:p w14:paraId="63860E9F">
      <w:pPr>
        <w:jc w:val="both"/>
        <w:rPr>
          <w:rFonts w:ascii="Arial" w:hAnsi="Arial" w:cs="Arial"/>
          <w:sz w:val="24"/>
          <w:szCs w:val="24"/>
        </w:rPr>
      </w:pPr>
      <w:r>
        <w:rPr>
          <w:rFonts w:ascii="Arial" w:hAnsi="Arial" w:cs="Arial"/>
          <w:sz w:val="24"/>
          <w:szCs w:val="24"/>
        </w:rPr>
        <w:t>HUM must offer responsible AI training, have governance processes in place and have human oversight over critical employee decisions to support ethical professionalism. These measures would enhance the trust and promote ethical organisational practices.</w:t>
      </w:r>
    </w:p>
    <w:p w14:paraId="54B8D87F">
      <w:pPr>
        <w:jc w:val="both"/>
        <w:rPr>
          <w:rFonts w:ascii="Arial" w:hAnsi="Arial" w:cs="Arial"/>
          <w:sz w:val="24"/>
          <w:szCs w:val="24"/>
        </w:rPr>
      </w:pPr>
    </w:p>
    <w:p w14:paraId="28EBE0C0">
      <w:pPr>
        <w:jc w:val="both"/>
        <w:rPr>
          <w:rFonts w:ascii="Arial" w:hAnsi="Arial" w:cs="Arial"/>
          <w:sz w:val="24"/>
          <w:szCs w:val="24"/>
        </w:rPr>
      </w:pPr>
      <w:r>
        <w:rPr>
          <w:rFonts w:ascii="Arial" w:hAnsi="Arial" w:cs="Arial"/>
          <w:b/>
          <w:bCs/>
          <w:sz w:val="24"/>
          <w:szCs w:val="24"/>
        </w:rPr>
        <w:t>8. Business Activism</w:t>
      </w:r>
      <w:r>
        <w:rPr>
          <w:rFonts w:ascii="Arial" w:hAnsi="Arial" w:cs="Arial"/>
          <w:sz w:val="24"/>
          <w:szCs w:val="24"/>
        </w:rPr>
        <w:t>:</w:t>
      </w:r>
    </w:p>
    <w:p w14:paraId="7C19EA4E">
      <w:pPr>
        <w:jc w:val="both"/>
        <w:rPr>
          <w:rFonts w:ascii="Arial" w:hAnsi="Arial" w:cs="Arial"/>
          <w:sz w:val="24"/>
          <w:szCs w:val="24"/>
        </w:rPr>
      </w:pPr>
      <w:r>
        <w:rPr>
          <w:rFonts w:ascii="Arial" w:hAnsi="Arial" w:cs="Arial"/>
          <w:sz w:val="24"/>
          <w:szCs w:val="24"/>
        </w:rPr>
        <w:t>Business activism is the act of engaging with a business in issues of social and environmental concern other than economics. By using Ulrich's HR Model HR can be partners with the organization and the stakeholders.</w:t>
      </w:r>
    </w:p>
    <w:p w14:paraId="645288B9">
      <w:pPr>
        <w:jc w:val="both"/>
        <w:rPr>
          <w:rFonts w:ascii="Arial" w:hAnsi="Arial" w:cs="Arial"/>
          <w:sz w:val="24"/>
          <w:szCs w:val="24"/>
        </w:rPr>
      </w:pPr>
    </w:p>
    <w:p w14:paraId="093EBA42">
      <w:pPr>
        <w:jc w:val="both"/>
        <w:rPr>
          <w:rFonts w:ascii="Arial" w:hAnsi="Arial" w:cs="Arial"/>
          <w:sz w:val="24"/>
          <w:szCs w:val="24"/>
        </w:rPr>
      </w:pPr>
      <w:r>
        <w:rPr>
          <w:rFonts w:ascii="Arial" w:hAnsi="Arial" w:cs="Arial"/>
          <w:sz w:val="24"/>
          <w:szCs w:val="24"/>
        </w:rPr>
        <w:t>In HUM, business activism needs to be about sustainability leadership, employee well-being and responsible technology adoption. HR should be the person to help promote these priorities within the organisation.</w:t>
      </w:r>
    </w:p>
    <w:p w14:paraId="41487141">
      <w:pPr>
        <w:jc w:val="both"/>
        <w:rPr>
          <w:rFonts w:ascii="Arial" w:hAnsi="Arial" w:cs="Arial"/>
          <w:sz w:val="24"/>
          <w:szCs w:val="24"/>
        </w:rPr>
      </w:pPr>
    </w:p>
    <w:p w14:paraId="1F1D5F95">
      <w:pPr>
        <w:jc w:val="both"/>
        <w:rPr>
          <w:rFonts w:ascii="Arial" w:hAnsi="Arial" w:cs="Arial"/>
          <w:sz w:val="24"/>
          <w:szCs w:val="24"/>
        </w:rPr>
      </w:pPr>
      <w:r>
        <w:rPr>
          <w:rFonts w:ascii="Arial" w:hAnsi="Arial" w:cs="Arial"/>
          <w:sz w:val="24"/>
          <w:szCs w:val="24"/>
        </w:rPr>
        <w:t>The World Economic Forum (2025) shows that a true sense of social purpose can increase employee commitment and organisational legitimacy. Thus, HR has to be a strategic activist in the service of HUM's sustainability mission and strategy.</w:t>
      </w:r>
      <w:r>
        <w:rPr>
          <w:rFonts w:ascii="Arial" w:hAnsi="Arial" w:cs="Arial"/>
          <w:sz w:val="24"/>
          <w:szCs w:val="24"/>
        </w:rPr>
        <w:br w:type="textWrapping"/>
      </w:r>
    </w:p>
    <w:p w14:paraId="54B8F3AA">
      <w:pPr>
        <w:jc w:val="both"/>
        <w:rPr>
          <w:rFonts w:ascii="Arial" w:hAnsi="Arial" w:cs="Arial"/>
          <w:sz w:val="24"/>
          <w:szCs w:val="24"/>
        </w:rPr>
      </w:pPr>
    </w:p>
    <w:p w14:paraId="5BB3CE7C">
      <w:pPr>
        <w:jc w:val="both"/>
        <w:rPr>
          <w:rFonts w:ascii="Arial" w:hAnsi="Arial" w:cs="Arial"/>
          <w:sz w:val="24"/>
          <w:szCs w:val="24"/>
        </w:rPr>
      </w:pPr>
    </w:p>
    <w:p w14:paraId="3D41EBE7">
      <w:pPr>
        <w:jc w:val="both"/>
        <w:rPr>
          <w:rFonts w:ascii="Arial" w:hAnsi="Arial" w:cs="Arial"/>
          <w:b/>
          <w:bCs/>
          <w:sz w:val="24"/>
          <w:szCs w:val="24"/>
        </w:rPr>
      </w:pPr>
      <w:r>
        <w:rPr>
          <w:rFonts w:ascii="Arial" w:hAnsi="Arial" w:cs="Arial"/>
          <w:b/>
          <w:bCs/>
          <w:sz w:val="24"/>
          <w:szCs w:val="24"/>
          <w:u w:val="single"/>
        </w:rPr>
        <w:t>Task B: JOB DESIGN:</w:t>
      </w:r>
    </w:p>
    <w:p w14:paraId="01DD9977">
      <w:pPr>
        <w:jc w:val="both"/>
        <w:rPr>
          <w:rFonts w:hint="default" w:ascii="Arial" w:hAnsi="Arial" w:cs="Arial"/>
          <w:sz w:val="24"/>
          <w:szCs w:val="24"/>
          <w:lang w:val="en-US"/>
        </w:rPr>
      </w:pPr>
      <w:r>
        <w:rPr>
          <w:rFonts w:ascii="Arial" w:hAnsi="Arial" w:cs="Arial"/>
          <w:sz w:val="24"/>
          <w:szCs w:val="24"/>
        </w:rPr>
        <w:t>Helios Urban Mobility (HUM) needs an Agile Skills-Based Job Architecture (ASJA) implemented to address low employee engagement and high employee turnover among their high potential graduates. It combines the Job Characteristics Model (JCM), Job Crafting Theory, and a Skills Based Architecture with an Internal Talent Marketplace. The goal is to redefine work in a manner that increases its intrinsic motivation, boosts the innovation capacity, and enhances organisational agility within the fast-changing landscape of mobility, shaped by the AI revolution</w:t>
      </w:r>
      <w:r>
        <w:rPr>
          <w:rFonts w:hint="default" w:ascii="Arial" w:hAnsi="Arial" w:cs="Arial"/>
          <w:sz w:val="24"/>
          <w:szCs w:val="24"/>
          <w:lang w:val="en-US"/>
        </w:rPr>
        <w:t>.</w:t>
      </w:r>
    </w:p>
    <w:p w14:paraId="2779B588">
      <w:pPr>
        <w:jc w:val="both"/>
        <w:rPr>
          <w:rFonts w:hint="default" w:ascii="Arial" w:hAnsi="Arial" w:cs="Arial"/>
          <w:sz w:val="24"/>
          <w:szCs w:val="24"/>
          <w:lang w:val="en-US"/>
        </w:rPr>
      </w:pPr>
    </w:p>
    <w:p w14:paraId="3215EED7">
      <w:pPr>
        <w:jc w:val="both"/>
        <w:rPr>
          <w:rFonts w:ascii="Arial" w:hAnsi="Arial" w:cs="Arial"/>
          <w:b/>
          <w:bCs/>
          <w:sz w:val="24"/>
          <w:szCs w:val="24"/>
        </w:rPr>
      </w:pPr>
      <w:r>
        <w:rPr>
          <w:rFonts w:ascii="Arial" w:hAnsi="Arial" w:cs="Arial"/>
          <w:b/>
          <w:bCs/>
          <w:sz w:val="24"/>
          <w:szCs w:val="24"/>
        </w:rPr>
        <w:t>Innovative Job Design Strategy</w:t>
      </w:r>
    </w:p>
    <w:p w14:paraId="0E788D1E">
      <w:pPr>
        <w:jc w:val="both"/>
        <w:rPr>
          <w:rFonts w:ascii="Arial" w:hAnsi="Arial" w:cs="Arial"/>
          <w:sz w:val="24"/>
          <w:szCs w:val="24"/>
        </w:rPr>
      </w:pPr>
      <w:r>
        <w:rPr>
          <w:rFonts w:ascii="Arial" w:hAnsi="Arial" w:cs="Arial"/>
          <w:sz w:val="24"/>
          <w:szCs w:val="24"/>
        </w:rPr>
        <w:t>Job Characteristics Model (JCM)</w:t>
      </w:r>
    </w:p>
    <w:p w14:paraId="2D1008A4">
      <w:pPr>
        <w:jc w:val="both"/>
        <w:rPr>
          <w:rFonts w:ascii="Arial" w:hAnsi="Arial" w:cs="Arial"/>
          <w:sz w:val="24"/>
          <w:szCs w:val="24"/>
        </w:rPr>
      </w:pPr>
      <w:r>
        <w:rPr>
          <w:rFonts w:ascii="Arial" w:hAnsi="Arial" w:cs="Arial"/>
          <w:sz w:val="24"/>
          <w:szCs w:val="24"/>
        </w:rPr>
        <w:t>The Job Characteristics Model indicates that jobs which offer the following: skill variety, task identity, task significance, autonomy (freedom to perform job), and feedback will lead to an increase in motivation. The company's employees have the opportunity to collaborate on a variety of AI mobility solutions, smart city analytics, and sustainability initiatives at HUM, leading to a higher degree of skill diversity and growth. Employee involvement across the life cycles of projects increases the level of task identity and ownership. Its commitment to resolving problems in the field of sustainable transport services adds to task significance as it develops relevant social value. Other measures to enhance autonomy include giving students choice over project selection and flexible approaches to doing work, and allowing them to receive feedback via AI dashboards and coaching systems throughout the process. But, the conventional job design might not be as efficient in environments characterized by high change and flexibility demands, such as digital food delivery (Holman et al., 2024).</w:t>
      </w:r>
    </w:p>
    <w:p w14:paraId="0F5D7E57">
      <w:pPr>
        <w:jc w:val="both"/>
        <w:rPr>
          <w:rFonts w:ascii="Arial" w:hAnsi="Arial" w:cs="Arial"/>
          <w:b/>
          <w:bCs/>
          <w:sz w:val="24"/>
          <w:szCs w:val="24"/>
        </w:rPr>
      </w:pPr>
      <w:r>
        <w:rPr>
          <w:rFonts w:ascii="Arial" w:hAnsi="Arial" w:cs="Arial"/>
          <w:b/>
          <w:bCs/>
          <w:sz w:val="24"/>
          <w:szCs w:val="24"/>
        </w:rPr>
        <w:t>Job Crafting Theory</w:t>
      </w:r>
    </w:p>
    <w:p w14:paraId="10C49152">
      <w:pPr>
        <w:jc w:val="both"/>
        <w:rPr>
          <w:rFonts w:ascii="Arial" w:hAnsi="Arial" w:cs="Arial"/>
          <w:sz w:val="24"/>
          <w:szCs w:val="24"/>
        </w:rPr>
      </w:pPr>
      <w:r>
        <w:rPr>
          <w:rFonts w:ascii="Arial" w:hAnsi="Arial" w:cs="Arial"/>
          <w:sz w:val="24"/>
          <w:szCs w:val="24"/>
        </w:rPr>
        <w:t>Job Crafting Theory focuses on the importance of employee shaping of their job to enhance person-job fit. Outside of their current job, members of the faculty at HUM have the opportunity to do projects that involve others from various engineering, AI, sustainability, and business backgrounds. Enables knowledge sharing, engagement and learning. Job crafting positively impacts wellbeing and job performance (Liu et al., 2022), but it could result in job ambiguity and coordination issues if employees make it too flexible.</w:t>
      </w:r>
    </w:p>
    <w:p w14:paraId="0DBD16EE">
      <w:pPr>
        <w:jc w:val="both"/>
        <w:rPr>
          <w:rFonts w:ascii="Arial" w:hAnsi="Arial" w:cs="Arial"/>
          <w:sz w:val="24"/>
          <w:szCs w:val="24"/>
        </w:rPr>
      </w:pPr>
    </w:p>
    <w:p w14:paraId="6007B5BA">
      <w:pPr>
        <w:jc w:val="both"/>
        <w:rPr>
          <w:rFonts w:ascii="Arial" w:hAnsi="Arial" w:cs="Arial"/>
          <w:sz w:val="24"/>
          <w:szCs w:val="24"/>
        </w:rPr>
      </w:pPr>
      <w:r>
        <w:rPr>
          <w:rFonts w:ascii="Arial" w:hAnsi="Arial" w:cs="Arial"/>
          <w:sz w:val="24"/>
          <w:szCs w:val="24"/>
        </w:rPr>
        <w:t>SAIT's skills-based architecture and internal talent marketplace.</w:t>
      </w:r>
    </w:p>
    <w:p w14:paraId="375A56DB">
      <w:pPr>
        <w:jc w:val="both"/>
        <w:rPr>
          <w:rFonts w:ascii="Arial" w:hAnsi="Arial" w:cs="Arial"/>
          <w:sz w:val="24"/>
          <w:szCs w:val="24"/>
        </w:rPr>
      </w:pPr>
      <w:r>
        <w:rPr>
          <w:rFonts w:ascii="Arial" w:hAnsi="Arial" w:cs="Arial"/>
          <w:sz w:val="24"/>
          <w:szCs w:val="24"/>
        </w:rPr>
        <w:t>The skills-based architecture is based on employee skills, not on job descriptions. An internal talent marketplace enables the employees to build their skill profiles and gives the chance to automatically match them with projects they're qualified for and want to pursue. For instance, regardless of their job description, the machine learning expert can be part of mobility optimisation projects. This will enhance agility and growth of the workforce, career progression and talent utilisation. Implementing this, however, needs more than just digital infrastructure and governance: it must be done in an unbiased project selection process.</w:t>
      </w:r>
    </w:p>
    <w:p w14:paraId="253C19E4">
      <w:pPr>
        <w:jc w:val="both"/>
        <w:rPr>
          <w:rFonts w:ascii="Arial" w:hAnsi="Arial" w:cs="Arial"/>
          <w:sz w:val="24"/>
          <w:szCs w:val="24"/>
        </w:rPr>
      </w:pPr>
    </w:p>
    <w:p w14:paraId="601E986B">
      <w:pPr>
        <w:jc w:val="both"/>
        <w:rPr>
          <w:rFonts w:ascii="Arial" w:hAnsi="Arial" w:cs="Arial"/>
          <w:b/>
          <w:bCs/>
          <w:sz w:val="24"/>
          <w:szCs w:val="24"/>
        </w:rPr>
      </w:pPr>
      <w:r>
        <w:rPr>
          <w:rFonts w:ascii="Arial" w:hAnsi="Arial" w:cs="Arial"/>
          <w:b/>
          <w:bCs/>
          <w:sz w:val="24"/>
          <w:szCs w:val="24"/>
        </w:rPr>
        <w:t>Effect on Intrinsic Motivation and Innovation</w:t>
      </w:r>
    </w:p>
    <w:p w14:paraId="10CA268D">
      <w:pPr>
        <w:jc w:val="both"/>
        <w:rPr>
          <w:rFonts w:ascii="Arial" w:hAnsi="Arial" w:cs="Arial"/>
          <w:sz w:val="24"/>
          <w:szCs w:val="24"/>
          <w:u w:val="single"/>
        </w:rPr>
      </w:pPr>
      <w:r>
        <w:rPr>
          <w:rFonts w:ascii="Arial" w:hAnsi="Arial" w:cs="Arial"/>
          <w:sz w:val="24"/>
          <w:szCs w:val="24"/>
          <w:u w:val="single"/>
        </w:rPr>
        <w:t>Self-Determination Theory (SDT)</w:t>
      </w:r>
    </w:p>
    <w:p w14:paraId="3635B55B">
      <w:pPr>
        <w:jc w:val="both"/>
        <w:rPr>
          <w:rFonts w:ascii="Arial" w:hAnsi="Arial" w:cs="Arial"/>
          <w:sz w:val="24"/>
          <w:szCs w:val="24"/>
        </w:rPr>
      </w:pPr>
      <w:r>
        <w:rPr>
          <w:rFonts w:ascii="Arial" w:hAnsi="Arial" w:cs="Arial"/>
          <w:sz w:val="24"/>
          <w:szCs w:val="24"/>
        </w:rPr>
        <w:t>The ASJA framework is based on the three psychological needs presented in the S.D.T. theory including:</w:t>
      </w:r>
    </w:p>
    <w:p w14:paraId="457B3E7F">
      <w:pPr>
        <w:jc w:val="both"/>
        <w:rPr>
          <w:rFonts w:ascii="Arial" w:hAnsi="Arial" w:cs="Arial"/>
          <w:b/>
          <w:bCs/>
          <w:sz w:val="24"/>
          <w:szCs w:val="24"/>
        </w:rPr>
      </w:pPr>
      <w:r>
        <w:rPr>
          <w:rFonts w:ascii="Arial" w:hAnsi="Arial" w:cs="Arial"/>
          <w:b/>
          <w:bCs/>
          <w:sz w:val="24"/>
          <w:szCs w:val="24"/>
        </w:rPr>
        <w:t>Autonomy</w:t>
      </w:r>
    </w:p>
    <w:p w14:paraId="24197132">
      <w:pPr>
        <w:jc w:val="both"/>
        <w:rPr>
          <w:rFonts w:ascii="Arial" w:hAnsi="Arial" w:cs="Arial"/>
          <w:sz w:val="24"/>
          <w:szCs w:val="24"/>
        </w:rPr>
      </w:pPr>
      <w:r>
        <w:rPr>
          <w:rFonts w:ascii="Arial" w:hAnsi="Arial" w:cs="Arial"/>
          <w:sz w:val="24"/>
          <w:szCs w:val="24"/>
        </w:rPr>
        <w:t>•Flexible work arrangements.</w:t>
      </w:r>
    </w:p>
    <w:p w14:paraId="7F184395">
      <w:pPr>
        <w:jc w:val="both"/>
        <w:rPr>
          <w:rFonts w:ascii="Arial" w:hAnsi="Arial" w:cs="Arial"/>
          <w:sz w:val="24"/>
          <w:szCs w:val="24"/>
        </w:rPr>
      </w:pPr>
      <w:r>
        <w:rPr>
          <w:rFonts w:ascii="Arial" w:hAnsi="Arial" w:cs="Arial"/>
          <w:sz w:val="24"/>
          <w:szCs w:val="24"/>
        </w:rPr>
        <w:t>The freedom for employees to make their own project selections.</w:t>
      </w:r>
    </w:p>
    <w:p w14:paraId="60E5A2B6">
      <w:pPr>
        <w:jc w:val="both"/>
        <w:rPr>
          <w:rFonts w:ascii="Arial" w:hAnsi="Arial" w:cs="Arial"/>
          <w:sz w:val="24"/>
          <w:szCs w:val="24"/>
        </w:rPr>
      </w:pPr>
      <w:r>
        <w:rPr>
          <w:rFonts w:ascii="Arial" w:hAnsi="Arial" w:cs="Arial"/>
          <w:sz w:val="24"/>
          <w:szCs w:val="24"/>
        </w:rPr>
        <w:t>More autonomy of work activities and career progression.</w:t>
      </w:r>
    </w:p>
    <w:p w14:paraId="5DC0B874">
      <w:pPr>
        <w:jc w:val="both"/>
        <w:rPr>
          <w:rFonts w:ascii="Arial" w:hAnsi="Arial" w:cs="Arial"/>
          <w:sz w:val="24"/>
          <w:szCs w:val="24"/>
        </w:rPr>
      </w:pPr>
    </w:p>
    <w:p w14:paraId="64A01C6C">
      <w:pPr>
        <w:jc w:val="both"/>
        <w:rPr>
          <w:rFonts w:ascii="Arial" w:hAnsi="Arial" w:cs="Arial"/>
          <w:b/>
          <w:bCs/>
          <w:sz w:val="24"/>
          <w:szCs w:val="24"/>
        </w:rPr>
      </w:pPr>
      <w:r>
        <w:rPr>
          <w:rFonts w:ascii="Arial" w:hAnsi="Arial" w:cs="Arial"/>
          <w:b/>
          <w:bCs/>
          <w:sz w:val="24"/>
          <w:szCs w:val="24"/>
        </w:rPr>
        <w:t>Competence</w:t>
      </w:r>
    </w:p>
    <w:p w14:paraId="6D6F422F">
      <w:pPr>
        <w:jc w:val="both"/>
        <w:rPr>
          <w:rFonts w:ascii="Arial" w:hAnsi="Arial" w:cs="Arial"/>
          <w:sz w:val="24"/>
          <w:szCs w:val="24"/>
        </w:rPr>
      </w:pPr>
      <w:r>
        <w:rPr>
          <w:rFonts w:ascii="Arial" w:hAnsi="Arial" w:cs="Arial"/>
          <w:sz w:val="24"/>
          <w:szCs w:val="24"/>
        </w:rPr>
        <w:t>Opportunity to work on a variety of projects and tasks.</w:t>
      </w:r>
    </w:p>
    <w:p w14:paraId="604AF4F1">
      <w:pPr>
        <w:jc w:val="both"/>
        <w:rPr>
          <w:rFonts w:ascii="Arial" w:hAnsi="Arial" w:cs="Arial"/>
          <w:sz w:val="24"/>
          <w:szCs w:val="24"/>
        </w:rPr>
      </w:pPr>
      <w:r>
        <w:rPr>
          <w:rFonts w:ascii="Arial" w:hAnsi="Arial" w:cs="Arial"/>
          <w:sz w:val="24"/>
          <w:szCs w:val="24"/>
        </w:rPr>
        <w:t>Opportunities for continuous learning and development.</w:t>
      </w:r>
    </w:p>
    <w:p w14:paraId="36A3A2BC">
      <w:pPr>
        <w:jc w:val="both"/>
        <w:rPr>
          <w:rFonts w:ascii="Arial" w:hAnsi="Arial" w:cs="Arial"/>
          <w:sz w:val="24"/>
          <w:szCs w:val="24"/>
        </w:rPr>
      </w:pPr>
      <w:r>
        <w:rPr>
          <w:rFonts w:ascii="Arial" w:hAnsi="Arial" w:cs="Arial"/>
          <w:sz w:val="24"/>
          <w:szCs w:val="24"/>
        </w:rPr>
        <w:t>•Improvement of skills in new technologies and innovation.</w:t>
      </w:r>
    </w:p>
    <w:p w14:paraId="63C1ED85">
      <w:pPr>
        <w:jc w:val="both"/>
        <w:rPr>
          <w:rFonts w:ascii="Arial" w:hAnsi="Arial" w:cs="Arial"/>
          <w:sz w:val="24"/>
          <w:szCs w:val="24"/>
        </w:rPr>
      </w:pPr>
    </w:p>
    <w:p w14:paraId="3EA6D054">
      <w:pPr>
        <w:jc w:val="both"/>
        <w:rPr>
          <w:rFonts w:ascii="Arial" w:hAnsi="Arial" w:cs="Arial"/>
          <w:b/>
          <w:bCs/>
          <w:sz w:val="24"/>
          <w:szCs w:val="24"/>
        </w:rPr>
      </w:pPr>
      <w:r>
        <w:rPr>
          <w:rFonts w:ascii="Arial" w:hAnsi="Arial" w:cs="Arial"/>
          <w:b/>
          <w:bCs/>
          <w:sz w:val="24"/>
          <w:szCs w:val="24"/>
        </w:rPr>
        <w:t>Relatedness</w:t>
      </w:r>
    </w:p>
    <w:p w14:paraId="2092EBAD">
      <w:pPr>
        <w:jc w:val="both"/>
        <w:rPr>
          <w:rFonts w:ascii="Arial" w:hAnsi="Arial" w:cs="Arial"/>
          <w:sz w:val="24"/>
          <w:szCs w:val="24"/>
        </w:rPr>
      </w:pPr>
      <w:r>
        <w:rPr>
          <w:rFonts w:ascii="Arial" w:hAnsi="Arial" w:cs="Arial"/>
          <w:sz w:val="24"/>
          <w:szCs w:val="24"/>
        </w:rPr>
        <w:t>Inter team and inter discipline working.</w:t>
      </w:r>
    </w:p>
    <w:p w14:paraId="3F68186D">
      <w:pPr>
        <w:jc w:val="both"/>
        <w:rPr>
          <w:rFonts w:ascii="Arial" w:hAnsi="Arial" w:cs="Arial"/>
          <w:sz w:val="24"/>
          <w:szCs w:val="24"/>
        </w:rPr>
      </w:pPr>
      <w:r>
        <w:rPr>
          <w:rFonts w:ascii="Arial" w:hAnsi="Arial" w:cs="Arial"/>
          <w:sz w:val="24"/>
          <w:szCs w:val="24"/>
        </w:rPr>
        <w:t>More knowledge sharing and collaboration.</w:t>
      </w:r>
    </w:p>
    <w:p w14:paraId="177DD981">
      <w:pPr>
        <w:jc w:val="both"/>
        <w:rPr>
          <w:rFonts w:ascii="Arial" w:hAnsi="Arial" w:cs="Arial"/>
          <w:sz w:val="24"/>
          <w:szCs w:val="24"/>
        </w:rPr>
      </w:pPr>
      <w:r>
        <w:rPr>
          <w:rFonts w:ascii="Arial" w:hAnsi="Arial" w:cs="Arial"/>
          <w:sz w:val="24"/>
          <w:szCs w:val="24"/>
        </w:rPr>
        <w:t>Improved working relationships in the organisation.</w:t>
      </w:r>
    </w:p>
    <w:p w14:paraId="0D591200">
      <w:pPr>
        <w:jc w:val="both"/>
        <w:rPr>
          <w:rFonts w:ascii="Arial" w:hAnsi="Arial" w:cs="Arial"/>
          <w:sz w:val="24"/>
          <w:szCs w:val="24"/>
        </w:rPr>
      </w:pPr>
    </w:p>
    <w:p w14:paraId="520DDD6A">
      <w:pPr>
        <w:jc w:val="both"/>
        <w:rPr>
          <w:rFonts w:ascii="Arial" w:hAnsi="Arial" w:cs="Arial"/>
          <w:b/>
          <w:bCs/>
          <w:sz w:val="24"/>
          <w:szCs w:val="24"/>
        </w:rPr>
      </w:pPr>
      <w:r>
        <w:rPr>
          <w:rFonts w:ascii="Arial" w:hAnsi="Arial" w:cs="Arial"/>
          <w:b/>
          <w:bCs/>
          <w:sz w:val="24"/>
          <w:szCs w:val="24"/>
        </w:rPr>
        <w:t>Benefits for Innovation</w:t>
      </w:r>
    </w:p>
    <w:p w14:paraId="78F40425">
      <w:pPr>
        <w:jc w:val="both"/>
        <w:rPr>
          <w:rFonts w:ascii="Arial" w:hAnsi="Arial" w:cs="Arial"/>
          <w:sz w:val="24"/>
          <w:szCs w:val="24"/>
        </w:rPr>
      </w:pPr>
      <w:r>
        <w:rPr>
          <w:rFonts w:ascii="Arial" w:hAnsi="Arial" w:cs="Arial"/>
          <w:sz w:val="24"/>
          <w:szCs w:val="24"/>
        </w:rPr>
        <w:t>Promotes the exchange of information between projects.</w:t>
      </w:r>
    </w:p>
    <w:p w14:paraId="444FFB13">
      <w:pPr>
        <w:jc w:val="both"/>
        <w:rPr>
          <w:rFonts w:ascii="Arial" w:hAnsi="Arial" w:cs="Arial"/>
          <w:sz w:val="24"/>
          <w:szCs w:val="24"/>
        </w:rPr>
      </w:pPr>
      <w:r>
        <w:rPr>
          <w:rFonts w:ascii="Arial" w:hAnsi="Arial" w:cs="Arial"/>
          <w:sz w:val="24"/>
          <w:szCs w:val="24"/>
        </w:rPr>
        <w:t>Promotes creativity through interfunctional collaboration.</w:t>
      </w:r>
    </w:p>
    <w:p w14:paraId="4B5FD6A7">
      <w:pPr>
        <w:jc w:val="both"/>
        <w:rPr>
          <w:rFonts w:ascii="Arial" w:hAnsi="Arial" w:cs="Arial"/>
          <w:sz w:val="24"/>
          <w:szCs w:val="24"/>
        </w:rPr>
      </w:pPr>
      <w:r>
        <w:rPr>
          <w:rFonts w:ascii="Arial" w:hAnsi="Arial" w:cs="Arial"/>
          <w:sz w:val="24"/>
          <w:szCs w:val="24"/>
        </w:rPr>
        <w:t>Makes proactive problem-solving and experimentation encouraged.</w:t>
      </w:r>
    </w:p>
    <w:p w14:paraId="36BA9AD6">
      <w:pPr>
        <w:jc w:val="both"/>
        <w:rPr>
          <w:rFonts w:ascii="Arial" w:hAnsi="Arial" w:cs="Arial"/>
          <w:sz w:val="24"/>
          <w:szCs w:val="24"/>
        </w:rPr>
      </w:pPr>
      <w:r>
        <w:rPr>
          <w:rFonts w:ascii="Arial" w:hAnsi="Arial" w:cs="Arial"/>
          <w:sz w:val="24"/>
          <w:szCs w:val="24"/>
        </w:rPr>
        <w:t>•Allows for quick assignment of skills to top priority projects.</w:t>
      </w:r>
    </w:p>
    <w:p w14:paraId="2FD2D93D">
      <w:pPr>
        <w:jc w:val="both"/>
        <w:rPr>
          <w:rFonts w:ascii="Arial" w:hAnsi="Arial" w:cs="Arial"/>
          <w:sz w:val="24"/>
          <w:szCs w:val="24"/>
        </w:rPr>
      </w:pPr>
      <w:r>
        <w:rPr>
          <w:rFonts w:ascii="Arial" w:hAnsi="Arial" w:cs="Arial"/>
          <w:sz w:val="24"/>
          <w:szCs w:val="24"/>
        </w:rPr>
        <w:t>Improves the organisation's adaptability and learning process.</w:t>
      </w:r>
    </w:p>
    <w:p w14:paraId="46E4B64D">
      <w:pPr>
        <w:jc w:val="both"/>
        <w:rPr>
          <w:rFonts w:ascii="Arial" w:hAnsi="Arial" w:cs="Arial"/>
          <w:sz w:val="24"/>
          <w:szCs w:val="24"/>
        </w:rPr>
      </w:pPr>
      <w:r>
        <w:rPr>
          <w:rFonts w:ascii="Arial" w:hAnsi="Arial" w:cs="Arial"/>
          <w:sz w:val="24"/>
          <w:szCs w:val="24"/>
        </w:rPr>
        <w:t>•Enhances their ability to respond to technological innovation and market requirements (Holman et al., 2024).</w:t>
      </w:r>
    </w:p>
    <w:p w14:paraId="0CF62B4E">
      <w:pPr>
        <w:jc w:val="both"/>
        <w:rPr>
          <w:rFonts w:ascii="Arial" w:hAnsi="Arial" w:cs="Arial"/>
          <w:sz w:val="24"/>
          <w:szCs w:val="24"/>
        </w:rPr>
      </w:pPr>
    </w:p>
    <w:p w14:paraId="4F328A34">
      <w:pPr>
        <w:jc w:val="both"/>
        <w:rPr>
          <w:rFonts w:ascii="Arial" w:hAnsi="Arial" w:cs="Arial"/>
          <w:b/>
          <w:bCs/>
          <w:sz w:val="24"/>
          <w:szCs w:val="24"/>
        </w:rPr>
      </w:pPr>
      <w:r>
        <w:rPr>
          <w:rFonts w:ascii="Arial" w:hAnsi="Arial" w:cs="Arial"/>
          <w:b/>
          <w:bCs/>
          <w:sz w:val="24"/>
          <w:szCs w:val="24"/>
        </w:rPr>
        <w:t>Challenges</w:t>
      </w:r>
    </w:p>
    <w:p w14:paraId="60ECCBC0">
      <w:pPr>
        <w:jc w:val="both"/>
        <w:rPr>
          <w:rFonts w:ascii="Arial" w:hAnsi="Arial" w:cs="Arial"/>
          <w:sz w:val="24"/>
          <w:szCs w:val="24"/>
        </w:rPr>
      </w:pPr>
      <w:r>
        <w:rPr>
          <w:rFonts w:ascii="Arial" w:hAnsi="Arial" w:cs="Arial"/>
          <w:sz w:val="24"/>
          <w:szCs w:val="24"/>
        </w:rPr>
        <w:t>•May lead to role ambiguity as flexibility increases.</w:t>
      </w:r>
    </w:p>
    <w:p w14:paraId="77515CF0">
      <w:pPr>
        <w:jc w:val="both"/>
        <w:rPr>
          <w:rFonts w:ascii="Arial" w:hAnsi="Arial" w:cs="Arial"/>
          <w:sz w:val="24"/>
          <w:szCs w:val="24"/>
        </w:rPr>
      </w:pPr>
      <w:r>
        <w:rPr>
          <w:rFonts w:ascii="Arial" w:hAnsi="Arial" w:cs="Arial"/>
          <w:sz w:val="24"/>
          <w:szCs w:val="24"/>
        </w:rPr>
        <w:t>There is a high cost associated with implementing AI-driven talent management systems.</w:t>
      </w:r>
    </w:p>
    <w:p w14:paraId="07675B60">
      <w:pPr>
        <w:jc w:val="both"/>
        <w:rPr>
          <w:rFonts w:ascii="Arial" w:hAnsi="Arial" w:cs="Arial"/>
          <w:sz w:val="24"/>
          <w:szCs w:val="24"/>
        </w:rPr>
      </w:pPr>
      <w:r>
        <w:rPr>
          <w:rFonts w:ascii="Arial" w:hAnsi="Arial" w:cs="Arial"/>
          <w:sz w:val="24"/>
          <w:szCs w:val="24"/>
        </w:rPr>
        <w:t>– Managerial resistance to the traditional hierarchical system.</w:t>
      </w:r>
    </w:p>
    <w:p w14:paraId="232932D7">
      <w:pPr>
        <w:jc w:val="both"/>
        <w:rPr>
          <w:rFonts w:ascii="Arial" w:hAnsi="Arial" w:cs="Arial"/>
          <w:sz w:val="24"/>
          <w:szCs w:val="24"/>
        </w:rPr>
      </w:pPr>
      <w:r>
        <w:rPr>
          <w:rFonts w:ascii="Arial" w:hAnsi="Arial" w:cs="Arial"/>
          <w:sz w:val="24"/>
          <w:szCs w:val="24"/>
        </w:rPr>
        <w:t>Risk of lack of coordination between different projects.</w:t>
      </w:r>
    </w:p>
    <w:p w14:paraId="6937AD15">
      <w:pPr>
        <w:jc w:val="both"/>
        <w:rPr>
          <w:rFonts w:ascii="Arial" w:hAnsi="Arial" w:cs="Arial"/>
          <w:sz w:val="24"/>
          <w:szCs w:val="24"/>
        </w:rPr>
      </w:pPr>
    </w:p>
    <w:p w14:paraId="7E902816">
      <w:pPr>
        <w:jc w:val="both"/>
        <w:rPr>
          <w:rFonts w:ascii="Arial" w:hAnsi="Arial" w:cs="Arial"/>
          <w:b/>
          <w:bCs/>
          <w:sz w:val="24"/>
          <w:szCs w:val="24"/>
        </w:rPr>
      </w:pPr>
      <w:r>
        <w:rPr>
          <w:rFonts w:ascii="Arial" w:hAnsi="Arial" w:cs="Arial"/>
          <w:b/>
          <w:bCs/>
          <w:sz w:val="24"/>
          <w:szCs w:val="24"/>
        </w:rPr>
        <w:t>Recommendations</w:t>
      </w:r>
    </w:p>
    <w:p w14:paraId="7B5EC6DB">
      <w:pPr>
        <w:jc w:val="both"/>
        <w:rPr>
          <w:rFonts w:ascii="Arial" w:hAnsi="Arial" w:cs="Arial"/>
          <w:sz w:val="24"/>
          <w:szCs w:val="24"/>
        </w:rPr>
      </w:pPr>
      <w:r>
        <w:rPr>
          <w:rFonts w:ascii="Arial" w:hAnsi="Arial" w:cs="Arial"/>
          <w:sz w:val="24"/>
          <w:szCs w:val="24"/>
        </w:rPr>
        <w:t>•Provide leadership development and management training.</w:t>
      </w:r>
    </w:p>
    <w:p w14:paraId="7DFFAAED">
      <w:pPr>
        <w:jc w:val="both"/>
        <w:rPr>
          <w:rFonts w:ascii="Arial" w:hAnsi="Arial" w:cs="Arial"/>
          <w:sz w:val="24"/>
          <w:szCs w:val="24"/>
        </w:rPr>
      </w:pPr>
      <w:r>
        <w:rPr>
          <w:rFonts w:ascii="Arial" w:hAnsi="Arial" w:cs="Arial"/>
          <w:sz w:val="24"/>
          <w:szCs w:val="24"/>
        </w:rPr>
        <w:t>Set up governance and accountability structures.</w:t>
      </w:r>
    </w:p>
    <w:p w14:paraId="544D518A">
      <w:pPr>
        <w:jc w:val="both"/>
        <w:rPr>
          <w:rFonts w:ascii="Arial" w:hAnsi="Arial" w:cs="Arial"/>
          <w:sz w:val="24"/>
          <w:szCs w:val="24"/>
        </w:rPr>
      </w:pPr>
      <w:r>
        <w:rPr>
          <w:rFonts w:ascii="Arial" w:hAnsi="Arial" w:cs="Arial"/>
          <w:sz w:val="24"/>
          <w:szCs w:val="24"/>
        </w:rPr>
        <w:t>Make the project allocation and decision-making process transparent.</w:t>
      </w:r>
    </w:p>
    <w:p w14:paraId="5C8D7541">
      <w:pPr>
        <w:jc w:val="both"/>
        <w:rPr>
          <w:rFonts w:ascii="Arial" w:hAnsi="Arial" w:cs="Arial"/>
          <w:sz w:val="24"/>
          <w:szCs w:val="24"/>
        </w:rPr>
      </w:pPr>
      <w:r>
        <w:rPr>
          <w:rFonts w:ascii="Arial" w:hAnsi="Arial" w:cs="Arial"/>
          <w:sz w:val="24"/>
          <w:szCs w:val="24"/>
        </w:rPr>
        <w:t>Clearly define roles and responsibilities to minimize confusion.</w:t>
      </w:r>
    </w:p>
    <w:p w14:paraId="1CBE0A67">
      <w:pPr>
        <w:jc w:val="both"/>
        <w:rPr>
          <w:rFonts w:ascii="Arial" w:hAnsi="Arial" w:cs="Arial"/>
          <w:sz w:val="24"/>
          <w:szCs w:val="24"/>
        </w:rPr>
      </w:pPr>
    </w:p>
    <w:p w14:paraId="1999F046">
      <w:pPr>
        <w:jc w:val="both"/>
        <w:rPr>
          <w:rFonts w:ascii="Arial" w:hAnsi="Arial" w:cs="Arial"/>
          <w:b/>
          <w:bCs/>
          <w:sz w:val="24"/>
          <w:szCs w:val="24"/>
        </w:rPr>
      </w:pPr>
      <w:r>
        <w:rPr>
          <w:rFonts w:ascii="Arial" w:hAnsi="Arial" w:cs="Arial"/>
          <w:b/>
          <w:bCs/>
          <w:sz w:val="24"/>
          <w:szCs w:val="24"/>
        </w:rPr>
        <w:t>Task C: Reflective Report</w:t>
      </w:r>
    </w:p>
    <w:p w14:paraId="41A36C39">
      <w:pPr>
        <w:jc w:val="both"/>
      </w:pPr>
    </w:p>
    <w:p w14:paraId="357B8DED">
      <w:pPr>
        <w:jc w:val="both"/>
        <w:rPr>
          <w:rFonts w:ascii="Arial" w:hAnsi="Arial" w:cs="Arial"/>
          <w:sz w:val="24"/>
          <w:szCs w:val="24"/>
        </w:rPr>
      </w:pPr>
      <w:r>
        <w:rPr>
          <w:rFonts w:ascii="Arial" w:hAnsi="Arial" w:cs="Arial"/>
          <w:sz w:val="24"/>
          <w:szCs w:val="24"/>
        </w:rPr>
        <w:t>Talent management, engagement, recruitment, and workforce planning are some of the areas in which Human Resource Management (HRM) is being revolutionized by Artificial Intelligence (AI). In this module, I have gained an understanding that AI can leverage vast amounts of workforce data effectively and facilitate data informed decision-making. The World Economic Forum (2025) reported that AI-powered technologies are transforming the landscape of work and workforce practices across the world. But AI should be used as a decision making aid and not as a replacement to human judgment.</w:t>
      </w:r>
    </w:p>
    <w:p w14:paraId="60009CB4">
      <w:pPr>
        <w:jc w:val="both"/>
        <w:rPr>
          <w:rFonts w:ascii="Arial" w:hAnsi="Arial" w:cs="Arial"/>
          <w:sz w:val="24"/>
          <w:szCs w:val="24"/>
        </w:rPr>
      </w:pPr>
    </w:p>
    <w:p w14:paraId="12889CE8">
      <w:pPr>
        <w:jc w:val="both"/>
        <w:rPr>
          <w:rFonts w:ascii="Arial" w:hAnsi="Arial" w:cs="Arial"/>
          <w:sz w:val="24"/>
          <w:szCs w:val="24"/>
        </w:rPr>
      </w:pPr>
      <w:r>
        <w:rPr>
          <w:rFonts w:ascii="Arial" w:hAnsi="Arial" w:cs="Arial"/>
          <w:sz w:val="24"/>
          <w:szCs w:val="24"/>
        </w:rPr>
        <w:t>While powerful, AI will not be able to fully grasp and capture the organisational culture, ethics, and many factors that influence the dynamics of the workplace. Cappelli and Rogovsky (2023) state that there is a place for human judgment in maintaining fair and responsible HR making decisions. What's more, AI systems can pose threats of algorithmic bias, unfair hiring decisions, over-reliance on recommendations, and loss of employee trust as well. UNESCO (2021), notes the critical need for transparency, accountability, and human oversight in implementing AI.</w:t>
      </w:r>
    </w:p>
    <w:p w14:paraId="1DF818E5">
      <w:pPr>
        <w:jc w:val="both"/>
        <w:rPr>
          <w:rFonts w:ascii="Arial" w:hAnsi="Arial" w:cs="Arial"/>
          <w:sz w:val="24"/>
          <w:szCs w:val="24"/>
        </w:rPr>
      </w:pPr>
    </w:p>
    <w:p w14:paraId="51DFCDE6">
      <w:pPr>
        <w:jc w:val="both"/>
        <w:rPr>
          <w:rFonts w:ascii="Arial" w:hAnsi="Arial" w:cs="Arial"/>
          <w:sz w:val="24"/>
          <w:szCs w:val="24"/>
        </w:rPr>
      </w:pPr>
      <w:r>
        <w:rPr>
          <w:rFonts w:ascii="Arial" w:hAnsi="Arial" w:cs="Arial"/>
          <w:sz w:val="24"/>
          <w:szCs w:val="24"/>
        </w:rPr>
        <w:t>I'll explore solutions such as using an Hwcl process to assess evaluated AI suggestions, a bias filtering system and legal and ethical aspects. By doing this, they will lead to fairness, accountability, and responsible AI usage in HR practice.</w:t>
      </w:r>
    </w:p>
    <w:p w14:paraId="11EAE00D">
      <w:pPr>
        <w:jc w:val="both"/>
        <w:rPr>
          <w:rFonts w:ascii="Arial" w:hAnsi="Arial" w:cs="Arial"/>
          <w:sz w:val="24"/>
          <w:szCs w:val="24"/>
        </w:rPr>
      </w:pPr>
    </w:p>
    <w:p w14:paraId="7A8760FB">
      <w:pPr>
        <w:jc w:val="both"/>
        <w:rPr>
          <w:rFonts w:ascii="Arial" w:hAnsi="Arial" w:cs="Arial"/>
          <w:sz w:val="24"/>
          <w:szCs w:val="24"/>
        </w:rPr>
      </w:pPr>
      <w:r>
        <w:rPr>
          <w:rFonts w:ascii="Arial" w:hAnsi="Arial" w:cs="Arial"/>
          <w:sz w:val="24"/>
          <w:szCs w:val="24"/>
        </w:rPr>
        <w:t>I have created a Personal Capability Development Plan (PCDP) to improve my skills as a professional. In the next six-month period, I would like to acquire the skills to enhance my data literacy, which will be achieved by learning some Power BI and HR analytics tools to better support workforce analysis and evidence-driven decision making (Deloitte, 2024). Additionally, I want to finish my AI Governance certification to build up my understanding of ethical implementation of AI. In a period of 12 months, I will conduct leadership and communication training to enhance influencing abilities and build up stakeholder engagement. In addition, I will raise HR awareness in the world by researching international HR practices and cross-cultural management. With these actions I will become a future-ready, strategic and ethical HR professional.</w:t>
      </w:r>
    </w:p>
    <w:p w14:paraId="21CB8422">
      <w:pPr>
        <w:jc w:val="both"/>
        <w:rPr>
          <w:rFonts w:ascii="Arial" w:hAnsi="Arial" w:cs="Arial"/>
          <w:sz w:val="24"/>
          <w:szCs w:val="24"/>
        </w:rPr>
      </w:pPr>
    </w:p>
    <w:p w14:paraId="45705A38">
      <w:pPr>
        <w:jc w:val="both"/>
        <w:rPr>
          <w:rFonts w:ascii="Arial" w:hAnsi="Arial" w:cs="Arial"/>
          <w:b/>
          <w:bCs/>
          <w:sz w:val="24"/>
          <w:szCs w:val="24"/>
        </w:rPr>
      </w:pPr>
      <w:r>
        <w:rPr>
          <w:rFonts w:ascii="Arial" w:hAnsi="Arial" w:cs="Arial"/>
          <w:b/>
          <w:bCs/>
          <w:sz w:val="24"/>
          <w:szCs w:val="24"/>
        </w:rPr>
        <w:t>Conclusion</w:t>
      </w:r>
    </w:p>
    <w:p w14:paraId="0241EF4A">
      <w:pPr>
        <w:jc w:val="both"/>
        <w:rPr>
          <w:rFonts w:ascii="Arial" w:hAnsi="Arial" w:cs="Arial"/>
          <w:sz w:val="24"/>
          <w:szCs w:val="24"/>
        </w:rPr>
      </w:pPr>
    </w:p>
    <w:p w14:paraId="36858E4D">
      <w:pPr>
        <w:jc w:val="both"/>
        <w:rPr>
          <w:rFonts w:ascii="Arial" w:hAnsi="Arial" w:cs="Arial"/>
          <w:sz w:val="24"/>
          <w:szCs w:val="24"/>
        </w:rPr>
      </w:pPr>
      <w:r>
        <w:rPr>
          <w:rFonts w:ascii="Arial" w:hAnsi="Arial" w:cs="Arial"/>
          <w:sz w:val="24"/>
          <w:szCs w:val="24"/>
        </w:rPr>
        <w:t>In this report, the human capital issues which would confront Helios Urban Mobility (HUM) and a proposed strategic human capital architecture to aid the organisation's renewal are examined. The analysis showed that traditional onboarding practices, in and of themselves, were inadequate to meet the needs of today's workforce issues; a strategic organizational socialisation program that positively develops employee socialization, organizational commitment, and identity is necessary.</w:t>
      </w:r>
    </w:p>
    <w:p w14:paraId="3CB0DE17">
      <w:pPr>
        <w:jc w:val="both"/>
        <w:rPr>
          <w:rFonts w:ascii="Arial" w:hAnsi="Arial" w:cs="Arial"/>
          <w:sz w:val="24"/>
          <w:szCs w:val="24"/>
        </w:rPr>
      </w:pPr>
    </w:p>
    <w:p w14:paraId="6844F916">
      <w:pPr>
        <w:jc w:val="both"/>
        <w:rPr>
          <w:rFonts w:ascii="Arial" w:hAnsi="Arial" w:cs="Arial"/>
          <w:sz w:val="24"/>
          <w:szCs w:val="24"/>
        </w:rPr>
      </w:pPr>
      <w:r>
        <w:rPr>
          <w:rFonts w:ascii="Arial" w:hAnsi="Arial" w:cs="Arial"/>
          <w:sz w:val="24"/>
          <w:szCs w:val="24"/>
        </w:rPr>
        <w:t>The socialisation programme has been proposed as being three stages, with employees going through the pre-boarding, first 90 days' and more year one' development stages, which offer a structured opportunity to increase employee engagement and to minimise those that like to leave companies before the first year. Moreover, organisational identification, professional ethics and business activism reinforcement mechanisms link the values with the HUM sustainability and innovation goals.</w:t>
      </w:r>
    </w:p>
    <w:p w14:paraId="3914ADF0">
      <w:pPr>
        <w:jc w:val="both"/>
        <w:rPr>
          <w:rFonts w:ascii="Arial" w:hAnsi="Arial" w:cs="Arial"/>
          <w:sz w:val="24"/>
          <w:szCs w:val="24"/>
        </w:rPr>
      </w:pPr>
    </w:p>
    <w:p w14:paraId="6961AE12">
      <w:pPr>
        <w:jc w:val="both"/>
        <w:rPr>
          <w:rFonts w:ascii="Arial" w:hAnsi="Arial" w:cs="Arial"/>
          <w:sz w:val="24"/>
          <w:szCs w:val="24"/>
        </w:rPr>
      </w:pPr>
      <w:r>
        <w:rPr>
          <w:rFonts w:ascii="Arial" w:hAnsi="Arial" w:cs="Arial"/>
          <w:sz w:val="24"/>
          <w:szCs w:val="24"/>
        </w:rPr>
        <w:t>The report suggested the implementation of Agile Skills-Based Job Architecture (ASJArch) based on (Job Characteristics Model) and (Job Crafting Theory) as well as having an Internal Talent Marketplace to solve problems due to workforce agility and innovation. This leads to higher levels of autonomy, competence and relatedness among staff members and better organisation flexibility in an AI-driven world.</w:t>
      </w:r>
    </w:p>
    <w:p w14:paraId="635FD93B">
      <w:pPr>
        <w:jc w:val="both"/>
        <w:rPr>
          <w:rFonts w:ascii="Arial" w:hAnsi="Arial" w:cs="Arial"/>
          <w:sz w:val="24"/>
          <w:szCs w:val="24"/>
        </w:rPr>
      </w:pPr>
    </w:p>
    <w:p w14:paraId="59EBA651">
      <w:pPr>
        <w:jc w:val="both"/>
        <w:rPr>
          <w:rFonts w:ascii="Arial" w:hAnsi="Arial" w:cs="Arial"/>
          <w:sz w:val="24"/>
          <w:szCs w:val="24"/>
        </w:rPr>
      </w:pPr>
      <w:r>
        <w:rPr>
          <w:rFonts w:ascii="Arial" w:hAnsi="Arial" w:cs="Arial"/>
          <w:sz w:val="24"/>
          <w:szCs w:val="24"/>
        </w:rPr>
        <w:t>Lastly the reflective part emphasized the need for a synergy between the decision-making support provided by AI and human judgment and ethical insight. HUM can apply these recommendations to increase employee engagement, quicken workforce integration, boost retention, and build a future-ready workforce that can help advance the long-term success of their organisation.</w:t>
      </w:r>
    </w:p>
    <w:p w14:paraId="5A5E6BEB">
      <w:pPr>
        <w:jc w:val="both"/>
        <w:rPr>
          <w:rFonts w:ascii="Arial" w:hAnsi="Arial" w:cs="Arial"/>
          <w:sz w:val="24"/>
          <w:szCs w:val="24"/>
        </w:rPr>
      </w:pPr>
    </w:p>
    <w:p w14:paraId="33BB7618">
      <w:pPr>
        <w:jc w:val="both"/>
        <w:rPr>
          <w:rFonts w:ascii="Arial" w:hAnsi="Arial" w:cs="Arial"/>
          <w:sz w:val="24"/>
          <w:szCs w:val="24"/>
        </w:rPr>
      </w:pPr>
    </w:p>
    <w:p w14:paraId="1B7D0170">
      <w:pPr>
        <w:jc w:val="both"/>
        <w:rPr>
          <w:rFonts w:ascii="Arial" w:hAnsi="Arial" w:cs="Arial"/>
          <w:sz w:val="24"/>
          <w:szCs w:val="24"/>
        </w:rPr>
      </w:pPr>
      <w:r>
        <w:rPr>
          <w:rFonts w:ascii="Arial" w:hAnsi="Arial" w:cs="Arial"/>
          <w:sz w:val="24"/>
          <w:szCs w:val="24"/>
        </w:rPr>
        <w:t>REFRENCES:</w:t>
      </w:r>
    </w:p>
    <w:p w14:paraId="23F2ACD6">
      <w:pPr>
        <w:jc w:val="both"/>
        <w:rPr>
          <w:rFonts w:ascii="Arial" w:hAnsi="Arial" w:cs="Arial"/>
          <w:sz w:val="24"/>
          <w:szCs w:val="24"/>
        </w:rPr>
      </w:pPr>
      <w:r>
        <w:rPr>
          <w:rFonts w:ascii="Arial" w:hAnsi="Arial" w:cs="Arial"/>
          <w:sz w:val="24"/>
          <w:szCs w:val="24"/>
        </w:rPr>
        <w:t xml:space="preserve">Cappelli, P. and Rogovsky, N. (2023) </w:t>
      </w:r>
      <w:r>
        <w:rPr>
          <w:rFonts w:ascii="Arial" w:hAnsi="Arial" w:cs="Arial"/>
          <w:i/>
          <w:iCs/>
          <w:sz w:val="24"/>
          <w:szCs w:val="24"/>
        </w:rPr>
        <w:t>The future of AI and human decision making in HRM</w:t>
      </w:r>
      <w:r>
        <w:rPr>
          <w:rFonts w:ascii="Arial" w:hAnsi="Arial" w:cs="Arial"/>
          <w:sz w:val="24"/>
          <w:szCs w:val="24"/>
        </w:rPr>
        <w:t xml:space="preserve">. Harvard Business Review. Available at: </w:t>
      </w:r>
      <w:r>
        <w:fldChar w:fldCharType="begin"/>
      </w:r>
      <w:r>
        <w:instrText xml:space="preserve"> HYPERLINK "https://hbr.org" \t "_new" </w:instrText>
      </w:r>
      <w:r>
        <w:fldChar w:fldCharType="separate"/>
      </w:r>
      <w:r>
        <w:rPr>
          <w:rStyle w:val="15"/>
          <w:rFonts w:ascii="Arial" w:hAnsi="Arial" w:cs="Arial"/>
          <w:sz w:val="24"/>
          <w:szCs w:val="24"/>
        </w:rPr>
        <w:t>https://hbr.org</w:t>
      </w:r>
      <w:r>
        <w:rPr>
          <w:rStyle w:val="15"/>
          <w:rFonts w:ascii="Arial" w:hAnsi="Arial" w:cs="Arial"/>
          <w:sz w:val="24"/>
          <w:szCs w:val="24"/>
        </w:rPr>
        <w:fldChar w:fldCharType="end"/>
      </w:r>
      <w:r>
        <w:rPr>
          <w:rFonts w:ascii="Arial" w:hAnsi="Arial" w:cs="Arial"/>
          <w:sz w:val="24"/>
          <w:szCs w:val="24"/>
        </w:rPr>
        <w:t xml:space="preserve"> (Accessed: 20 June 2026).</w:t>
      </w:r>
    </w:p>
    <w:p w14:paraId="2FDD5573">
      <w:pPr>
        <w:jc w:val="both"/>
        <w:rPr>
          <w:rFonts w:ascii="Arial" w:hAnsi="Arial" w:cs="Arial"/>
          <w:sz w:val="24"/>
          <w:szCs w:val="24"/>
        </w:rPr>
      </w:pPr>
      <w:r>
        <w:rPr>
          <w:rFonts w:ascii="Arial" w:hAnsi="Arial" w:cs="Arial"/>
          <w:sz w:val="24"/>
          <w:szCs w:val="24"/>
        </w:rPr>
        <w:t xml:space="preserve">Chong, S., Lee, J. and Tan, R. (2024) ‘Strategic organisational socialisation and employee retention in knowledge-intensive organisations’, </w:t>
      </w:r>
      <w:r>
        <w:rPr>
          <w:rFonts w:ascii="Arial" w:hAnsi="Arial" w:cs="Arial"/>
          <w:i/>
          <w:iCs/>
          <w:sz w:val="24"/>
          <w:szCs w:val="24"/>
        </w:rPr>
        <w:t>Human Resource Management Review</w:t>
      </w:r>
      <w:r>
        <w:rPr>
          <w:rFonts w:ascii="Arial" w:hAnsi="Arial" w:cs="Arial"/>
          <w:sz w:val="24"/>
          <w:szCs w:val="24"/>
        </w:rPr>
        <w:t>, 34(2), pp. 115–128.</w:t>
      </w:r>
    </w:p>
    <w:p w14:paraId="5923F019">
      <w:pPr>
        <w:jc w:val="both"/>
        <w:rPr>
          <w:rFonts w:ascii="Arial" w:hAnsi="Arial" w:cs="Arial"/>
          <w:sz w:val="24"/>
          <w:szCs w:val="24"/>
        </w:rPr>
      </w:pPr>
      <w:r>
        <w:rPr>
          <w:rFonts w:ascii="Arial" w:hAnsi="Arial" w:cs="Arial"/>
          <w:sz w:val="24"/>
          <w:szCs w:val="24"/>
        </w:rPr>
        <w:t xml:space="preserve">Chowdhury, M., Rahman, S. and Ahmed, K. (2022) ‘Identity construction and organisational commitment in contemporary workplaces’, </w:t>
      </w:r>
      <w:r>
        <w:rPr>
          <w:rFonts w:ascii="Arial" w:hAnsi="Arial" w:cs="Arial"/>
          <w:i/>
          <w:iCs/>
          <w:sz w:val="24"/>
          <w:szCs w:val="24"/>
        </w:rPr>
        <w:t>Journal of Organizational Psychology</w:t>
      </w:r>
      <w:r>
        <w:rPr>
          <w:rFonts w:ascii="Arial" w:hAnsi="Arial" w:cs="Arial"/>
          <w:sz w:val="24"/>
          <w:szCs w:val="24"/>
        </w:rPr>
        <w:t>, 22(4), pp. 56–70.</w:t>
      </w:r>
    </w:p>
    <w:p w14:paraId="52BEC852">
      <w:pPr>
        <w:jc w:val="both"/>
        <w:rPr>
          <w:rFonts w:ascii="Arial" w:hAnsi="Arial" w:cs="Arial"/>
          <w:sz w:val="24"/>
          <w:szCs w:val="24"/>
        </w:rPr>
      </w:pPr>
      <w:r>
        <w:rPr>
          <w:rFonts w:ascii="Arial" w:hAnsi="Arial" w:cs="Arial"/>
          <w:sz w:val="24"/>
          <w:szCs w:val="24"/>
        </w:rPr>
        <w:t xml:space="preserve">Deloitte (2024) </w:t>
      </w:r>
      <w:r>
        <w:rPr>
          <w:rFonts w:ascii="Arial" w:hAnsi="Arial" w:cs="Arial"/>
          <w:i/>
          <w:iCs/>
          <w:sz w:val="24"/>
          <w:szCs w:val="24"/>
        </w:rPr>
        <w:t>Global Human Capital Trends 2024</w:t>
      </w:r>
      <w:r>
        <w:rPr>
          <w:rFonts w:ascii="Arial" w:hAnsi="Arial" w:cs="Arial"/>
          <w:sz w:val="24"/>
          <w:szCs w:val="24"/>
        </w:rPr>
        <w:t>. Available at: https://www.deloitte.com/global/en/issues/work/human-capital-trends.html (Accessed: 20 June 2026).</w:t>
      </w:r>
    </w:p>
    <w:p w14:paraId="7C17D870">
      <w:pPr>
        <w:jc w:val="both"/>
        <w:rPr>
          <w:rFonts w:ascii="Arial" w:hAnsi="Arial" w:cs="Arial"/>
          <w:sz w:val="24"/>
          <w:szCs w:val="24"/>
        </w:rPr>
      </w:pPr>
      <w:r>
        <w:rPr>
          <w:rFonts w:ascii="Arial" w:hAnsi="Arial" w:cs="Arial"/>
          <w:sz w:val="24"/>
          <w:szCs w:val="24"/>
        </w:rPr>
        <w:t xml:space="preserve">Dignum, V. (2020) </w:t>
      </w:r>
      <w:r>
        <w:rPr>
          <w:rFonts w:ascii="Arial" w:hAnsi="Arial" w:cs="Arial"/>
          <w:i/>
          <w:iCs/>
          <w:sz w:val="24"/>
          <w:szCs w:val="24"/>
        </w:rPr>
        <w:t>Responsible Artificial Intelligence: How to Develop and Use AI in a Responsible Way</w:t>
      </w:r>
      <w:r>
        <w:rPr>
          <w:rFonts w:ascii="Arial" w:hAnsi="Arial" w:cs="Arial"/>
          <w:sz w:val="24"/>
          <w:szCs w:val="24"/>
        </w:rPr>
        <w:t>. Cham: Springer.</w:t>
      </w:r>
    </w:p>
    <w:p w14:paraId="39D73B0C">
      <w:pPr>
        <w:jc w:val="both"/>
        <w:rPr>
          <w:rFonts w:ascii="Arial" w:hAnsi="Arial" w:cs="Arial"/>
          <w:sz w:val="24"/>
          <w:szCs w:val="24"/>
        </w:rPr>
      </w:pPr>
      <w:r>
        <w:rPr>
          <w:rFonts w:ascii="Arial" w:hAnsi="Arial" w:cs="Arial"/>
          <w:sz w:val="24"/>
          <w:szCs w:val="24"/>
        </w:rPr>
        <w:t xml:space="preserve">Frögéli, E., Jenner, B. and Gustavsson, P. (2023) ‘Onboarding and employee adjustment in modern organisations’, </w:t>
      </w:r>
      <w:r>
        <w:rPr>
          <w:rFonts w:ascii="Arial" w:hAnsi="Arial" w:cs="Arial"/>
          <w:i/>
          <w:iCs/>
          <w:sz w:val="24"/>
          <w:szCs w:val="24"/>
        </w:rPr>
        <w:t>European Management Journal</w:t>
      </w:r>
      <w:r>
        <w:rPr>
          <w:rFonts w:ascii="Arial" w:hAnsi="Arial" w:cs="Arial"/>
          <w:sz w:val="24"/>
          <w:szCs w:val="24"/>
        </w:rPr>
        <w:t>, 41(3), pp. 335–347.</w:t>
      </w:r>
    </w:p>
    <w:p w14:paraId="110106AA">
      <w:pPr>
        <w:jc w:val="both"/>
        <w:rPr>
          <w:rFonts w:ascii="Arial" w:hAnsi="Arial" w:cs="Arial"/>
          <w:sz w:val="24"/>
          <w:szCs w:val="24"/>
        </w:rPr>
      </w:pPr>
      <w:r>
        <w:rPr>
          <w:rFonts w:ascii="Arial" w:hAnsi="Arial" w:cs="Arial"/>
          <w:sz w:val="24"/>
          <w:szCs w:val="24"/>
        </w:rPr>
        <w:t xml:space="preserve">Holman, D., Parker, S. and Clegg, C. (2024) ‘Job design in dynamic digital environments’, </w:t>
      </w:r>
      <w:r>
        <w:rPr>
          <w:rFonts w:ascii="Arial" w:hAnsi="Arial" w:cs="Arial"/>
          <w:i/>
          <w:iCs/>
          <w:sz w:val="24"/>
          <w:szCs w:val="24"/>
        </w:rPr>
        <w:t>Human Relations</w:t>
      </w:r>
      <w:r>
        <w:rPr>
          <w:rFonts w:ascii="Arial" w:hAnsi="Arial" w:cs="Arial"/>
          <w:sz w:val="24"/>
          <w:szCs w:val="24"/>
        </w:rPr>
        <w:t>, 77(1), pp. 1–23.</w:t>
      </w:r>
    </w:p>
    <w:p w14:paraId="6F697049">
      <w:pPr>
        <w:jc w:val="both"/>
        <w:rPr>
          <w:rFonts w:ascii="Arial" w:hAnsi="Arial" w:cs="Arial"/>
          <w:sz w:val="24"/>
          <w:szCs w:val="24"/>
        </w:rPr>
      </w:pPr>
      <w:r>
        <w:rPr>
          <w:rFonts w:ascii="Arial" w:hAnsi="Arial" w:cs="Arial"/>
          <w:sz w:val="24"/>
          <w:szCs w:val="24"/>
        </w:rPr>
        <w:t xml:space="preserve">Liu, Y., Wang, X. and Zhao, H. (2022) ‘Job crafting, employee wellbeing and performance outcomes’, </w:t>
      </w:r>
      <w:r>
        <w:rPr>
          <w:rFonts w:ascii="Arial" w:hAnsi="Arial" w:cs="Arial"/>
          <w:i/>
          <w:iCs/>
          <w:sz w:val="24"/>
          <w:szCs w:val="24"/>
        </w:rPr>
        <w:t>International Journal of Human Resource Management</w:t>
      </w:r>
      <w:r>
        <w:rPr>
          <w:rFonts w:ascii="Arial" w:hAnsi="Arial" w:cs="Arial"/>
          <w:sz w:val="24"/>
          <w:szCs w:val="24"/>
        </w:rPr>
        <w:t>, 33(10), pp. 2025–2048.</w:t>
      </w:r>
    </w:p>
    <w:p w14:paraId="3B059A21">
      <w:pPr>
        <w:jc w:val="both"/>
        <w:rPr>
          <w:rFonts w:ascii="Arial" w:hAnsi="Arial" w:cs="Arial"/>
          <w:sz w:val="24"/>
          <w:szCs w:val="24"/>
        </w:rPr>
      </w:pPr>
      <w:r>
        <w:rPr>
          <w:rFonts w:ascii="Arial" w:hAnsi="Arial" w:cs="Arial"/>
          <w:sz w:val="24"/>
          <w:szCs w:val="24"/>
        </w:rPr>
        <w:t xml:space="preserve">OECD (2023) </w:t>
      </w:r>
      <w:r>
        <w:rPr>
          <w:rFonts w:ascii="Arial" w:hAnsi="Arial" w:cs="Arial"/>
          <w:i/>
          <w:iCs/>
          <w:sz w:val="24"/>
          <w:szCs w:val="24"/>
        </w:rPr>
        <w:t>OECD Skills Outlook 2023: Skills for a Resilient Future</w:t>
      </w:r>
      <w:r>
        <w:rPr>
          <w:rFonts w:ascii="Arial" w:hAnsi="Arial" w:cs="Arial"/>
          <w:sz w:val="24"/>
          <w:szCs w:val="24"/>
        </w:rPr>
        <w:t xml:space="preserve">. Paris: OECD Publishing. Available at: </w:t>
      </w:r>
      <w:r>
        <w:fldChar w:fldCharType="begin"/>
      </w:r>
      <w:r>
        <w:instrText xml:space="preserve"> HYPERLINK "https://www.oecd.org/skills" \t "_new" </w:instrText>
      </w:r>
      <w:r>
        <w:fldChar w:fldCharType="separate"/>
      </w:r>
      <w:r>
        <w:rPr>
          <w:rStyle w:val="15"/>
          <w:rFonts w:ascii="Arial" w:hAnsi="Arial" w:cs="Arial"/>
          <w:sz w:val="24"/>
          <w:szCs w:val="24"/>
        </w:rPr>
        <w:t>https://www.oecd.org/skills</w:t>
      </w:r>
      <w:r>
        <w:rPr>
          <w:rStyle w:val="15"/>
          <w:rFonts w:ascii="Arial" w:hAnsi="Arial" w:cs="Arial"/>
          <w:sz w:val="24"/>
          <w:szCs w:val="24"/>
        </w:rPr>
        <w:fldChar w:fldCharType="end"/>
      </w:r>
      <w:r>
        <w:rPr>
          <w:rFonts w:ascii="Arial" w:hAnsi="Arial" w:cs="Arial"/>
          <w:sz w:val="24"/>
          <w:szCs w:val="24"/>
        </w:rPr>
        <w:t xml:space="preserve"> (Accessed: 20 June 2026).</w:t>
      </w:r>
    </w:p>
    <w:p w14:paraId="60F6B655">
      <w:pPr>
        <w:jc w:val="both"/>
        <w:rPr>
          <w:rFonts w:ascii="Arial" w:hAnsi="Arial" w:cs="Arial"/>
          <w:sz w:val="24"/>
          <w:szCs w:val="24"/>
        </w:rPr>
      </w:pPr>
      <w:r>
        <w:rPr>
          <w:rFonts w:ascii="Arial" w:hAnsi="Arial" w:cs="Arial"/>
          <w:sz w:val="24"/>
          <w:szCs w:val="24"/>
        </w:rPr>
        <w:t xml:space="preserve">Rodgers, M., Williams, T. and Patel, S. (2023) ‘Psychological contract fulfilment and employee retention’, </w:t>
      </w:r>
      <w:r>
        <w:rPr>
          <w:rFonts w:ascii="Arial" w:hAnsi="Arial" w:cs="Arial"/>
          <w:i/>
          <w:iCs/>
          <w:sz w:val="24"/>
          <w:szCs w:val="24"/>
        </w:rPr>
        <w:t>Employee Relations</w:t>
      </w:r>
      <w:r>
        <w:rPr>
          <w:rFonts w:ascii="Arial" w:hAnsi="Arial" w:cs="Arial"/>
          <w:sz w:val="24"/>
          <w:szCs w:val="24"/>
        </w:rPr>
        <w:t>, 45(5), pp. 1012–1028.</w:t>
      </w:r>
    </w:p>
    <w:p w14:paraId="73BDCC9E">
      <w:pPr>
        <w:jc w:val="both"/>
        <w:rPr>
          <w:rFonts w:ascii="Arial" w:hAnsi="Arial" w:cs="Arial"/>
          <w:sz w:val="24"/>
          <w:szCs w:val="24"/>
        </w:rPr>
      </w:pPr>
      <w:r>
        <w:rPr>
          <w:rFonts w:ascii="Arial" w:hAnsi="Arial" w:cs="Arial"/>
          <w:sz w:val="24"/>
          <w:szCs w:val="24"/>
        </w:rPr>
        <w:t xml:space="preserve">Rousseau, D.M. (1995) </w:t>
      </w:r>
      <w:r>
        <w:rPr>
          <w:rFonts w:ascii="Arial" w:hAnsi="Arial" w:cs="Arial"/>
          <w:i/>
          <w:iCs/>
          <w:sz w:val="24"/>
          <w:szCs w:val="24"/>
        </w:rPr>
        <w:t>Psychological Contracts in Organizations: Understanding Written and Unwritten Agreements</w:t>
      </w:r>
      <w:r>
        <w:rPr>
          <w:rFonts w:ascii="Arial" w:hAnsi="Arial" w:cs="Arial"/>
          <w:sz w:val="24"/>
          <w:szCs w:val="24"/>
        </w:rPr>
        <w:t>. Thousand Oaks: Sage Publications.</w:t>
      </w:r>
    </w:p>
    <w:p w14:paraId="535FBF43">
      <w:pPr>
        <w:jc w:val="both"/>
        <w:rPr>
          <w:rFonts w:ascii="Arial" w:hAnsi="Arial" w:cs="Arial"/>
          <w:sz w:val="24"/>
          <w:szCs w:val="24"/>
        </w:rPr>
      </w:pPr>
      <w:r>
        <w:rPr>
          <w:rFonts w:ascii="Arial" w:hAnsi="Arial" w:cs="Arial"/>
          <w:sz w:val="24"/>
          <w:szCs w:val="24"/>
        </w:rPr>
        <w:t xml:space="preserve">UNESCO (2021) </w:t>
      </w:r>
      <w:r>
        <w:rPr>
          <w:rFonts w:ascii="Arial" w:hAnsi="Arial" w:cs="Arial"/>
          <w:i/>
          <w:iCs/>
          <w:sz w:val="24"/>
          <w:szCs w:val="24"/>
        </w:rPr>
        <w:t>Recommendation on the Ethics of Artificial Intelligence</w:t>
      </w:r>
      <w:r>
        <w:rPr>
          <w:rFonts w:ascii="Arial" w:hAnsi="Arial" w:cs="Arial"/>
          <w:sz w:val="24"/>
          <w:szCs w:val="24"/>
        </w:rPr>
        <w:t xml:space="preserve">. Paris: UNESCO. Available at: </w:t>
      </w:r>
      <w:r>
        <w:fldChar w:fldCharType="begin"/>
      </w:r>
      <w:r>
        <w:instrText xml:space="preserve"> HYPERLINK "https://www.unesco.org/en/artificial-intelligence/recommendation-ethics" \t "_new" </w:instrText>
      </w:r>
      <w:r>
        <w:fldChar w:fldCharType="separate"/>
      </w:r>
      <w:r>
        <w:rPr>
          <w:rStyle w:val="15"/>
          <w:rFonts w:ascii="Arial" w:hAnsi="Arial" w:cs="Arial"/>
          <w:sz w:val="24"/>
          <w:szCs w:val="24"/>
        </w:rPr>
        <w:t>https://www.unesco.org/en/artificial-intelligence/recommendation-ethics</w:t>
      </w:r>
      <w:r>
        <w:rPr>
          <w:rStyle w:val="15"/>
          <w:rFonts w:ascii="Arial" w:hAnsi="Arial" w:cs="Arial"/>
          <w:sz w:val="24"/>
          <w:szCs w:val="24"/>
        </w:rPr>
        <w:fldChar w:fldCharType="end"/>
      </w:r>
      <w:r>
        <w:rPr>
          <w:rFonts w:ascii="Arial" w:hAnsi="Arial" w:cs="Arial"/>
          <w:sz w:val="24"/>
          <w:szCs w:val="24"/>
        </w:rPr>
        <w:t xml:space="preserve"> (Accessed: 20 June 2026).</w:t>
      </w:r>
    </w:p>
    <w:p w14:paraId="1B393C8B">
      <w:pPr>
        <w:jc w:val="both"/>
        <w:rPr>
          <w:rFonts w:ascii="Arial" w:hAnsi="Arial" w:cs="Arial"/>
          <w:sz w:val="24"/>
          <w:szCs w:val="24"/>
        </w:rPr>
      </w:pPr>
      <w:r>
        <w:rPr>
          <w:rFonts w:ascii="Arial" w:hAnsi="Arial" w:cs="Arial"/>
          <w:sz w:val="24"/>
          <w:szCs w:val="24"/>
        </w:rPr>
        <w:t xml:space="preserve">Van Maanen, J. and Schein, E.H. (1979) ‘Toward a theory of organisational socialisation’, in Staw, B.M. (ed.) </w:t>
      </w:r>
      <w:r>
        <w:rPr>
          <w:rFonts w:ascii="Arial" w:hAnsi="Arial" w:cs="Arial"/>
          <w:i/>
          <w:iCs/>
          <w:sz w:val="24"/>
          <w:szCs w:val="24"/>
        </w:rPr>
        <w:t>Research in Organizational Behavior</w:t>
      </w:r>
      <w:r>
        <w:rPr>
          <w:rFonts w:ascii="Arial" w:hAnsi="Arial" w:cs="Arial"/>
          <w:sz w:val="24"/>
          <w:szCs w:val="24"/>
        </w:rPr>
        <w:t>. Greenwich: JAI Press, pp. 209–264.</w:t>
      </w:r>
    </w:p>
    <w:p w14:paraId="7DD453BE">
      <w:pPr>
        <w:jc w:val="both"/>
        <w:rPr>
          <w:rFonts w:ascii="Arial" w:hAnsi="Arial" w:cs="Arial"/>
          <w:sz w:val="24"/>
          <w:szCs w:val="24"/>
        </w:rPr>
      </w:pPr>
      <w:r>
        <w:rPr>
          <w:rFonts w:ascii="Arial" w:hAnsi="Arial" w:cs="Arial"/>
          <w:sz w:val="24"/>
          <w:szCs w:val="24"/>
        </w:rPr>
        <w:t xml:space="preserve">World Economic Forum (2025) </w:t>
      </w:r>
      <w:r>
        <w:rPr>
          <w:rFonts w:ascii="Arial" w:hAnsi="Arial" w:cs="Arial"/>
          <w:i/>
          <w:iCs/>
          <w:sz w:val="24"/>
          <w:szCs w:val="24"/>
        </w:rPr>
        <w:t>The Future of Jobs Report 2025</w:t>
      </w:r>
      <w:r>
        <w:rPr>
          <w:rFonts w:ascii="Arial" w:hAnsi="Arial" w:cs="Arial"/>
          <w:sz w:val="24"/>
          <w:szCs w:val="24"/>
        </w:rPr>
        <w:t xml:space="preserve">. Geneva: World Economic Forum. Available at: </w:t>
      </w:r>
      <w:r>
        <w:fldChar w:fldCharType="begin"/>
      </w:r>
      <w:r>
        <w:instrText xml:space="preserve"> HYPERLINK "https://www.weforum.org/reports/the-future-of-jobs-report-2025" \t "_new" </w:instrText>
      </w:r>
      <w:r>
        <w:fldChar w:fldCharType="separate"/>
      </w:r>
      <w:r>
        <w:rPr>
          <w:rStyle w:val="15"/>
          <w:rFonts w:ascii="Arial" w:hAnsi="Arial" w:cs="Arial"/>
          <w:sz w:val="24"/>
          <w:szCs w:val="24"/>
        </w:rPr>
        <w:t>https://www.weforum.org/reports/the-future-of-jobs-report-2025</w:t>
      </w:r>
      <w:r>
        <w:rPr>
          <w:rStyle w:val="15"/>
          <w:rFonts w:ascii="Arial" w:hAnsi="Arial" w:cs="Arial"/>
          <w:sz w:val="24"/>
          <w:szCs w:val="24"/>
        </w:rPr>
        <w:fldChar w:fldCharType="end"/>
      </w:r>
      <w:r>
        <w:rPr>
          <w:rFonts w:ascii="Arial" w:hAnsi="Arial" w:cs="Arial"/>
          <w:sz w:val="24"/>
          <w:szCs w:val="24"/>
        </w:rPr>
        <w:t xml:space="preserve"> (Accessed: 20 June 2026).</w:t>
      </w:r>
    </w:p>
    <w:p w14:paraId="67745CA3">
      <w:pPr>
        <w:jc w:val="both"/>
        <w:rPr>
          <w:rFonts w:ascii="Arial" w:hAnsi="Arial" w:cs="Arial"/>
          <w:sz w:val="24"/>
          <w:szCs w:val="24"/>
        </w:rPr>
      </w:pPr>
    </w:p>
    <w:sectPr>
      <w:footerReference r:id="rId5" w:type="default"/>
      <w:pgSz w:w="11906" w:h="16838"/>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A6628">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3308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1BE3308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4" w:lineRule="auto"/>
      </w:pPr>
      <w:r>
        <w:separator/>
      </w:r>
    </w:p>
  </w:footnote>
  <w:footnote w:type="continuationSeparator" w:id="1">
    <w:p>
      <w:pPr>
        <w:spacing w:before="0" w:after="0" w:line="25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6CC850"/>
    <w:multiLevelType w:val="singleLevel"/>
    <w:tmpl w:val="946CC850"/>
    <w:lvl w:ilvl="0" w:tentative="0">
      <w:start w:val="1"/>
      <w:numFmt w:val="decimal"/>
      <w:suff w:val="space"/>
      <w:lvlText w:val="%1."/>
      <w:lvlJc w:val="left"/>
    </w:lvl>
  </w:abstractNum>
  <w:abstractNum w:abstractNumId="1">
    <w:nsid w:val="2A441C4B"/>
    <w:multiLevelType w:val="multilevel"/>
    <w:tmpl w:val="2A441C4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4E926BBA"/>
    <w:multiLevelType w:val="multilevel"/>
    <w:tmpl w:val="4E926BB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A472FC8"/>
    <w:multiLevelType w:val="multilevel"/>
    <w:tmpl w:val="5A472F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717201CD"/>
    <w:multiLevelType w:val="multilevel"/>
    <w:tmpl w:val="717201C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autoHyphenation/>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21B"/>
    <w:rsid w:val="00004387"/>
    <w:rsid w:val="000B1749"/>
    <w:rsid w:val="000B1EB5"/>
    <w:rsid w:val="00150D28"/>
    <w:rsid w:val="001E4E82"/>
    <w:rsid w:val="002721DD"/>
    <w:rsid w:val="002736AC"/>
    <w:rsid w:val="00292D8F"/>
    <w:rsid w:val="002C41D4"/>
    <w:rsid w:val="002E20A4"/>
    <w:rsid w:val="00313EAC"/>
    <w:rsid w:val="00331A95"/>
    <w:rsid w:val="003335B2"/>
    <w:rsid w:val="00371CA4"/>
    <w:rsid w:val="0039171E"/>
    <w:rsid w:val="00424930"/>
    <w:rsid w:val="00426774"/>
    <w:rsid w:val="00441E36"/>
    <w:rsid w:val="004D02E2"/>
    <w:rsid w:val="004D55F6"/>
    <w:rsid w:val="004E3F4E"/>
    <w:rsid w:val="00513A16"/>
    <w:rsid w:val="00676990"/>
    <w:rsid w:val="006B0770"/>
    <w:rsid w:val="006C792C"/>
    <w:rsid w:val="00734832"/>
    <w:rsid w:val="007575FA"/>
    <w:rsid w:val="007C0E8B"/>
    <w:rsid w:val="007F08FC"/>
    <w:rsid w:val="00981C41"/>
    <w:rsid w:val="00CD12FA"/>
    <w:rsid w:val="00D7494A"/>
    <w:rsid w:val="00E863E3"/>
    <w:rsid w:val="00F00E72"/>
    <w:rsid w:val="00F1121B"/>
    <w:rsid w:val="00F34000"/>
    <w:rsid w:val="09F40B52"/>
    <w:rsid w:val="3A9C1C5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unhideWhenUsed="0" w:uiPriority="0" w:semiHidden="0" w:name="heading 7"/>
    <w:lsdException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0" w:semiHidden="0" w:name="Quote"/>
    <w:lsdException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autoSpaceDN w:val="0"/>
      <w:spacing w:after="160" w:line="254" w:lineRule="auto"/>
    </w:pPr>
    <w:rPr>
      <w:rFonts w:ascii="Calibri" w:hAnsi="Calibri" w:eastAsia="Calibri" w:cs="Times New Roman"/>
      <w:kern w:val="3"/>
      <w:sz w:val="22"/>
      <w:szCs w:val="22"/>
      <w:lang w:val="en-IN" w:eastAsia="en-US" w:bidi="ar-SA"/>
    </w:rPr>
  </w:style>
  <w:style w:type="paragraph" w:styleId="2">
    <w:name w:val="heading 1"/>
    <w:basedOn w:val="1"/>
    <w:next w:val="1"/>
    <w:qFormat/>
    <w:uiPriority w:val="9"/>
    <w:pPr>
      <w:keepNext/>
      <w:keepLines/>
      <w:spacing w:before="360" w:after="80"/>
      <w:outlineLvl w:val="0"/>
    </w:pPr>
    <w:rPr>
      <w:rFonts w:ascii="Calibri Light" w:hAnsi="Calibri Light" w:eastAsia="Times New Roman"/>
      <w:color w:val="2F5496"/>
      <w:sz w:val="40"/>
      <w:szCs w:val="40"/>
    </w:rPr>
  </w:style>
  <w:style w:type="paragraph" w:styleId="3">
    <w:name w:val="heading 2"/>
    <w:basedOn w:val="1"/>
    <w:next w:val="1"/>
    <w:semiHidden/>
    <w:unhideWhenUsed/>
    <w:qFormat/>
    <w:uiPriority w:val="9"/>
    <w:pPr>
      <w:keepNext/>
      <w:keepLines/>
      <w:spacing w:before="160" w:after="80"/>
      <w:outlineLvl w:val="1"/>
    </w:pPr>
    <w:rPr>
      <w:rFonts w:ascii="Calibri Light" w:hAnsi="Calibri Light" w:eastAsia="Times New Roman"/>
      <w:color w:val="2F5496"/>
      <w:sz w:val="32"/>
      <w:szCs w:val="32"/>
    </w:rPr>
  </w:style>
  <w:style w:type="paragraph" w:styleId="4">
    <w:name w:val="heading 3"/>
    <w:basedOn w:val="1"/>
    <w:next w:val="1"/>
    <w:semiHidden/>
    <w:unhideWhenUsed/>
    <w:qFormat/>
    <w:uiPriority w:val="9"/>
    <w:pPr>
      <w:keepNext/>
      <w:keepLines/>
      <w:spacing w:before="160" w:after="80"/>
      <w:outlineLvl w:val="2"/>
    </w:pPr>
    <w:rPr>
      <w:rFonts w:eastAsia="Times New Roman"/>
      <w:color w:val="2F5496"/>
      <w:sz w:val="28"/>
      <w:szCs w:val="28"/>
    </w:rPr>
  </w:style>
  <w:style w:type="paragraph" w:styleId="5">
    <w:name w:val="heading 4"/>
    <w:basedOn w:val="1"/>
    <w:next w:val="1"/>
    <w:semiHidden/>
    <w:unhideWhenUsed/>
    <w:qFormat/>
    <w:uiPriority w:val="9"/>
    <w:pPr>
      <w:keepNext/>
      <w:keepLines/>
      <w:spacing w:before="80" w:after="40"/>
      <w:outlineLvl w:val="3"/>
    </w:pPr>
    <w:rPr>
      <w:rFonts w:eastAsia="Times New Roman"/>
      <w:i/>
      <w:iCs/>
      <w:color w:val="2F5496"/>
    </w:rPr>
  </w:style>
  <w:style w:type="paragraph" w:styleId="6">
    <w:name w:val="heading 5"/>
    <w:basedOn w:val="1"/>
    <w:next w:val="1"/>
    <w:semiHidden/>
    <w:unhideWhenUsed/>
    <w:qFormat/>
    <w:uiPriority w:val="9"/>
    <w:pPr>
      <w:keepNext/>
      <w:keepLines/>
      <w:spacing w:before="80" w:after="40"/>
      <w:outlineLvl w:val="4"/>
    </w:pPr>
    <w:rPr>
      <w:rFonts w:eastAsia="Times New Roman"/>
      <w:color w:val="2F5496"/>
    </w:rPr>
  </w:style>
  <w:style w:type="paragraph" w:styleId="7">
    <w:name w:val="heading 6"/>
    <w:basedOn w:val="1"/>
    <w:next w:val="1"/>
    <w:semiHidden/>
    <w:unhideWhenUsed/>
    <w:qFormat/>
    <w:uiPriority w:val="9"/>
    <w:pPr>
      <w:keepNext/>
      <w:keepLines/>
      <w:spacing w:before="40" w:after="0"/>
      <w:outlineLvl w:val="5"/>
    </w:pPr>
    <w:rPr>
      <w:rFonts w:eastAsia="Times New Roman"/>
      <w:i/>
      <w:iCs/>
      <w:color w:val="595959"/>
    </w:rPr>
  </w:style>
  <w:style w:type="paragraph" w:styleId="8">
    <w:name w:val="heading 7"/>
    <w:basedOn w:val="1"/>
    <w:next w:val="1"/>
    <w:uiPriority w:val="0"/>
    <w:pPr>
      <w:keepNext/>
      <w:keepLines/>
      <w:spacing w:before="40" w:after="0"/>
      <w:outlineLvl w:val="6"/>
    </w:pPr>
    <w:rPr>
      <w:rFonts w:eastAsia="Times New Roman"/>
      <w:color w:val="595959"/>
    </w:rPr>
  </w:style>
  <w:style w:type="paragraph" w:styleId="9">
    <w:name w:val="heading 8"/>
    <w:basedOn w:val="1"/>
    <w:next w:val="1"/>
    <w:uiPriority w:val="0"/>
    <w:pPr>
      <w:keepNext/>
      <w:keepLines/>
      <w:spacing w:after="0"/>
      <w:outlineLvl w:val="7"/>
    </w:pPr>
    <w:rPr>
      <w:rFonts w:eastAsia="Times New Roman"/>
      <w:i/>
      <w:iCs/>
      <w:color w:val="272727"/>
    </w:rPr>
  </w:style>
  <w:style w:type="paragraph" w:styleId="10">
    <w:name w:val="heading 9"/>
    <w:basedOn w:val="1"/>
    <w:next w:val="1"/>
    <w:qFormat/>
    <w:uiPriority w:val="0"/>
    <w:pPr>
      <w:keepNext/>
      <w:keepLines/>
      <w:spacing w:after="0"/>
      <w:outlineLvl w:val="8"/>
    </w:pPr>
    <w:rPr>
      <w:rFonts w:eastAsia="Times New Roman"/>
      <w:color w:val="272727"/>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semiHidden/>
    <w:unhideWhenUsed/>
    <w:uiPriority w:val="99"/>
    <w:pPr>
      <w:tabs>
        <w:tab w:val="center" w:pos="4153"/>
        <w:tab w:val="right" w:pos="8306"/>
      </w:tabs>
      <w:snapToGrid w:val="0"/>
      <w:jc w:val="left"/>
    </w:pPr>
    <w:rPr>
      <w:sz w:val="18"/>
      <w:szCs w:val="18"/>
    </w:rPr>
  </w:style>
  <w:style w:type="paragraph" w:styleId="14">
    <w:name w:val="header"/>
    <w:basedOn w:val="1"/>
    <w:semiHidden/>
    <w:unhideWhenUsed/>
    <w:uiPriority w:val="99"/>
    <w:pPr>
      <w:tabs>
        <w:tab w:val="center" w:pos="4153"/>
        <w:tab w:val="right" w:pos="8306"/>
      </w:tabs>
      <w:snapToGrid w:val="0"/>
    </w:pPr>
    <w:rPr>
      <w:sz w:val="18"/>
      <w:szCs w:val="18"/>
    </w:r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qFormat/>
    <w:uiPriority w:val="11"/>
    <w:rPr>
      <w:rFonts w:eastAsia="Times New Roman"/>
      <w:color w:val="595959"/>
      <w:spacing w:val="15"/>
      <w:sz w:val="28"/>
      <w:szCs w:val="28"/>
    </w:rPr>
  </w:style>
  <w:style w:type="paragraph" w:styleId="17">
    <w:name w:val="Title"/>
    <w:basedOn w:val="1"/>
    <w:next w:val="1"/>
    <w:qFormat/>
    <w:uiPriority w:val="10"/>
    <w:pPr>
      <w:spacing w:after="80" w:line="240" w:lineRule="auto"/>
      <w:contextualSpacing/>
    </w:pPr>
    <w:rPr>
      <w:rFonts w:ascii="Calibri Light" w:hAnsi="Calibri Light" w:eastAsia="Times New Roman"/>
      <w:spacing w:val="-10"/>
      <w:sz w:val="56"/>
      <w:szCs w:val="56"/>
    </w:rPr>
  </w:style>
  <w:style w:type="character" w:customStyle="1" w:styleId="18">
    <w:name w:val="Heading 1 Char"/>
    <w:basedOn w:val="11"/>
    <w:uiPriority w:val="0"/>
    <w:rPr>
      <w:rFonts w:ascii="Calibri Light" w:hAnsi="Calibri Light" w:eastAsia="Times New Roman" w:cs="Times New Roman"/>
      <w:color w:val="2F5496"/>
      <w:sz w:val="40"/>
      <w:szCs w:val="40"/>
    </w:rPr>
  </w:style>
  <w:style w:type="character" w:customStyle="1" w:styleId="19">
    <w:name w:val="Heading 2 Char"/>
    <w:basedOn w:val="11"/>
    <w:uiPriority w:val="0"/>
    <w:rPr>
      <w:rFonts w:ascii="Calibri Light" w:hAnsi="Calibri Light" w:eastAsia="Times New Roman" w:cs="Times New Roman"/>
      <w:color w:val="2F5496"/>
      <w:sz w:val="32"/>
      <w:szCs w:val="32"/>
    </w:rPr>
  </w:style>
  <w:style w:type="character" w:customStyle="1" w:styleId="20">
    <w:name w:val="Heading 3 Char"/>
    <w:basedOn w:val="11"/>
    <w:uiPriority w:val="0"/>
    <w:rPr>
      <w:rFonts w:eastAsia="Times New Roman" w:cs="Times New Roman"/>
      <w:color w:val="2F5496"/>
      <w:sz w:val="28"/>
      <w:szCs w:val="28"/>
    </w:rPr>
  </w:style>
  <w:style w:type="character" w:customStyle="1" w:styleId="21">
    <w:name w:val="Heading 4 Char"/>
    <w:basedOn w:val="11"/>
    <w:uiPriority w:val="0"/>
    <w:rPr>
      <w:rFonts w:eastAsia="Times New Roman" w:cs="Times New Roman"/>
      <w:i/>
      <w:iCs/>
      <w:color w:val="2F5496"/>
    </w:rPr>
  </w:style>
  <w:style w:type="character" w:customStyle="1" w:styleId="22">
    <w:name w:val="Heading 5 Char"/>
    <w:basedOn w:val="11"/>
    <w:uiPriority w:val="0"/>
    <w:rPr>
      <w:rFonts w:eastAsia="Times New Roman" w:cs="Times New Roman"/>
      <w:color w:val="2F5496"/>
    </w:rPr>
  </w:style>
  <w:style w:type="character" w:customStyle="1" w:styleId="23">
    <w:name w:val="Heading 6 Char"/>
    <w:basedOn w:val="11"/>
    <w:uiPriority w:val="0"/>
    <w:rPr>
      <w:rFonts w:eastAsia="Times New Roman" w:cs="Times New Roman"/>
      <w:i/>
      <w:iCs/>
      <w:color w:val="595959"/>
    </w:rPr>
  </w:style>
  <w:style w:type="character" w:customStyle="1" w:styleId="24">
    <w:name w:val="Heading 7 Char"/>
    <w:basedOn w:val="11"/>
    <w:uiPriority w:val="0"/>
    <w:rPr>
      <w:rFonts w:eastAsia="Times New Roman" w:cs="Times New Roman"/>
      <w:color w:val="595959"/>
    </w:rPr>
  </w:style>
  <w:style w:type="character" w:customStyle="1" w:styleId="25">
    <w:name w:val="Heading 8 Char"/>
    <w:basedOn w:val="11"/>
    <w:uiPriority w:val="0"/>
    <w:rPr>
      <w:rFonts w:eastAsia="Times New Roman" w:cs="Times New Roman"/>
      <w:i/>
      <w:iCs/>
      <w:color w:val="272727"/>
    </w:rPr>
  </w:style>
  <w:style w:type="character" w:customStyle="1" w:styleId="26">
    <w:name w:val="Heading 9 Char"/>
    <w:basedOn w:val="11"/>
    <w:uiPriority w:val="0"/>
    <w:rPr>
      <w:rFonts w:eastAsia="Times New Roman" w:cs="Times New Roman"/>
      <w:color w:val="272727"/>
    </w:rPr>
  </w:style>
  <w:style w:type="character" w:customStyle="1" w:styleId="27">
    <w:name w:val="Title Char"/>
    <w:basedOn w:val="11"/>
    <w:qFormat/>
    <w:uiPriority w:val="0"/>
    <w:rPr>
      <w:rFonts w:ascii="Calibri Light" w:hAnsi="Calibri Light" w:eastAsia="Times New Roman" w:cs="Times New Roman"/>
      <w:spacing w:val="-10"/>
      <w:kern w:val="3"/>
      <w:sz w:val="56"/>
      <w:szCs w:val="56"/>
    </w:rPr>
  </w:style>
  <w:style w:type="character" w:customStyle="1" w:styleId="28">
    <w:name w:val="Subtitle Char"/>
    <w:basedOn w:val="11"/>
    <w:uiPriority w:val="0"/>
    <w:rPr>
      <w:rFonts w:eastAsia="Times New Roman" w:cs="Times New Roman"/>
      <w:color w:val="595959"/>
      <w:spacing w:val="15"/>
      <w:sz w:val="28"/>
      <w:szCs w:val="28"/>
    </w:rPr>
  </w:style>
  <w:style w:type="paragraph" w:styleId="29">
    <w:name w:val="Quote"/>
    <w:basedOn w:val="1"/>
    <w:next w:val="1"/>
    <w:uiPriority w:val="0"/>
    <w:pPr>
      <w:spacing w:before="160"/>
      <w:jc w:val="center"/>
    </w:pPr>
    <w:rPr>
      <w:i/>
      <w:iCs/>
      <w:color w:val="404040"/>
    </w:rPr>
  </w:style>
  <w:style w:type="character" w:customStyle="1" w:styleId="30">
    <w:name w:val="Quote Char"/>
    <w:basedOn w:val="11"/>
    <w:uiPriority w:val="0"/>
    <w:rPr>
      <w:i/>
      <w:iCs/>
      <w:color w:val="404040"/>
    </w:rPr>
  </w:style>
  <w:style w:type="paragraph" w:styleId="31">
    <w:name w:val="List Paragraph"/>
    <w:basedOn w:val="1"/>
    <w:uiPriority w:val="0"/>
    <w:pPr>
      <w:ind w:left="720"/>
      <w:contextualSpacing/>
    </w:pPr>
  </w:style>
  <w:style w:type="character" w:customStyle="1" w:styleId="32">
    <w:name w:val="Intense Emphasis"/>
    <w:basedOn w:val="11"/>
    <w:uiPriority w:val="0"/>
    <w:rPr>
      <w:i/>
      <w:iCs/>
      <w:color w:val="2F5496"/>
    </w:rPr>
  </w:style>
  <w:style w:type="paragraph" w:styleId="33">
    <w:name w:val="Intense Quote"/>
    <w:basedOn w:val="1"/>
    <w:next w:val="1"/>
    <w:uiPriority w:val="0"/>
    <w:pPr>
      <w:pBdr>
        <w:top w:val="single" w:color="2F5496" w:sz="4" w:space="10"/>
        <w:bottom w:val="single" w:color="2F5496" w:sz="4" w:space="10"/>
      </w:pBdr>
      <w:spacing w:before="360" w:after="360"/>
      <w:ind w:left="864" w:right="864"/>
      <w:jc w:val="center"/>
    </w:pPr>
    <w:rPr>
      <w:i/>
      <w:iCs/>
      <w:color w:val="2F5496"/>
    </w:rPr>
  </w:style>
  <w:style w:type="character" w:customStyle="1" w:styleId="34">
    <w:name w:val="Intense Quote Char"/>
    <w:basedOn w:val="11"/>
    <w:uiPriority w:val="0"/>
    <w:rPr>
      <w:i/>
      <w:iCs/>
      <w:color w:val="2F5496"/>
    </w:rPr>
  </w:style>
  <w:style w:type="character" w:customStyle="1" w:styleId="35">
    <w:name w:val="Intense Reference"/>
    <w:basedOn w:val="11"/>
    <w:uiPriority w:val="0"/>
    <w:rPr>
      <w:b/>
      <w:bCs/>
      <w:smallCaps/>
      <w:color w:val="2F5496"/>
      <w:spacing w:val="5"/>
    </w:rPr>
  </w:style>
  <w:style w:type="character" w:customStyle="1" w:styleId="36">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319</Words>
  <Characters>2152</Characters>
  <Lines>163</Lines>
  <Paragraphs>45</Paragraphs>
  <TotalTime>7</TotalTime>
  <ScaleCrop>false</ScaleCrop>
  <LinksUpToDate>false</LinksUpToDate>
  <CharactersWithSpaces>2434</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2026-06-20T10:55:00Z</dcterms:created>
  <dc:creator>Vedant Viralkumar Patel</dc:creator>
  <cp:lastModifiedBy>Lenovo</cp:lastModifiedBy>
  <dcterms:modified xsi:type="dcterms:W3CDTF">2026-06-22T13:15:07Z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80769da6-6f97-4042-bb7c-af9579890396</vt:lpwstr>
  </property>
  <property fmtid="{D5CDD505-2E9C-101B-9397-08002B2CF9AE}" pid="3" name="KSOTemplateDocerSaveRecord">
    <vt:lpwstr>eyJoZGlkIjoiYTI5MWExNWMwY2FhMTlkZTJmOTdkOGUzZjUzZjBjNTEifQ==</vt:lpwstr>
  </property>
  <property fmtid="{D5CDD505-2E9C-101B-9397-08002B2CF9AE}" pid="4" name="KSOProductBuildVer">
    <vt:lpwstr>1033-12.1.0.26880</vt:lpwstr>
  </property>
  <property fmtid="{D5CDD505-2E9C-101B-9397-08002B2CF9AE}" pid="5" name="ICV">
    <vt:lpwstr>58D96A7461BD4208B1AD15D309E27D88_13</vt:lpwstr>
  </property>
</Properties>
</file>