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3BE56" w14:textId="77777777" w:rsidR="00C97C94" w:rsidRPr="00C97C94" w:rsidRDefault="00C97C94" w:rsidP="00C97C94">
      <w:pPr>
        <w:rPr>
          <w:rFonts w:ascii="Arial" w:hAnsi="Arial" w:cs="Arial"/>
          <w:b/>
          <w:bCs/>
          <w:sz w:val="36"/>
          <w:szCs w:val="36"/>
        </w:rPr>
      </w:pPr>
      <w:r w:rsidRPr="00C97C94">
        <w:rPr>
          <w:rFonts w:ascii="Arial" w:hAnsi="Arial" w:cs="Arial"/>
          <w:b/>
          <w:bCs/>
          <w:sz w:val="36"/>
          <w:szCs w:val="36"/>
        </w:rPr>
        <w:t xml:space="preserve">Expanded Report: Improving Managerial Effectiveness, Performance Management, and Organisational Culture at </w:t>
      </w:r>
      <w:proofErr w:type="spellStart"/>
      <w:r w:rsidRPr="00C97C94">
        <w:rPr>
          <w:rFonts w:ascii="Arial" w:hAnsi="Arial" w:cs="Arial"/>
          <w:b/>
          <w:bCs/>
          <w:sz w:val="36"/>
          <w:szCs w:val="36"/>
        </w:rPr>
        <w:t>BrightWave</w:t>
      </w:r>
      <w:proofErr w:type="spellEnd"/>
      <w:r w:rsidRPr="00C97C94">
        <w:rPr>
          <w:rFonts w:ascii="Arial" w:hAnsi="Arial" w:cs="Arial"/>
          <w:b/>
          <w:bCs/>
          <w:sz w:val="36"/>
          <w:szCs w:val="36"/>
        </w:rPr>
        <w:t xml:space="preserve"> Services Ltd</w:t>
      </w:r>
    </w:p>
    <w:p w14:paraId="3F1EE794" w14:textId="77777777" w:rsidR="00C97C94" w:rsidRDefault="00C97C94" w:rsidP="00C97C94">
      <w:pPr>
        <w:rPr>
          <w:rFonts w:ascii="Arial" w:hAnsi="Arial" w:cs="Arial"/>
          <w:b/>
          <w:bCs/>
          <w:sz w:val="24"/>
          <w:szCs w:val="24"/>
        </w:rPr>
      </w:pPr>
    </w:p>
    <w:p w14:paraId="63AA4AFC" w14:textId="77777777" w:rsidR="00C97C94" w:rsidRDefault="00C97C94" w:rsidP="00C97C94">
      <w:pPr>
        <w:rPr>
          <w:rFonts w:ascii="Arial" w:hAnsi="Arial" w:cs="Arial"/>
          <w:b/>
          <w:bCs/>
          <w:sz w:val="24"/>
          <w:szCs w:val="24"/>
        </w:rPr>
      </w:pPr>
    </w:p>
    <w:p w14:paraId="3410B1DD" w14:textId="77777777" w:rsidR="00C97C94" w:rsidRDefault="00C97C94" w:rsidP="00C97C94">
      <w:pPr>
        <w:rPr>
          <w:rFonts w:ascii="Arial" w:hAnsi="Arial" w:cs="Arial"/>
          <w:b/>
          <w:bCs/>
          <w:sz w:val="24"/>
          <w:szCs w:val="24"/>
        </w:rPr>
      </w:pPr>
    </w:p>
    <w:p w14:paraId="0F62998D" w14:textId="77777777" w:rsidR="00C97C94" w:rsidRDefault="00C97C94" w:rsidP="00C97C94">
      <w:pPr>
        <w:rPr>
          <w:rFonts w:ascii="Arial" w:hAnsi="Arial" w:cs="Arial"/>
          <w:b/>
          <w:bCs/>
          <w:sz w:val="24"/>
          <w:szCs w:val="24"/>
        </w:rPr>
      </w:pPr>
    </w:p>
    <w:p w14:paraId="04373376" w14:textId="77777777" w:rsidR="00C97C94" w:rsidRDefault="00C97C94" w:rsidP="00C97C94">
      <w:pPr>
        <w:rPr>
          <w:rFonts w:ascii="Arial" w:hAnsi="Arial" w:cs="Arial"/>
          <w:b/>
          <w:bCs/>
          <w:sz w:val="24"/>
          <w:szCs w:val="24"/>
        </w:rPr>
      </w:pPr>
    </w:p>
    <w:p w14:paraId="1EFEF6B5" w14:textId="77777777" w:rsidR="00C97C94" w:rsidRPr="00C97C94" w:rsidRDefault="00C97C94" w:rsidP="00C97C94">
      <w:pPr>
        <w:rPr>
          <w:rFonts w:ascii="Arial" w:hAnsi="Arial" w:cs="Arial"/>
          <w:b/>
          <w:bCs/>
          <w:sz w:val="24"/>
          <w:szCs w:val="24"/>
        </w:rPr>
      </w:pPr>
      <w:r>
        <w:rPr>
          <w:rFonts w:ascii="Arial" w:hAnsi="Arial" w:cs="Arial"/>
          <w:b/>
          <w:bCs/>
          <w:sz w:val="24"/>
          <w:szCs w:val="24"/>
        </w:rPr>
        <w:t xml:space="preserve">Module name: People Management </w:t>
      </w:r>
      <w:r w:rsidRPr="00C97C94">
        <w:rPr>
          <w:rFonts w:ascii="Arial" w:hAnsi="Arial" w:cs="Arial"/>
          <w:b/>
          <w:bCs/>
          <w:sz w:val="24"/>
          <w:szCs w:val="24"/>
        </w:rPr>
        <w:t>BMSW5010_SWAN</w:t>
      </w:r>
    </w:p>
    <w:p w14:paraId="735DF58A" w14:textId="77777777" w:rsidR="00C97C94" w:rsidRDefault="00C97C94" w:rsidP="00C97C94">
      <w:pPr>
        <w:rPr>
          <w:rFonts w:ascii="Arial" w:hAnsi="Arial" w:cs="Arial"/>
          <w:b/>
          <w:bCs/>
          <w:sz w:val="24"/>
          <w:szCs w:val="24"/>
        </w:rPr>
      </w:pPr>
      <w:r>
        <w:rPr>
          <w:rFonts w:ascii="Arial" w:hAnsi="Arial" w:cs="Arial"/>
          <w:b/>
          <w:bCs/>
          <w:sz w:val="24"/>
          <w:szCs w:val="24"/>
        </w:rPr>
        <w:t xml:space="preserve">Student name: Ionela Catalina Simion </w:t>
      </w:r>
    </w:p>
    <w:p w14:paraId="519DB9CA" w14:textId="77777777" w:rsidR="00C97C94" w:rsidRDefault="00C97C94" w:rsidP="00C97C94">
      <w:pPr>
        <w:rPr>
          <w:rFonts w:ascii="Arial" w:hAnsi="Arial" w:cs="Arial"/>
          <w:b/>
          <w:bCs/>
          <w:sz w:val="24"/>
          <w:szCs w:val="24"/>
        </w:rPr>
      </w:pPr>
      <w:r>
        <w:rPr>
          <w:rFonts w:ascii="Arial" w:hAnsi="Arial" w:cs="Arial"/>
          <w:b/>
          <w:bCs/>
          <w:sz w:val="24"/>
          <w:szCs w:val="24"/>
        </w:rPr>
        <w:t xml:space="preserve">Student </w:t>
      </w:r>
      <w:proofErr w:type="gramStart"/>
      <w:r>
        <w:rPr>
          <w:rFonts w:ascii="Arial" w:hAnsi="Arial" w:cs="Arial"/>
          <w:b/>
          <w:bCs/>
          <w:sz w:val="24"/>
          <w:szCs w:val="24"/>
        </w:rPr>
        <w:t>number :</w:t>
      </w:r>
      <w:proofErr w:type="gramEnd"/>
      <w:r>
        <w:rPr>
          <w:rFonts w:ascii="Arial" w:hAnsi="Arial" w:cs="Arial"/>
          <w:b/>
          <w:bCs/>
          <w:sz w:val="24"/>
          <w:szCs w:val="24"/>
        </w:rPr>
        <w:t xml:space="preserve"> 2227035</w:t>
      </w:r>
    </w:p>
    <w:p w14:paraId="11DF06FA" w14:textId="16A3D75A" w:rsidR="00C97C94" w:rsidRDefault="00C97C94" w:rsidP="00C97C94">
      <w:pPr>
        <w:rPr>
          <w:rFonts w:ascii="Arial" w:hAnsi="Arial" w:cs="Arial"/>
          <w:b/>
          <w:bCs/>
          <w:sz w:val="24"/>
          <w:szCs w:val="24"/>
        </w:rPr>
      </w:pPr>
    </w:p>
    <w:p w14:paraId="173137A1" w14:textId="77777777" w:rsidR="00C97C94" w:rsidRDefault="00C97C94" w:rsidP="00C97C94">
      <w:pPr>
        <w:rPr>
          <w:rFonts w:ascii="Arial" w:hAnsi="Arial" w:cs="Arial"/>
          <w:b/>
          <w:bCs/>
          <w:sz w:val="24"/>
          <w:szCs w:val="24"/>
        </w:rPr>
      </w:pPr>
    </w:p>
    <w:p w14:paraId="067C44DE" w14:textId="77777777" w:rsidR="00C97C94" w:rsidRDefault="00C97C94" w:rsidP="00C97C94">
      <w:pPr>
        <w:rPr>
          <w:rFonts w:ascii="Arial" w:hAnsi="Arial" w:cs="Arial"/>
          <w:b/>
          <w:bCs/>
          <w:sz w:val="24"/>
          <w:szCs w:val="24"/>
        </w:rPr>
      </w:pPr>
    </w:p>
    <w:p w14:paraId="5F379AD9" w14:textId="77777777" w:rsidR="00C97C94" w:rsidRDefault="00C97C94" w:rsidP="00C97C94">
      <w:pPr>
        <w:rPr>
          <w:rFonts w:ascii="Arial" w:hAnsi="Arial" w:cs="Arial"/>
          <w:b/>
          <w:bCs/>
          <w:sz w:val="24"/>
          <w:szCs w:val="24"/>
        </w:rPr>
      </w:pPr>
    </w:p>
    <w:p w14:paraId="6D87D5CA" w14:textId="77777777" w:rsidR="00C97C94" w:rsidRDefault="00C97C94" w:rsidP="00C97C94">
      <w:pPr>
        <w:rPr>
          <w:rFonts w:ascii="Arial" w:hAnsi="Arial" w:cs="Arial"/>
          <w:b/>
          <w:bCs/>
          <w:sz w:val="24"/>
          <w:szCs w:val="24"/>
        </w:rPr>
      </w:pPr>
    </w:p>
    <w:p w14:paraId="1779ABD4" w14:textId="77777777" w:rsidR="00C97C94" w:rsidRDefault="00C97C94" w:rsidP="00C97C94">
      <w:pPr>
        <w:rPr>
          <w:rFonts w:ascii="Arial" w:hAnsi="Arial" w:cs="Arial"/>
          <w:b/>
          <w:bCs/>
          <w:sz w:val="24"/>
          <w:szCs w:val="24"/>
        </w:rPr>
      </w:pPr>
    </w:p>
    <w:p w14:paraId="6F587AD7" w14:textId="77777777" w:rsidR="00C97C94" w:rsidRDefault="00C97C94" w:rsidP="00C97C94">
      <w:pPr>
        <w:rPr>
          <w:rFonts w:ascii="Arial" w:hAnsi="Arial" w:cs="Arial"/>
          <w:b/>
          <w:bCs/>
          <w:sz w:val="24"/>
          <w:szCs w:val="24"/>
        </w:rPr>
      </w:pPr>
    </w:p>
    <w:p w14:paraId="761AA1F6" w14:textId="77777777" w:rsidR="00C97C94" w:rsidRDefault="00C97C94" w:rsidP="00C97C94">
      <w:pPr>
        <w:rPr>
          <w:rFonts w:ascii="Arial" w:hAnsi="Arial" w:cs="Arial"/>
          <w:b/>
          <w:bCs/>
          <w:sz w:val="24"/>
          <w:szCs w:val="24"/>
        </w:rPr>
      </w:pPr>
    </w:p>
    <w:p w14:paraId="65DC0479" w14:textId="77777777" w:rsidR="00C97C94" w:rsidRDefault="00C97C94" w:rsidP="00C97C94">
      <w:pPr>
        <w:rPr>
          <w:rFonts w:ascii="Arial" w:hAnsi="Arial" w:cs="Arial"/>
          <w:b/>
          <w:bCs/>
          <w:sz w:val="24"/>
          <w:szCs w:val="24"/>
        </w:rPr>
      </w:pPr>
    </w:p>
    <w:p w14:paraId="738FB4B6" w14:textId="77777777" w:rsidR="00C97C94" w:rsidRDefault="00C97C94" w:rsidP="00C97C94">
      <w:pPr>
        <w:rPr>
          <w:rFonts w:ascii="Arial" w:hAnsi="Arial" w:cs="Arial"/>
          <w:b/>
          <w:bCs/>
          <w:sz w:val="24"/>
          <w:szCs w:val="24"/>
        </w:rPr>
      </w:pPr>
    </w:p>
    <w:p w14:paraId="0EA3CDE8" w14:textId="77777777" w:rsidR="00C97C94" w:rsidRDefault="00C97C94" w:rsidP="00C97C94">
      <w:pPr>
        <w:rPr>
          <w:rFonts w:ascii="Arial" w:hAnsi="Arial" w:cs="Arial"/>
          <w:b/>
          <w:bCs/>
          <w:sz w:val="24"/>
          <w:szCs w:val="24"/>
        </w:rPr>
      </w:pPr>
    </w:p>
    <w:p w14:paraId="6906BD20" w14:textId="77777777" w:rsidR="00C97C94" w:rsidRDefault="00C97C94" w:rsidP="00C97C94">
      <w:pPr>
        <w:rPr>
          <w:rFonts w:ascii="Arial" w:hAnsi="Arial" w:cs="Arial"/>
          <w:b/>
          <w:bCs/>
          <w:sz w:val="24"/>
          <w:szCs w:val="24"/>
        </w:rPr>
      </w:pPr>
    </w:p>
    <w:p w14:paraId="06D5437C" w14:textId="77777777" w:rsidR="00C97C94" w:rsidRDefault="00C97C94" w:rsidP="00C97C94">
      <w:pPr>
        <w:rPr>
          <w:rFonts w:ascii="Arial" w:hAnsi="Arial" w:cs="Arial"/>
          <w:b/>
          <w:bCs/>
          <w:sz w:val="24"/>
          <w:szCs w:val="24"/>
        </w:rPr>
      </w:pPr>
    </w:p>
    <w:p w14:paraId="68C5D5F3" w14:textId="77777777" w:rsidR="00C97C94" w:rsidRDefault="00C97C94" w:rsidP="00C97C94">
      <w:pPr>
        <w:rPr>
          <w:rFonts w:ascii="Arial" w:hAnsi="Arial" w:cs="Arial"/>
          <w:b/>
          <w:bCs/>
          <w:sz w:val="24"/>
          <w:szCs w:val="24"/>
        </w:rPr>
      </w:pPr>
    </w:p>
    <w:p w14:paraId="0DAC07A3" w14:textId="77777777" w:rsidR="00C97C94" w:rsidRDefault="00C97C94" w:rsidP="00C97C94">
      <w:pPr>
        <w:rPr>
          <w:rFonts w:ascii="Arial" w:hAnsi="Arial" w:cs="Arial"/>
          <w:b/>
          <w:bCs/>
          <w:sz w:val="24"/>
          <w:szCs w:val="24"/>
        </w:rPr>
      </w:pPr>
    </w:p>
    <w:p w14:paraId="6FD74006" w14:textId="77777777" w:rsidR="00C97C94" w:rsidRDefault="00C97C94" w:rsidP="00C97C94">
      <w:pPr>
        <w:rPr>
          <w:rFonts w:ascii="Arial" w:hAnsi="Arial" w:cs="Arial"/>
          <w:b/>
          <w:bCs/>
          <w:sz w:val="24"/>
          <w:szCs w:val="24"/>
        </w:rPr>
      </w:pPr>
    </w:p>
    <w:p w14:paraId="76B8EFEF" w14:textId="77777777" w:rsidR="00C97C94" w:rsidRDefault="00C97C94" w:rsidP="00C97C94">
      <w:pPr>
        <w:rPr>
          <w:rFonts w:ascii="Arial" w:hAnsi="Arial" w:cs="Arial"/>
          <w:b/>
          <w:bCs/>
          <w:sz w:val="24"/>
          <w:szCs w:val="24"/>
        </w:rPr>
      </w:pPr>
    </w:p>
    <w:p w14:paraId="4CD80275" w14:textId="77777777" w:rsidR="00C97C94" w:rsidRDefault="00C97C94" w:rsidP="00C97C94">
      <w:pPr>
        <w:rPr>
          <w:rFonts w:ascii="Arial" w:hAnsi="Arial" w:cs="Arial"/>
          <w:b/>
          <w:bCs/>
          <w:sz w:val="24"/>
          <w:szCs w:val="24"/>
        </w:rPr>
      </w:pPr>
    </w:p>
    <w:p w14:paraId="208389E3" w14:textId="77777777" w:rsidR="00C97C94" w:rsidRDefault="00C97C94" w:rsidP="00C97C94">
      <w:pPr>
        <w:rPr>
          <w:rFonts w:ascii="Arial" w:hAnsi="Arial" w:cs="Arial"/>
          <w:b/>
          <w:bCs/>
          <w:sz w:val="24"/>
          <w:szCs w:val="24"/>
        </w:rPr>
      </w:pPr>
    </w:p>
    <w:p w14:paraId="123B4D72" w14:textId="7B0C436C"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Executive Summary</w:t>
      </w:r>
    </w:p>
    <w:p w14:paraId="0816D394"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Services Ltd is a rapidly expanding facilities-management organisation operating across multiple public-sector sites in South Wales. Despite recent business growth, the company faces significant people-management challenges including high turnover, inconsistent supervisory capability, weak performance-management practices, and a task-driven organisational culture that limits innovation and employee engagement. These issues pose risks to service quality, employee retention, and future contract sustainability.</w:t>
      </w:r>
    </w:p>
    <w:p w14:paraId="6EBF7AFA"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This report analyses the managerial roles, skills, and behaviours required for effective performance management and evaluates how organisational culture shapes management practice. Drawing on established HR and organisational-behaviour theories—including Herzberg’s Motivation–Hygiene Theory, McGregor’s Theory X and Theory Y, the AMO model, Psychological Contract Theory, Kolb’s Experiential Learning Cycle, and the Job Characteristics Model—the report highlights systemic factors contributing to </w:t>
      </w: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current challenges. Key issues identified include inadequate induction and development, supervisors’ reluctance to give constructive feedback, inconsistent workload allocation, limited employee autonomy, and cultural norms that prioritise efficiency over employee wellbeing.</w:t>
      </w:r>
    </w:p>
    <w:p w14:paraId="42DDBB16" w14:textId="77777777" w:rsidR="00C97C94" w:rsidRPr="00C97C94" w:rsidRDefault="00C97C94" w:rsidP="00C97C94">
      <w:pPr>
        <w:rPr>
          <w:rFonts w:ascii="Arial" w:hAnsi="Arial" w:cs="Arial"/>
          <w:sz w:val="24"/>
          <w:szCs w:val="24"/>
        </w:rPr>
      </w:pPr>
      <w:r w:rsidRPr="00C97C94">
        <w:rPr>
          <w:rFonts w:ascii="Arial" w:hAnsi="Arial" w:cs="Arial"/>
          <w:sz w:val="24"/>
          <w:szCs w:val="24"/>
        </w:rPr>
        <w:t>The analysis shows that managerial capability has not kept pace with organisational expansion. Many supervisors have been promoted from operational roles without sufficient training in communication, coaching, conflict management, or emotional intelligence. This results in avoidance of difficult conversations, poor handling of performance problems, and low levels of psychological safety across teams. Organisational culture further reinforces these issues by rewarding task completion over people-focused leadership, leading to silo working, resistance to innovation, and diminished employee voice.</w:t>
      </w:r>
    </w:p>
    <w:p w14:paraId="4F5F14FB" w14:textId="77777777" w:rsidR="00C97C94" w:rsidRPr="00C97C94" w:rsidRDefault="00C97C94" w:rsidP="00C97C94">
      <w:pPr>
        <w:rPr>
          <w:rFonts w:ascii="Arial" w:hAnsi="Arial" w:cs="Arial"/>
          <w:sz w:val="24"/>
          <w:szCs w:val="24"/>
        </w:rPr>
      </w:pPr>
      <w:r w:rsidRPr="00C97C94">
        <w:rPr>
          <w:rFonts w:ascii="Arial" w:hAnsi="Arial" w:cs="Arial"/>
          <w:sz w:val="24"/>
          <w:szCs w:val="24"/>
        </w:rPr>
        <w:t>The report recommends a range of evidence-based actions to strengthen performance management, employee experience, and organisational culture. These include implementing a comprehensive management-development programme, introducing structured one-to-one meetings, developing clear competency frameworks, enhancing induction, and establishing impactful recognition and career-development pathways. To support culture change, the report proposes building a more collaborative and people-centred environment through leadership role modelling, cross-team communication, and strengthened fair-work practices.</w:t>
      </w:r>
    </w:p>
    <w:p w14:paraId="3436F332" w14:textId="77777777" w:rsidR="00C97C94" w:rsidRDefault="00C97C94" w:rsidP="00C97C94">
      <w:pPr>
        <w:rPr>
          <w:rFonts w:ascii="Arial" w:hAnsi="Arial" w:cs="Arial"/>
          <w:sz w:val="24"/>
          <w:szCs w:val="24"/>
        </w:rPr>
      </w:pPr>
      <w:r w:rsidRPr="00C97C94">
        <w:rPr>
          <w:rFonts w:ascii="Arial" w:hAnsi="Arial" w:cs="Arial"/>
          <w:sz w:val="24"/>
          <w:szCs w:val="24"/>
        </w:rPr>
        <w:t xml:space="preserve">Overall, this report concludes that investing in managerial capability and shifting towards a more supportive, developmental culture will significantly enhance service quality, employee wellbeing, retention, and long-term organisational sustainability. These changes will also strengthen </w:t>
      </w: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competitiveness in the public-sector market, enabling it to meet evolving expectations around fair work, workforce development, and social value</w:t>
      </w:r>
    </w:p>
    <w:p w14:paraId="52E1C87C" w14:textId="77777777" w:rsidR="00C97C94" w:rsidRDefault="00C97C94" w:rsidP="00C97C94">
      <w:pPr>
        <w:rPr>
          <w:rFonts w:ascii="Arial" w:hAnsi="Arial" w:cs="Arial"/>
          <w:sz w:val="24"/>
          <w:szCs w:val="24"/>
        </w:rPr>
      </w:pPr>
    </w:p>
    <w:p w14:paraId="1CC78989" w14:textId="77777777" w:rsidR="00C97C94" w:rsidRDefault="00C97C94" w:rsidP="00C97C94">
      <w:pPr>
        <w:rPr>
          <w:rFonts w:ascii="Arial" w:hAnsi="Arial" w:cs="Arial"/>
          <w:sz w:val="24"/>
          <w:szCs w:val="24"/>
        </w:rPr>
      </w:pPr>
    </w:p>
    <w:p w14:paraId="4B49C04F" w14:textId="3AD51D08" w:rsidR="00C97C94" w:rsidRPr="00C97C94" w:rsidRDefault="00C97C94" w:rsidP="00C97C94">
      <w:pPr>
        <w:rPr>
          <w:rFonts w:ascii="Arial" w:hAnsi="Arial" w:cs="Arial"/>
          <w:sz w:val="24"/>
          <w:szCs w:val="24"/>
        </w:rPr>
      </w:pPr>
      <w:r w:rsidRPr="00C97C94">
        <w:rPr>
          <w:rFonts w:ascii="Arial" w:hAnsi="Arial" w:cs="Arial"/>
          <w:b/>
          <w:bCs/>
          <w:sz w:val="24"/>
          <w:szCs w:val="24"/>
        </w:rPr>
        <w:lastRenderedPageBreak/>
        <w:t>1. Introduction</w:t>
      </w:r>
    </w:p>
    <w:p w14:paraId="67637315"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Services Ltd is a rapidly growing facilities-management organisation operating across South Wales, employing around 350 staff in cleaning, maintenance, and workplace-support functions. The organisation has achieved notable commercial success through securing new public-sector contracts; however, this expansion has simultaneously exposed underlying operational and people-management weaknesses. Staff surveys and exit interviews reveal persistent concerns: high voluntary turnover among frontline staff, low levels of employee engagement, inconsistent supervisory capability, gaps in performance-management practice, and a culture that prioritises task completion over relational and developmental leadership.</w:t>
      </w:r>
    </w:p>
    <w:p w14:paraId="6D42EB68"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Such challenges are not uncommon in fast-growing, labour-intensive service organisations, where operational demands often overshadow investment in managerial capability. However, for </w:t>
      </w:r>
      <w:proofErr w:type="spellStart"/>
      <w:r w:rsidRPr="00C97C94">
        <w:rPr>
          <w:rFonts w:ascii="Arial" w:hAnsi="Arial" w:cs="Arial"/>
          <w:sz w:val="24"/>
          <w:szCs w:val="24"/>
        </w:rPr>
        <w:t>BrightWave</w:t>
      </w:r>
      <w:proofErr w:type="spellEnd"/>
      <w:r w:rsidRPr="00C97C94">
        <w:rPr>
          <w:rFonts w:ascii="Arial" w:hAnsi="Arial" w:cs="Arial"/>
          <w:sz w:val="24"/>
          <w:szCs w:val="24"/>
        </w:rPr>
        <w:t>, the implications are particularly significant. Public-sector clients increasingly evaluate contractors not only on service delivery but on fair-work practices, employee wellbeing, and workforce sustainability. Failing to strengthen management practices therefore threatens both service quality and contract retention.</w:t>
      </w:r>
    </w:p>
    <w:p w14:paraId="3B4DDB82"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This report evaluates the roles and skills managers require to effectively manage performance at </w:t>
      </w:r>
      <w:proofErr w:type="spellStart"/>
      <w:r w:rsidRPr="00C97C94">
        <w:rPr>
          <w:rFonts w:ascii="Arial" w:hAnsi="Arial" w:cs="Arial"/>
          <w:sz w:val="24"/>
          <w:szCs w:val="24"/>
        </w:rPr>
        <w:t>BrightWave</w:t>
      </w:r>
      <w:proofErr w:type="spellEnd"/>
      <w:r w:rsidRPr="00C97C94">
        <w:rPr>
          <w:rFonts w:ascii="Arial" w:hAnsi="Arial" w:cs="Arial"/>
          <w:sz w:val="24"/>
          <w:szCs w:val="24"/>
        </w:rPr>
        <w:t>, applies key people-management theories to diagnose the root causes of current issues, analyses how organisational culture influences managerial behaviour, and provides evidence-based recommendations to enhance performance, retention, productivity, and organisational sustainability.</w:t>
      </w:r>
    </w:p>
    <w:p w14:paraId="34EAE544" w14:textId="21890EF2" w:rsidR="00C97C94" w:rsidRPr="00C97C94" w:rsidRDefault="00C97C94" w:rsidP="00C97C94">
      <w:pPr>
        <w:rPr>
          <w:rFonts w:ascii="Arial" w:hAnsi="Arial" w:cs="Arial"/>
          <w:sz w:val="24"/>
          <w:szCs w:val="24"/>
        </w:rPr>
      </w:pPr>
    </w:p>
    <w:p w14:paraId="05C2B6AA" w14:textId="77777777" w:rsidR="00C97C94" w:rsidRDefault="00C97C94" w:rsidP="00C97C94">
      <w:pPr>
        <w:rPr>
          <w:rFonts w:ascii="Arial" w:hAnsi="Arial" w:cs="Arial"/>
          <w:b/>
          <w:bCs/>
          <w:sz w:val="24"/>
          <w:szCs w:val="24"/>
        </w:rPr>
      </w:pPr>
    </w:p>
    <w:p w14:paraId="337C477C" w14:textId="77777777" w:rsidR="00C97C94" w:rsidRDefault="00C97C94" w:rsidP="00C97C94">
      <w:pPr>
        <w:rPr>
          <w:rFonts w:ascii="Arial" w:hAnsi="Arial" w:cs="Arial"/>
          <w:b/>
          <w:bCs/>
          <w:sz w:val="24"/>
          <w:szCs w:val="24"/>
        </w:rPr>
      </w:pPr>
    </w:p>
    <w:p w14:paraId="47007EB9" w14:textId="77777777" w:rsidR="00C97C94" w:rsidRDefault="00C97C94" w:rsidP="00C97C94">
      <w:pPr>
        <w:rPr>
          <w:rFonts w:ascii="Arial" w:hAnsi="Arial" w:cs="Arial"/>
          <w:b/>
          <w:bCs/>
          <w:sz w:val="24"/>
          <w:szCs w:val="24"/>
        </w:rPr>
      </w:pPr>
    </w:p>
    <w:p w14:paraId="1B29C880" w14:textId="77777777" w:rsidR="00C97C94" w:rsidRDefault="00C97C94" w:rsidP="00C97C94">
      <w:pPr>
        <w:rPr>
          <w:rFonts w:ascii="Arial" w:hAnsi="Arial" w:cs="Arial"/>
          <w:b/>
          <w:bCs/>
          <w:sz w:val="24"/>
          <w:szCs w:val="24"/>
        </w:rPr>
      </w:pPr>
    </w:p>
    <w:p w14:paraId="1A5A572E" w14:textId="77777777" w:rsidR="00C97C94" w:rsidRDefault="00C97C94" w:rsidP="00C97C94">
      <w:pPr>
        <w:rPr>
          <w:rFonts w:ascii="Arial" w:hAnsi="Arial" w:cs="Arial"/>
          <w:b/>
          <w:bCs/>
          <w:sz w:val="24"/>
          <w:szCs w:val="24"/>
        </w:rPr>
      </w:pPr>
    </w:p>
    <w:p w14:paraId="252DD2A6" w14:textId="77777777" w:rsidR="00C97C94" w:rsidRDefault="00C97C94" w:rsidP="00C97C94">
      <w:pPr>
        <w:rPr>
          <w:rFonts w:ascii="Arial" w:hAnsi="Arial" w:cs="Arial"/>
          <w:b/>
          <w:bCs/>
          <w:sz w:val="24"/>
          <w:szCs w:val="24"/>
        </w:rPr>
      </w:pPr>
    </w:p>
    <w:p w14:paraId="3F1A0E28" w14:textId="77777777" w:rsidR="00C97C94" w:rsidRDefault="00C97C94" w:rsidP="00C97C94">
      <w:pPr>
        <w:rPr>
          <w:rFonts w:ascii="Arial" w:hAnsi="Arial" w:cs="Arial"/>
          <w:b/>
          <w:bCs/>
          <w:sz w:val="24"/>
          <w:szCs w:val="24"/>
        </w:rPr>
      </w:pPr>
    </w:p>
    <w:p w14:paraId="7508589D" w14:textId="77777777" w:rsidR="00C97C94" w:rsidRDefault="00C97C94" w:rsidP="00C97C94">
      <w:pPr>
        <w:rPr>
          <w:rFonts w:ascii="Arial" w:hAnsi="Arial" w:cs="Arial"/>
          <w:b/>
          <w:bCs/>
          <w:sz w:val="24"/>
          <w:szCs w:val="24"/>
        </w:rPr>
      </w:pPr>
    </w:p>
    <w:p w14:paraId="17B09B7F" w14:textId="77777777" w:rsidR="00C97C94" w:rsidRDefault="00C97C94" w:rsidP="00C97C94">
      <w:pPr>
        <w:rPr>
          <w:rFonts w:ascii="Arial" w:hAnsi="Arial" w:cs="Arial"/>
          <w:b/>
          <w:bCs/>
          <w:sz w:val="24"/>
          <w:szCs w:val="24"/>
        </w:rPr>
      </w:pPr>
    </w:p>
    <w:p w14:paraId="4E5A85A0" w14:textId="77777777" w:rsidR="00C97C94" w:rsidRDefault="00C97C94" w:rsidP="00C97C94">
      <w:pPr>
        <w:rPr>
          <w:rFonts w:ascii="Arial" w:hAnsi="Arial" w:cs="Arial"/>
          <w:b/>
          <w:bCs/>
          <w:sz w:val="24"/>
          <w:szCs w:val="24"/>
        </w:rPr>
      </w:pPr>
    </w:p>
    <w:p w14:paraId="05EB0998" w14:textId="77777777" w:rsidR="00C97C94" w:rsidRDefault="00C97C94" w:rsidP="00C97C94">
      <w:pPr>
        <w:rPr>
          <w:rFonts w:ascii="Arial" w:hAnsi="Arial" w:cs="Arial"/>
          <w:b/>
          <w:bCs/>
          <w:sz w:val="24"/>
          <w:szCs w:val="24"/>
        </w:rPr>
      </w:pPr>
    </w:p>
    <w:p w14:paraId="1AD2154D" w14:textId="77777777" w:rsidR="00C97C94" w:rsidRDefault="00C97C94" w:rsidP="00C97C94">
      <w:pPr>
        <w:rPr>
          <w:rFonts w:ascii="Arial" w:hAnsi="Arial" w:cs="Arial"/>
          <w:b/>
          <w:bCs/>
          <w:sz w:val="24"/>
          <w:szCs w:val="24"/>
        </w:rPr>
      </w:pPr>
    </w:p>
    <w:p w14:paraId="61D367D6" w14:textId="77777777" w:rsidR="00C97C94" w:rsidRDefault="00C97C94" w:rsidP="00C97C94">
      <w:pPr>
        <w:rPr>
          <w:rFonts w:ascii="Arial" w:hAnsi="Arial" w:cs="Arial"/>
          <w:b/>
          <w:bCs/>
          <w:sz w:val="24"/>
          <w:szCs w:val="24"/>
        </w:rPr>
      </w:pPr>
    </w:p>
    <w:p w14:paraId="326A2FC8" w14:textId="06436BD4"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2. Roles and Skills Required by Managers to Effectively Manage Performance</w:t>
      </w:r>
    </w:p>
    <w:p w14:paraId="2EB7C979"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2.1 Role of Managers in Performance Management</w:t>
      </w:r>
    </w:p>
    <w:p w14:paraId="5BB8FB2D"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Performance management refers to the continuous process of planning, monitoring, reviewing, and improving individual and team performance (Armstrong &amp; Taylor, 2020). In </w:t>
      </w: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context—where employees are dispersed across client sites—first-line managers and supervisors play a critical role because of their daily interaction with frontline staff.</w:t>
      </w:r>
    </w:p>
    <w:p w14:paraId="6288CD7B"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The responsibilities of effective performance managers at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should include:</w:t>
      </w:r>
    </w:p>
    <w:p w14:paraId="353FC33F"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Setting clear goals and expectations</w:t>
      </w:r>
      <w:r w:rsidRPr="00C97C94">
        <w:rPr>
          <w:rFonts w:ascii="Arial" w:hAnsi="Arial" w:cs="Arial"/>
          <w:sz w:val="24"/>
          <w:szCs w:val="24"/>
        </w:rPr>
        <w:t xml:space="preserve"> aligned with service-level agreements (SLAs) and client specifications. Research indicates that employees are more motivated when they understand the purpose and standard of their work (Aguinis, 2019).</w:t>
      </w:r>
    </w:p>
    <w:p w14:paraId="6A322060"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Monitoring performance on an ongoing basis</w:t>
      </w:r>
      <w:r w:rsidRPr="00C97C94">
        <w:rPr>
          <w:rFonts w:ascii="Arial" w:hAnsi="Arial" w:cs="Arial"/>
          <w:sz w:val="24"/>
          <w:szCs w:val="24"/>
        </w:rPr>
        <w:t>, including site inspections, quality audits, and informal check-ins with staff. Continuous monitoring helps prevent minor issues from escalating.</w:t>
      </w:r>
    </w:p>
    <w:p w14:paraId="2010F093"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Providing timely, specific and constructive feedback</w:t>
      </w:r>
      <w:r w:rsidRPr="00C97C94">
        <w:rPr>
          <w:rFonts w:ascii="Arial" w:hAnsi="Arial" w:cs="Arial"/>
          <w:sz w:val="24"/>
          <w:szCs w:val="24"/>
        </w:rPr>
        <w:t xml:space="preserve"> (London, 2014). This includes both praise for good performance and guidance for improvement.</w:t>
      </w:r>
    </w:p>
    <w:p w14:paraId="44E9E7E2"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Supporting induction, learning, and skill development</w:t>
      </w:r>
      <w:r w:rsidRPr="00C97C94">
        <w:rPr>
          <w:rFonts w:ascii="Arial" w:hAnsi="Arial" w:cs="Arial"/>
          <w:sz w:val="24"/>
          <w:szCs w:val="24"/>
        </w:rPr>
        <w:t>, especially for new employees unfamiliar with equipment or service protocols.</w:t>
      </w:r>
    </w:p>
    <w:p w14:paraId="5C719095"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Ensuring fairness and consistency</w:t>
      </w:r>
      <w:r w:rsidRPr="00C97C94">
        <w:rPr>
          <w:rFonts w:ascii="Arial" w:hAnsi="Arial" w:cs="Arial"/>
          <w:sz w:val="24"/>
          <w:szCs w:val="24"/>
        </w:rPr>
        <w:t>, particularly in workload allocation and treatment of staff, reducing perceptions of bias.</w:t>
      </w:r>
    </w:p>
    <w:p w14:paraId="0BC488E9"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Addressing conflict and underperformance promptly</w:t>
      </w:r>
      <w:r w:rsidRPr="00C97C94">
        <w:rPr>
          <w:rFonts w:ascii="Arial" w:hAnsi="Arial" w:cs="Arial"/>
          <w:sz w:val="24"/>
          <w:szCs w:val="24"/>
        </w:rPr>
        <w:t>, using structured approaches such as informal chats, documented improvement plans, or mediation.</w:t>
      </w:r>
    </w:p>
    <w:p w14:paraId="0DC511E3" w14:textId="77777777" w:rsidR="00C97C94" w:rsidRPr="00C97C94" w:rsidRDefault="00C97C94" w:rsidP="00C97C94">
      <w:pPr>
        <w:numPr>
          <w:ilvl w:val="0"/>
          <w:numId w:val="1"/>
        </w:numPr>
        <w:rPr>
          <w:rFonts w:ascii="Arial" w:hAnsi="Arial" w:cs="Arial"/>
          <w:sz w:val="24"/>
          <w:szCs w:val="24"/>
        </w:rPr>
      </w:pPr>
      <w:r w:rsidRPr="00C97C94">
        <w:rPr>
          <w:rFonts w:ascii="Arial" w:hAnsi="Arial" w:cs="Arial"/>
          <w:b/>
          <w:bCs/>
          <w:sz w:val="24"/>
          <w:szCs w:val="24"/>
        </w:rPr>
        <w:t>Maintaining effective client relationships</w:t>
      </w:r>
      <w:r w:rsidRPr="00C97C94">
        <w:rPr>
          <w:rFonts w:ascii="Arial" w:hAnsi="Arial" w:cs="Arial"/>
          <w:sz w:val="24"/>
          <w:szCs w:val="24"/>
        </w:rPr>
        <w:t xml:space="preserve">, acting as the liaison between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and client representatives.</w:t>
      </w:r>
    </w:p>
    <w:p w14:paraId="5C4BF0A1"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However,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supervisors often focus more on administrative tasks—rota creation, absence logging, compliance paperwork—than on people-management responsibilities. The avoidance of difficult conversations leads to unresolved performance issues, contributing to reduced morale and service inconsistency. This gap between expected and enacted managerial roles reflects capability deficits and a culture that undervalues people-focused leadership.</w:t>
      </w:r>
    </w:p>
    <w:p w14:paraId="685B2F0C" w14:textId="7CE6138D" w:rsidR="00C97C94" w:rsidRPr="00C97C94" w:rsidRDefault="00C97C94" w:rsidP="00C97C94">
      <w:pPr>
        <w:rPr>
          <w:rFonts w:ascii="Arial" w:hAnsi="Arial" w:cs="Arial"/>
          <w:sz w:val="24"/>
          <w:szCs w:val="24"/>
        </w:rPr>
      </w:pPr>
    </w:p>
    <w:p w14:paraId="0D28C20B"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 Skills Required for Effective Performance Management</w:t>
      </w:r>
    </w:p>
    <w:p w14:paraId="6FA8DBF0"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2.2.1 Communication and Feedback Skills</w:t>
      </w:r>
    </w:p>
    <w:p w14:paraId="3C0A6C04"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Communication underpins effective performance management. Managers at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must be able to convey instructions clearly, actively listen to employee </w:t>
      </w:r>
      <w:r w:rsidRPr="00C97C94">
        <w:rPr>
          <w:rFonts w:ascii="Arial" w:hAnsi="Arial" w:cs="Arial"/>
          <w:sz w:val="24"/>
          <w:szCs w:val="24"/>
        </w:rPr>
        <w:lastRenderedPageBreak/>
        <w:t>concerns, and provide feedback using behaviour-based language (Hargie, 2016). Frontline roles often involve diverse staff groups with varying levels of English fluency; therefore, clarity, patience, and cultural sensitivity are essential. Supervisors’ discomfort in giving constructive feedback indicates insufficient training, which results in performance issues being ignored until they become severe.</w:t>
      </w:r>
    </w:p>
    <w:p w14:paraId="76DEA998"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2.2.2 Coaching and Development Skills</w:t>
      </w:r>
    </w:p>
    <w:p w14:paraId="571D2BBF"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Coaching improves employee capability, confidence, and engagement (Whitmore, 2017). Effective supervisors encourage problem-solving, ask reflective questions, and provide opportunities for skill development. At </w:t>
      </w:r>
      <w:proofErr w:type="spellStart"/>
      <w:r w:rsidRPr="00C97C94">
        <w:rPr>
          <w:rFonts w:ascii="Arial" w:hAnsi="Arial" w:cs="Arial"/>
          <w:sz w:val="24"/>
          <w:szCs w:val="24"/>
        </w:rPr>
        <w:t>BrightWave</w:t>
      </w:r>
      <w:proofErr w:type="spellEnd"/>
      <w:r w:rsidRPr="00C97C94">
        <w:rPr>
          <w:rFonts w:ascii="Arial" w:hAnsi="Arial" w:cs="Arial"/>
          <w:sz w:val="24"/>
          <w:szCs w:val="24"/>
        </w:rPr>
        <w:t>, many supervisors were promoted from operational roles with limited preparation, meaning they lack coaching techniques such as goal setting, action planning, and reflective practice. Without coaching capability, supervisors cannot develop staff autonomously, resulting in over-reliance on managers to solve routine problems.</w:t>
      </w:r>
    </w:p>
    <w:p w14:paraId="15241E39"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2.2.3 Emotional Intelligence (EI)</w:t>
      </w:r>
    </w:p>
    <w:p w14:paraId="25A83066"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Goleman (1998) highlights that emotionally intelligent managers can regulate their emotions, empathise with staff, and build strong working relationships. EI is particularly important in low-paid, physically demanding roles where employees may experience fatigue, stress, or limited job autonomy. Supervisors with high EI are better able to motivate staff, de-escalate conflict, and maintain a positive team atmosphere, all of which are currently areas of weakness at </w:t>
      </w:r>
      <w:proofErr w:type="spellStart"/>
      <w:r w:rsidRPr="00C97C94">
        <w:rPr>
          <w:rFonts w:ascii="Arial" w:hAnsi="Arial" w:cs="Arial"/>
          <w:sz w:val="24"/>
          <w:szCs w:val="24"/>
        </w:rPr>
        <w:t>BrightWave</w:t>
      </w:r>
      <w:proofErr w:type="spellEnd"/>
      <w:r w:rsidRPr="00C97C94">
        <w:rPr>
          <w:rFonts w:ascii="Arial" w:hAnsi="Arial" w:cs="Arial"/>
          <w:sz w:val="24"/>
          <w:szCs w:val="24"/>
        </w:rPr>
        <w:t>.</w:t>
      </w:r>
    </w:p>
    <w:p w14:paraId="40557BAB"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2.2.4 Conflict Management and Difficult Conversations</w:t>
      </w:r>
    </w:p>
    <w:p w14:paraId="2A7614F5"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Conflict is inevitable in dispersed teams, especially when workloads are heavy and resources limited. Managers require confidence in handling both informal disputes and structured conversations relating to underperformance (Rollinson, 2017). Models such as DESC (Describe–Express–Specify–Consequence) or SBI (Situation–Behaviour–Impact) help managers remain objective.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supervisors often avoid conflict, allowing issues to intensify, damaging trust and team cohesion.</w:t>
      </w:r>
    </w:p>
    <w:p w14:paraId="0F0EB993"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2.2.5 Fair Workload Planning</w:t>
      </w:r>
    </w:p>
    <w:p w14:paraId="42F1E337"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Effective workload management requires supervisors to allocate tasks transparently, based on skill, availability, and fairness (Boxall &amp; Purcell, 2016). Reports from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staff indicate perceptions of inequitable task allocation and rota changes without consultation. These issues contribute to psychological contract breaches and declining morale.</w:t>
      </w:r>
    </w:p>
    <w:p w14:paraId="54A69244"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2.2.6 Client Relationship and Service Quality Skills</w:t>
      </w:r>
    </w:p>
    <w:p w14:paraId="15461A04"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Frontline managers must balance the needs of employees with the expectations of clients. This includes understanding contract requirements, responding to client concerns, and communicating operational realities to staff (Bratton &amp; Gold, 2017). Weakness in this area at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has contributed to client feedback about inconsistent service and lack of communication.</w:t>
      </w:r>
    </w:p>
    <w:p w14:paraId="3D60C0BA" w14:textId="26AAAE1B" w:rsidR="00C97C94" w:rsidRPr="00C97C94" w:rsidRDefault="00C97C94" w:rsidP="00C97C94">
      <w:pPr>
        <w:rPr>
          <w:rFonts w:ascii="Arial" w:hAnsi="Arial" w:cs="Arial"/>
          <w:sz w:val="24"/>
          <w:szCs w:val="24"/>
        </w:rPr>
      </w:pPr>
    </w:p>
    <w:p w14:paraId="43CE7F07"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3. Application of People-Management Theories and Models</w:t>
      </w:r>
    </w:p>
    <w:p w14:paraId="63EC191D"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3.1 Herzberg’s Motivation–Hygiene Theory</w:t>
      </w:r>
    </w:p>
    <w:p w14:paraId="738C6B1D"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Herzberg (1968) differentiates between hygiene factors that prevent dissatisfaction (e.g., pay, conditions, job security) and motivators that actively promote satisfaction (e.g., recognition, achievement).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exhibits issues in both categories:</w:t>
      </w:r>
    </w:p>
    <w:p w14:paraId="6CF621DB" w14:textId="77777777" w:rsidR="00C97C94" w:rsidRPr="00C97C94" w:rsidRDefault="00C97C94" w:rsidP="00C97C94">
      <w:pPr>
        <w:numPr>
          <w:ilvl w:val="0"/>
          <w:numId w:val="2"/>
        </w:numPr>
        <w:rPr>
          <w:rFonts w:ascii="Arial" w:hAnsi="Arial" w:cs="Arial"/>
          <w:sz w:val="24"/>
          <w:szCs w:val="24"/>
        </w:rPr>
      </w:pPr>
      <w:r w:rsidRPr="00C97C94">
        <w:rPr>
          <w:rFonts w:ascii="Arial" w:hAnsi="Arial" w:cs="Arial"/>
          <w:b/>
          <w:bCs/>
          <w:sz w:val="24"/>
          <w:szCs w:val="24"/>
        </w:rPr>
        <w:t>Hygiene weaknesses:</w:t>
      </w:r>
      <w:r w:rsidRPr="00C97C94">
        <w:rPr>
          <w:rFonts w:ascii="Arial" w:hAnsi="Arial" w:cs="Arial"/>
          <w:sz w:val="24"/>
          <w:szCs w:val="24"/>
        </w:rPr>
        <w:t xml:space="preserve"> low pay relative to workload, insufficient induction, inconsistent schedules, and poor equipment reliability.</w:t>
      </w:r>
    </w:p>
    <w:p w14:paraId="397DC52C" w14:textId="77777777" w:rsidR="00C97C94" w:rsidRPr="00C97C94" w:rsidRDefault="00C97C94" w:rsidP="00C97C94">
      <w:pPr>
        <w:numPr>
          <w:ilvl w:val="0"/>
          <w:numId w:val="2"/>
        </w:numPr>
        <w:rPr>
          <w:rFonts w:ascii="Arial" w:hAnsi="Arial" w:cs="Arial"/>
          <w:sz w:val="24"/>
          <w:szCs w:val="24"/>
        </w:rPr>
      </w:pPr>
      <w:r w:rsidRPr="00C97C94">
        <w:rPr>
          <w:rFonts w:ascii="Arial" w:hAnsi="Arial" w:cs="Arial"/>
          <w:b/>
          <w:bCs/>
          <w:sz w:val="24"/>
          <w:szCs w:val="24"/>
        </w:rPr>
        <w:t>Motivator deficiencies:</w:t>
      </w:r>
      <w:r w:rsidRPr="00C97C94">
        <w:rPr>
          <w:rFonts w:ascii="Arial" w:hAnsi="Arial" w:cs="Arial"/>
          <w:sz w:val="24"/>
          <w:szCs w:val="24"/>
        </w:rPr>
        <w:t xml:space="preserve"> limited praise, lack of professional development, and absence of career progression pathways.</w:t>
      </w:r>
    </w:p>
    <w:p w14:paraId="2901F124" w14:textId="77777777" w:rsidR="00C97C94" w:rsidRPr="00C97C94" w:rsidRDefault="00C97C94" w:rsidP="00C97C94">
      <w:pPr>
        <w:rPr>
          <w:rFonts w:ascii="Arial" w:hAnsi="Arial" w:cs="Arial"/>
          <w:sz w:val="24"/>
          <w:szCs w:val="24"/>
        </w:rPr>
      </w:pPr>
      <w:r w:rsidRPr="00C97C94">
        <w:rPr>
          <w:rFonts w:ascii="Arial" w:hAnsi="Arial" w:cs="Arial"/>
          <w:sz w:val="24"/>
          <w:szCs w:val="24"/>
        </w:rPr>
        <w:t>Addressing hygiene factors alone will not generate motivation, but failing to address them contributes to the high turnover currently experienced.</w:t>
      </w:r>
    </w:p>
    <w:p w14:paraId="4A8CC8D8"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3.2 McGregor’s Theory X and Theory Y</w:t>
      </w:r>
    </w:p>
    <w:p w14:paraId="1601ED59"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management culture largely reflects </w:t>
      </w:r>
      <w:r w:rsidRPr="00C97C94">
        <w:rPr>
          <w:rFonts w:ascii="Arial" w:hAnsi="Arial" w:cs="Arial"/>
          <w:b/>
          <w:bCs/>
          <w:sz w:val="24"/>
          <w:szCs w:val="24"/>
        </w:rPr>
        <w:t>Theory X</w:t>
      </w:r>
      <w:r w:rsidRPr="00C97C94">
        <w:rPr>
          <w:rFonts w:ascii="Arial" w:hAnsi="Arial" w:cs="Arial"/>
          <w:sz w:val="24"/>
          <w:szCs w:val="24"/>
        </w:rPr>
        <w:t xml:space="preserve"> assumptions—employees are perceived as needing close supervision and being resistant to change (McGregor, 1960). This is evident in rigid scheduling, focus on compliance, and limited autonomy given to frontline staff. Moving toward </w:t>
      </w:r>
      <w:r w:rsidRPr="00C97C94">
        <w:rPr>
          <w:rFonts w:ascii="Arial" w:hAnsi="Arial" w:cs="Arial"/>
          <w:b/>
          <w:bCs/>
          <w:sz w:val="24"/>
          <w:szCs w:val="24"/>
        </w:rPr>
        <w:t>Theory Y</w:t>
      </w:r>
      <w:r w:rsidRPr="00C97C94">
        <w:rPr>
          <w:rFonts w:ascii="Arial" w:hAnsi="Arial" w:cs="Arial"/>
          <w:sz w:val="24"/>
          <w:szCs w:val="24"/>
        </w:rPr>
        <w:t>, where employees are trusted and empowered, could improve engagement, encourage innovation, and reduce supervisory workload.</w:t>
      </w:r>
    </w:p>
    <w:p w14:paraId="62FB31DE"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3.3 AMO Model (Ability–Motivation–Opportunity)</w:t>
      </w:r>
    </w:p>
    <w:p w14:paraId="59B4F6E0"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The AMO model states that effective performance requires </w:t>
      </w:r>
      <w:r w:rsidRPr="00C97C94">
        <w:rPr>
          <w:rFonts w:ascii="Arial" w:hAnsi="Arial" w:cs="Arial"/>
          <w:b/>
          <w:bCs/>
          <w:sz w:val="24"/>
          <w:szCs w:val="24"/>
        </w:rPr>
        <w:t>Ability</w:t>
      </w:r>
      <w:r w:rsidRPr="00C97C94">
        <w:rPr>
          <w:rFonts w:ascii="Arial" w:hAnsi="Arial" w:cs="Arial"/>
          <w:sz w:val="24"/>
          <w:szCs w:val="24"/>
        </w:rPr>
        <w:t xml:space="preserve">, </w:t>
      </w:r>
      <w:r w:rsidRPr="00C97C94">
        <w:rPr>
          <w:rFonts w:ascii="Arial" w:hAnsi="Arial" w:cs="Arial"/>
          <w:b/>
          <w:bCs/>
          <w:sz w:val="24"/>
          <w:szCs w:val="24"/>
        </w:rPr>
        <w:t>Motivation</w:t>
      </w:r>
      <w:r w:rsidRPr="00C97C94">
        <w:rPr>
          <w:rFonts w:ascii="Arial" w:hAnsi="Arial" w:cs="Arial"/>
          <w:sz w:val="24"/>
          <w:szCs w:val="24"/>
        </w:rPr>
        <w:t xml:space="preserve">, and </w:t>
      </w:r>
      <w:r w:rsidRPr="00C97C94">
        <w:rPr>
          <w:rFonts w:ascii="Arial" w:hAnsi="Arial" w:cs="Arial"/>
          <w:b/>
          <w:bCs/>
          <w:sz w:val="24"/>
          <w:szCs w:val="24"/>
        </w:rPr>
        <w:t>Opportunity</w:t>
      </w:r>
      <w:r w:rsidRPr="00C97C94">
        <w:rPr>
          <w:rFonts w:ascii="Arial" w:hAnsi="Arial" w:cs="Arial"/>
          <w:sz w:val="24"/>
          <w:szCs w:val="24"/>
        </w:rPr>
        <w:t xml:space="preserve"> (Appelbaum et al., 2000).</w:t>
      </w:r>
      <w:r w:rsidRPr="00C97C94">
        <w:rPr>
          <w:rFonts w:ascii="Arial" w:hAnsi="Arial" w:cs="Arial"/>
          <w:sz w:val="24"/>
          <w:szCs w:val="24"/>
        </w:rPr>
        <w:br/>
        <w:t xml:space="preserve">At </w:t>
      </w:r>
      <w:proofErr w:type="spellStart"/>
      <w:r w:rsidRPr="00C97C94">
        <w:rPr>
          <w:rFonts w:ascii="Arial" w:hAnsi="Arial" w:cs="Arial"/>
          <w:sz w:val="24"/>
          <w:szCs w:val="24"/>
        </w:rPr>
        <w:t>BrightWave</w:t>
      </w:r>
      <w:proofErr w:type="spellEnd"/>
      <w:r w:rsidRPr="00C97C94">
        <w:rPr>
          <w:rFonts w:ascii="Arial" w:hAnsi="Arial" w:cs="Arial"/>
          <w:sz w:val="24"/>
          <w:szCs w:val="24"/>
        </w:rPr>
        <w:t>:</w:t>
      </w:r>
    </w:p>
    <w:p w14:paraId="0E6FD86E" w14:textId="77777777" w:rsidR="00C97C94" w:rsidRPr="00C97C94" w:rsidRDefault="00C97C94" w:rsidP="00C97C94">
      <w:pPr>
        <w:numPr>
          <w:ilvl w:val="0"/>
          <w:numId w:val="3"/>
        </w:numPr>
        <w:rPr>
          <w:rFonts w:ascii="Arial" w:hAnsi="Arial" w:cs="Arial"/>
          <w:sz w:val="24"/>
          <w:szCs w:val="24"/>
        </w:rPr>
      </w:pPr>
      <w:r w:rsidRPr="00C97C94">
        <w:rPr>
          <w:rFonts w:ascii="Arial" w:hAnsi="Arial" w:cs="Arial"/>
          <w:b/>
          <w:bCs/>
          <w:sz w:val="24"/>
          <w:szCs w:val="24"/>
        </w:rPr>
        <w:t>Ability</w:t>
      </w:r>
      <w:r w:rsidRPr="00C97C94">
        <w:rPr>
          <w:rFonts w:ascii="Arial" w:hAnsi="Arial" w:cs="Arial"/>
          <w:sz w:val="24"/>
          <w:szCs w:val="24"/>
        </w:rPr>
        <w:t xml:space="preserve"> is undermined by inadequate induction and limited training for both staff and supervisors.</w:t>
      </w:r>
    </w:p>
    <w:p w14:paraId="73CE9A65" w14:textId="77777777" w:rsidR="00C97C94" w:rsidRPr="00C97C94" w:rsidRDefault="00C97C94" w:rsidP="00C97C94">
      <w:pPr>
        <w:numPr>
          <w:ilvl w:val="0"/>
          <w:numId w:val="3"/>
        </w:numPr>
        <w:rPr>
          <w:rFonts w:ascii="Arial" w:hAnsi="Arial" w:cs="Arial"/>
          <w:sz w:val="24"/>
          <w:szCs w:val="24"/>
        </w:rPr>
      </w:pPr>
      <w:r w:rsidRPr="00C97C94">
        <w:rPr>
          <w:rFonts w:ascii="Arial" w:hAnsi="Arial" w:cs="Arial"/>
          <w:b/>
          <w:bCs/>
          <w:sz w:val="24"/>
          <w:szCs w:val="24"/>
        </w:rPr>
        <w:t>Motivation</w:t>
      </w:r>
      <w:r w:rsidRPr="00C97C94">
        <w:rPr>
          <w:rFonts w:ascii="Arial" w:hAnsi="Arial" w:cs="Arial"/>
          <w:sz w:val="24"/>
          <w:szCs w:val="24"/>
        </w:rPr>
        <w:t xml:space="preserve"> is weakened by low recognition, inconsistent treatment, and limited growth opportunities.</w:t>
      </w:r>
    </w:p>
    <w:p w14:paraId="58061BDC" w14:textId="77777777" w:rsidR="00C97C94" w:rsidRPr="00C97C94" w:rsidRDefault="00C97C94" w:rsidP="00C97C94">
      <w:pPr>
        <w:numPr>
          <w:ilvl w:val="0"/>
          <w:numId w:val="3"/>
        </w:numPr>
        <w:rPr>
          <w:rFonts w:ascii="Arial" w:hAnsi="Arial" w:cs="Arial"/>
          <w:sz w:val="24"/>
          <w:szCs w:val="24"/>
        </w:rPr>
      </w:pPr>
      <w:r w:rsidRPr="00C97C94">
        <w:rPr>
          <w:rFonts w:ascii="Arial" w:hAnsi="Arial" w:cs="Arial"/>
          <w:b/>
          <w:bCs/>
          <w:sz w:val="24"/>
          <w:szCs w:val="24"/>
        </w:rPr>
        <w:t>Opportunity</w:t>
      </w:r>
      <w:r w:rsidRPr="00C97C94">
        <w:rPr>
          <w:rFonts w:ascii="Arial" w:hAnsi="Arial" w:cs="Arial"/>
          <w:sz w:val="24"/>
          <w:szCs w:val="24"/>
        </w:rPr>
        <w:t xml:space="preserve"> is restricted by rigid processes and lack of autonomy in decision-making.</w:t>
      </w:r>
    </w:p>
    <w:p w14:paraId="7D67BAD5" w14:textId="77777777" w:rsidR="00C97C94" w:rsidRPr="00C97C94" w:rsidRDefault="00C97C94" w:rsidP="00C97C94">
      <w:pPr>
        <w:rPr>
          <w:rFonts w:ascii="Arial" w:hAnsi="Arial" w:cs="Arial"/>
          <w:sz w:val="24"/>
          <w:szCs w:val="24"/>
        </w:rPr>
      </w:pPr>
      <w:r w:rsidRPr="00C97C94">
        <w:rPr>
          <w:rFonts w:ascii="Arial" w:hAnsi="Arial" w:cs="Arial"/>
          <w:sz w:val="24"/>
          <w:szCs w:val="24"/>
        </w:rPr>
        <w:t>This diagnostic model suggests that improving training, recognition, job design, and empowerment will enhance overall performance.</w:t>
      </w:r>
    </w:p>
    <w:p w14:paraId="0F777D82"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3.4 Psychological Contract Theory</w:t>
      </w:r>
    </w:p>
    <w:p w14:paraId="7616AF14"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The psychological contract refers to the unwritten expectations between employer and employee (Rousseau, 1995). Breaches—such as unclear roles, lack of communication, or unfulfilled promises of support—lead to disengagement, reduced trust, and increased turnover. Many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employees feel promises of fairness, support, and consistent supervision are not upheld, contributing to dissatisfaction.</w:t>
      </w:r>
    </w:p>
    <w:p w14:paraId="08175AF2" w14:textId="77777777" w:rsidR="00C97C94" w:rsidRDefault="00C97C94" w:rsidP="00C97C94">
      <w:pPr>
        <w:rPr>
          <w:rFonts w:ascii="Arial" w:hAnsi="Arial" w:cs="Arial"/>
          <w:b/>
          <w:bCs/>
          <w:sz w:val="24"/>
          <w:szCs w:val="24"/>
        </w:rPr>
      </w:pPr>
    </w:p>
    <w:p w14:paraId="5F477DB6" w14:textId="18C63CCE"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3.5 Kolb’s Experiential Learning Cycle</w:t>
      </w:r>
    </w:p>
    <w:p w14:paraId="54AE9B3D"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Kolb (1984) proposes that adults learn through a cycle of experience, reflection, conceptualisation, and experimentation. As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frequently promotes operational staff into supervisory roles, experiential learning is particularly valuable. Shadowing senior managers, reflective supervision logs, and mentoring would help new supervisors build competence through experience rather than relying solely on formal training.</w:t>
      </w:r>
    </w:p>
    <w:p w14:paraId="4986511F"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3.6 Job Characteristics Model</w:t>
      </w:r>
    </w:p>
    <w:p w14:paraId="40E2E38F"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Hackman and Oldham (1975) argue that motivation increases when work includes autonomy, skill variety, task significance, identity, and feedback. Many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roles lack these elements because tasks are routine and closely controlled. Managers can increase task significance by communicating the impact of their work (e.g., keeping schools clean and safe), thereby improving motivation.</w:t>
      </w:r>
    </w:p>
    <w:p w14:paraId="5B40C1DC" w14:textId="1D38CA04" w:rsidR="00C97C94" w:rsidRPr="00C97C94" w:rsidRDefault="00C97C94" w:rsidP="00C97C94">
      <w:pPr>
        <w:rPr>
          <w:rFonts w:ascii="Arial" w:hAnsi="Arial" w:cs="Arial"/>
          <w:sz w:val="24"/>
          <w:szCs w:val="24"/>
        </w:rPr>
      </w:pPr>
    </w:p>
    <w:p w14:paraId="7C1E0C9A" w14:textId="77777777" w:rsidR="00C97C94" w:rsidRDefault="00C97C94" w:rsidP="00C97C94">
      <w:pPr>
        <w:rPr>
          <w:rFonts w:ascii="Arial" w:hAnsi="Arial" w:cs="Arial"/>
          <w:b/>
          <w:bCs/>
          <w:sz w:val="24"/>
          <w:szCs w:val="24"/>
        </w:rPr>
      </w:pPr>
    </w:p>
    <w:p w14:paraId="6A14B968" w14:textId="77777777" w:rsidR="00C97C94" w:rsidRDefault="00C97C94" w:rsidP="00C97C94">
      <w:pPr>
        <w:rPr>
          <w:rFonts w:ascii="Arial" w:hAnsi="Arial" w:cs="Arial"/>
          <w:b/>
          <w:bCs/>
          <w:sz w:val="24"/>
          <w:szCs w:val="24"/>
        </w:rPr>
      </w:pPr>
    </w:p>
    <w:p w14:paraId="4E17738A" w14:textId="77777777" w:rsidR="00C97C94" w:rsidRDefault="00C97C94" w:rsidP="00C97C94">
      <w:pPr>
        <w:rPr>
          <w:rFonts w:ascii="Arial" w:hAnsi="Arial" w:cs="Arial"/>
          <w:b/>
          <w:bCs/>
          <w:sz w:val="24"/>
          <w:szCs w:val="24"/>
        </w:rPr>
      </w:pPr>
    </w:p>
    <w:p w14:paraId="60AE761D" w14:textId="77777777" w:rsidR="00C97C94" w:rsidRDefault="00C97C94" w:rsidP="00C97C94">
      <w:pPr>
        <w:rPr>
          <w:rFonts w:ascii="Arial" w:hAnsi="Arial" w:cs="Arial"/>
          <w:b/>
          <w:bCs/>
          <w:sz w:val="24"/>
          <w:szCs w:val="24"/>
        </w:rPr>
      </w:pPr>
    </w:p>
    <w:p w14:paraId="421D93A9" w14:textId="77777777" w:rsidR="00C97C94" w:rsidRDefault="00C97C94" w:rsidP="00C97C94">
      <w:pPr>
        <w:rPr>
          <w:rFonts w:ascii="Arial" w:hAnsi="Arial" w:cs="Arial"/>
          <w:b/>
          <w:bCs/>
          <w:sz w:val="24"/>
          <w:szCs w:val="24"/>
        </w:rPr>
      </w:pPr>
    </w:p>
    <w:p w14:paraId="1094FA20" w14:textId="77777777" w:rsidR="00C97C94" w:rsidRDefault="00C97C94" w:rsidP="00C97C94">
      <w:pPr>
        <w:rPr>
          <w:rFonts w:ascii="Arial" w:hAnsi="Arial" w:cs="Arial"/>
          <w:b/>
          <w:bCs/>
          <w:sz w:val="24"/>
          <w:szCs w:val="24"/>
        </w:rPr>
      </w:pPr>
    </w:p>
    <w:p w14:paraId="106E6884" w14:textId="77777777" w:rsidR="00C97C94" w:rsidRDefault="00C97C94" w:rsidP="00C97C94">
      <w:pPr>
        <w:rPr>
          <w:rFonts w:ascii="Arial" w:hAnsi="Arial" w:cs="Arial"/>
          <w:b/>
          <w:bCs/>
          <w:sz w:val="24"/>
          <w:szCs w:val="24"/>
        </w:rPr>
      </w:pPr>
    </w:p>
    <w:p w14:paraId="4D527A37" w14:textId="77777777" w:rsidR="00C97C94" w:rsidRDefault="00C97C94" w:rsidP="00C97C94">
      <w:pPr>
        <w:rPr>
          <w:rFonts w:ascii="Arial" w:hAnsi="Arial" w:cs="Arial"/>
          <w:b/>
          <w:bCs/>
          <w:sz w:val="24"/>
          <w:szCs w:val="24"/>
        </w:rPr>
      </w:pPr>
    </w:p>
    <w:p w14:paraId="31AEFF00" w14:textId="77777777" w:rsidR="00C97C94" w:rsidRDefault="00C97C94" w:rsidP="00C97C94">
      <w:pPr>
        <w:rPr>
          <w:rFonts w:ascii="Arial" w:hAnsi="Arial" w:cs="Arial"/>
          <w:b/>
          <w:bCs/>
          <w:sz w:val="24"/>
          <w:szCs w:val="24"/>
        </w:rPr>
      </w:pPr>
    </w:p>
    <w:p w14:paraId="48C3434D" w14:textId="77777777" w:rsidR="00C97C94" w:rsidRDefault="00C97C94" w:rsidP="00C97C94">
      <w:pPr>
        <w:rPr>
          <w:rFonts w:ascii="Arial" w:hAnsi="Arial" w:cs="Arial"/>
          <w:b/>
          <w:bCs/>
          <w:sz w:val="24"/>
          <w:szCs w:val="24"/>
        </w:rPr>
      </w:pPr>
    </w:p>
    <w:p w14:paraId="575B5C6D" w14:textId="77777777" w:rsidR="00C97C94" w:rsidRDefault="00C97C94" w:rsidP="00C97C94">
      <w:pPr>
        <w:rPr>
          <w:rFonts w:ascii="Arial" w:hAnsi="Arial" w:cs="Arial"/>
          <w:b/>
          <w:bCs/>
          <w:sz w:val="24"/>
          <w:szCs w:val="24"/>
        </w:rPr>
      </w:pPr>
    </w:p>
    <w:p w14:paraId="77086CFA" w14:textId="77777777" w:rsidR="00C97C94" w:rsidRDefault="00C97C94" w:rsidP="00C97C94">
      <w:pPr>
        <w:rPr>
          <w:rFonts w:ascii="Arial" w:hAnsi="Arial" w:cs="Arial"/>
          <w:b/>
          <w:bCs/>
          <w:sz w:val="24"/>
          <w:szCs w:val="24"/>
        </w:rPr>
      </w:pPr>
    </w:p>
    <w:p w14:paraId="3B5FFF30" w14:textId="77777777" w:rsidR="00C97C94" w:rsidRDefault="00C97C94" w:rsidP="00C97C94">
      <w:pPr>
        <w:rPr>
          <w:rFonts w:ascii="Arial" w:hAnsi="Arial" w:cs="Arial"/>
          <w:b/>
          <w:bCs/>
          <w:sz w:val="24"/>
          <w:szCs w:val="24"/>
        </w:rPr>
      </w:pPr>
    </w:p>
    <w:p w14:paraId="261A3434" w14:textId="77777777" w:rsidR="00C97C94" w:rsidRDefault="00C97C94" w:rsidP="00C97C94">
      <w:pPr>
        <w:rPr>
          <w:rFonts w:ascii="Arial" w:hAnsi="Arial" w:cs="Arial"/>
          <w:b/>
          <w:bCs/>
          <w:sz w:val="24"/>
          <w:szCs w:val="24"/>
        </w:rPr>
      </w:pPr>
    </w:p>
    <w:p w14:paraId="0FFA4AFD" w14:textId="77777777" w:rsidR="00C97C94" w:rsidRDefault="00C97C94" w:rsidP="00C97C94">
      <w:pPr>
        <w:rPr>
          <w:rFonts w:ascii="Arial" w:hAnsi="Arial" w:cs="Arial"/>
          <w:b/>
          <w:bCs/>
          <w:sz w:val="24"/>
          <w:szCs w:val="24"/>
        </w:rPr>
      </w:pPr>
    </w:p>
    <w:p w14:paraId="0C7C6D6A" w14:textId="77777777" w:rsidR="00C97C94" w:rsidRDefault="00C97C94" w:rsidP="00C97C94">
      <w:pPr>
        <w:rPr>
          <w:rFonts w:ascii="Arial" w:hAnsi="Arial" w:cs="Arial"/>
          <w:b/>
          <w:bCs/>
          <w:sz w:val="24"/>
          <w:szCs w:val="24"/>
        </w:rPr>
      </w:pPr>
    </w:p>
    <w:p w14:paraId="2E33DE5C" w14:textId="77777777" w:rsidR="00C97C94" w:rsidRDefault="00C97C94" w:rsidP="00C97C94">
      <w:pPr>
        <w:rPr>
          <w:rFonts w:ascii="Arial" w:hAnsi="Arial" w:cs="Arial"/>
          <w:b/>
          <w:bCs/>
          <w:sz w:val="24"/>
          <w:szCs w:val="24"/>
        </w:rPr>
      </w:pPr>
    </w:p>
    <w:p w14:paraId="1AEEA884" w14:textId="77777777" w:rsidR="00C97C94" w:rsidRDefault="00C97C94" w:rsidP="00C97C94">
      <w:pPr>
        <w:rPr>
          <w:rFonts w:ascii="Arial" w:hAnsi="Arial" w:cs="Arial"/>
          <w:b/>
          <w:bCs/>
          <w:sz w:val="24"/>
          <w:szCs w:val="24"/>
        </w:rPr>
      </w:pPr>
    </w:p>
    <w:p w14:paraId="78D7D625" w14:textId="77777777" w:rsidR="00C97C94" w:rsidRDefault="00C97C94" w:rsidP="00C97C94">
      <w:pPr>
        <w:rPr>
          <w:rFonts w:ascii="Arial" w:hAnsi="Arial" w:cs="Arial"/>
          <w:b/>
          <w:bCs/>
          <w:sz w:val="24"/>
          <w:szCs w:val="24"/>
        </w:rPr>
      </w:pPr>
    </w:p>
    <w:p w14:paraId="15B9D389" w14:textId="77777777" w:rsidR="00C97C94" w:rsidRDefault="00C97C94" w:rsidP="00C97C94">
      <w:pPr>
        <w:rPr>
          <w:rFonts w:ascii="Arial" w:hAnsi="Arial" w:cs="Arial"/>
          <w:b/>
          <w:bCs/>
          <w:sz w:val="24"/>
          <w:szCs w:val="24"/>
        </w:rPr>
      </w:pPr>
    </w:p>
    <w:p w14:paraId="5E59F7C0" w14:textId="14F4F6B4"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4. Influence of Organisational Culture on People-Management Practices</w:t>
      </w:r>
    </w:p>
    <w:p w14:paraId="3C8270FE"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4.1 Efficiency-Driven Culture</w:t>
      </w:r>
    </w:p>
    <w:p w14:paraId="73359DDB"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culture emphasises efficiency, compliance, and meeting numerical targets, which aligns with Schein’s (2017) concept of an organisation driven by underlying assumptions about productivity. While efficiency is necessary in facilities management, overemphasis results in managers prioritising administrative tasks over people management.</w:t>
      </w:r>
    </w:p>
    <w:p w14:paraId="6AF5D5BD"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4.2 Resistance to Innovation</w:t>
      </w:r>
    </w:p>
    <w:p w14:paraId="7415A52C"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Cameron and Quinn’s (2011) Competing Values Framework indicates that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leans toward a hierarchical culture—stability, control, and rules—rather than an innovative or collaborative one. As a result, employees may feel discouraged from suggesting improvements, contributing to stagnation and frustration.</w:t>
      </w:r>
    </w:p>
    <w:p w14:paraId="7D6E9060"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4.3 Silo Working and Weak Collaboration</w:t>
      </w:r>
    </w:p>
    <w:p w14:paraId="15A5BBC6"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Different teams within </w:t>
      </w: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operate independently with limited information sharing. This mirrors Deal and Kennedy’s (2000) observations on fragmented cultures leading to inconsistent practices and reduced organisational learning.</w:t>
      </w:r>
    </w:p>
    <w:p w14:paraId="12214904"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4.4 Limited Psychological Safety</w:t>
      </w:r>
    </w:p>
    <w:p w14:paraId="21FAC6C4" w14:textId="77777777" w:rsidR="00C97C94" w:rsidRPr="00C97C94" w:rsidRDefault="00C97C94" w:rsidP="00C97C94">
      <w:pPr>
        <w:rPr>
          <w:rFonts w:ascii="Arial" w:hAnsi="Arial" w:cs="Arial"/>
          <w:sz w:val="24"/>
          <w:szCs w:val="24"/>
        </w:rPr>
      </w:pPr>
      <w:r w:rsidRPr="00C97C94">
        <w:rPr>
          <w:rFonts w:ascii="Arial" w:hAnsi="Arial" w:cs="Arial"/>
          <w:sz w:val="24"/>
          <w:szCs w:val="24"/>
        </w:rPr>
        <w:t>Psychological safety is necessary for employees to voice concerns without fear (Edmondson, 1999). Avoidance of difficult conversations by managers signals that open dialogue is unwelcome, contributing to mistrust and low engagement.</w:t>
      </w:r>
    </w:p>
    <w:p w14:paraId="2CA81C67"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4.5 Leadership Role Modelling</w:t>
      </w:r>
    </w:p>
    <w:p w14:paraId="48567508" w14:textId="77777777" w:rsidR="00C97C94" w:rsidRPr="00C97C94" w:rsidRDefault="00C97C94" w:rsidP="00C97C94">
      <w:pPr>
        <w:rPr>
          <w:rFonts w:ascii="Arial" w:hAnsi="Arial" w:cs="Arial"/>
          <w:sz w:val="24"/>
          <w:szCs w:val="24"/>
        </w:rPr>
      </w:pPr>
      <w:r w:rsidRPr="00C97C94">
        <w:rPr>
          <w:rFonts w:ascii="Arial" w:hAnsi="Arial" w:cs="Arial"/>
          <w:sz w:val="24"/>
          <w:szCs w:val="24"/>
        </w:rPr>
        <w:t xml:space="preserve">Leadership behaviours reinforce organisational culture (Yukl, 2013). </w:t>
      </w:r>
      <w:proofErr w:type="spellStart"/>
      <w:r w:rsidRPr="00C97C94">
        <w:rPr>
          <w:rFonts w:ascii="Arial" w:hAnsi="Arial" w:cs="Arial"/>
          <w:sz w:val="24"/>
          <w:szCs w:val="24"/>
        </w:rPr>
        <w:t>BrightWave’s</w:t>
      </w:r>
      <w:proofErr w:type="spellEnd"/>
      <w:r w:rsidRPr="00C97C94">
        <w:rPr>
          <w:rFonts w:ascii="Arial" w:hAnsi="Arial" w:cs="Arial"/>
          <w:sz w:val="24"/>
          <w:szCs w:val="24"/>
        </w:rPr>
        <w:t xml:space="preserve"> senior leaders frequently present themselves as “results-focused,” unintentionally signalling that people management is secondary. This reduces the perceived value of coaching, recognition, and employee development.</w:t>
      </w:r>
    </w:p>
    <w:p w14:paraId="37D4970A" w14:textId="531D1198" w:rsidR="00C97C94" w:rsidRPr="00C97C94" w:rsidRDefault="00C97C94" w:rsidP="00C97C94">
      <w:pPr>
        <w:rPr>
          <w:rFonts w:ascii="Arial" w:hAnsi="Arial" w:cs="Arial"/>
          <w:sz w:val="24"/>
          <w:szCs w:val="24"/>
        </w:rPr>
      </w:pPr>
    </w:p>
    <w:p w14:paraId="02056631" w14:textId="77777777" w:rsidR="00C97C94" w:rsidRDefault="00C97C94" w:rsidP="00C97C94">
      <w:pPr>
        <w:rPr>
          <w:rFonts w:ascii="Arial" w:hAnsi="Arial" w:cs="Arial"/>
          <w:b/>
          <w:bCs/>
          <w:sz w:val="24"/>
          <w:szCs w:val="24"/>
        </w:rPr>
      </w:pPr>
    </w:p>
    <w:p w14:paraId="151706CB" w14:textId="77777777" w:rsidR="00C97C94" w:rsidRDefault="00C97C94" w:rsidP="00C97C94">
      <w:pPr>
        <w:rPr>
          <w:rFonts w:ascii="Arial" w:hAnsi="Arial" w:cs="Arial"/>
          <w:b/>
          <w:bCs/>
          <w:sz w:val="24"/>
          <w:szCs w:val="24"/>
        </w:rPr>
      </w:pPr>
    </w:p>
    <w:p w14:paraId="69820DE0" w14:textId="77777777" w:rsidR="00C97C94" w:rsidRDefault="00C97C94" w:rsidP="00C97C94">
      <w:pPr>
        <w:rPr>
          <w:rFonts w:ascii="Arial" w:hAnsi="Arial" w:cs="Arial"/>
          <w:b/>
          <w:bCs/>
          <w:sz w:val="24"/>
          <w:szCs w:val="24"/>
        </w:rPr>
      </w:pPr>
    </w:p>
    <w:p w14:paraId="70E47179" w14:textId="77777777" w:rsidR="00C97C94" w:rsidRDefault="00C97C94" w:rsidP="00C97C94">
      <w:pPr>
        <w:rPr>
          <w:rFonts w:ascii="Arial" w:hAnsi="Arial" w:cs="Arial"/>
          <w:b/>
          <w:bCs/>
          <w:sz w:val="24"/>
          <w:szCs w:val="24"/>
        </w:rPr>
      </w:pPr>
    </w:p>
    <w:p w14:paraId="2A3E776D" w14:textId="77777777" w:rsidR="00C97C94" w:rsidRDefault="00C97C94" w:rsidP="00C97C94">
      <w:pPr>
        <w:rPr>
          <w:rFonts w:ascii="Arial" w:hAnsi="Arial" w:cs="Arial"/>
          <w:b/>
          <w:bCs/>
          <w:sz w:val="24"/>
          <w:szCs w:val="24"/>
        </w:rPr>
      </w:pPr>
    </w:p>
    <w:p w14:paraId="56FAB183" w14:textId="77777777" w:rsidR="00C97C94" w:rsidRDefault="00C97C94" w:rsidP="00C97C94">
      <w:pPr>
        <w:rPr>
          <w:rFonts w:ascii="Arial" w:hAnsi="Arial" w:cs="Arial"/>
          <w:b/>
          <w:bCs/>
          <w:sz w:val="24"/>
          <w:szCs w:val="24"/>
        </w:rPr>
      </w:pPr>
    </w:p>
    <w:p w14:paraId="377A0C74" w14:textId="77777777" w:rsidR="00C97C94" w:rsidRDefault="00C97C94" w:rsidP="00C97C94">
      <w:pPr>
        <w:rPr>
          <w:rFonts w:ascii="Arial" w:hAnsi="Arial" w:cs="Arial"/>
          <w:b/>
          <w:bCs/>
          <w:sz w:val="24"/>
          <w:szCs w:val="24"/>
        </w:rPr>
      </w:pPr>
    </w:p>
    <w:p w14:paraId="0BF35426" w14:textId="77777777" w:rsidR="00C97C94" w:rsidRDefault="00C97C94" w:rsidP="00C97C94">
      <w:pPr>
        <w:rPr>
          <w:rFonts w:ascii="Arial" w:hAnsi="Arial" w:cs="Arial"/>
          <w:b/>
          <w:bCs/>
          <w:sz w:val="24"/>
          <w:szCs w:val="24"/>
        </w:rPr>
      </w:pPr>
    </w:p>
    <w:p w14:paraId="5F7ED932" w14:textId="77777777" w:rsidR="00C97C94" w:rsidRDefault="00C97C94" w:rsidP="00C97C94">
      <w:pPr>
        <w:rPr>
          <w:rFonts w:ascii="Arial" w:hAnsi="Arial" w:cs="Arial"/>
          <w:b/>
          <w:bCs/>
          <w:sz w:val="24"/>
          <w:szCs w:val="24"/>
        </w:rPr>
      </w:pPr>
    </w:p>
    <w:p w14:paraId="71B31A05" w14:textId="0F1F5D41"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5. Evidence-Based Recommendations</w:t>
      </w:r>
    </w:p>
    <w:p w14:paraId="7EFA2547"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5.1 Develop Managerial Capability</w:t>
      </w:r>
    </w:p>
    <w:p w14:paraId="5D75118C"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5.1.1 Comprehensive Management Development Programme</w:t>
      </w:r>
    </w:p>
    <w:p w14:paraId="6F2F1254"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should introduce a structured programme covering communication skills, coaching techniques, emotional intelligence, conflict management, and performance-conversation frameworks. Integrating blended learning—e-learning, workshops, shadowing, and mentoring—will improve transfer of learning (CIPD, 2023).</w:t>
      </w:r>
    </w:p>
    <w:p w14:paraId="7BDF24FC"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5.1.2 Mentoring and Peer-Learning Groups</w:t>
      </w:r>
    </w:p>
    <w:p w14:paraId="3A9ADD25" w14:textId="77777777" w:rsidR="00C97C94" w:rsidRPr="00C97C94" w:rsidRDefault="00C97C94" w:rsidP="00C97C94">
      <w:pPr>
        <w:rPr>
          <w:rFonts w:ascii="Arial" w:hAnsi="Arial" w:cs="Arial"/>
          <w:sz w:val="24"/>
          <w:szCs w:val="24"/>
        </w:rPr>
      </w:pPr>
      <w:r w:rsidRPr="00C97C94">
        <w:rPr>
          <w:rFonts w:ascii="Arial" w:hAnsi="Arial" w:cs="Arial"/>
          <w:sz w:val="24"/>
          <w:szCs w:val="24"/>
        </w:rPr>
        <w:t>Pairing new supervisors with experienced mentors and creating communities of practice will support reflective learning, aligning with Kolb’s experiential-learning model.</w:t>
      </w:r>
    </w:p>
    <w:p w14:paraId="6222A92F" w14:textId="494ABC0D" w:rsidR="00C97C94" w:rsidRPr="00C97C94" w:rsidRDefault="00C97C94" w:rsidP="00C97C94">
      <w:pPr>
        <w:rPr>
          <w:rFonts w:ascii="Arial" w:hAnsi="Arial" w:cs="Arial"/>
          <w:sz w:val="24"/>
          <w:szCs w:val="24"/>
        </w:rPr>
      </w:pPr>
    </w:p>
    <w:p w14:paraId="66C15A9F"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5.2 Implement a Fair and Consistent Performance-Management System</w:t>
      </w:r>
    </w:p>
    <w:p w14:paraId="22BE6AD8"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5.2.1 Regular One-to-One Conversations</w:t>
      </w:r>
    </w:p>
    <w:p w14:paraId="7E159537" w14:textId="77777777" w:rsidR="00C97C94" w:rsidRPr="00C97C94" w:rsidRDefault="00C97C94" w:rsidP="00C97C94">
      <w:pPr>
        <w:rPr>
          <w:rFonts w:ascii="Arial" w:hAnsi="Arial" w:cs="Arial"/>
          <w:sz w:val="24"/>
          <w:szCs w:val="24"/>
        </w:rPr>
      </w:pPr>
      <w:r w:rsidRPr="00C97C94">
        <w:rPr>
          <w:rFonts w:ascii="Arial" w:hAnsi="Arial" w:cs="Arial"/>
          <w:sz w:val="24"/>
          <w:szCs w:val="24"/>
        </w:rPr>
        <w:t>Monthly check-ins focused on goals, wellbeing, and feedback will build stronger relationships and reduce performance surprises (</w:t>
      </w:r>
      <w:proofErr w:type="spellStart"/>
      <w:r w:rsidRPr="00C97C94">
        <w:rPr>
          <w:rFonts w:ascii="Arial" w:hAnsi="Arial" w:cs="Arial"/>
          <w:sz w:val="24"/>
          <w:szCs w:val="24"/>
        </w:rPr>
        <w:t>Aguinis</w:t>
      </w:r>
      <w:proofErr w:type="spellEnd"/>
      <w:r w:rsidRPr="00C97C94">
        <w:rPr>
          <w:rFonts w:ascii="Arial" w:hAnsi="Arial" w:cs="Arial"/>
          <w:sz w:val="24"/>
          <w:szCs w:val="24"/>
        </w:rPr>
        <w:t>, 2019).</w:t>
      </w:r>
    </w:p>
    <w:p w14:paraId="1D0A5A64"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5.2.2 Clear Standards and Competency Frameworks</w:t>
      </w:r>
    </w:p>
    <w:p w14:paraId="313A6819" w14:textId="77777777" w:rsidR="00C97C94" w:rsidRPr="00C97C94" w:rsidRDefault="00C97C94" w:rsidP="00C97C94">
      <w:pPr>
        <w:rPr>
          <w:rFonts w:ascii="Arial" w:hAnsi="Arial" w:cs="Arial"/>
          <w:sz w:val="24"/>
          <w:szCs w:val="24"/>
        </w:rPr>
      </w:pPr>
      <w:r w:rsidRPr="00C97C94">
        <w:rPr>
          <w:rFonts w:ascii="Arial" w:hAnsi="Arial" w:cs="Arial"/>
          <w:sz w:val="24"/>
          <w:szCs w:val="24"/>
        </w:rPr>
        <w:t>Developing structured competency frameworks and consistent job profiles will ensure fairness and transparency in performance expectations.</w:t>
      </w:r>
    </w:p>
    <w:p w14:paraId="28B862A5"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5.2.3 Early Intervention Tools</w:t>
      </w:r>
    </w:p>
    <w:p w14:paraId="44AD2C6F" w14:textId="77777777" w:rsidR="00C97C94" w:rsidRPr="00C97C94" w:rsidRDefault="00C97C94" w:rsidP="00C97C94">
      <w:pPr>
        <w:rPr>
          <w:rFonts w:ascii="Arial" w:hAnsi="Arial" w:cs="Arial"/>
          <w:sz w:val="24"/>
          <w:szCs w:val="24"/>
        </w:rPr>
      </w:pPr>
      <w:r w:rsidRPr="00C97C94">
        <w:rPr>
          <w:rFonts w:ascii="Arial" w:hAnsi="Arial" w:cs="Arial"/>
          <w:sz w:val="24"/>
          <w:szCs w:val="24"/>
        </w:rPr>
        <w:t>Providing conversation guides, templates, and HR coaching will build supervisor confidence in tackling underperformance.</w:t>
      </w:r>
    </w:p>
    <w:p w14:paraId="428E65A8" w14:textId="33972A9E" w:rsidR="00C97C94" w:rsidRPr="00C97C94" w:rsidRDefault="00C97C94" w:rsidP="00C97C94">
      <w:pPr>
        <w:rPr>
          <w:rFonts w:ascii="Arial" w:hAnsi="Arial" w:cs="Arial"/>
          <w:sz w:val="24"/>
          <w:szCs w:val="24"/>
        </w:rPr>
      </w:pPr>
    </w:p>
    <w:p w14:paraId="6BDEB4DF"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5.3 Improve Employee Experience and Engagement</w:t>
      </w:r>
    </w:p>
    <w:p w14:paraId="59CDBCDB"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5.3.1 Enhanced Induction and Onboarding</w:t>
      </w:r>
    </w:p>
    <w:p w14:paraId="44D3027D" w14:textId="77777777" w:rsidR="00C97C94" w:rsidRPr="00C97C94" w:rsidRDefault="00C97C94" w:rsidP="00C97C94">
      <w:pPr>
        <w:rPr>
          <w:rFonts w:ascii="Arial" w:hAnsi="Arial" w:cs="Arial"/>
          <w:sz w:val="24"/>
          <w:szCs w:val="24"/>
        </w:rPr>
      </w:pPr>
      <w:r w:rsidRPr="00C97C94">
        <w:rPr>
          <w:rFonts w:ascii="Arial" w:hAnsi="Arial" w:cs="Arial"/>
          <w:sz w:val="24"/>
          <w:szCs w:val="24"/>
        </w:rPr>
        <w:t>A structured induction programme covering job expectations, equipment training, and organisational values will reduce early turnover and improve capability (Bauer, 2010).</w:t>
      </w:r>
    </w:p>
    <w:p w14:paraId="6E134295"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5.3.2 Recognition and Reward Mechanisms</w:t>
      </w:r>
    </w:p>
    <w:p w14:paraId="73EE51C6" w14:textId="77777777" w:rsidR="00C97C94" w:rsidRPr="00C97C94" w:rsidRDefault="00C97C94" w:rsidP="00C97C94">
      <w:pPr>
        <w:rPr>
          <w:rFonts w:ascii="Arial" w:hAnsi="Arial" w:cs="Arial"/>
          <w:sz w:val="24"/>
          <w:szCs w:val="24"/>
        </w:rPr>
      </w:pPr>
      <w:r w:rsidRPr="00C97C94">
        <w:rPr>
          <w:rFonts w:ascii="Arial" w:hAnsi="Arial" w:cs="Arial"/>
          <w:sz w:val="24"/>
          <w:szCs w:val="24"/>
        </w:rPr>
        <w:t>Low-cost recognition strategies—monthly awards, praise boards, thank-you messages—can significantly boost motivation (Kerr, 2009).</w:t>
      </w:r>
    </w:p>
    <w:p w14:paraId="18C41EAE"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5.3.3 Clear Career Pathways</w:t>
      </w:r>
    </w:p>
    <w:p w14:paraId="36D9B587" w14:textId="77777777" w:rsidR="00C97C94" w:rsidRPr="00C97C94" w:rsidRDefault="00C97C94" w:rsidP="00C97C94">
      <w:pPr>
        <w:rPr>
          <w:rFonts w:ascii="Arial" w:hAnsi="Arial" w:cs="Arial"/>
          <w:sz w:val="24"/>
          <w:szCs w:val="24"/>
        </w:rPr>
      </w:pPr>
      <w:r w:rsidRPr="00C97C94">
        <w:rPr>
          <w:rFonts w:ascii="Arial" w:hAnsi="Arial" w:cs="Arial"/>
          <w:sz w:val="24"/>
          <w:szCs w:val="24"/>
        </w:rPr>
        <w:t>Developing role ladders for cleaners, team leaders, and supervisors will support retention and progression.</w:t>
      </w:r>
    </w:p>
    <w:p w14:paraId="5915DE59" w14:textId="6DB42909" w:rsidR="00C97C94" w:rsidRPr="00C97C94" w:rsidRDefault="00C97C94" w:rsidP="00C97C94">
      <w:pPr>
        <w:rPr>
          <w:rFonts w:ascii="Arial" w:hAnsi="Arial" w:cs="Arial"/>
          <w:sz w:val="24"/>
          <w:szCs w:val="24"/>
        </w:rPr>
      </w:pPr>
    </w:p>
    <w:p w14:paraId="36FFE229"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5.4 Culture Change and Leadership Development</w:t>
      </w:r>
    </w:p>
    <w:p w14:paraId="119412F8"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5.4.1 Shift to a People-Centred Culture</w:t>
      </w:r>
    </w:p>
    <w:p w14:paraId="78A85FEC" w14:textId="77777777" w:rsidR="00C97C94" w:rsidRPr="00C97C94" w:rsidRDefault="00C97C94" w:rsidP="00C97C94">
      <w:pPr>
        <w:rPr>
          <w:rFonts w:ascii="Arial" w:hAnsi="Arial" w:cs="Arial"/>
          <w:sz w:val="24"/>
          <w:szCs w:val="24"/>
        </w:rPr>
      </w:pPr>
      <w:r w:rsidRPr="00C97C94">
        <w:rPr>
          <w:rFonts w:ascii="Arial" w:hAnsi="Arial" w:cs="Arial"/>
          <w:sz w:val="24"/>
          <w:szCs w:val="24"/>
        </w:rPr>
        <w:t>Using the Competing Values Framework, leaders should articulate a culture that values collaboration, wellbeing, and learning.</w:t>
      </w:r>
    </w:p>
    <w:p w14:paraId="6E74EAE6"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5.4.2 Leadership Role Modelling</w:t>
      </w:r>
    </w:p>
    <w:p w14:paraId="166477A9" w14:textId="77777777" w:rsidR="00C97C94" w:rsidRPr="00C97C94" w:rsidRDefault="00C97C94" w:rsidP="00C97C94">
      <w:pPr>
        <w:rPr>
          <w:rFonts w:ascii="Arial" w:hAnsi="Arial" w:cs="Arial"/>
          <w:sz w:val="24"/>
          <w:szCs w:val="24"/>
        </w:rPr>
      </w:pPr>
      <w:r w:rsidRPr="00C97C94">
        <w:rPr>
          <w:rFonts w:ascii="Arial" w:hAnsi="Arial" w:cs="Arial"/>
          <w:sz w:val="24"/>
          <w:szCs w:val="24"/>
        </w:rPr>
        <w:t>Leaders must demonstrate commitment to people management—participating in training, celebrating employee achievements, and engaging directly with frontline staff.</w:t>
      </w:r>
    </w:p>
    <w:p w14:paraId="274F5CD9"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5.4.3 Encourage Collaboration</w:t>
      </w:r>
    </w:p>
    <w:p w14:paraId="2AA9AB21" w14:textId="77777777" w:rsidR="00C97C94" w:rsidRPr="00C97C94" w:rsidRDefault="00C97C94" w:rsidP="00C97C94">
      <w:pPr>
        <w:rPr>
          <w:rFonts w:ascii="Arial" w:hAnsi="Arial" w:cs="Arial"/>
          <w:sz w:val="24"/>
          <w:szCs w:val="24"/>
        </w:rPr>
      </w:pPr>
      <w:r w:rsidRPr="00C97C94">
        <w:rPr>
          <w:rFonts w:ascii="Arial" w:hAnsi="Arial" w:cs="Arial"/>
          <w:sz w:val="24"/>
          <w:szCs w:val="24"/>
        </w:rPr>
        <w:t>Cross-site meetings, learning circles, and innovation forums will break down silos and enhance organisational learning.</w:t>
      </w:r>
    </w:p>
    <w:p w14:paraId="4A16D09A" w14:textId="40C2012E" w:rsidR="00C97C94" w:rsidRPr="00C97C94" w:rsidRDefault="00C97C94" w:rsidP="00C97C94">
      <w:pPr>
        <w:rPr>
          <w:rFonts w:ascii="Arial" w:hAnsi="Arial" w:cs="Arial"/>
          <w:sz w:val="24"/>
          <w:szCs w:val="24"/>
        </w:rPr>
      </w:pPr>
    </w:p>
    <w:p w14:paraId="684D85F3" w14:textId="77777777" w:rsidR="00C97C94" w:rsidRPr="00C97C94" w:rsidRDefault="00C97C94" w:rsidP="00C97C94">
      <w:pPr>
        <w:rPr>
          <w:rFonts w:ascii="Arial" w:hAnsi="Arial" w:cs="Arial"/>
          <w:b/>
          <w:bCs/>
          <w:sz w:val="24"/>
          <w:szCs w:val="24"/>
        </w:rPr>
      </w:pPr>
      <w:r w:rsidRPr="00C97C94">
        <w:rPr>
          <w:rFonts w:ascii="Arial" w:hAnsi="Arial" w:cs="Arial"/>
          <w:b/>
          <w:bCs/>
          <w:sz w:val="24"/>
          <w:szCs w:val="24"/>
        </w:rPr>
        <w:t>5.5 Strengthen Fair Work and Social Value Practices</w:t>
      </w:r>
    </w:p>
    <w:p w14:paraId="0118AB99" w14:textId="77777777" w:rsidR="00C97C94" w:rsidRPr="00C97C94" w:rsidRDefault="00C97C94" w:rsidP="00C97C94">
      <w:pPr>
        <w:rPr>
          <w:rFonts w:ascii="Arial" w:hAnsi="Arial" w:cs="Arial"/>
          <w:sz w:val="24"/>
          <w:szCs w:val="24"/>
        </w:rPr>
      </w:pPr>
      <w:proofErr w:type="spellStart"/>
      <w:r w:rsidRPr="00C97C94">
        <w:rPr>
          <w:rFonts w:ascii="Arial" w:hAnsi="Arial" w:cs="Arial"/>
          <w:sz w:val="24"/>
          <w:szCs w:val="24"/>
        </w:rPr>
        <w:t>BrightWave</w:t>
      </w:r>
      <w:proofErr w:type="spellEnd"/>
      <w:r w:rsidRPr="00C97C94">
        <w:rPr>
          <w:rFonts w:ascii="Arial" w:hAnsi="Arial" w:cs="Arial"/>
          <w:sz w:val="24"/>
          <w:szCs w:val="24"/>
        </w:rPr>
        <w:t xml:space="preserve"> should align with fair-work expectations by improving workload allocation, wellbeing initiatives, transparent scheduling, and employee voice mechanisms (CIPD, 2022). These improvements enhance contract competitiveness and staff satisfaction.</w:t>
      </w:r>
    </w:p>
    <w:p w14:paraId="2A7BCAC6" w14:textId="7424BF0B" w:rsidR="00C97C94" w:rsidRPr="00C97C94" w:rsidRDefault="00C97C94" w:rsidP="00C97C94">
      <w:pPr>
        <w:rPr>
          <w:rFonts w:ascii="Arial" w:hAnsi="Arial" w:cs="Arial"/>
          <w:sz w:val="24"/>
          <w:szCs w:val="24"/>
        </w:rPr>
      </w:pPr>
    </w:p>
    <w:p w14:paraId="0FB2D519" w14:textId="77777777" w:rsidR="008859D2" w:rsidRDefault="008859D2" w:rsidP="00C97C94">
      <w:pPr>
        <w:rPr>
          <w:rFonts w:ascii="Arial" w:hAnsi="Arial" w:cs="Arial"/>
          <w:b/>
          <w:bCs/>
          <w:sz w:val="24"/>
          <w:szCs w:val="24"/>
        </w:rPr>
      </w:pPr>
    </w:p>
    <w:p w14:paraId="25DD3031" w14:textId="77777777" w:rsidR="008859D2" w:rsidRDefault="008859D2" w:rsidP="00C97C94">
      <w:pPr>
        <w:rPr>
          <w:rFonts w:ascii="Arial" w:hAnsi="Arial" w:cs="Arial"/>
          <w:b/>
          <w:bCs/>
          <w:sz w:val="24"/>
          <w:szCs w:val="24"/>
        </w:rPr>
      </w:pPr>
    </w:p>
    <w:p w14:paraId="477FE663" w14:textId="77777777" w:rsidR="008859D2" w:rsidRDefault="008859D2" w:rsidP="00C97C94">
      <w:pPr>
        <w:rPr>
          <w:rFonts w:ascii="Arial" w:hAnsi="Arial" w:cs="Arial"/>
          <w:b/>
          <w:bCs/>
          <w:sz w:val="24"/>
          <w:szCs w:val="24"/>
        </w:rPr>
      </w:pPr>
    </w:p>
    <w:p w14:paraId="3CE07D51" w14:textId="77777777" w:rsidR="008859D2" w:rsidRDefault="008859D2" w:rsidP="00C97C94">
      <w:pPr>
        <w:rPr>
          <w:rFonts w:ascii="Arial" w:hAnsi="Arial" w:cs="Arial"/>
          <w:b/>
          <w:bCs/>
          <w:sz w:val="24"/>
          <w:szCs w:val="24"/>
        </w:rPr>
      </w:pPr>
    </w:p>
    <w:p w14:paraId="71CBACD3" w14:textId="77777777" w:rsidR="008859D2" w:rsidRDefault="008859D2" w:rsidP="00C97C94">
      <w:pPr>
        <w:rPr>
          <w:rFonts w:ascii="Arial" w:hAnsi="Arial" w:cs="Arial"/>
          <w:b/>
          <w:bCs/>
          <w:sz w:val="24"/>
          <w:szCs w:val="24"/>
        </w:rPr>
      </w:pPr>
    </w:p>
    <w:p w14:paraId="228F6E66" w14:textId="77777777" w:rsidR="008859D2" w:rsidRDefault="008859D2" w:rsidP="00C97C94">
      <w:pPr>
        <w:rPr>
          <w:rFonts w:ascii="Arial" w:hAnsi="Arial" w:cs="Arial"/>
          <w:b/>
          <w:bCs/>
          <w:sz w:val="24"/>
          <w:szCs w:val="24"/>
        </w:rPr>
      </w:pPr>
    </w:p>
    <w:p w14:paraId="34957C6F" w14:textId="77777777" w:rsidR="008859D2" w:rsidRDefault="008859D2" w:rsidP="00C97C94">
      <w:pPr>
        <w:rPr>
          <w:rFonts w:ascii="Arial" w:hAnsi="Arial" w:cs="Arial"/>
          <w:b/>
          <w:bCs/>
          <w:sz w:val="24"/>
          <w:szCs w:val="24"/>
        </w:rPr>
      </w:pPr>
    </w:p>
    <w:p w14:paraId="7BF6A923" w14:textId="77777777" w:rsidR="008859D2" w:rsidRDefault="008859D2" w:rsidP="00C97C94">
      <w:pPr>
        <w:rPr>
          <w:rFonts w:ascii="Arial" w:hAnsi="Arial" w:cs="Arial"/>
          <w:b/>
          <w:bCs/>
          <w:sz w:val="24"/>
          <w:szCs w:val="24"/>
        </w:rPr>
      </w:pPr>
    </w:p>
    <w:p w14:paraId="2CD5FBB9" w14:textId="77777777" w:rsidR="008859D2" w:rsidRDefault="008859D2" w:rsidP="00C97C94">
      <w:pPr>
        <w:rPr>
          <w:rFonts w:ascii="Arial" w:hAnsi="Arial" w:cs="Arial"/>
          <w:b/>
          <w:bCs/>
          <w:sz w:val="24"/>
          <w:szCs w:val="24"/>
        </w:rPr>
      </w:pPr>
    </w:p>
    <w:p w14:paraId="6F2917F9" w14:textId="77777777" w:rsidR="008859D2" w:rsidRDefault="008859D2" w:rsidP="00C97C94">
      <w:pPr>
        <w:rPr>
          <w:rFonts w:ascii="Arial" w:hAnsi="Arial" w:cs="Arial"/>
          <w:b/>
          <w:bCs/>
          <w:sz w:val="24"/>
          <w:szCs w:val="24"/>
        </w:rPr>
      </w:pPr>
    </w:p>
    <w:p w14:paraId="37CB03E7" w14:textId="77777777" w:rsidR="008859D2" w:rsidRDefault="008859D2" w:rsidP="00C97C94">
      <w:pPr>
        <w:rPr>
          <w:rFonts w:ascii="Arial" w:hAnsi="Arial" w:cs="Arial"/>
          <w:b/>
          <w:bCs/>
          <w:sz w:val="24"/>
          <w:szCs w:val="24"/>
        </w:rPr>
      </w:pPr>
    </w:p>
    <w:p w14:paraId="71C8B000" w14:textId="77777777" w:rsidR="008859D2" w:rsidRDefault="008859D2" w:rsidP="00C97C94">
      <w:pPr>
        <w:rPr>
          <w:rFonts w:ascii="Arial" w:hAnsi="Arial" w:cs="Arial"/>
          <w:b/>
          <w:bCs/>
          <w:sz w:val="24"/>
          <w:szCs w:val="24"/>
        </w:rPr>
      </w:pPr>
    </w:p>
    <w:p w14:paraId="2E21BA33" w14:textId="77777777" w:rsidR="008859D2" w:rsidRDefault="008859D2" w:rsidP="00C97C94">
      <w:pPr>
        <w:rPr>
          <w:rFonts w:ascii="Arial" w:hAnsi="Arial" w:cs="Arial"/>
          <w:b/>
          <w:bCs/>
          <w:sz w:val="24"/>
          <w:szCs w:val="24"/>
        </w:rPr>
      </w:pPr>
    </w:p>
    <w:p w14:paraId="6194D1BE" w14:textId="77777777" w:rsidR="008859D2" w:rsidRDefault="008859D2" w:rsidP="00C97C94">
      <w:pPr>
        <w:rPr>
          <w:rFonts w:ascii="Arial" w:hAnsi="Arial" w:cs="Arial"/>
          <w:b/>
          <w:bCs/>
          <w:sz w:val="24"/>
          <w:szCs w:val="24"/>
        </w:rPr>
      </w:pPr>
    </w:p>
    <w:p w14:paraId="0628B6F8" w14:textId="77777777" w:rsidR="008859D2" w:rsidRDefault="008859D2" w:rsidP="00C97C94">
      <w:pPr>
        <w:rPr>
          <w:rFonts w:ascii="Arial" w:hAnsi="Arial" w:cs="Arial"/>
          <w:b/>
          <w:bCs/>
          <w:sz w:val="24"/>
          <w:szCs w:val="24"/>
        </w:rPr>
      </w:pPr>
    </w:p>
    <w:p w14:paraId="6A1EDEA0" w14:textId="504F48AF" w:rsidR="00C97C94" w:rsidRPr="00C97C94" w:rsidRDefault="00C97C94" w:rsidP="00C97C94">
      <w:pPr>
        <w:rPr>
          <w:rFonts w:ascii="Arial" w:hAnsi="Arial" w:cs="Arial"/>
          <w:b/>
          <w:bCs/>
          <w:sz w:val="24"/>
          <w:szCs w:val="24"/>
        </w:rPr>
      </w:pPr>
      <w:r w:rsidRPr="00C97C94">
        <w:rPr>
          <w:rFonts w:ascii="Arial" w:hAnsi="Arial" w:cs="Arial"/>
          <w:b/>
          <w:bCs/>
          <w:sz w:val="24"/>
          <w:szCs w:val="24"/>
        </w:rPr>
        <w:lastRenderedPageBreak/>
        <w:t>6. Conclusion</w:t>
      </w:r>
    </w:p>
    <w:p w14:paraId="7D794C0C" w14:textId="77777777" w:rsidR="008859D2" w:rsidRPr="008859D2" w:rsidRDefault="008859D2" w:rsidP="008859D2">
      <w:pPr>
        <w:rPr>
          <w:rFonts w:ascii="Arial" w:hAnsi="Arial" w:cs="Arial"/>
          <w:sz w:val="24"/>
          <w:szCs w:val="24"/>
        </w:rPr>
      </w:pPr>
      <w:r w:rsidRPr="008859D2">
        <w:rPr>
          <w:rFonts w:ascii="Arial" w:hAnsi="Arial" w:cs="Arial"/>
          <w:sz w:val="24"/>
          <w:szCs w:val="24"/>
        </w:rPr>
        <w:t xml:space="preserve">In summary, this report has highlighted that </w:t>
      </w:r>
      <w:proofErr w:type="spellStart"/>
      <w:r w:rsidRPr="008859D2">
        <w:rPr>
          <w:rFonts w:ascii="Arial" w:hAnsi="Arial" w:cs="Arial"/>
          <w:sz w:val="24"/>
          <w:szCs w:val="24"/>
        </w:rPr>
        <w:t>BrightWave</w:t>
      </w:r>
      <w:proofErr w:type="spellEnd"/>
      <w:r w:rsidRPr="008859D2">
        <w:rPr>
          <w:rFonts w:ascii="Arial" w:hAnsi="Arial" w:cs="Arial"/>
          <w:sz w:val="24"/>
          <w:szCs w:val="24"/>
        </w:rPr>
        <w:t xml:space="preserve"> Services Ltd is at a crucial stage in its organisational development. Although the company has grown rapidly, its people-management practices and cultural foundations have not kept pace with operational expansion. The analysis shows that many of the challenges—such as inconsistent supervision, motivational issues, rising absence, and limited employee engagement—stem from gaps in managerial capability and a culture that prioritises tasks over people. These issues are not unique to </w:t>
      </w:r>
      <w:proofErr w:type="spellStart"/>
      <w:r w:rsidRPr="008859D2">
        <w:rPr>
          <w:rFonts w:ascii="Arial" w:hAnsi="Arial" w:cs="Arial"/>
          <w:sz w:val="24"/>
          <w:szCs w:val="24"/>
        </w:rPr>
        <w:t>BrightWave</w:t>
      </w:r>
      <w:proofErr w:type="spellEnd"/>
      <w:r w:rsidRPr="008859D2">
        <w:rPr>
          <w:rFonts w:ascii="Arial" w:hAnsi="Arial" w:cs="Arial"/>
          <w:sz w:val="24"/>
          <w:szCs w:val="24"/>
        </w:rPr>
        <w:t>, but they represent significant risks to service quality, staff retention, and long-term organisational stability if left unaddressed.</w:t>
      </w:r>
    </w:p>
    <w:p w14:paraId="316775E6" w14:textId="77777777" w:rsidR="008859D2" w:rsidRPr="008859D2" w:rsidRDefault="008859D2" w:rsidP="008859D2">
      <w:pPr>
        <w:rPr>
          <w:rFonts w:ascii="Arial" w:hAnsi="Arial" w:cs="Arial"/>
          <w:sz w:val="24"/>
          <w:szCs w:val="24"/>
        </w:rPr>
      </w:pPr>
      <w:r w:rsidRPr="008859D2">
        <w:rPr>
          <w:rFonts w:ascii="Arial" w:hAnsi="Arial" w:cs="Arial"/>
          <w:sz w:val="24"/>
          <w:szCs w:val="24"/>
        </w:rPr>
        <w:t xml:space="preserve">By applying key organisational-behaviour theories, the report has demonstrated that effective performance management depends on more than procedures alone; it requires managers who can communicate clearly, motivate confidently, and build trusting relationships. It also requires a culture where employees feel valued, supported, and able to contribute ideas. When these conditions are not present—as seen within </w:t>
      </w:r>
      <w:proofErr w:type="spellStart"/>
      <w:r w:rsidRPr="008859D2">
        <w:rPr>
          <w:rFonts w:ascii="Arial" w:hAnsi="Arial" w:cs="Arial"/>
          <w:sz w:val="24"/>
          <w:szCs w:val="24"/>
        </w:rPr>
        <w:t>BrightWave</w:t>
      </w:r>
      <w:proofErr w:type="spellEnd"/>
      <w:r w:rsidRPr="008859D2">
        <w:rPr>
          <w:rFonts w:ascii="Arial" w:hAnsi="Arial" w:cs="Arial"/>
          <w:sz w:val="24"/>
          <w:szCs w:val="24"/>
        </w:rPr>
        <w:t>—employees can feel disconnected, uncertain, and less committed to their roles.</w:t>
      </w:r>
    </w:p>
    <w:p w14:paraId="6922D709" w14:textId="77777777" w:rsidR="008859D2" w:rsidRPr="008859D2" w:rsidRDefault="008859D2" w:rsidP="008859D2">
      <w:pPr>
        <w:rPr>
          <w:rFonts w:ascii="Arial" w:hAnsi="Arial" w:cs="Arial"/>
          <w:sz w:val="24"/>
          <w:szCs w:val="24"/>
        </w:rPr>
      </w:pPr>
      <w:r w:rsidRPr="008859D2">
        <w:rPr>
          <w:rFonts w:ascii="Arial" w:hAnsi="Arial" w:cs="Arial"/>
          <w:sz w:val="24"/>
          <w:szCs w:val="24"/>
        </w:rPr>
        <w:t>The recommendations provided are practical, achievable, and aligned with both best practice and the needs of the organisation. Strengthening managerial skills, improving induction, enhancing recognition, and creating clearer development pathways will directly address current concerns. Meanwhile, cultural changes such as open communication, leadership role modelling, and fair-work practices will support a more positive and collaborative working environment.</w:t>
      </w:r>
    </w:p>
    <w:p w14:paraId="78A07658" w14:textId="77777777" w:rsidR="008859D2" w:rsidRPr="008859D2" w:rsidRDefault="008859D2" w:rsidP="008859D2">
      <w:pPr>
        <w:rPr>
          <w:rFonts w:ascii="Arial" w:hAnsi="Arial" w:cs="Arial"/>
          <w:sz w:val="24"/>
          <w:szCs w:val="24"/>
        </w:rPr>
      </w:pPr>
      <w:r w:rsidRPr="008859D2">
        <w:rPr>
          <w:rFonts w:ascii="Arial" w:hAnsi="Arial" w:cs="Arial"/>
          <w:sz w:val="24"/>
          <w:szCs w:val="24"/>
        </w:rPr>
        <w:t xml:space="preserve">Ultimately, investing in people—particularly line managers—will deliver benefits across the whole organisation. Improved performance management will lead to higher-quality service delivery, better employee wellbeing, and stronger relationships with clients. Most importantly, it will help </w:t>
      </w:r>
      <w:proofErr w:type="spellStart"/>
      <w:r w:rsidRPr="008859D2">
        <w:rPr>
          <w:rFonts w:ascii="Arial" w:hAnsi="Arial" w:cs="Arial"/>
          <w:sz w:val="24"/>
          <w:szCs w:val="24"/>
        </w:rPr>
        <w:t>BrightWave</w:t>
      </w:r>
      <w:proofErr w:type="spellEnd"/>
      <w:r w:rsidRPr="008859D2">
        <w:rPr>
          <w:rFonts w:ascii="Arial" w:hAnsi="Arial" w:cs="Arial"/>
          <w:sz w:val="24"/>
          <w:szCs w:val="24"/>
        </w:rPr>
        <w:t xml:space="preserve"> build a more resilient, motivated, and future-ready workforce capable of supporting ongoing growth. With sustained commitment and consistent implementation, </w:t>
      </w:r>
      <w:proofErr w:type="spellStart"/>
      <w:r w:rsidRPr="008859D2">
        <w:rPr>
          <w:rFonts w:ascii="Arial" w:hAnsi="Arial" w:cs="Arial"/>
          <w:sz w:val="24"/>
          <w:szCs w:val="24"/>
        </w:rPr>
        <w:t>BrightWave</w:t>
      </w:r>
      <w:proofErr w:type="spellEnd"/>
      <w:r w:rsidRPr="008859D2">
        <w:rPr>
          <w:rFonts w:ascii="Arial" w:hAnsi="Arial" w:cs="Arial"/>
          <w:sz w:val="24"/>
          <w:szCs w:val="24"/>
        </w:rPr>
        <w:t xml:space="preserve"> can create a workplace where employees feel valued, supported, and empowered to perform at their best.</w:t>
      </w:r>
    </w:p>
    <w:p w14:paraId="7AAC30FA" w14:textId="77777777" w:rsidR="008859D2" w:rsidRPr="00C97C94" w:rsidRDefault="008859D2" w:rsidP="00C97C94">
      <w:pPr>
        <w:rPr>
          <w:rFonts w:ascii="Arial" w:hAnsi="Arial" w:cs="Arial"/>
          <w:sz w:val="24"/>
          <w:szCs w:val="24"/>
        </w:rPr>
      </w:pPr>
    </w:p>
    <w:p w14:paraId="1BAA2509" w14:textId="77777777" w:rsidR="00D87410" w:rsidRDefault="00D87410">
      <w:pPr>
        <w:rPr>
          <w:rFonts w:ascii="Arial" w:hAnsi="Arial" w:cs="Arial"/>
          <w:sz w:val="24"/>
          <w:szCs w:val="24"/>
        </w:rPr>
      </w:pPr>
    </w:p>
    <w:p w14:paraId="6D8CF8D9" w14:textId="77777777" w:rsidR="008859D2" w:rsidRDefault="008859D2">
      <w:pPr>
        <w:rPr>
          <w:rFonts w:ascii="Arial" w:hAnsi="Arial" w:cs="Arial"/>
          <w:sz w:val="24"/>
          <w:szCs w:val="24"/>
        </w:rPr>
      </w:pPr>
    </w:p>
    <w:p w14:paraId="56340C9B" w14:textId="77777777" w:rsidR="008859D2" w:rsidRDefault="008859D2">
      <w:pPr>
        <w:rPr>
          <w:rFonts w:ascii="Arial" w:hAnsi="Arial" w:cs="Arial"/>
          <w:sz w:val="24"/>
          <w:szCs w:val="24"/>
        </w:rPr>
      </w:pPr>
    </w:p>
    <w:p w14:paraId="63913FF2" w14:textId="77777777" w:rsidR="008859D2" w:rsidRDefault="008859D2">
      <w:pPr>
        <w:rPr>
          <w:rFonts w:ascii="Arial" w:hAnsi="Arial" w:cs="Arial"/>
          <w:sz w:val="24"/>
          <w:szCs w:val="24"/>
        </w:rPr>
      </w:pPr>
    </w:p>
    <w:p w14:paraId="34466AF6" w14:textId="77777777" w:rsidR="008859D2" w:rsidRDefault="008859D2">
      <w:pPr>
        <w:rPr>
          <w:rFonts w:ascii="Arial" w:hAnsi="Arial" w:cs="Arial"/>
          <w:sz w:val="24"/>
          <w:szCs w:val="24"/>
        </w:rPr>
      </w:pPr>
    </w:p>
    <w:p w14:paraId="7989270E" w14:textId="77777777" w:rsidR="008859D2" w:rsidRDefault="008859D2">
      <w:pPr>
        <w:rPr>
          <w:rFonts w:ascii="Arial" w:hAnsi="Arial" w:cs="Arial"/>
          <w:sz w:val="24"/>
          <w:szCs w:val="24"/>
        </w:rPr>
      </w:pPr>
    </w:p>
    <w:p w14:paraId="6E47DDA2" w14:textId="77777777" w:rsidR="008859D2" w:rsidRDefault="008859D2">
      <w:pPr>
        <w:rPr>
          <w:rFonts w:ascii="Arial" w:hAnsi="Arial" w:cs="Arial"/>
          <w:sz w:val="24"/>
          <w:szCs w:val="24"/>
        </w:rPr>
      </w:pPr>
    </w:p>
    <w:p w14:paraId="167EADCD" w14:textId="77777777" w:rsidR="008859D2" w:rsidRPr="008859D2" w:rsidRDefault="008859D2" w:rsidP="008859D2">
      <w:pPr>
        <w:rPr>
          <w:rFonts w:ascii="Arial" w:hAnsi="Arial" w:cs="Arial"/>
          <w:b/>
          <w:bCs/>
          <w:sz w:val="24"/>
          <w:szCs w:val="24"/>
        </w:rPr>
      </w:pPr>
      <w:r w:rsidRPr="008859D2">
        <w:rPr>
          <w:rFonts w:ascii="Arial" w:hAnsi="Arial" w:cs="Arial"/>
          <w:b/>
          <w:bCs/>
          <w:sz w:val="24"/>
          <w:szCs w:val="24"/>
        </w:rPr>
        <w:lastRenderedPageBreak/>
        <w:t>Reference List</w:t>
      </w:r>
    </w:p>
    <w:p w14:paraId="14DE4926" w14:textId="77777777" w:rsidR="008859D2" w:rsidRPr="008859D2" w:rsidRDefault="008859D2" w:rsidP="008859D2">
      <w:pPr>
        <w:rPr>
          <w:rFonts w:ascii="Arial" w:hAnsi="Arial" w:cs="Arial"/>
          <w:sz w:val="24"/>
          <w:szCs w:val="24"/>
        </w:rPr>
      </w:pPr>
      <w:r w:rsidRPr="008859D2">
        <w:rPr>
          <w:rFonts w:ascii="Arial" w:hAnsi="Arial" w:cs="Arial"/>
          <w:sz w:val="24"/>
          <w:szCs w:val="24"/>
        </w:rPr>
        <w:t xml:space="preserve">Aguinis, H. (2019) </w:t>
      </w:r>
      <w:r w:rsidRPr="008859D2">
        <w:rPr>
          <w:rFonts w:ascii="Arial" w:hAnsi="Arial" w:cs="Arial"/>
          <w:i/>
          <w:iCs/>
          <w:sz w:val="24"/>
          <w:szCs w:val="24"/>
        </w:rPr>
        <w:t>Performance Management</w:t>
      </w:r>
      <w:r w:rsidRPr="008859D2">
        <w:rPr>
          <w:rFonts w:ascii="Arial" w:hAnsi="Arial" w:cs="Arial"/>
          <w:sz w:val="24"/>
          <w:szCs w:val="24"/>
        </w:rPr>
        <w:t xml:space="preserve">. 4th </w:t>
      </w:r>
      <w:proofErr w:type="spellStart"/>
      <w:r w:rsidRPr="008859D2">
        <w:rPr>
          <w:rFonts w:ascii="Arial" w:hAnsi="Arial" w:cs="Arial"/>
          <w:sz w:val="24"/>
          <w:szCs w:val="24"/>
        </w:rPr>
        <w:t>edn</w:t>
      </w:r>
      <w:proofErr w:type="spellEnd"/>
      <w:r w:rsidRPr="008859D2">
        <w:rPr>
          <w:rFonts w:ascii="Arial" w:hAnsi="Arial" w:cs="Arial"/>
          <w:sz w:val="24"/>
          <w:szCs w:val="24"/>
        </w:rPr>
        <w:t>. Chicago: Chicago Business Press.</w:t>
      </w:r>
      <w:r w:rsidRPr="008859D2">
        <w:rPr>
          <w:rFonts w:ascii="Arial" w:hAnsi="Arial" w:cs="Arial"/>
          <w:sz w:val="24"/>
          <w:szCs w:val="24"/>
        </w:rPr>
        <w:br/>
        <w:t xml:space="preserve">Appelbaum, E., Bailey, T., Berg, P. and Kalleberg, A. (2000) </w:t>
      </w:r>
      <w:r w:rsidRPr="008859D2">
        <w:rPr>
          <w:rFonts w:ascii="Arial" w:hAnsi="Arial" w:cs="Arial"/>
          <w:i/>
          <w:iCs/>
          <w:sz w:val="24"/>
          <w:szCs w:val="24"/>
        </w:rPr>
        <w:t>Manufacturing Advantage: Why High-Performance Work Systems Pay Off</w:t>
      </w:r>
      <w:r w:rsidRPr="008859D2">
        <w:rPr>
          <w:rFonts w:ascii="Arial" w:hAnsi="Arial" w:cs="Arial"/>
          <w:sz w:val="24"/>
          <w:szCs w:val="24"/>
        </w:rPr>
        <w:t>. Ithaca: Cornell University Press.</w:t>
      </w:r>
      <w:r w:rsidRPr="008859D2">
        <w:rPr>
          <w:rFonts w:ascii="Arial" w:hAnsi="Arial" w:cs="Arial"/>
          <w:sz w:val="24"/>
          <w:szCs w:val="24"/>
        </w:rPr>
        <w:br/>
        <w:t xml:space="preserve">Armstrong, M. and Taylor, S. (2020) </w:t>
      </w:r>
      <w:r w:rsidRPr="008859D2">
        <w:rPr>
          <w:rFonts w:ascii="Arial" w:hAnsi="Arial" w:cs="Arial"/>
          <w:i/>
          <w:iCs/>
          <w:sz w:val="24"/>
          <w:szCs w:val="24"/>
        </w:rPr>
        <w:t>Armstrong’s Handbook of Human Resource Management Practice</w:t>
      </w:r>
      <w:r w:rsidRPr="008859D2">
        <w:rPr>
          <w:rFonts w:ascii="Arial" w:hAnsi="Arial" w:cs="Arial"/>
          <w:sz w:val="24"/>
          <w:szCs w:val="24"/>
        </w:rPr>
        <w:t xml:space="preserve">. 15th </w:t>
      </w:r>
      <w:proofErr w:type="spellStart"/>
      <w:r w:rsidRPr="008859D2">
        <w:rPr>
          <w:rFonts w:ascii="Arial" w:hAnsi="Arial" w:cs="Arial"/>
          <w:sz w:val="24"/>
          <w:szCs w:val="24"/>
        </w:rPr>
        <w:t>edn</w:t>
      </w:r>
      <w:proofErr w:type="spellEnd"/>
      <w:r w:rsidRPr="008859D2">
        <w:rPr>
          <w:rFonts w:ascii="Arial" w:hAnsi="Arial" w:cs="Arial"/>
          <w:sz w:val="24"/>
          <w:szCs w:val="24"/>
        </w:rPr>
        <w:t>. London: Kogan Page.</w:t>
      </w:r>
      <w:r w:rsidRPr="008859D2">
        <w:rPr>
          <w:rFonts w:ascii="Arial" w:hAnsi="Arial" w:cs="Arial"/>
          <w:sz w:val="24"/>
          <w:szCs w:val="24"/>
        </w:rPr>
        <w:br/>
        <w:t xml:space="preserve">Bauer, T. (2010) ‘Onboarding new employees: Maximizing success’, </w:t>
      </w:r>
      <w:r w:rsidRPr="008859D2">
        <w:rPr>
          <w:rFonts w:ascii="Arial" w:hAnsi="Arial" w:cs="Arial"/>
          <w:i/>
          <w:iCs/>
          <w:sz w:val="24"/>
          <w:szCs w:val="24"/>
        </w:rPr>
        <w:t>SHRM Foundation Effective Practice Guidelines</w:t>
      </w:r>
      <w:r w:rsidRPr="008859D2">
        <w:rPr>
          <w:rFonts w:ascii="Arial" w:hAnsi="Arial" w:cs="Arial"/>
          <w:sz w:val="24"/>
          <w:szCs w:val="24"/>
        </w:rPr>
        <w:t>.</w:t>
      </w:r>
      <w:r w:rsidRPr="008859D2">
        <w:rPr>
          <w:rFonts w:ascii="Arial" w:hAnsi="Arial" w:cs="Arial"/>
          <w:sz w:val="24"/>
          <w:szCs w:val="24"/>
        </w:rPr>
        <w:br/>
        <w:t xml:space="preserve">Boxall, P. and Purcell, J. (2016) </w:t>
      </w:r>
      <w:r w:rsidRPr="008859D2">
        <w:rPr>
          <w:rFonts w:ascii="Arial" w:hAnsi="Arial" w:cs="Arial"/>
          <w:i/>
          <w:iCs/>
          <w:sz w:val="24"/>
          <w:szCs w:val="24"/>
        </w:rPr>
        <w:t>Strategy and Human Resource Management</w:t>
      </w:r>
      <w:r w:rsidRPr="008859D2">
        <w:rPr>
          <w:rFonts w:ascii="Arial" w:hAnsi="Arial" w:cs="Arial"/>
          <w:sz w:val="24"/>
          <w:szCs w:val="24"/>
        </w:rPr>
        <w:t xml:space="preserve">. 4th </w:t>
      </w:r>
      <w:proofErr w:type="spellStart"/>
      <w:r w:rsidRPr="008859D2">
        <w:rPr>
          <w:rFonts w:ascii="Arial" w:hAnsi="Arial" w:cs="Arial"/>
          <w:sz w:val="24"/>
          <w:szCs w:val="24"/>
        </w:rPr>
        <w:t>edn</w:t>
      </w:r>
      <w:proofErr w:type="spellEnd"/>
      <w:r w:rsidRPr="008859D2">
        <w:rPr>
          <w:rFonts w:ascii="Arial" w:hAnsi="Arial" w:cs="Arial"/>
          <w:sz w:val="24"/>
          <w:szCs w:val="24"/>
        </w:rPr>
        <w:t>. Basingstoke: Palgrave Macmillan.</w:t>
      </w:r>
      <w:r w:rsidRPr="008859D2">
        <w:rPr>
          <w:rFonts w:ascii="Arial" w:hAnsi="Arial" w:cs="Arial"/>
          <w:sz w:val="24"/>
          <w:szCs w:val="24"/>
        </w:rPr>
        <w:br/>
        <w:t xml:space="preserve">Bratton, J. and Gold, J. (2017) </w:t>
      </w:r>
      <w:r w:rsidRPr="008859D2">
        <w:rPr>
          <w:rFonts w:ascii="Arial" w:hAnsi="Arial" w:cs="Arial"/>
          <w:i/>
          <w:iCs/>
          <w:sz w:val="24"/>
          <w:szCs w:val="24"/>
        </w:rPr>
        <w:t>Human Resource Management: Theory and Practice</w:t>
      </w:r>
      <w:r w:rsidRPr="008859D2">
        <w:rPr>
          <w:rFonts w:ascii="Arial" w:hAnsi="Arial" w:cs="Arial"/>
          <w:sz w:val="24"/>
          <w:szCs w:val="24"/>
        </w:rPr>
        <w:t xml:space="preserve">. 6th </w:t>
      </w:r>
      <w:proofErr w:type="spellStart"/>
      <w:r w:rsidRPr="008859D2">
        <w:rPr>
          <w:rFonts w:ascii="Arial" w:hAnsi="Arial" w:cs="Arial"/>
          <w:sz w:val="24"/>
          <w:szCs w:val="24"/>
        </w:rPr>
        <w:t>edn</w:t>
      </w:r>
      <w:proofErr w:type="spellEnd"/>
      <w:r w:rsidRPr="008859D2">
        <w:rPr>
          <w:rFonts w:ascii="Arial" w:hAnsi="Arial" w:cs="Arial"/>
          <w:sz w:val="24"/>
          <w:szCs w:val="24"/>
        </w:rPr>
        <w:t>. London: Palgrave.</w:t>
      </w:r>
      <w:r w:rsidRPr="008859D2">
        <w:rPr>
          <w:rFonts w:ascii="Arial" w:hAnsi="Arial" w:cs="Arial"/>
          <w:sz w:val="24"/>
          <w:szCs w:val="24"/>
        </w:rPr>
        <w:br/>
        <w:t xml:space="preserve">Cameron, K. and Quinn, R. (2011) </w:t>
      </w:r>
      <w:r w:rsidRPr="008859D2">
        <w:rPr>
          <w:rFonts w:ascii="Arial" w:hAnsi="Arial" w:cs="Arial"/>
          <w:i/>
          <w:iCs/>
          <w:sz w:val="24"/>
          <w:szCs w:val="24"/>
        </w:rPr>
        <w:t>Diagnosing and Changing Organisational Culture</w:t>
      </w:r>
      <w:r w:rsidRPr="008859D2">
        <w:rPr>
          <w:rFonts w:ascii="Arial" w:hAnsi="Arial" w:cs="Arial"/>
          <w:sz w:val="24"/>
          <w:szCs w:val="24"/>
        </w:rPr>
        <w:t xml:space="preserve">. 3rd </w:t>
      </w:r>
      <w:proofErr w:type="spellStart"/>
      <w:r w:rsidRPr="008859D2">
        <w:rPr>
          <w:rFonts w:ascii="Arial" w:hAnsi="Arial" w:cs="Arial"/>
          <w:sz w:val="24"/>
          <w:szCs w:val="24"/>
        </w:rPr>
        <w:t>edn</w:t>
      </w:r>
      <w:proofErr w:type="spellEnd"/>
      <w:r w:rsidRPr="008859D2">
        <w:rPr>
          <w:rFonts w:ascii="Arial" w:hAnsi="Arial" w:cs="Arial"/>
          <w:sz w:val="24"/>
          <w:szCs w:val="24"/>
        </w:rPr>
        <w:t>. San Francisco: Jossey-Bass.</w:t>
      </w:r>
      <w:r w:rsidRPr="008859D2">
        <w:rPr>
          <w:rFonts w:ascii="Arial" w:hAnsi="Arial" w:cs="Arial"/>
          <w:sz w:val="24"/>
          <w:szCs w:val="24"/>
        </w:rPr>
        <w:br/>
        <w:t xml:space="preserve">CIPD (2022) </w:t>
      </w:r>
      <w:r w:rsidRPr="008859D2">
        <w:rPr>
          <w:rFonts w:ascii="Arial" w:hAnsi="Arial" w:cs="Arial"/>
          <w:i/>
          <w:iCs/>
          <w:sz w:val="24"/>
          <w:szCs w:val="24"/>
        </w:rPr>
        <w:t>Good Work Index</w:t>
      </w:r>
      <w:r w:rsidRPr="008859D2">
        <w:rPr>
          <w:rFonts w:ascii="Arial" w:hAnsi="Arial" w:cs="Arial"/>
          <w:sz w:val="24"/>
          <w:szCs w:val="24"/>
        </w:rPr>
        <w:t>. London: Chartered Institute of Personnel and Development.</w:t>
      </w:r>
      <w:r w:rsidRPr="008859D2">
        <w:rPr>
          <w:rFonts w:ascii="Arial" w:hAnsi="Arial" w:cs="Arial"/>
          <w:sz w:val="24"/>
          <w:szCs w:val="24"/>
        </w:rPr>
        <w:br/>
        <w:t xml:space="preserve">CIPD (2023) </w:t>
      </w:r>
      <w:r w:rsidRPr="008859D2">
        <w:rPr>
          <w:rFonts w:ascii="Arial" w:hAnsi="Arial" w:cs="Arial"/>
          <w:i/>
          <w:iCs/>
          <w:sz w:val="24"/>
          <w:szCs w:val="24"/>
        </w:rPr>
        <w:t>People Management Skills Survey</w:t>
      </w:r>
      <w:r w:rsidRPr="008859D2">
        <w:rPr>
          <w:rFonts w:ascii="Arial" w:hAnsi="Arial" w:cs="Arial"/>
          <w:sz w:val="24"/>
          <w:szCs w:val="24"/>
        </w:rPr>
        <w:t>. London: Chartered Institute of Personnel and Development.</w:t>
      </w:r>
      <w:r w:rsidRPr="008859D2">
        <w:rPr>
          <w:rFonts w:ascii="Arial" w:hAnsi="Arial" w:cs="Arial"/>
          <w:sz w:val="24"/>
          <w:szCs w:val="24"/>
        </w:rPr>
        <w:br/>
        <w:t xml:space="preserve">Deal, T.E. and Kennedy, A.A. (2000) </w:t>
      </w:r>
      <w:r w:rsidRPr="008859D2">
        <w:rPr>
          <w:rFonts w:ascii="Arial" w:hAnsi="Arial" w:cs="Arial"/>
          <w:i/>
          <w:iCs/>
          <w:sz w:val="24"/>
          <w:szCs w:val="24"/>
        </w:rPr>
        <w:t>Corporate Cultures: The Rites and Rituals of Corporate Life</w:t>
      </w:r>
      <w:r w:rsidRPr="008859D2">
        <w:rPr>
          <w:rFonts w:ascii="Arial" w:hAnsi="Arial" w:cs="Arial"/>
          <w:sz w:val="24"/>
          <w:szCs w:val="24"/>
        </w:rPr>
        <w:t>. Cambridge, MA: Perseus.</w:t>
      </w:r>
      <w:r w:rsidRPr="008859D2">
        <w:rPr>
          <w:rFonts w:ascii="Arial" w:hAnsi="Arial" w:cs="Arial"/>
          <w:sz w:val="24"/>
          <w:szCs w:val="24"/>
        </w:rPr>
        <w:br/>
        <w:t xml:space="preserve">Edmondson, A. (1999) ‘Psychological safety and learning behaviour in work teams’, </w:t>
      </w:r>
      <w:r w:rsidRPr="008859D2">
        <w:rPr>
          <w:rFonts w:ascii="Arial" w:hAnsi="Arial" w:cs="Arial"/>
          <w:i/>
          <w:iCs/>
          <w:sz w:val="24"/>
          <w:szCs w:val="24"/>
        </w:rPr>
        <w:t>Administrative Science Quarterly</w:t>
      </w:r>
      <w:r w:rsidRPr="008859D2">
        <w:rPr>
          <w:rFonts w:ascii="Arial" w:hAnsi="Arial" w:cs="Arial"/>
          <w:sz w:val="24"/>
          <w:szCs w:val="24"/>
        </w:rPr>
        <w:t>, 44(2), pp. 350-383.</w:t>
      </w:r>
      <w:r w:rsidRPr="008859D2">
        <w:rPr>
          <w:rFonts w:ascii="Arial" w:hAnsi="Arial" w:cs="Arial"/>
          <w:sz w:val="24"/>
          <w:szCs w:val="24"/>
        </w:rPr>
        <w:br/>
        <w:t xml:space="preserve">Goleman, D. (1998) </w:t>
      </w:r>
      <w:r w:rsidRPr="008859D2">
        <w:rPr>
          <w:rFonts w:ascii="Arial" w:hAnsi="Arial" w:cs="Arial"/>
          <w:i/>
          <w:iCs/>
          <w:sz w:val="24"/>
          <w:szCs w:val="24"/>
        </w:rPr>
        <w:t>Working with Emotional Intelligence</w:t>
      </w:r>
      <w:r w:rsidRPr="008859D2">
        <w:rPr>
          <w:rFonts w:ascii="Arial" w:hAnsi="Arial" w:cs="Arial"/>
          <w:sz w:val="24"/>
          <w:szCs w:val="24"/>
        </w:rPr>
        <w:t>. New York: Bantam Books.</w:t>
      </w:r>
      <w:r w:rsidRPr="008859D2">
        <w:rPr>
          <w:rFonts w:ascii="Arial" w:hAnsi="Arial" w:cs="Arial"/>
          <w:sz w:val="24"/>
          <w:szCs w:val="24"/>
        </w:rPr>
        <w:br/>
        <w:t xml:space="preserve">Hackman, J.R. and Oldham, G. (1975) ‘Development of the Job Diagnostic Survey’, </w:t>
      </w:r>
      <w:r w:rsidRPr="008859D2">
        <w:rPr>
          <w:rFonts w:ascii="Arial" w:hAnsi="Arial" w:cs="Arial"/>
          <w:i/>
          <w:iCs/>
          <w:sz w:val="24"/>
          <w:szCs w:val="24"/>
        </w:rPr>
        <w:t>Journal of Applied Psychology</w:t>
      </w:r>
      <w:r w:rsidRPr="008859D2">
        <w:rPr>
          <w:rFonts w:ascii="Arial" w:hAnsi="Arial" w:cs="Arial"/>
          <w:sz w:val="24"/>
          <w:szCs w:val="24"/>
        </w:rPr>
        <w:t>, 60(2), pp. 159-170.</w:t>
      </w:r>
      <w:r w:rsidRPr="008859D2">
        <w:rPr>
          <w:rFonts w:ascii="Arial" w:hAnsi="Arial" w:cs="Arial"/>
          <w:sz w:val="24"/>
          <w:szCs w:val="24"/>
        </w:rPr>
        <w:br/>
        <w:t xml:space="preserve">Hargie, O. (2016) </w:t>
      </w:r>
      <w:r w:rsidRPr="008859D2">
        <w:rPr>
          <w:rFonts w:ascii="Arial" w:hAnsi="Arial" w:cs="Arial"/>
          <w:i/>
          <w:iCs/>
          <w:sz w:val="24"/>
          <w:szCs w:val="24"/>
        </w:rPr>
        <w:t>Skilled Interpersonal Communication: Research, Theory and Practice</w:t>
      </w:r>
      <w:r w:rsidRPr="008859D2">
        <w:rPr>
          <w:rFonts w:ascii="Arial" w:hAnsi="Arial" w:cs="Arial"/>
          <w:sz w:val="24"/>
          <w:szCs w:val="24"/>
        </w:rPr>
        <w:t xml:space="preserve">. 6th </w:t>
      </w:r>
      <w:proofErr w:type="spellStart"/>
      <w:r w:rsidRPr="008859D2">
        <w:rPr>
          <w:rFonts w:ascii="Arial" w:hAnsi="Arial" w:cs="Arial"/>
          <w:sz w:val="24"/>
          <w:szCs w:val="24"/>
        </w:rPr>
        <w:t>edn</w:t>
      </w:r>
      <w:proofErr w:type="spellEnd"/>
      <w:r w:rsidRPr="008859D2">
        <w:rPr>
          <w:rFonts w:ascii="Arial" w:hAnsi="Arial" w:cs="Arial"/>
          <w:sz w:val="24"/>
          <w:szCs w:val="24"/>
        </w:rPr>
        <w:t>. London: Routledge.</w:t>
      </w:r>
      <w:r w:rsidRPr="008859D2">
        <w:rPr>
          <w:rFonts w:ascii="Arial" w:hAnsi="Arial" w:cs="Arial"/>
          <w:sz w:val="24"/>
          <w:szCs w:val="24"/>
        </w:rPr>
        <w:br/>
        <w:t xml:space="preserve">Herzberg, F. (1968) ‘One more time: How do you motivate employees?’, </w:t>
      </w:r>
      <w:r w:rsidRPr="008859D2">
        <w:rPr>
          <w:rFonts w:ascii="Arial" w:hAnsi="Arial" w:cs="Arial"/>
          <w:i/>
          <w:iCs/>
          <w:sz w:val="24"/>
          <w:szCs w:val="24"/>
        </w:rPr>
        <w:t>Harvard Business Review</w:t>
      </w:r>
      <w:r w:rsidRPr="008859D2">
        <w:rPr>
          <w:rFonts w:ascii="Arial" w:hAnsi="Arial" w:cs="Arial"/>
          <w:sz w:val="24"/>
          <w:szCs w:val="24"/>
        </w:rPr>
        <w:t>, 46(1), pp. 53-62.</w:t>
      </w:r>
      <w:r w:rsidRPr="008859D2">
        <w:rPr>
          <w:rFonts w:ascii="Arial" w:hAnsi="Arial" w:cs="Arial"/>
          <w:sz w:val="24"/>
          <w:szCs w:val="24"/>
        </w:rPr>
        <w:br/>
        <w:t xml:space="preserve">Kerr, S. (2009) ‘The best-laid incentive plans’, </w:t>
      </w:r>
      <w:r w:rsidRPr="008859D2">
        <w:rPr>
          <w:rFonts w:ascii="Arial" w:hAnsi="Arial" w:cs="Arial"/>
          <w:i/>
          <w:iCs/>
          <w:sz w:val="24"/>
          <w:szCs w:val="24"/>
        </w:rPr>
        <w:t>Harvard Business Review</w:t>
      </w:r>
      <w:r w:rsidRPr="008859D2">
        <w:rPr>
          <w:rFonts w:ascii="Arial" w:hAnsi="Arial" w:cs="Arial"/>
          <w:sz w:val="24"/>
          <w:szCs w:val="24"/>
        </w:rPr>
        <w:t>, 87(7), pp. 70-79.</w:t>
      </w:r>
      <w:r w:rsidRPr="008859D2">
        <w:rPr>
          <w:rFonts w:ascii="Arial" w:hAnsi="Arial" w:cs="Arial"/>
          <w:sz w:val="24"/>
          <w:szCs w:val="24"/>
        </w:rPr>
        <w:br/>
        <w:t xml:space="preserve">Kolb, D. (1984) </w:t>
      </w:r>
      <w:r w:rsidRPr="008859D2">
        <w:rPr>
          <w:rFonts w:ascii="Arial" w:hAnsi="Arial" w:cs="Arial"/>
          <w:i/>
          <w:iCs/>
          <w:sz w:val="24"/>
          <w:szCs w:val="24"/>
        </w:rPr>
        <w:t>Experiential Learning: Experience as the Source of Learning and Development</w:t>
      </w:r>
      <w:r w:rsidRPr="008859D2">
        <w:rPr>
          <w:rFonts w:ascii="Arial" w:hAnsi="Arial" w:cs="Arial"/>
          <w:sz w:val="24"/>
          <w:szCs w:val="24"/>
        </w:rPr>
        <w:t>. Englewood Cliffs: Prentice-Hall.</w:t>
      </w:r>
      <w:r w:rsidRPr="008859D2">
        <w:rPr>
          <w:rFonts w:ascii="Arial" w:hAnsi="Arial" w:cs="Arial"/>
          <w:sz w:val="24"/>
          <w:szCs w:val="24"/>
        </w:rPr>
        <w:br/>
        <w:t xml:space="preserve">London, M. (2014) </w:t>
      </w:r>
      <w:r w:rsidRPr="008859D2">
        <w:rPr>
          <w:rFonts w:ascii="Arial" w:hAnsi="Arial" w:cs="Arial"/>
          <w:i/>
          <w:iCs/>
          <w:sz w:val="24"/>
          <w:szCs w:val="24"/>
        </w:rPr>
        <w:t>The Power of Feedback</w:t>
      </w:r>
      <w:r w:rsidRPr="008859D2">
        <w:rPr>
          <w:rFonts w:ascii="Arial" w:hAnsi="Arial" w:cs="Arial"/>
          <w:sz w:val="24"/>
          <w:szCs w:val="24"/>
        </w:rPr>
        <w:t xml:space="preserve">. 2nd </w:t>
      </w:r>
      <w:proofErr w:type="spellStart"/>
      <w:r w:rsidRPr="008859D2">
        <w:rPr>
          <w:rFonts w:ascii="Arial" w:hAnsi="Arial" w:cs="Arial"/>
          <w:sz w:val="24"/>
          <w:szCs w:val="24"/>
        </w:rPr>
        <w:t>edn</w:t>
      </w:r>
      <w:proofErr w:type="spellEnd"/>
      <w:r w:rsidRPr="008859D2">
        <w:rPr>
          <w:rFonts w:ascii="Arial" w:hAnsi="Arial" w:cs="Arial"/>
          <w:sz w:val="24"/>
          <w:szCs w:val="24"/>
        </w:rPr>
        <w:t>. New York: Routledge.</w:t>
      </w:r>
      <w:r w:rsidRPr="008859D2">
        <w:rPr>
          <w:rFonts w:ascii="Arial" w:hAnsi="Arial" w:cs="Arial"/>
          <w:sz w:val="24"/>
          <w:szCs w:val="24"/>
        </w:rPr>
        <w:br/>
        <w:t xml:space="preserve">McGregor, D. (1960) </w:t>
      </w:r>
      <w:r w:rsidRPr="008859D2">
        <w:rPr>
          <w:rFonts w:ascii="Arial" w:hAnsi="Arial" w:cs="Arial"/>
          <w:i/>
          <w:iCs/>
          <w:sz w:val="24"/>
          <w:szCs w:val="24"/>
        </w:rPr>
        <w:t>The Human Side of Enterprise</w:t>
      </w:r>
      <w:r w:rsidRPr="008859D2">
        <w:rPr>
          <w:rFonts w:ascii="Arial" w:hAnsi="Arial" w:cs="Arial"/>
          <w:sz w:val="24"/>
          <w:szCs w:val="24"/>
        </w:rPr>
        <w:t>. New York: McGraw-Hill.</w:t>
      </w:r>
      <w:r w:rsidRPr="008859D2">
        <w:rPr>
          <w:rFonts w:ascii="Arial" w:hAnsi="Arial" w:cs="Arial"/>
          <w:sz w:val="24"/>
          <w:szCs w:val="24"/>
        </w:rPr>
        <w:br/>
        <w:t xml:space="preserve">Rollinson, D. (2017) </w:t>
      </w:r>
      <w:r w:rsidRPr="008859D2">
        <w:rPr>
          <w:rFonts w:ascii="Arial" w:hAnsi="Arial" w:cs="Arial"/>
          <w:i/>
          <w:iCs/>
          <w:sz w:val="24"/>
          <w:szCs w:val="24"/>
        </w:rPr>
        <w:t>Organisational Behaviour and Analysis</w:t>
      </w:r>
      <w:r w:rsidRPr="008859D2">
        <w:rPr>
          <w:rFonts w:ascii="Arial" w:hAnsi="Arial" w:cs="Arial"/>
          <w:sz w:val="24"/>
          <w:szCs w:val="24"/>
        </w:rPr>
        <w:t xml:space="preserve">. 9th </w:t>
      </w:r>
      <w:proofErr w:type="spellStart"/>
      <w:r w:rsidRPr="008859D2">
        <w:rPr>
          <w:rFonts w:ascii="Arial" w:hAnsi="Arial" w:cs="Arial"/>
          <w:sz w:val="24"/>
          <w:szCs w:val="24"/>
        </w:rPr>
        <w:t>edn</w:t>
      </w:r>
      <w:proofErr w:type="spellEnd"/>
      <w:r w:rsidRPr="008859D2">
        <w:rPr>
          <w:rFonts w:ascii="Arial" w:hAnsi="Arial" w:cs="Arial"/>
          <w:sz w:val="24"/>
          <w:szCs w:val="24"/>
        </w:rPr>
        <w:t>. London: Pearson.</w:t>
      </w:r>
      <w:r w:rsidRPr="008859D2">
        <w:rPr>
          <w:rFonts w:ascii="Arial" w:hAnsi="Arial" w:cs="Arial"/>
          <w:sz w:val="24"/>
          <w:szCs w:val="24"/>
        </w:rPr>
        <w:br/>
        <w:t xml:space="preserve">Rousseau, D. (1995) </w:t>
      </w:r>
      <w:r w:rsidRPr="008859D2">
        <w:rPr>
          <w:rFonts w:ascii="Arial" w:hAnsi="Arial" w:cs="Arial"/>
          <w:i/>
          <w:iCs/>
          <w:sz w:val="24"/>
          <w:szCs w:val="24"/>
        </w:rPr>
        <w:t>Psychological Contracts in Organizations</w:t>
      </w:r>
      <w:r w:rsidRPr="008859D2">
        <w:rPr>
          <w:rFonts w:ascii="Arial" w:hAnsi="Arial" w:cs="Arial"/>
          <w:sz w:val="24"/>
          <w:szCs w:val="24"/>
        </w:rPr>
        <w:t>. Thousand Oaks: Sage.</w:t>
      </w:r>
      <w:r w:rsidRPr="008859D2">
        <w:rPr>
          <w:rFonts w:ascii="Arial" w:hAnsi="Arial" w:cs="Arial"/>
          <w:sz w:val="24"/>
          <w:szCs w:val="24"/>
        </w:rPr>
        <w:br/>
        <w:t xml:space="preserve">Whitmore, J. (2017) </w:t>
      </w:r>
      <w:r w:rsidRPr="008859D2">
        <w:rPr>
          <w:rFonts w:ascii="Arial" w:hAnsi="Arial" w:cs="Arial"/>
          <w:i/>
          <w:iCs/>
          <w:sz w:val="24"/>
          <w:szCs w:val="24"/>
        </w:rPr>
        <w:t>Coaching for Performance</w:t>
      </w:r>
      <w:r w:rsidRPr="008859D2">
        <w:rPr>
          <w:rFonts w:ascii="Arial" w:hAnsi="Arial" w:cs="Arial"/>
          <w:sz w:val="24"/>
          <w:szCs w:val="24"/>
        </w:rPr>
        <w:t xml:space="preserve">. 5th </w:t>
      </w:r>
      <w:proofErr w:type="spellStart"/>
      <w:r w:rsidRPr="008859D2">
        <w:rPr>
          <w:rFonts w:ascii="Arial" w:hAnsi="Arial" w:cs="Arial"/>
          <w:sz w:val="24"/>
          <w:szCs w:val="24"/>
        </w:rPr>
        <w:t>edn</w:t>
      </w:r>
      <w:proofErr w:type="spellEnd"/>
      <w:r w:rsidRPr="008859D2">
        <w:rPr>
          <w:rFonts w:ascii="Arial" w:hAnsi="Arial" w:cs="Arial"/>
          <w:sz w:val="24"/>
          <w:szCs w:val="24"/>
        </w:rPr>
        <w:t>. London: Nicholas Brealey.</w:t>
      </w:r>
      <w:r w:rsidRPr="008859D2">
        <w:rPr>
          <w:rFonts w:ascii="Arial" w:hAnsi="Arial" w:cs="Arial"/>
          <w:sz w:val="24"/>
          <w:szCs w:val="24"/>
        </w:rPr>
        <w:br/>
        <w:t xml:space="preserve">Yukl, G. (2013) </w:t>
      </w:r>
      <w:r w:rsidRPr="008859D2">
        <w:rPr>
          <w:rFonts w:ascii="Arial" w:hAnsi="Arial" w:cs="Arial"/>
          <w:i/>
          <w:iCs/>
          <w:sz w:val="24"/>
          <w:szCs w:val="24"/>
        </w:rPr>
        <w:t>Leadership in Organizations</w:t>
      </w:r>
      <w:r w:rsidRPr="008859D2">
        <w:rPr>
          <w:rFonts w:ascii="Arial" w:hAnsi="Arial" w:cs="Arial"/>
          <w:sz w:val="24"/>
          <w:szCs w:val="24"/>
        </w:rPr>
        <w:t xml:space="preserve">. 8th </w:t>
      </w:r>
      <w:proofErr w:type="spellStart"/>
      <w:r w:rsidRPr="008859D2">
        <w:rPr>
          <w:rFonts w:ascii="Arial" w:hAnsi="Arial" w:cs="Arial"/>
          <w:sz w:val="24"/>
          <w:szCs w:val="24"/>
        </w:rPr>
        <w:t>edn</w:t>
      </w:r>
      <w:proofErr w:type="spellEnd"/>
      <w:r w:rsidRPr="008859D2">
        <w:rPr>
          <w:rFonts w:ascii="Arial" w:hAnsi="Arial" w:cs="Arial"/>
          <w:sz w:val="24"/>
          <w:szCs w:val="24"/>
        </w:rPr>
        <w:t>. Harlow: Pearson.</w:t>
      </w:r>
    </w:p>
    <w:p w14:paraId="06B6867A" w14:textId="77777777" w:rsidR="008859D2" w:rsidRPr="00C97C94" w:rsidRDefault="008859D2">
      <w:pPr>
        <w:rPr>
          <w:rFonts w:ascii="Arial" w:hAnsi="Arial" w:cs="Arial"/>
          <w:sz w:val="24"/>
          <w:szCs w:val="24"/>
        </w:rPr>
      </w:pPr>
    </w:p>
    <w:sectPr w:rsidR="008859D2" w:rsidRPr="00C97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1B58B7"/>
    <w:multiLevelType w:val="multilevel"/>
    <w:tmpl w:val="6770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230E90"/>
    <w:multiLevelType w:val="multilevel"/>
    <w:tmpl w:val="AFEA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5B6206"/>
    <w:multiLevelType w:val="multilevel"/>
    <w:tmpl w:val="93D4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3183416">
    <w:abstractNumId w:val="2"/>
  </w:num>
  <w:num w:numId="2" w16cid:durableId="1254629378">
    <w:abstractNumId w:val="1"/>
  </w:num>
  <w:num w:numId="3" w16cid:durableId="1752122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C94"/>
    <w:rsid w:val="000D580E"/>
    <w:rsid w:val="008859D2"/>
    <w:rsid w:val="00933B11"/>
    <w:rsid w:val="00C97C94"/>
    <w:rsid w:val="00D87410"/>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BE529"/>
  <w15:chartTrackingRefBased/>
  <w15:docId w15:val="{CD8462E5-EBA7-4DFE-B4A3-3EB13F63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C94"/>
    <w:rPr>
      <w:rFonts w:eastAsiaTheme="majorEastAsia" w:cstheme="majorBidi"/>
      <w:color w:val="272727" w:themeColor="text1" w:themeTint="D8"/>
    </w:rPr>
  </w:style>
  <w:style w:type="paragraph" w:styleId="Title">
    <w:name w:val="Title"/>
    <w:basedOn w:val="Normal"/>
    <w:next w:val="Normal"/>
    <w:link w:val="TitleChar"/>
    <w:uiPriority w:val="10"/>
    <w:qFormat/>
    <w:rsid w:val="00C97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C94"/>
    <w:pPr>
      <w:spacing w:before="160"/>
      <w:jc w:val="center"/>
    </w:pPr>
    <w:rPr>
      <w:i/>
      <w:iCs/>
      <w:color w:val="404040" w:themeColor="text1" w:themeTint="BF"/>
    </w:rPr>
  </w:style>
  <w:style w:type="character" w:customStyle="1" w:styleId="QuoteChar">
    <w:name w:val="Quote Char"/>
    <w:basedOn w:val="DefaultParagraphFont"/>
    <w:link w:val="Quote"/>
    <w:uiPriority w:val="29"/>
    <w:rsid w:val="00C97C94"/>
    <w:rPr>
      <w:i/>
      <w:iCs/>
      <w:color w:val="404040" w:themeColor="text1" w:themeTint="BF"/>
    </w:rPr>
  </w:style>
  <w:style w:type="paragraph" w:styleId="ListParagraph">
    <w:name w:val="List Paragraph"/>
    <w:basedOn w:val="Normal"/>
    <w:uiPriority w:val="34"/>
    <w:qFormat/>
    <w:rsid w:val="00C97C94"/>
    <w:pPr>
      <w:ind w:left="720"/>
      <w:contextualSpacing/>
    </w:pPr>
  </w:style>
  <w:style w:type="character" w:styleId="IntenseEmphasis">
    <w:name w:val="Intense Emphasis"/>
    <w:basedOn w:val="DefaultParagraphFont"/>
    <w:uiPriority w:val="21"/>
    <w:qFormat/>
    <w:rsid w:val="00C97C94"/>
    <w:rPr>
      <w:i/>
      <w:iCs/>
      <w:color w:val="0F4761" w:themeColor="accent1" w:themeShade="BF"/>
    </w:rPr>
  </w:style>
  <w:style w:type="paragraph" w:styleId="IntenseQuote">
    <w:name w:val="Intense Quote"/>
    <w:basedOn w:val="Normal"/>
    <w:next w:val="Normal"/>
    <w:link w:val="IntenseQuoteChar"/>
    <w:uiPriority w:val="30"/>
    <w:qFormat/>
    <w:rsid w:val="00C97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C94"/>
    <w:rPr>
      <w:i/>
      <w:iCs/>
      <w:color w:val="0F4761" w:themeColor="accent1" w:themeShade="BF"/>
    </w:rPr>
  </w:style>
  <w:style w:type="character" w:styleId="IntenseReference">
    <w:name w:val="Intense Reference"/>
    <w:basedOn w:val="DefaultParagraphFont"/>
    <w:uiPriority w:val="32"/>
    <w:qFormat/>
    <w:rsid w:val="00C97C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3320</Words>
  <Characters>18930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1</cp:revision>
  <dcterms:created xsi:type="dcterms:W3CDTF">2025-12-11T19:16:00Z</dcterms:created>
  <dcterms:modified xsi:type="dcterms:W3CDTF">2025-12-11T19:42:00Z</dcterms:modified>
</cp:coreProperties>
</file>