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71430" w14:textId="289D5292" w:rsidR="00085C9D" w:rsidRDefault="00085C9D" w:rsidP="00494502">
      <w:pPr>
        <w:pStyle w:val="Title"/>
        <w:spacing w:line="360" w:lineRule="auto"/>
        <w:rPr>
          <w:rFonts w:ascii="Arial" w:hAnsi="Arial" w:cs="Arial"/>
          <w:b/>
          <w:bCs/>
          <w:sz w:val="44"/>
          <w:szCs w:val="44"/>
        </w:rPr>
      </w:pPr>
    </w:p>
    <w:p w14:paraId="3452AD2A" w14:textId="77777777" w:rsidR="00085C9D" w:rsidRDefault="00085C9D">
      <w:pPr>
        <w:spacing w:line="360" w:lineRule="auto"/>
        <w:rPr>
          <w:rFonts w:ascii="Arial" w:hAnsi="Arial" w:cs="Arial"/>
          <w:b/>
          <w:bCs/>
          <w:sz w:val="24"/>
          <w:szCs w:val="24"/>
        </w:rPr>
      </w:pPr>
    </w:p>
    <w:p w14:paraId="62C9E645" w14:textId="77777777" w:rsidR="00085C9D" w:rsidRPr="002F766E" w:rsidRDefault="00085C9D" w:rsidP="002F766E">
      <w:pPr>
        <w:spacing w:line="360" w:lineRule="auto"/>
        <w:jc w:val="center"/>
        <w:rPr>
          <w:rFonts w:ascii="Arial" w:hAnsi="Arial" w:cs="Arial"/>
          <w:b/>
          <w:bCs/>
          <w:sz w:val="21"/>
          <w:szCs w:val="21"/>
        </w:rPr>
      </w:pPr>
    </w:p>
    <w:p w14:paraId="7693BFE0" w14:textId="18504033" w:rsidR="00085C9D" w:rsidRPr="003379A4" w:rsidRDefault="00FA00C5" w:rsidP="002F766E">
      <w:pPr>
        <w:spacing w:line="360" w:lineRule="auto"/>
        <w:jc w:val="center"/>
        <w:rPr>
          <w:rFonts w:ascii="Arial" w:hAnsi="Arial" w:cs="Arial"/>
          <w:b/>
          <w:bCs/>
          <w:sz w:val="52"/>
          <w:szCs w:val="52"/>
        </w:rPr>
      </w:pPr>
      <w:r w:rsidRPr="003379A4">
        <w:rPr>
          <w:rFonts w:ascii="Arial" w:hAnsi="Arial" w:cs="Arial"/>
          <w:b/>
          <w:bCs/>
          <w:sz w:val="52"/>
          <w:szCs w:val="52"/>
        </w:rPr>
        <w:t>Tabitha Kalyan</w:t>
      </w:r>
    </w:p>
    <w:p w14:paraId="1D34FA46" w14:textId="3C628A0C" w:rsidR="00085C9D" w:rsidRDefault="00494502" w:rsidP="002F766E">
      <w:pPr>
        <w:spacing w:line="360" w:lineRule="auto"/>
        <w:jc w:val="center"/>
        <w:rPr>
          <w:rFonts w:ascii="Arial" w:hAnsi="Arial" w:cs="Arial"/>
          <w:b/>
          <w:bCs/>
          <w:sz w:val="52"/>
          <w:szCs w:val="52"/>
        </w:rPr>
      </w:pPr>
      <w:r w:rsidRPr="003379A4">
        <w:rPr>
          <w:rFonts w:ascii="Arial" w:hAnsi="Arial" w:cs="Arial"/>
          <w:b/>
          <w:bCs/>
          <w:sz w:val="52"/>
          <w:szCs w:val="52"/>
        </w:rPr>
        <w:t>2020004</w:t>
      </w:r>
    </w:p>
    <w:p w14:paraId="63298E10" w14:textId="77777777" w:rsidR="003379A4" w:rsidRPr="003379A4" w:rsidRDefault="003379A4" w:rsidP="002F766E">
      <w:pPr>
        <w:spacing w:line="360" w:lineRule="auto"/>
        <w:jc w:val="center"/>
        <w:rPr>
          <w:rFonts w:ascii="Arial" w:hAnsi="Arial" w:cs="Arial"/>
          <w:b/>
          <w:bCs/>
          <w:sz w:val="52"/>
          <w:szCs w:val="52"/>
        </w:rPr>
      </w:pPr>
    </w:p>
    <w:p w14:paraId="6381F10A" w14:textId="77777777" w:rsidR="00C45AB1" w:rsidRPr="00B0276F" w:rsidRDefault="00C45AB1" w:rsidP="002F766E">
      <w:pPr>
        <w:pStyle w:val="Title"/>
        <w:spacing w:line="360" w:lineRule="auto"/>
        <w:jc w:val="center"/>
        <w:rPr>
          <w:rFonts w:ascii="Arial" w:hAnsi="Arial" w:cs="Arial"/>
          <w:b/>
          <w:bCs/>
          <w:sz w:val="52"/>
          <w:szCs w:val="52"/>
        </w:rPr>
      </w:pPr>
      <w:r w:rsidRPr="00B0276F">
        <w:rPr>
          <w:rFonts w:ascii="Arial" w:hAnsi="Arial" w:cs="Arial"/>
          <w:b/>
          <w:bCs/>
          <w:sz w:val="52"/>
          <w:szCs w:val="52"/>
        </w:rPr>
        <w:t>BMHP6006_BIRM - Mental Disorders and Psychopathology</w:t>
      </w:r>
    </w:p>
    <w:p w14:paraId="3A63720D" w14:textId="2FE3381B" w:rsidR="002F766E" w:rsidRPr="003379A4" w:rsidRDefault="00E86C62" w:rsidP="00B0276F">
      <w:pPr>
        <w:jc w:val="center"/>
        <w:rPr>
          <w:rFonts w:ascii="Arial" w:hAnsi="Arial" w:cs="Arial"/>
          <w:b/>
          <w:bCs/>
          <w:sz w:val="44"/>
          <w:szCs w:val="44"/>
        </w:rPr>
      </w:pPr>
      <w:r w:rsidRPr="003379A4">
        <w:rPr>
          <w:rFonts w:ascii="Arial" w:hAnsi="Arial" w:cs="Arial"/>
          <w:b/>
          <w:bCs/>
          <w:sz w:val="44"/>
          <w:szCs w:val="44"/>
        </w:rPr>
        <w:t>Don</w:t>
      </w:r>
      <w:r w:rsidR="00B0276F" w:rsidRPr="003379A4">
        <w:rPr>
          <w:rFonts w:ascii="Arial" w:hAnsi="Arial" w:cs="Arial"/>
          <w:b/>
          <w:bCs/>
          <w:sz w:val="44"/>
          <w:szCs w:val="44"/>
        </w:rPr>
        <w:t>na Holder</w:t>
      </w:r>
    </w:p>
    <w:p w14:paraId="68D7F0E4" w14:textId="77777777" w:rsidR="004921C2" w:rsidRDefault="004921C2" w:rsidP="00B0276F">
      <w:pPr>
        <w:jc w:val="center"/>
        <w:rPr>
          <w:rFonts w:ascii="Arial" w:hAnsi="Arial" w:cs="Arial"/>
          <w:b/>
          <w:bCs/>
          <w:sz w:val="40"/>
          <w:szCs w:val="40"/>
        </w:rPr>
      </w:pPr>
    </w:p>
    <w:p w14:paraId="46E9CF20" w14:textId="77777777" w:rsidR="004921C2" w:rsidRDefault="004921C2" w:rsidP="00B0276F">
      <w:pPr>
        <w:jc w:val="center"/>
        <w:rPr>
          <w:rFonts w:ascii="Arial" w:hAnsi="Arial" w:cs="Arial"/>
          <w:b/>
          <w:bCs/>
          <w:sz w:val="40"/>
          <w:szCs w:val="40"/>
        </w:rPr>
      </w:pPr>
    </w:p>
    <w:p w14:paraId="6B1A9601" w14:textId="77777777" w:rsidR="00B0276F" w:rsidRDefault="00B0276F" w:rsidP="00B0276F">
      <w:pPr>
        <w:pStyle w:val="Title"/>
        <w:spacing w:line="360" w:lineRule="auto"/>
        <w:jc w:val="center"/>
        <w:rPr>
          <w:rFonts w:ascii="Arial" w:hAnsi="Arial" w:cs="Arial"/>
          <w:b/>
          <w:bCs/>
          <w:sz w:val="44"/>
          <w:szCs w:val="44"/>
        </w:rPr>
      </w:pPr>
      <w:r>
        <w:rPr>
          <w:rFonts w:ascii="Arial" w:hAnsi="Arial" w:cs="Arial"/>
          <w:b/>
          <w:bCs/>
          <w:sz w:val="44"/>
          <w:szCs w:val="44"/>
        </w:rPr>
        <w:t>Assessment 2 – Written Report</w:t>
      </w:r>
    </w:p>
    <w:p w14:paraId="4AAB8791" w14:textId="77777777" w:rsidR="004921C2" w:rsidRPr="004921C2" w:rsidRDefault="004921C2" w:rsidP="004921C2">
      <w:pPr>
        <w:jc w:val="center"/>
        <w:rPr>
          <w:rFonts w:ascii="Arial" w:hAnsi="Arial" w:cs="Arial"/>
        </w:rPr>
      </w:pPr>
    </w:p>
    <w:p w14:paraId="136D81D5" w14:textId="08A90540" w:rsidR="00B0276F" w:rsidRPr="001051D4" w:rsidRDefault="004921C2" w:rsidP="002F766E">
      <w:pPr>
        <w:jc w:val="center"/>
        <w:rPr>
          <w:rFonts w:ascii="Arial" w:hAnsi="Arial" w:cs="Arial"/>
          <w:b/>
          <w:bCs/>
          <w:sz w:val="52"/>
          <w:szCs w:val="52"/>
        </w:rPr>
      </w:pPr>
      <w:r w:rsidRPr="001051D4">
        <w:rPr>
          <w:rFonts w:ascii="Arial" w:hAnsi="Arial" w:cs="Arial"/>
          <w:b/>
          <w:bCs/>
          <w:sz w:val="52"/>
          <w:szCs w:val="52"/>
        </w:rPr>
        <w:t>Dementia</w:t>
      </w:r>
    </w:p>
    <w:p w14:paraId="71B01380" w14:textId="77777777" w:rsidR="002F766E" w:rsidRPr="002F766E" w:rsidRDefault="002F766E" w:rsidP="002F766E">
      <w:pPr>
        <w:jc w:val="center"/>
        <w:rPr>
          <w:rFonts w:ascii="Arial" w:hAnsi="Arial" w:cs="Arial"/>
        </w:rPr>
      </w:pPr>
    </w:p>
    <w:p w14:paraId="2A403428" w14:textId="77777777" w:rsidR="002F766E" w:rsidRPr="002F766E" w:rsidRDefault="002F766E" w:rsidP="002F766E">
      <w:pPr>
        <w:jc w:val="center"/>
        <w:rPr>
          <w:rFonts w:ascii="Arial" w:hAnsi="Arial" w:cs="Arial"/>
        </w:rPr>
      </w:pPr>
    </w:p>
    <w:p w14:paraId="147219B0" w14:textId="13663353" w:rsidR="00085C9D" w:rsidRPr="002F766E" w:rsidRDefault="00085C9D" w:rsidP="002F766E">
      <w:pPr>
        <w:pStyle w:val="Title"/>
        <w:spacing w:line="360" w:lineRule="auto"/>
        <w:rPr>
          <w:rFonts w:ascii="Arial" w:hAnsi="Arial" w:cs="Arial"/>
          <w:b/>
          <w:bCs/>
          <w:sz w:val="44"/>
          <w:szCs w:val="44"/>
        </w:rPr>
      </w:pPr>
    </w:p>
    <w:sdt>
      <w:sdtPr>
        <w:rPr>
          <w:rFonts w:ascii="Arial" w:eastAsiaTheme="minorHAnsi" w:hAnsi="Arial" w:cs="Arial"/>
          <w:b/>
          <w:bCs/>
          <w:color w:val="000000" w:themeColor="text1"/>
          <w:sz w:val="24"/>
          <w:szCs w:val="24"/>
          <w:lang w:val="en-GB"/>
        </w:rPr>
        <w:id w:val="-708576168"/>
        <w:docPartObj>
          <w:docPartGallery w:val="Table of Contents"/>
          <w:docPartUnique/>
        </w:docPartObj>
      </w:sdtPr>
      <w:sdtEndPr>
        <w:rPr>
          <w:color w:val="auto"/>
        </w:rPr>
      </w:sdtEndPr>
      <w:sdtContent>
        <w:p w14:paraId="785028A3" w14:textId="77777777" w:rsidR="00085C9D" w:rsidRDefault="006C5015">
          <w:pPr>
            <w:pStyle w:val="TOCHeading1"/>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Table of Contents</w:t>
          </w:r>
        </w:p>
        <w:p w14:paraId="50BD383C" w14:textId="3515CC5E" w:rsidR="00F7680F" w:rsidRPr="00F7680F" w:rsidRDefault="006C5015" w:rsidP="00F7680F">
          <w:pPr>
            <w:pStyle w:val="TOC1"/>
            <w:tabs>
              <w:tab w:val="right" w:leader="dot" w:pos="9350"/>
            </w:tabs>
            <w:spacing w:line="360" w:lineRule="auto"/>
            <w:rPr>
              <w:rFonts w:ascii="Arial" w:eastAsiaTheme="minorEastAsia" w:hAnsi="Arial" w:cs="Arial"/>
              <w:noProof/>
              <w:sz w:val="24"/>
              <w:szCs w:val="24"/>
              <w:lang w:val="en-US"/>
            </w:rPr>
          </w:pPr>
          <w:r w:rsidRPr="00F7680F">
            <w:rPr>
              <w:rFonts w:ascii="Arial" w:hAnsi="Arial" w:cs="Arial"/>
              <w:color w:val="000000" w:themeColor="text1"/>
              <w:sz w:val="24"/>
              <w:szCs w:val="24"/>
            </w:rPr>
            <w:fldChar w:fldCharType="begin"/>
          </w:r>
          <w:r w:rsidRPr="00F7680F">
            <w:rPr>
              <w:rFonts w:ascii="Arial" w:hAnsi="Arial" w:cs="Arial"/>
              <w:color w:val="000000" w:themeColor="text1"/>
              <w:sz w:val="24"/>
              <w:szCs w:val="24"/>
            </w:rPr>
            <w:instrText xml:space="preserve"> TOC \o "1-3" \h \z \u </w:instrText>
          </w:r>
          <w:r w:rsidRPr="00F7680F">
            <w:rPr>
              <w:rFonts w:ascii="Arial" w:hAnsi="Arial" w:cs="Arial"/>
              <w:color w:val="000000" w:themeColor="text1"/>
              <w:sz w:val="24"/>
              <w:szCs w:val="24"/>
            </w:rPr>
            <w:fldChar w:fldCharType="separate"/>
          </w:r>
          <w:hyperlink w:anchor="_Toc140776247" w:history="1">
            <w:r w:rsidR="00F7680F" w:rsidRPr="00F7680F">
              <w:rPr>
                <w:rStyle w:val="Hyperlink"/>
                <w:rFonts w:ascii="Arial" w:hAnsi="Arial" w:cs="Arial"/>
                <w:noProof/>
                <w:sz w:val="24"/>
                <w:szCs w:val="24"/>
              </w:rPr>
              <w:t>Introduction</w:t>
            </w:r>
            <w:r w:rsidR="00F7680F" w:rsidRPr="00F7680F">
              <w:rPr>
                <w:rFonts w:ascii="Arial" w:hAnsi="Arial" w:cs="Arial"/>
                <w:noProof/>
                <w:webHidden/>
                <w:sz w:val="24"/>
                <w:szCs w:val="24"/>
              </w:rPr>
              <w:tab/>
            </w:r>
            <w:r w:rsidR="00F7680F" w:rsidRPr="00F7680F">
              <w:rPr>
                <w:rFonts w:ascii="Arial" w:hAnsi="Arial" w:cs="Arial"/>
                <w:noProof/>
                <w:webHidden/>
                <w:sz w:val="24"/>
                <w:szCs w:val="24"/>
              </w:rPr>
              <w:fldChar w:fldCharType="begin"/>
            </w:r>
            <w:r w:rsidR="00F7680F" w:rsidRPr="00F7680F">
              <w:rPr>
                <w:rFonts w:ascii="Arial" w:hAnsi="Arial" w:cs="Arial"/>
                <w:noProof/>
                <w:webHidden/>
                <w:sz w:val="24"/>
                <w:szCs w:val="24"/>
              </w:rPr>
              <w:instrText xml:space="preserve"> PAGEREF _Toc140776247 \h </w:instrText>
            </w:r>
            <w:r w:rsidR="00F7680F" w:rsidRPr="00F7680F">
              <w:rPr>
                <w:rFonts w:ascii="Arial" w:hAnsi="Arial" w:cs="Arial"/>
                <w:noProof/>
                <w:webHidden/>
                <w:sz w:val="24"/>
                <w:szCs w:val="24"/>
              </w:rPr>
            </w:r>
            <w:r w:rsidR="00F7680F" w:rsidRPr="00F7680F">
              <w:rPr>
                <w:rFonts w:ascii="Arial" w:hAnsi="Arial" w:cs="Arial"/>
                <w:noProof/>
                <w:webHidden/>
                <w:sz w:val="24"/>
                <w:szCs w:val="24"/>
              </w:rPr>
              <w:fldChar w:fldCharType="separate"/>
            </w:r>
            <w:r w:rsidR="00F7680F" w:rsidRPr="00F7680F">
              <w:rPr>
                <w:rFonts w:ascii="Arial" w:hAnsi="Arial" w:cs="Arial"/>
                <w:noProof/>
                <w:webHidden/>
                <w:sz w:val="24"/>
                <w:szCs w:val="24"/>
              </w:rPr>
              <w:t>3</w:t>
            </w:r>
            <w:r w:rsidR="00F7680F" w:rsidRPr="00F7680F">
              <w:rPr>
                <w:rFonts w:ascii="Arial" w:hAnsi="Arial" w:cs="Arial"/>
                <w:noProof/>
                <w:webHidden/>
                <w:sz w:val="24"/>
                <w:szCs w:val="24"/>
              </w:rPr>
              <w:fldChar w:fldCharType="end"/>
            </w:r>
          </w:hyperlink>
        </w:p>
        <w:p w14:paraId="06234272" w14:textId="5A488E07" w:rsidR="00F7680F" w:rsidRPr="00F7680F" w:rsidRDefault="00857A78" w:rsidP="00F7680F">
          <w:pPr>
            <w:pStyle w:val="TOC1"/>
            <w:tabs>
              <w:tab w:val="right" w:leader="dot" w:pos="9350"/>
            </w:tabs>
            <w:spacing w:line="360" w:lineRule="auto"/>
            <w:rPr>
              <w:rFonts w:ascii="Arial" w:eastAsiaTheme="minorEastAsia" w:hAnsi="Arial" w:cs="Arial"/>
              <w:noProof/>
              <w:sz w:val="24"/>
              <w:szCs w:val="24"/>
              <w:lang w:val="en-US"/>
            </w:rPr>
          </w:pPr>
          <w:hyperlink w:anchor="_Toc140776248" w:history="1">
            <w:r w:rsidR="00F7680F" w:rsidRPr="00F7680F">
              <w:rPr>
                <w:rStyle w:val="Hyperlink"/>
                <w:rFonts w:ascii="Arial" w:hAnsi="Arial" w:cs="Arial"/>
                <w:noProof/>
                <w:sz w:val="24"/>
                <w:szCs w:val="24"/>
              </w:rPr>
              <w:t>Classification of the chosen mental disorder</w:t>
            </w:r>
            <w:r w:rsidR="00F7680F" w:rsidRPr="00F7680F">
              <w:rPr>
                <w:rFonts w:ascii="Arial" w:hAnsi="Arial" w:cs="Arial"/>
                <w:noProof/>
                <w:webHidden/>
                <w:sz w:val="24"/>
                <w:szCs w:val="24"/>
              </w:rPr>
              <w:tab/>
            </w:r>
            <w:r w:rsidR="00F7680F" w:rsidRPr="00F7680F">
              <w:rPr>
                <w:rFonts w:ascii="Arial" w:hAnsi="Arial" w:cs="Arial"/>
                <w:noProof/>
                <w:webHidden/>
                <w:sz w:val="24"/>
                <w:szCs w:val="24"/>
              </w:rPr>
              <w:fldChar w:fldCharType="begin"/>
            </w:r>
            <w:r w:rsidR="00F7680F" w:rsidRPr="00F7680F">
              <w:rPr>
                <w:rFonts w:ascii="Arial" w:hAnsi="Arial" w:cs="Arial"/>
                <w:noProof/>
                <w:webHidden/>
                <w:sz w:val="24"/>
                <w:szCs w:val="24"/>
              </w:rPr>
              <w:instrText xml:space="preserve"> PAGEREF _Toc140776248 \h </w:instrText>
            </w:r>
            <w:r w:rsidR="00F7680F" w:rsidRPr="00F7680F">
              <w:rPr>
                <w:rFonts w:ascii="Arial" w:hAnsi="Arial" w:cs="Arial"/>
                <w:noProof/>
                <w:webHidden/>
                <w:sz w:val="24"/>
                <w:szCs w:val="24"/>
              </w:rPr>
            </w:r>
            <w:r w:rsidR="00F7680F" w:rsidRPr="00F7680F">
              <w:rPr>
                <w:rFonts w:ascii="Arial" w:hAnsi="Arial" w:cs="Arial"/>
                <w:noProof/>
                <w:webHidden/>
                <w:sz w:val="24"/>
                <w:szCs w:val="24"/>
              </w:rPr>
              <w:fldChar w:fldCharType="separate"/>
            </w:r>
            <w:r w:rsidR="00F7680F" w:rsidRPr="00F7680F">
              <w:rPr>
                <w:rFonts w:ascii="Arial" w:hAnsi="Arial" w:cs="Arial"/>
                <w:noProof/>
                <w:webHidden/>
                <w:sz w:val="24"/>
                <w:szCs w:val="24"/>
              </w:rPr>
              <w:t>3</w:t>
            </w:r>
            <w:r w:rsidR="00F7680F" w:rsidRPr="00F7680F">
              <w:rPr>
                <w:rFonts w:ascii="Arial" w:hAnsi="Arial" w:cs="Arial"/>
                <w:noProof/>
                <w:webHidden/>
                <w:sz w:val="24"/>
                <w:szCs w:val="24"/>
              </w:rPr>
              <w:fldChar w:fldCharType="end"/>
            </w:r>
          </w:hyperlink>
        </w:p>
        <w:p w14:paraId="11B8D16E" w14:textId="16A9D70A" w:rsidR="00F7680F" w:rsidRPr="00F7680F" w:rsidRDefault="00857A78" w:rsidP="00F7680F">
          <w:pPr>
            <w:pStyle w:val="TOC1"/>
            <w:tabs>
              <w:tab w:val="right" w:leader="dot" w:pos="9350"/>
            </w:tabs>
            <w:spacing w:line="360" w:lineRule="auto"/>
            <w:rPr>
              <w:rFonts w:ascii="Arial" w:eastAsiaTheme="minorEastAsia" w:hAnsi="Arial" w:cs="Arial"/>
              <w:noProof/>
              <w:sz w:val="24"/>
              <w:szCs w:val="24"/>
              <w:lang w:val="en-US"/>
            </w:rPr>
          </w:pPr>
          <w:hyperlink w:anchor="_Toc140776249" w:history="1">
            <w:r w:rsidR="00F7680F" w:rsidRPr="00F7680F">
              <w:rPr>
                <w:rStyle w:val="Hyperlink"/>
                <w:rFonts w:ascii="Arial" w:hAnsi="Arial" w:cs="Arial"/>
                <w:noProof/>
                <w:sz w:val="24"/>
                <w:szCs w:val="24"/>
              </w:rPr>
              <w:t>Process and Procedure of Diagnosing the mental disorder</w:t>
            </w:r>
            <w:r w:rsidR="00F7680F" w:rsidRPr="00F7680F">
              <w:rPr>
                <w:rFonts w:ascii="Arial" w:hAnsi="Arial" w:cs="Arial"/>
                <w:noProof/>
                <w:webHidden/>
                <w:sz w:val="24"/>
                <w:szCs w:val="24"/>
              </w:rPr>
              <w:tab/>
            </w:r>
            <w:r w:rsidR="00F7680F" w:rsidRPr="00F7680F">
              <w:rPr>
                <w:rFonts w:ascii="Arial" w:hAnsi="Arial" w:cs="Arial"/>
                <w:noProof/>
                <w:webHidden/>
                <w:sz w:val="24"/>
                <w:szCs w:val="24"/>
              </w:rPr>
              <w:fldChar w:fldCharType="begin"/>
            </w:r>
            <w:r w:rsidR="00F7680F" w:rsidRPr="00F7680F">
              <w:rPr>
                <w:rFonts w:ascii="Arial" w:hAnsi="Arial" w:cs="Arial"/>
                <w:noProof/>
                <w:webHidden/>
                <w:sz w:val="24"/>
                <w:szCs w:val="24"/>
              </w:rPr>
              <w:instrText xml:space="preserve"> PAGEREF _Toc140776249 \h </w:instrText>
            </w:r>
            <w:r w:rsidR="00F7680F" w:rsidRPr="00F7680F">
              <w:rPr>
                <w:rFonts w:ascii="Arial" w:hAnsi="Arial" w:cs="Arial"/>
                <w:noProof/>
                <w:webHidden/>
                <w:sz w:val="24"/>
                <w:szCs w:val="24"/>
              </w:rPr>
            </w:r>
            <w:r w:rsidR="00F7680F" w:rsidRPr="00F7680F">
              <w:rPr>
                <w:rFonts w:ascii="Arial" w:hAnsi="Arial" w:cs="Arial"/>
                <w:noProof/>
                <w:webHidden/>
                <w:sz w:val="24"/>
                <w:szCs w:val="24"/>
              </w:rPr>
              <w:fldChar w:fldCharType="separate"/>
            </w:r>
            <w:r w:rsidR="00F7680F" w:rsidRPr="00F7680F">
              <w:rPr>
                <w:rFonts w:ascii="Arial" w:hAnsi="Arial" w:cs="Arial"/>
                <w:noProof/>
                <w:webHidden/>
                <w:sz w:val="24"/>
                <w:szCs w:val="24"/>
              </w:rPr>
              <w:t>5</w:t>
            </w:r>
            <w:r w:rsidR="00F7680F" w:rsidRPr="00F7680F">
              <w:rPr>
                <w:rFonts w:ascii="Arial" w:hAnsi="Arial" w:cs="Arial"/>
                <w:noProof/>
                <w:webHidden/>
                <w:sz w:val="24"/>
                <w:szCs w:val="24"/>
              </w:rPr>
              <w:fldChar w:fldCharType="end"/>
            </w:r>
          </w:hyperlink>
        </w:p>
        <w:p w14:paraId="7A471D68" w14:textId="48FE9DD7" w:rsidR="00F7680F" w:rsidRPr="00F7680F" w:rsidRDefault="00857A78" w:rsidP="00F7680F">
          <w:pPr>
            <w:pStyle w:val="TOC1"/>
            <w:tabs>
              <w:tab w:val="right" w:leader="dot" w:pos="9350"/>
            </w:tabs>
            <w:spacing w:line="360" w:lineRule="auto"/>
            <w:rPr>
              <w:rFonts w:ascii="Arial" w:eastAsiaTheme="minorEastAsia" w:hAnsi="Arial" w:cs="Arial"/>
              <w:noProof/>
              <w:sz w:val="24"/>
              <w:szCs w:val="24"/>
              <w:lang w:val="en-US"/>
            </w:rPr>
          </w:pPr>
          <w:hyperlink w:anchor="_Toc140776250" w:history="1">
            <w:r w:rsidR="00F7680F" w:rsidRPr="00F7680F">
              <w:rPr>
                <w:rStyle w:val="Hyperlink"/>
                <w:rFonts w:ascii="Arial" w:hAnsi="Arial" w:cs="Arial"/>
                <w:noProof/>
                <w:sz w:val="24"/>
                <w:szCs w:val="24"/>
              </w:rPr>
              <w:t>Current Treatment Provision</w:t>
            </w:r>
            <w:r w:rsidR="00F7680F" w:rsidRPr="00F7680F">
              <w:rPr>
                <w:rFonts w:ascii="Arial" w:hAnsi="Arial" w:cs="Arial"/>
                <w:noProof/>
                <w:webHidden/>
                <w:sz w:val="24"/>
                <w:szCs w:val="24"/>
              </w:rPr>
              <w:tab/>
            </w:r>
            <w:r w:rsidR="00F7680F" w:rsidRPr="00F7680F">
              <w:rPr>
                <w:rFonts w:ascii="Arial" w:hAnsi="Arial" w:cs="Arial"/>
                <w:noProof/>
                <w:webHidden/>
                <w:sz w:val="24"/>
                <w:szCs w:val="24"/>
              </w:rPr>
              <w:fldChar w:fldCharType="begin"/>
            </w:r>
            <w:r w:rsidR="00F7680F" w:rsidRPr="00F7680F">
              <w:rPr>
                <w:rFonts w:ascii="Arial" w:hAnsi="Arial" w:cs="Arial"/>
                <w:noProof/>
                <w:webHidden/>
                <w:sz w:val="24"/>
                <w:szCs w:val="24"/>
              </w:rPr>
              <w:instrText xml:space="preserve"> PAGEREF _Toc140776250 \h </w:instrText>
            </w:r>
            <w:r w:rsidR="00F7680F" w:rsidRPr="00F7680F">
              <w:rPr>
                <w:rFonts w:ascii="Arial" w:hAnsi="Arial" w:cs="Arial"/>
                <w:noProof/>
                <w:webHidden/>
                <w:sz w:val="24"/>
                <w:szCs w:val="24"/>
              </w:rPr>
            </w:r>
            <w:r w:rsidR="00F7680F" w:rsidRPr="00F7680F">
              <w:rPr>
                <w:rFonts w:ascii="Arial" w:hAnsi="Arial" w:cs="Arial"/>
                <w:noProof/>
                <w:webHidden/>
                <w:sz w:val="24"/>
                <w:szCs w:val="24"/>
              </w:rPr>
              <w:fldChar w:fldCharType="separate"/>
            </w:r>
            <w:r w:rsidR="00F7680F" w:rsidRPr="00F7680F">
              <w:rPr>
                <w:rFonts w:ascii="Arial" w:hAnsi="Arial" w:cs="Arial"/>
                <w:noProof/>
                <w:webHidden/>
                <w:sz w:val="24"/>
                <w:szCs w:val="24"/>
              </w:rPr>
              <w:t>8</w:t>
            </w:r>
            <w:r w:rsidR="00F7680F" w:rsidRPr="00F7680F">
              <w:rPr>
                <w:rFonts w:ascii="Arial" w:hAnsi="Arial" w:cs="Arial"/>
                <w:noProof/>
                <w:webHidden/>
                <w:sz w:val="24"/>
                <w:szCs w:val="24"/>
              </w:rPr>
              <w:fldChar w:fldCharType="end"/>
            </w:r>
          </w:hyperlink>
        </w:p>
        <w:p w14:paraId="154024AE" w14:textId="40EE4E4D" w:rsidR="00F7680F" w:rsidRPr="00F7680F" w:rsidRDefault="00857A78" w:rsidP="00F7680F">
          <w:pPr>
            <w:pStyle w:val="TOC2"/>
            <w:tabs>
              <w:tab w:val="right" w:leader="dot" w:pos="9350"/>
            </w:tabs>
            <w:spacing w:line="360" w:lineRule="auto"/>
            <w:rPr>
              <w:rFonts w:ascii="Arial" w:eastAsiaTheme="minorEastAsia" w:hAnsi="Arial" w:cs="Arial"/>
              <w:noProof/>
              <w:sz w:val="24"/>
              <w:szCs w:val="24"/>
              <w:lang w:val="en-US"/>
            </w:rPr>
          </w:pPr>
          <w:hyperlink w:anchor="_Toc140776251" w:history="1">
            <w:r w:rsidR="00F7680F" w:rsidRPr="00F7680F">
              <w:rPr>
                <w:rStyle w:val="Hyperlink"/>
                <w:rFonts w:ascii="Arial" w:hAnsi="Arial" w:cs="Arial"/>
                <w:noProof/>
                <w:sz w:val="24"/>
                <w:szCs w:val="24"/>
              </w:rPr>
              <w:t>Historical Treatment</w:t>
            </w:r>
            <w:r w:rsidR="00F7680F" w:rsidRPr="00F7680F">
              <w:rPr>
                <w:rFonts w:ascii="Arial" w:hAnsi="Arial" w:cs="Arial"/>
                <w:noProof/>
                <w:webHidden/>
                <w:sz w:val="24"/>
                <w:szCs w:val="24"/>
              </w:rPr>
              <w:tab/>
            </w:r>
            <w:r w:rsidR="00F7680F" w:rsidRPr="00F7680F">
              <w:rPr>
                <w:rFonts w:ascii="Arial" w:hAnsi="Arial" w:cs="Arial"/>
                <w:noProof/>
                <w:webHidden/>
                <w:sz w:val="24"/>
                <w:szCs w:val="24"/>
              </w:rPr>
              <w:fldChar w:fldCharType="begin"/>
            </w:r>
            <w:r w:rsidR="00F7680F" w:rsidRPr="00F7680F">
              <w:rPr>
                <w:rFonts w:ascii="Arial" w:hAnsi="Arial" w:cs="Arial"/>
                <w:noProof/>
                <w:webHidden/>
                <w:sz w:val="24"/>
                <w:szCs w:val="24"/>
              </w:rPr>
              <w:instrText xml:space="preserve"> PAGEREF _Toc140776251 \h </w:instrText>
            </w:r>
            <w:r w:rsidR="00F7680F" w:rsidRPr="00F7680F">
              <w:rPr>
                <w:rFonts w:ascii="Arial" w:hAnsi="Arial" w:cs="Arial"/>
                <w:noProof/>
                <w:webHidden/>
                <w:sz w:val="24"/>
                <w:szCs w:val="24"/>
              </w:rPr>
            </w:r>
            <w:r w:rsidR="00F7680F" w:rsidRPr="00F7680F">
              <w:rPr>
                <w:rFonts w:ascii="Arial" w:hAnsi="Arial" w:cs="Arial"/>
                <w:noProof/>
                <w:webHidden/>
                <w:sz w:val="24"/>
                <w:szCs w:val="24"/>
              </w:rPr>
              <w:fldChar w:fldCharType="separate"/>
            </w:r>
            <w:r w:rsidR="00F7680F" w:rsidRPr="00F7680F">
              <w:rPr>
                <w:rFonts w:ascii="Arial" w:hAnsi="Arial" w:cs="Arial"/>
                <w:noProof/>
                <w:webHidden/>
                <w:sz w:val="24"/>
                <w:szCs w:val="24"/>
              </w:rPr>
              <w:t>8</w:t>
            </w:r>
            <w:r w:rsidR="00F7680F" w:rsidRPr="00F7680F">
              <w:rPr>
                <w:rFonts w:ascii="Arial" w:hAnsi="Arial" w:cs="Arial"/>
                <w:noProof/>
                <w:webHidden/>
                <w:sz w:val="24"/>
                <w:szCs w:val="24"/>
              </w:rPr>
              <w:fldChar w:fldCharType="end"/>
            </w:r>
          </w:hyperlink>
        </w:p>
        <w:p w14:paraId="58CBF177" w14:textId="7485571C" w:rsidR="00F7680F" w:rsidRPr="00F7680F" w:rsidRDefault="00857A78" w:rsidP="00F7680F">
          <w:pPr>
            <w:pStyle w:val="TOC2"/>
            <w:tabs>
              <w:tab w:val="right" w:leader="dot" w:pos="9350"/>
            </w:tabs>
            <w:spacing w:line="360" w:lineRule="auto"/>
            <w:rPr>
              <w:rFonts w:ascii="Arial" w:eastAsiaTheme="minorEastAsia" w:hAnsi="Arial" w:cs="Arial"/>
              <w:noProof/>
              <w:sz w:val="24"/>
              <w:szCs w:val="24"/>
              <w:lang w:val="en-US"/>
            </w:rPr>
          </w:pPr>
          <w:hyperlink w:anchor="_Toc140776252" w:history="1">
            <w:r w:rsidR="00F7680F" w:rsidRPr="00F7680F">
              <w:rPr>
                <w:rStyle w:val="Hyperlink"/>
                <w:rFonts w:ascii="Arial" w:hAnsi="Arial" w:cs="Arial"/>
                <w:noProof/>
                <w:sz w:val="24"/>
                <w:szCs w:val="24"/>
              </w:rPr>
              <w:t>Current Treatment Provision</w:t>
            </w:r>
            <w:r w:rsidR="00F7680F" w:rsidRPr="00F7680F">
              <w:rPr>
                <w:rFonts w:ascii="Arial" w:hAnsi="Arial" w:cs="Arial"/>
                <w:noProof/>
                <w:webHidden/>
                <w:sz w:val="24"/>
                <w:szCs w:val="24"/>
              </w:rPr>
              <w:tab/>
            </w:r>
            <w:r w:rsidR="00F7680F" w:rsidRPr="00F7680F">
              <w:rPr>
                <w:rFonts w:ascii="Arial" w:hAnsi="Arial" w:cs="Arial"/>
                <w:noProof/>
                <w:webHidden/>
                <w:sz w:val="24"/>
                <w:szCs w:val="24"/>
              </w:rPr>
              <w:fldChar w:fldCharType="begin"/>
            </w:r>
            <w:r w:rsidR="00F7680F" w:rsidRPr="00F7680F">
              <w:rPr>
                <w:rFonts w:ascii="Arial" w:hAnsi="Arial" w:cs="Arial"/>
                <w:noProof/>
                <w:webHidden/>
                <w:sz w:val="24"/>
                <w:szCs w:val="24"/>
              </w:rPr>
              <w:instrText xml:space="preserve"> PAGEREF _Toc140776252 \h </w:instrText>
            </w:r>
            <w:r w:rsidR="00F7680F" w:rsidRPr="00F7680F">
              <w:rPr>
                <w:rFonts w:ascii="Arial" w:hAnsi="Arial" w:cs="Arial"/>
                <w:noProof/>
                <w:webHidden/>
                <w:sz w:val="24"/>
                <w:szCs w:val="24"/>
              </w:rPr>
            </w:r>
            <w:r w:rsidR="00F7680F" w:rsidRPr="00F7680F">
              <w:rPr>
                <w:rFonts w:ascii="Arial" w:hAnsi="Arial" w:cs="Arial"/>
                <w:noProof/>
                <w:webHidden/>
                <w:sz w:val="24"/>
                <w:szCs w:val="24"/>
              </w:rPr>
              <w:fldChar w:fldCharType="separate"/>
            </w:r>
            <w:r w:rsidR="00F7680F" w:rsidRPr="00F7680F">
              <w:rPr>
                <w:rFonts w:ascii="Arial" w:hAnsi="Arial" w:cs="Arial"/>
                <w:noProof/>
                <w:webHidden/>
                <w:sz w:val="24"/>
                <w:szCs w:val="24"/>
              </w:rPr>
              <w:t>8</w:t>
            </w:r>
            <w:r w:rsidR="00F7680F" w:rsidRPr="00F7680F">
              <w:rPr>
                <w:rFonts w:ascii="Arial" w:hAnsi="Arial" w:cs="Arial"/>
                <w:noProof/>
                <w:webHidden/>
                <w:sz w:val="24"/>
                <w:szCs w:val="24"/>
              </w:rPr>
              <w:fldChar w:fldCharType="end"/>
            </w:r>
          </w:hyperlink>
        </w:p>
        <w:p w14:paraId="22FB3C4C" w14:textId="434C2B68" w:rsidR="00F7680F" w:rsidRPr="00F7680F" w:rsidRDefault="00857A78" w:rsidP="00F7680F">
          <w:pPr>
            <w:pStyle w:val="TOC1"/>
            <w:tabs>
              <w:tab w:val="right" w:leader="dot" w:pos="9350"/>
            </w:tabs>
            <w:spacing w:line="360" w:lineRule="auto"/>
            <w:rPr>
              <w:rFonts w:ascii="Arial" w:eastAsiaTheme="minorEastAsia" w:hAnsi="Arial" w:cs="Arial"/>
              <w:noProof/>
              <w:sz w:val="24"/>
              <w:szCs w:val="24"/>
              <w:lang w:val="en-US"/>
            </w:rPr>
          </w:pPr>
          <w:hyperlink w:anchor="_Toc140776253" w:history="1">
            <w:r w:rsidR="00F7680F" w:rsidRPr="00F7680F">
              <w:rPr>
                <w:rStyle w:val="Hyperlink"/>
                <w:rFonts w:ascii="Arial" w:hAnsi="Arial" w:cs="Arial"/>
                <w:noProof/>
                <w:sz w:val="24"/>
                <w:szCs w:val="24"/>
              </w:rPr>
              <w:t>Measuring disorder in relation to the means of rehabilitation</w:t>
            </w:r>
            <w:r w:rsidR="00F7680F" w:rsidRPr="00F7680F">
              <w:rPr>
                <w:rFonts w:ascii="Arial" w:hAnsi="Arial" w:cs="Arial"/>
                <w:noProof/>
                <w:webHidden/>
                <w:sz w:val="24"/>
                <w:szCs w:val="24"/>
              </w:rPr>
              <w:tab/>
            </w:r>
            <w:r w:rsidR="00F7680F" w:rsidRPr="00F7680F">
              <w:rPr>
                <w:rFonts w:ascii="Arial" w:hAnsi="Arial" w:cs="Arial"/>
                <w:noProof/>
                <w:webHidden/>
                <w:sz w:val="24"/>
                <w:szCs w:val="24"/>
              </w:rPr>
              <w:fldChar w:fldCharType="begin"/>
            </w:r>
            <w:r w:rsidR="00F7680F" w:rsidRPr="00F7680F">
              <w:rPr>
                <w:rFonts w:ascii="Arial" w:hAnsi="Arial" w:cs="Arial"/>
                <w:noProof/>
                <w:webHidden/>
                <w:sz w:val="24"/>
                <w:szCs w:val="24"/>
              </w:rPr>
              <w:instrText xml:space="preserve"> PAGEREF _Toc140776253 \h </w:instrText>
            </w:r>
            <w:r w:rsidR="00F7680F" w:rsidRPr="00F7680F">
              <w:rPr>
                <w:rFonts w:ascii="Arial" w:hAnsi="Arial" w:cs="Arial"/>
                <w:noProof/>
                <w:webHidden/>
                <w:sz w:val="24"/>
                <w:szCs w:val="24"/>
              </w:rPr>
            </w:r>
            <w:r w:rsidR="00F7680F" w:rsidRPr="00F7680F">
              <w:rPr>
                <w:rFonts w:ascii="Arial" w:hAnsi="Arial" w:cs="Arial"/>
                <w:noProof/>
                <w:webHidden/>
                <w:sz w:val="24"/>
                <w:szCs w:val="24"/>
              </w:rPr>
              <w:fldChar w:fldCharType="separate"/>
            </w:r>
            <w:r w:rsidR="00F7680F" w:rsidRPr="00F7680F">
              <w:rPr>
                <w:rFonts w:ascii="Arial" w:hAnsi="Arial" w:cs="Arial"/>
                <w:noProof/>
                <w:webHidden/>
                <w:sz w:val="24"/>
                <w:szCs w:val="24"/>
              </w:rPr>
              <w:t>10</w:t>
            </w:r>
            <w:r w:rsidR="00F7680F" w:rsidRPr="00F7680F">
              <w:rPr>
                <w:rFonts w:ascii="Arial" w:hAnsi="Arial" w:cs="Arial"/>
                <w:noProof/>
                <w:webHidden/>
                <w:sz w:val="24"/>
                <w:szCs w:val="24"/>
              </w:rPr>
              <w:fldChar w:fldCharType="end"/>
            </w:r>
          </w:hyperlink>
        </w:p>
        <w:p w14:paraId="1B44EFD3" w14:textId="682F8506" w:rsidR="00F7680F" w:rsidRPr="00F7680F" w:rsidRDefault="00857A78" w:rsidP="00F7680F">
          <w:pPr>
            <w:pStyle w:val="TOC1"/>
            <w:tabs>
              <w:tab w:val="right" w:leader="dot" w:pos="9350"/>
            </w:tabs>
            <w:spacing w:line="360" w:lineRule="auto"/>
            <w:rPr>
              <w:rFonts w:ascii="Arial" w:eastAsiaTheme="minorEastAsia" w:hAnsi="Arial" w:cs="Arial"/>
              <w:noProof/>
              <w:sz w:val="24"/>
              <w:szCs w:val="24"/>
              <w:lang w:val="en-US"/>
            </w:rPr>
          </w:pPr>
          <w:hyperlink w:anchor="_Toc140776254" w:history="1">
            <w:r w:rsidR="00F7680F" w:rsidRPr="00F7680F">
              <w:rPr>
                <w:rStyle w:val="Hyperlink"/>
                <w:rFonts w:ascii="Arial" w:hAnsi="Arial" w:cs="Arial"/>
                <w:noProof/>
                <w:sz w:val="24"/>
                <w:szCs w:val="24"/>
              </w:rPr>
              <w:t>Conclusion</w:t>
            </w:r>
            <w:r w:rsidR="00F7680F" w:rsidRPr="00F7680F">
              <w:rPr>
                <w:rFonts w:ascii="Arial" w:hAnsi="Arial" w:cs="Arial"/>
                <w:noProof/>
                <w:webHidden/>
                <w:sz w:val="24"/>
                <w:szCs w:val="24"/>
              </w:rPr>
              <w:tab/>
            </w:r>
            <w:r w:rsidR="00F7680F" w:rsidRPr="00F7680F">
              <w:rPr>
                <w:rFonts w:ascii="Arial" w:hAnsi="Arial" w:cs="Arial"/>
                <w:noProof/>
                <w:webHidden/>
                <w:sz w:val="24"/>
                <w:szCs w:val="24"/>
              </w:rPr>
              <w:fldChar w:fldCharType="begin"/>
            </w:r>
            <w:r w:rsidR="00F7680F" w:rsidRPr="00F7680F">
              <w:rPr>
                <w:rFonts w:ascii="Arial" w:hAnsi="Arial" w:cs="Arial"/>
                <w:noProof/>
                <w:webHidden/>
                <w:sz w:val="24"/>
                <w:szCs w:val="24"/>
              </w:rPr>
              <w:instrText xml:space="preserve"> PAGEREF _Toc140776254 \h </w:instrText>
            </w:r>
            <w:r w:rsidR="00F7680F" w:rsidRPr="00F7680F">
              <w:rPr>
                <w:rFonts w:ascii="Arial" w:hAnsi="Arial" w:cs="Arial"/>
                <w:noProof/>
                <w:webHidden/>
                <w:sz w:val="24"/>
                <w:szCs w:val="24"/>
              </w:rPr>
            </w:r>
            <w:r w:rsidR="00F7680F" w:rsidRPr="00F7680F">
              <w:rPr>
                <w:rFonts w:ascii="Arial" w:hAnsi="Arial" w:cs="Arial"/>
                <w:noProof/>
                <w:webHidden/>
                <w:sz w:val="24"/>
                <w:szCs w:val="24"/>
              </w:rPr>
              <w:fldChar w:fldCharType="separate"/>
            </w:r>
            <w:r w:rsidR="00F7680F" w:rsidRPr="00F7680F">
              <w:rPr>
                <w:rFonts w:ascii="Arial" w:hAnsi="Arial" w:cs="Arial"/>
                <w:noProof/>
                <w:webHidden/>
                <w:sz w:val="24"/>
                <w:szCs w:val="24"/>
              </w:rPr>
              <w:t>12</w:t>
            </w:r>
            <w:r w:rsidR="00F7680F" w:rsidRPr="00F7680F">
              <w:rPr>
                <w:rFonts w:ascii="Arial" w:hAnsi="Arial" w:cs="Arial"/>
                <w:noProof/>
                <w:webHidden/>
                <w:sz w:val="24"/>
                <w:szCs w:val="24"/>
              </w:rPr>
              <w:fldChar w:fldCharType="end"/>
            </w:r>
          </w:hyperlink>
        </w:p>
        <w:p w14:paraId="3EB13EAE" w14:textId="5E8D3EA4" w:rsidR="00F7680F" w:rsidRPr="00F7680F" w:rsidRDefault="00857A78" w:rsidP="00F7680F">
          <w:pPr>
            <w:pStyle w:val="TOC1"/>
            <w:tabs>
              <w:tab w:val="right" w:leader="dot" w:pos="9350"/>
            </w:tabs>
            <w:spacing w:line="360" w:lineRule="auto"/>
            <w:rPr>
              <w:rFonts w:ascii="Arial" w:eastAsiaTheme="minorEastAsia" w:hAnsi="Arial" w:cs="Arial"/>
              <w:noProof/>
              <w:sz w:val="24"/>
              <w:szCs w:val="24"/>
              <w:lang w:val="en-US"/>
            </w:rPr>
          </w:pPr>
          <w:hyperlink w:anchor="_Toc140776255" w:history="1">
            <w:r w:rsidR="00F7680F" w:rsidRPr="00F7680F">
              <w:rPr>
                <w:rStyle w:val="Hyperlink"/>
                <w:rFonts w:ascii="Arial" w:hAnsi="Arial" w:cs="Arial"/>
                <w:noProof/>
                <w:sz w:val="24"/>
                <w:szCs w:val="24"/>
              </w:rPr>
              <w:t>References</w:t>
            </w:r>
            <w:r w:rsidR="00F7680F" w:rsidRPr="00F7680F">
              <w:rPr>
                <w:rFonts w:ascii="Arial" w:hAnsi="Arial" w:cs="Arial"/>
                <w:noProof/>
                <w:webHidden/>
                <w:sz w:val="24"/>
                <w:szCs w:val="24"/>
              </w:rPr>
              <w:tab/>
            </w:r>
            <w:r w:rsidR="00F7680F" w:rsidRPr="00F7680F">
              <w:rPr>
                <w:rFonts w:ascii="Arial" w:hAnsi="Arial" w:cs="Arial"/>
                <w:noProof/>
                <w:webHidden/>
                <w:sz w:val="24"/>
                <w:szCs w:val="24"/>
              </w:rPr>
              <w:fldChar w:fldCharType="begin"/>
            </w:r>
            <w:r w:rsidR="00F7680F" w:rsidRPr="00F7680F">
              <w:rPr>
                <w:rFonts w:ascii="Arial" w:hAnsi="Arial" w:cs="Arial"/>
                <w:noProof/>
                <w:webHidden/>
                <w:sz w:val="24"/>
                <w:szCs w:val="24"/>
              </w:rPr>
              <w:instrText xml:space="preserve"> PAGEREF _Toc140776255 \h </w:instrText>
            </w:r>
            <w:r w:rsidR="00F7680F" w:rsidRPr="00F7680F">
              <w:rPr>
                <w:rFonts w:ascii="Arial" w:hAnsi="Arial" w:cs="Arial"/>
                <w:noProof/>
                <w:webHidden/>
                <w:sz w:val="24"/>
                <w:szCs w:val="24"/>
              </w:rPr>
            </w:r>
            <w:r w:rsidR="00F7680F" w:rsidRPr="00F7680F">
              <w:rPr>
                <w:rFonts w:ascii="Arial" w:hAnsi="Arial" w:cs="Arial"/>
                <w:noProof/>
                <w:webHidden/>
                <w:sz w:val="24"/>
                <w:szCs w:val="24"/>
              </w:rPr>
              <w:fldChar w:fldCharType="separate"/>
            </w:r>
            <w:r w:rsidR="00F7680F" w:rsidRPr="00F7680F">
              <w:rPr>
                <w:rFonts w:ascii="Arial" w:hAnsi="Arial" w:cs="Arial"/>
                <w:noProof/>
                <w:webHidden/>
                <w:sz w:val="24"/>
                <w:szCs w:val="24"/>
              </w:rPr>
              <w:t>14</w:t>
            </w:r>
            <w:r w:rsidR="00F7680F" w:rsidRPr="00F7680F">
              <w:rPr>
                <w:rFonts w:ascii="Arial" w:hAnsi="Arial" w:cs="Arial"/>
                <w:noProof/>
                <w:webHidden/>
                <w:sz w:val="24"/>
                <w:szCs w:val="24"/>
              </w:rPr>
              <w:fldChar w:fldCharType="end"/>
            </w:r>
          </w:hyperlink>
        </w:p>
        <w:p w14:paraId="1EC76D22" w14:textId="30BE6890" w:rsidR="00085C9D" w:rsidRPr="00F7680F" w:rsidRDefault="006C5015" w:rsidP="00F7680F">
          <w:pPr>
            <w:spacing w:line="360" w:lineRule="auto"/>
            <w:rPr>
              <w:rFonts w:ascii="Arial" w:hAnsi="Arial" w:cs="Arial"/>
              <w:sz w:val="24"/>
              <w:szCs w:val="24"/>
            </w:rPr>
          </w:pPr>
          <w:r w:rsidRPr="00F7680F">
            <w:rPr>
              <w:rFonts w:ascii="Arial" w:hAnsi="Arial" w:cs="Arial"/>
              <w:b/>
              <w:bCs/>
              <w:color w:val="000000" w:themeColor="text1"/>
              <w:sz w:val="24"/>
              <w:szCs w:val="24"/>
            </w:rPr>
            <w:fldChar w:fldCharType="end"/>
          </w:r>
        </w:p>
      </w:sdtContent>
    </w:sdt>
    <w:p w14:paraId="63B26919" w14:textId="77777777" w:rsidR="00085C9D" w:rsidRDefault="006C5015">
      <w:pPr>
        <w:spacing w:line="360" w:lineRule="auto"/>
        <w:rPr>
          <w:rFonts w:ascii="Arial" w:eastAsiaTheme="majorEastAsia" w:hAnsi="Arial" w:cs="Arial"/>
          <w:b/>
          <w:color w:val="000000" w:themeColor="text1"/>
          <w:sz w:val="24"/>
          <w:szCs w:val="24"/>
        </w:rPr>
      </w:pPr>
      <w:r>
        <w:rPr>
          <w:rFonts w:ascii="Arial" w:hAnsi="Arial" w:cs="Arial"/>
          <w:sz w:val="24"/>
          <w:szCs w:val="24"/>
        </w:rPr>
        <w:br w:type="page"/>
      </w:r>
    </w:p>
    <w:p w14:paraId="4E76C351" w14:textId="77777777" w:rsidR="00085C9D" w:rsidRPr="00BD6C0C" w:rsidRDefault="006C5015" w:rsidP="00BD6C0C">
      <w:pPr>
        <w:pStyle w:val="Heading1"/>
        <w:spacing w:line="360" w:lineRule="auto"/>
        <w:rPr>
          <w:rFonts w:ascii="Arial" w:hAnsi="Arial" w:cs="Arial"/>
          <w:szCs w:val="24"/>
        </w:rPr>
      </w:pPr>
      <w:bookmarkStart w:id="0" w:name="_Toc140776247"/>
      <w:r w:rsidRPr="00BD6C0C">
        <w:rPr>
          <w:rFonts w:ascii="Arial" w:hAnsi="Arial" w:cs="Arial"/>
          <w:szCs w:val="24"/>
        </w:rPr>
        <w:t>Introduction</w:t>
      </w:r>
      <w:bookmarkEnd w:id="0"/>
    </w:p>
    <w:p w14:paraId="3D2FCF18" w14:textId="77777777" w:rsidR="00085C9D" w:rsidRPr="00BD6C0C" w:rsidRDefault="006C5015" w:rsidP="00BD6C0C">
      <w:pPr>
        <w:spacing w:line="360" w:lineRule="auto"/>
        <w:ind w:firstLine="720"/>
        <w:rPr>
          <w:rFonts w:ascii="Arial" w:hAnsi="Arial" w:cs="Arial"/>
          <w:sz w:val="24"/>
          <w:szCs w:val="24"/>
        </w:rPr>
      </w:pPr>
      <w:r w:rsidRPr="00BD6C0C">
        <w:rPr>
          <w:rFonts w:ascii="Arial" w:hAnsi="Arial" w:cs="Arial"/>
          <w:sz w:val="24"/>
          <w:szCs w:val="24"/>
        </w:rPr>
        <w:t>Mental diseases and psychopathology are the study of abnormal thoughts, feelings, and behaviours that interfere with a person's functioning and well-being (</w:t>
      </w:r>
      <w:r w:rsidRPr="00BD6C0C">
        <w:rPr>
          <w:rFonts w:ascii="Arial" w:hAnsi="Arial" w:cs="Arial"/>
          <w:color w:val="222222"/>
          <w:sz w:val="24"/>
          <w:szCs w:val="24"/>
          <w:shd w:val="clear" w:color="auto" w:fill="FFFFFF"/>
        </w:rPr>
        <w:t>Layous, Chancellor and Lyubomirsky, 2014)</w:t>
      </w:r>
      <w:r w:rsidRPr="00BD6C0C">
        <w:rPr>
          <w:rFonts w:ascii="Arial" w:hAnsi="Arial" w:cs="Arial"/>
          <w:sz w:val="24"/>
          <w:szCs w:val="24"/>
        </w:rPr>
        <w:t xml:space="preserve">. These disorders include a wide spectrum of ailments, such as mood disorders, anxiety disorders, psychotic disorders, and personality disorders, among others. The goal of psychopathology is to determine the causes, symptoms, and treatment techniques for these diseases by utilising a variety of psychological, biological, and societal elements. </w:t>
      </w:r>
    </w:p>
    <w:p w14:paraId="6E28AF4C" w14:textId="0D4E4B53" w:rsidR="00085C9D" w:rsidRPr="00BD6C0C" w:rsidRDefault="003469FA" w:rsidP="00BD6C0C">
      <w:pPr>
        <w:spacing w:line="360" w:lineRule="auto"/>
        <w:ind w:firstLine="720"/>
        <w:rPr>
          <w:rFonts w:ascii="Arial" w:hAnsi="Arial" w:cs="Arial"/>
          <w:sz w:val="24"/>
          <w:szCs w:val="24"/>
        </w:rPr>
      </w:pPr>
      <w:r w:rsidRPr="00BD6C0C">
        <w:rPr>
          <w:rFonts w:ascii="Arial" w:hAnsi="Arial" w:cs="Arial"/>
          <w:sz w:val="24"/>
          <w:szCs w:val="24"/>
        </w:rPr>
        <w:t>This report will critically evaluate a mental disease defined in Chapter 6 of the International Classification of Diseases (ICD-11). The mental illness considered for this evaluation is dementia. Dementia is a syndrome characterized by a deterioration in cognitive abilities such as memory, thinking, and reasoning, severely limiting daily functioning. It is a progressive disorder frequently connected with aging and can arise in younger people due to various factors</w:t>
      </w:r>
      <w:r w:rsidR="006C5015" w:rsidRPr="00BD6C0C">
        <w:rPr>
          <w:rFonts w:ascii="Arial" w:hAnsi="Arial" w:cs="Arial"/>
          <w:sz w:val="24"/>
          <w:szCs w:val="24"/>
        </w:rPr>
        <w:t>.</w:t>
      </w:r>
    </w:p>
    <w:p w14:paraId="29D9DFCF" w14:textId="77777777" w:rsidR="00085C9D" w:rsidRPr="00BD6C0C" w:rsidRDefault="006C5015" w:rsidP="00BD6C0C">
      <w:pPr>
        <w:pStyle w:val="Heading1"/>
        <w:spacing w:line="360" w:lineRule="auto"/>
        <w:rPr>
          <w:rFonts w:ascii="Arial" w:hAnsi="Arial" w:cs="Arial"/>
          <w:szCs w:val="24"/>
        </w:rPr>
      </w:pPr>
      <w:bookmarkStart w:id="1" w:name="_Toc140776248"/>
      <w:r w:rsidRPr="00BD6C0C">
        <w:rPr>
          <w:rFonts w:ascii="Arial" w:hAnsi="Arial" w:cs="Arial"/>
          <w:szCs w:val="24"/>
        </w:rPr>
        <w:t>Classification of the chosen mental disorder</w:t>
      </w:r>
      <w:bookmarkEnd w:id="1"/>
    </w:p>
    <w:p w14:paraId="266BE2F0" w14:textId="66470F91" w:rsidR="00085C9D" w:rsidRPr="00BD6C0C" w:rsidRDefault="003469FA" w:rsidP="00BD6C0C">
      <w:pPr>
        <w:spacing w:line="360" w:lineRule="auto"/>
        <w:ind w:firstLine="720"/>
        <w:rPr>
          <w:rFonts w:ascii="Arial" w:hAnsi="Arial" w:cs="Arial"/>
          <w:sz w:val="24"/>
          <w:szCs w:val="24"/>
        </w:rPr>
      </w:pPr>
      <w:r w:rsidRPr="00BD6C0C">
        <w:rPr>
          <w:rFonts w:ascii="Arial" w:hAnsi="Arial" w:cs="Arial"/>
          <w:sz w:val="24"/>
          <w:szCs w:val="24"/>
        </w:rPr>
        <w:t>Dementia is a complicated and multidimensional mental condition characterized by a steady decline in cognitive performance (Grueso and Viejo-Sobera, 2021). It impacts several cognitive areas, including memory, reasoning, language, and problem-solving ability. The International Categorization of Diseases Version 11 (ICD-11) categorization of dementia establishes a framework for comprehending and categorizing various forms and stages of the condition</w:t>
      </w:r>
      <w:r w:rsidR="006C5015" w:rsidRPr="00BD6C0C">
        <w:rPr>
          <w:rFonts w:ascii="Arial" w:hAnsi="Arial" w:cs="Arial"/>
          <w:sz w:val="24"/>
          <w:szCs w:val="24"/>
        </w:rPr>
        <w:t>.</w:t>
      </w:r>
    </w:p>
    <w:p w14:paraId="292D5F6A" w14:textId="3E50F814" w:rsidR="00E55EB8" w:rsidRPr="00BD6C0C" w:rsidRDefault="003469FA" w:rsidP="00BD6C0C">
      <w:pPr>
        <w:spacing w:line="360" w:lineRule="auto"/>
        <w:ind w:firstLine="720"/>
        <w:rPr>
          <w:rFonts w:ascii="Arial" w:hAnsi="Arial" w:cs="Arial"/>
          <w:sz w:val="24"/>
          <w:szCs w:val="24"/>
        </w:rPr>
      </w:pPr>
      <w:r w:rsidRPr="00BD6C0C">
        <w:rPr>
          <w:rFonts w:ascii="Arial" w:hAnsi="Arial" w:cs="Arial"/>
          <w:sz w:val="24"/>
          <w:szCs w:val="24"/>
        </w:rPr>
        <w:t xml:space="preserve">The categorization of the chosen mental disorder, dementia, can be found in Chapter 6 of the International Categorization of Diseases, Version 11 (ICD-11), under the heading "Mental and Behavioural Disorders." A neurological condition that progresses over time called dementia. </w:t>
      </w:r>
      <w:r w:rsidRPr="00BD6C0C">
        <w:rPr>
          <w:rFonts w:ascii="Arial" w:hAnsi="Arial" w:cs="Arial"/>
          <w:sz w:val="24"/>
          <w:szCs w:val="24"/>
        </w:rPr>
        <w:t>It’s</w:t>
      </w:r>
      <w:r w:rsidRPr="00BD6C0C">
        <w:rPr>
          <w:rFonts w:ascii="Arial" w:hAnsi="Arial" w:cs="Arial"/>
          <w:sz w:val="24"/>
          <w:szCs w:val="24"/>
        </w:rPr>
        <w:t xml:space="preserve"> characterized by a loss of cognitive ability and difficulties performing daily tasks (Almeda et al., 2019). By supplying unique categories and diagnostic codes for various dementia types and etiologies, the ICD-11 offers a thorough framework for the classification of the condition</w:t>
      </w:r>
    </w:p>
    <w:p w14:paraId="4A448681" w14:textId="77777777" w:rsidR="003469FA" w:rsidRPr="00BD6C0C" w:rsidRDefault="003469FA" w:rsidP="00BD6C0C">
      <w:pPr>
        <w:spacing w:line="360" w:lineRule="auto"/>
        <w:ind w:firstLine="720"/>
        <w:rPr>
          <w:rFonts w:ascii="Arial" w:hAnsi="Arial" w:cs="Arial"/>
          <w:sz w:val="24"/>
          <w:szCs w:val="24"/>
        </w:rPr>
      </w:pPr>
      <w:r w:rsidRPr="00BD6C0C">
        <w:rPr>
          <w:rFonts w:ascii="Arial" w:hAnsi="Arial" w:cs="Arial"/>
          <w:sz w:val="24"/>
          <w:szCs w:val="24"/>
        </w:rPr>
        <w:t>The primary diagnosis code for dementia in the ICD-11 is F03, which is called "Unspecified Dementia." This code is used when the exact cause or type of dementia cannot be determined or is not defined. However, it is important to use this code carefully because it does not provide complete information about the underlying cause or subtype of dementia. To ensure accurate diagnosis and classification, the F03 category should be used with caution as it is considered a residual category (Almeda et al., 2019).</w:t>
      </w:r>
    </w:p>
    <w:p w14:paraId="4B95C795" w14:textId="77777777" w:rsidR="003469FA" w:rsidRPr="00BD6C0C" w:rsidRDefault="003469FA" w:rsidP="00BD6C0C">
      <w:pPr>
        <w:spacing w:line="360" w:lineRule="auto"/>
        <w:ind w:firstLine="720"/>
        <w:rPr>
          <w:rFonts w:ascii="Arial" w:hAnsi="Arial" w:cs="Arial"/>
          <w:sz w:val="24"/>
          <w:szCs w:val="24"/>
        </w:rPr>
      </w:pPr>
      <w:r w:rsidRPr="00BD6C0C">
        <w:rPr>
          <w:rFonts w:ascii="Arial" w:hAnsi="Arial" w:cs="Arial"/>
          <w:sz w:val="24"/>
          <w:szCs w:val="24"/>
        </w:rPr>
        <w:t>The ICD-11 also has unique codes for various dementia types and causes and the F03 code. These codes facilitate a more accurate classification and make it possible for researchers and physicians to recognize and distinguish between different kinds of dementia. For instance, when cerebrovascular diseases like stroke or small artery disease are the primary cause of dementia, it is classed as vascular dementia and given the code F01, especially F01.0. The cognitive decline brought on by severe cerebrovascular pathology detected through clinical evaluation, neuroimaging, or neuropathological evidence is what is known as vascular dementia (Iadecola et al., 2019).</w:t>
      </w:r>
    </w:p>
    <w:p w14:paraId="5681DB58" w14:textId="77777777" w:rsidR="003469FA" w:rsidRPr="00BD6C0C" w:rsidRDefault="003469FA" w:rsidP="00BD6C0C">
      <w:pPr>
        <w:spacing w:line="360" w:lineRule="auto"/>
        <w:ind w:firstLine="720"/>
        <w:rPr>
          <w:rFonts w:ascii="Arial" w:hAnsi="Arial" w:cs="Arial"/>
          <w:sz w:val="24"/>
          <w:szCs w:val="24"/>
        </w:rPr>
      </w:pPr>
      <w:r w:rsidRPr="00BD6C0C">
        <w:rPr>
          <w:rFonts w:ascii="Arial" w:hAnsi="Arial" w:cs="Arial"/>
          <w:sz w:val="24"/>
          <w:szCs w:val="24"/>
        </w:rPr>
        <w:t>It's important to know that the diagnostic code for Alzheimer's disease-related dementia is F02.0. This type of dementia is common and is identified by the presence of amyloid plaques and neurofibrillary tangles in the brain. A gradual decline in cognitive function, particularly in memory and other cognitive abilities, is necessary for an accurate diagnosis of dementia in Alzheimer's disease (Bai &amp; Dong, 2021).</w:t>
      </w:r>
    </w:p>
    <w:p w14:paraId="032E5C52" w14:textId="77777777" w:rsidR="003469FA" w:rsidRPr="00BD6C0C" w:rsidRDefault="003469FA" w:rsidP="00BD6C0C">
      <w:pPr>
        <w:spacing w:line="360" w:lineRule="auto"/>
        <w:ind w:firstLine="720"/>
        <w:rPr>
          <w:rFonts w:ascii="Arial" w:hAnsi="Arial" w:cs="Arial"/>
          <w:sz w:val="24"/>
          <w:szCs w:val="24"/>
        </w:rPr>
      </w:pPr>
      <w:r w:rsidRPr="00BD6C0C">
        <w:rPr>
          <w:rFonts w:ascii="Arial" w:hAnsi="Arial" w:cs="Arial"/>
          <w:sz w:val="24"/>
          <w:szCs w:val="24"/>
        </w:rPr>
        <w:t>The code number F02.8 applies to more specific types of dementia, including Lewy body and frontotemporal dementia. This code is used when a dementia has a specific cause or etiology listed in the diagnostic report but does not fall under one of the previous categories. It permits the categorization of diverse dementias connected to various neurodegenerative diseases (Pieruccini</w:t>
      </w:r>
      <w:r w:rsidRPr="00BD6C0C">
        <w:rPr>
          <w:rFonts w:ascii="Cambria Math" w:hAnsi="Cambria Math" w:cs="Cambria Math"/>
          <w:sz w:val="24"/>
          <w:szCs w:val="24"/>
        </w:rPr>
        <w:t>‐</w:t>
      </w:r>
      <w:r w:rsidRPr="00BD6C0C">
        <w:rPr>
          <w:rFonts w:ascii="Arial" w:hAnsi="Arial" w:cs="Arial"/>
          <w:sz w:val="24"/>
          <w:szCs w:val="24"/>
        </w:rPr>
        <w:t>Faria et al., 2021).</w:t>
      </w:r>
    </w:p>
    <w:p w14:paraId="2D9D95D3" w14:textId="55269675" w:rsidR="003469FA" w:rsidRPr="00BD6C0C" w:rsidRDefault="003469FA" w:rsidP="00BD6C0C">
      <w:pPr>
        <w:spacing w:line="360" w:lineRule="auto"/>
        <w:ind w:firstLine="360"/>
        <w:rPr>
          <w:rFonts w:ascii="Arial" w:hAnsi="Arial" w:cs="Arial"/>
          <w:sz w:val="24"/>
          <w:szCs w:val="24"/>
        </w:rPr>
      </w:pPr>
      <w:r w:rsidRPr="00BD6C0C">
        <w:rPr>
          <w:rFonts w:ascii="Arial" w:hAnsi="Arial" w:cs="Arial"/>
          <w:sz w:val="24"/>
          <w:szCs w:val="24"/>
        </w:rPr>
        <w:t xml:space="preserve">It is significant to remember that the ICD-11 classification of dementia offers diversity and flexibility in diagnosis. It recognizes the variety of dementia and the need to consider its many manifestations and root causes. The ICD-11 offers a more precise classification and diagnosis of dementia, essential for research, treatment, and comprehension of the condition. It provides </w:t>
      </w:r>
      <w:r w:rsidR="00F82C8B" w:rsidRPr="00BD6C0C">
        <w:rPr>
          <w:rFonts w:ascii="Arial" w:hAnsi="Arial" w:cs="Arial"/>
          <w:sz w:val="24"/>
          <w:szCs w:val="24"/>
        </w:rPr>
        <w:t>codes</w:t>
      </w:r>
      <w:r w:rsidRPr="00BD6C0C">
        <w:rPr>
          <w:rFonts w:ascii="Arial" w:hAnsi="Arial" w:cs="Arial"/>
          <w:sz w:val="24"/>
          <w:szCs w:val="24"/>
        </w:rPr>
        <w:t xml:space="preserve"> for various subtypes (Reed et al., 2019).</w:t>
      </w:r>
    </w:p>
    <w:p w14:paraId="01557330" w14:textId="691113C5" w:rsidR="003469FA" w:rsidRPr="00BD6C0C" w:rsidRDefault="003469FA" w:rsidP="00BD6C0C">
      <w:pPr>
        <w:spacing w:line="360" w:lineRule="auto"/>
        <w:ind w:firstLine="360"/>
        <w:rPr>
          <w:rFonts w:ascii="Arial" w:hAnsi="Arial" w:cs="Arial"/>
          <w:sz w:val="24"/>
          <w:szCs w:val="24"/>
        </w:rPr>
      </w:pPr>
      <w:r w:rsidRPr="00BD6C0C">
        <w:rPr>
          <w:rFonts w:ascii="Arial" w:hAnsi="Arial" w:cs="Arial"/>
          <w:sz w:val="24"/>
          <w:szCs w:val="24"/>
        </w:rPr>
        <w:t>The codes mentioned above are used to record different forms and causes of dementia based on available information and clinical judgment. This approach acknowledges the diversity of dementia and allows for flexibility in the diagnosis and classification process</w:t>
      </w:r>
      <w:r w:rsidRPr="00BD6C0C">
        <w:rPr>
          <w:rFonts w:ascii="Arial" w:hAnsi="Arial" w:cs="Arial"/>
          <w:sz w:val="24"/>
          <w:szCs w:val="24"/>
        </w:rPr>
        <w:t>.</w:t>
      </w:r>
    </w:p>
    <w:p w14:paraId="778A6100" w14:textId="77777777" w:rsidR="001C2813" w:rsidRPr="00BD6C0C" w:rsidRDefault="003469FA" w:rsidP="00BD6C0C">
      <w:pPr>
        <w:spacing w:line="360" w:lineRule="auto"/>
        <w:rPr>
          <w:rFonts w:ascii="Arial" w:hAnsi="Arial" w:cs="Arial"/>
          <w:sz w:val="24"/>
          <w:szCs w:val="24"/>
        </w:rPr>
      </w:pPr>
      <w:r w:rsidRPr="00BD6C0C">
        <w:rPr>
          <w:rFonts w:ascii="Arial" w:hAnsi="Arial" w:cs="Arial"/>
          <w:sz w:val="24"/>
          <w:szCs w:val="24"/>
        </w:rPr>
        <w:t xml:space="preserve">The classification of dementia in the ICD-11 results from ongoing studies and advancements in the technology surrounding the condition, which is worth emphasizing.  An upgraded and updated version of the classification system, the ICD-11, was introduced in 2018, </w:t>
      </w:r>
      <w:r w:rsidRPr="00BD6C0C">
        <w:rPr>
          <w:rFonts w:ascii="Arial" w:hAnsi="Arial" w:cs="Arial"/>
          <w:sz w:val="24"/>
          <w:szCs w:val="24"/>
        </w:rPr>
        <w:t>considering</w:t>
      </w:r>
      <w:r w:rsidRPr="00BD6C0C">
        <w:rPr>
          <w:rFonts w:ascii="Arial" w:hAnsi="Arial" w:cs="Arial"/>
          <w:sz w:val="24"/>
          <w:szCs w:val="24"/>
        </w:rPr>
        <w:t xml:space="preserve"> new information and data. With dementia included, it seeks to establish a systematic and widely recognized framework for classifying mental diseases (Reed et al., 2019)</w:t>
      </w:r>
      <w:bookmarkStart w:id="2" w:name="_Toc140776249"/>
    </w:p>
    <w:p w14:paraId="3454F572" w14:textId="77777777" w:rsidR="001C2813" w:rsidRPr="00BD6C0C" w:rsidRDefault="003469FA" w:rsidP="00BD6C0C">
      <w:pPr>
        <w:spacing w:line="360" w:lineRule="auto"/>
        <w:rPr>
          <w:rFonts w:ascii="Arial" w:hAnsi="Arial" w:cs="Arial"/>
          <w:sz w:val="24"/>
          <w:szCs w:val="24"/>
        </w:rPr>
      </w:pPr>
      <w:r w:rsidRPr="00BD6C0C">
        <w:rPr>
          <w:rFonts w:ascii="Arial" w:hAnsi="Arial" w:cs="Arial"/>
          <w:sz w:val="24"/>
          <w:szCs w:val="24"/>
        </w:rPr>
        <w:t>The following major features are included in dementia diagnosis criteria</w:t>
      </w:r>
    </w:p>
    <w:p w14:paraId="19CE9480" w14:textId="77777777" w:rsidR="001C2813" w:rsidRPr="00BD6C0C" w:rsidRDefault="003469FA" w:rsidP="00BD6C0C">
      <w:pPr>
        <w:pStyle w:val="ListParagraph"/>
        <w:numPr>
          <w:ilvl w:val="0"/>
          <w:numId w:val="5"/>
        </w:numPr>
        <w:spacing w:line="360" w:lineRule="auto"/>
        <w:rPr>
          <w:rFonts w:ascii="Arial" w:hAnsi="Arial" w:cs="Arial"/>
          <w:sz w:val="24"/>
          <w:szCs w:val="24"/>
        </w:rPr>
      </w:pPr>
      <w:r w:rsidRPr="00BD6C0C">
        <w:rPr>
          <w:rFonts w:ascii="Arial" w:hAnsi="Arial" w:cs="Arial"/>
          <w:sz w:val="24"/>
          <w:szCs w:val="24"/>
        </w:rPr>
        <w:t>Evidence of cognitive deterioration from a former level of competence.</w:t>
      </w:r>
    </w:p>
    <w:p w14:paraId="7973C078" w14:textId="77777777" w:rsidR="00FE1B16" w:rsidRPr="00BD6C0C" w:rsidRDefault="003469FA" w:rsidP="00BD6C0C">
      <w:pPr>
        <w:pStyle w:val="ListParagraph"/>
        <w:numPr>
          <w:ilvl w:val="0"/>
          <w:numId w:val="5"/>
        </w:numPr>
        <w:spacing w:line="360" w:lineRule="auto"/>
        <w:rPr>
          <w:rFonts w:ascii="Arial" w:hAnsi="Arial" w:cs="Arial"/>
          <w:sz w:val="24"/>
          <w:szCs w:val="24"/>
        </w:rPr>
      </w:pPr>
      <w:r w:rsidRPr="00BD6C0C">
        <w:rPr>
          <w:rFonts w:ascii="Arial" w:hAnsi="Arial" w:cs="Arial"/>
          <w:sz w:val="24"/>
          <w:szCs w:val="24"/>
        </w:rPr>
        <w:t>At least two cognitive domains are impaired (for example, memory, language, attention, or executive function).</w:t>
      </w:r>
    </w:p>
    <w:p w14:paraId="40F82EC1" w14:textId="77777777" w:rsidR="00FE1B16" w:rsidRPr="00BD6C0C" w:rsidRDefault="003469FA" w:rsidP="00BD6C0C">
      <w:pPr>
        <w:pStyle w:val="ListParagraph"/>
        <w:numPr>
          <w:ilvl w:val="0"/>
          <w:numId w:val="5"/>
        </w:numPr>
        <w:spacing w:line="360" w:lineRule="auto"/>
        <w:rPr>
          <w:rFonts w:ascii="Arial" w:hAnsi="Arial" w:cs="Arial"/>
          <w:sz w:val="24"/>
          <w:szCs w:val="24"/>
        </w:rPr>
      </w:pPr>
      <w:r w:rsidRPr="00BD6C0C">
        <w:rPr>
          <w:rFonts w:ascii="Arial" w:hAnsi="Arial" w:cs="Arial"/>
          <w:sz w:val="24"/>
          <w:szCs w:val="24"/>
        </w:rPr>
        <w:t>Significant hindrance with regular activities and functioning.</w:t>
      </w:r>
    </w:p>
    <w:p w14:paraId="31A88543" w14:textId="77777777" w:rsidR="00FE1B16" w:rsidRPr="00BD6C0C" w:rsidRDefault="003469FA" w:rsidP="00BD6C0C">
      <w:pPr>
        <w:pStyle w:val="ListParagraph"/>
        <w:numPr>
          <w:ilvl w:val="0"/>
          <w:numId w:val="5"/>
        </w:numPr>
        <w:spacing w:line="360" w:lineRule="auto"/>
        <w:rPr>
          <w:rFonts w:ascii="Arial" w:hAnsi="Arial" w:cs="Arial"/>
          <w:sz w:val="24"/>
          <w:szCs w:val="24"/>
        </w:rPr>
      </w:pPr>
      <w:r w:rsidRPr="00BD6C0C">
        <w:rPr>
          <w:rFonts w:ascii="Arial" w:hAnsi="Arial" w:cs="Arial"/>
          <w:sz w:val="24"/>
          <w:szCs w:val="24"/>
        </w:rPr>
        <w:t>Exclusion of cognitive abnormalities caused solely by delirium or other mental diseases.</w:t>
      </w:r>
    </w:p>
    <w:p w14:paraId="00DF94DD" w14:textId="77777777" w:rsidR="00FE1B16" w:rsidRPr="00BD6C0C" w:rsidRDefault="003469FA" w:rsidP="00BD6C0C">
      <w:pPr>
        <w:spacing w:line="360" w:lineRule="auto"/>
        <w:ind w:left="360"/>
        <w:rPr>
          <w:rFonts w:ascii="Arial" w:hAnsi="Arial" w:cs="Arial"/>
          <w:sz w:val="24"/>
          <w:szCs w:val="24"/>
        </w:rPr>
      </w:pPr>
      <w:r w:rsidRPr="00BD6C0C">
        <w:rPr>
          <w:rFonts w:ascii="Arial" w:hAnsi="Arial" w:cs="Arial"/>
          <w:sz w:val="24"/>
          <w:szCs w:val="24"/>
        </w:rPr>
        <w:t>These criteria ensure that dementia is diagnosed based on a thorough assessment of cognitive performance and the effects of cognitive decline on daily living. They also aid in the differentiation of dementia from other mental diseases or transitory cognitive deficits.</w:t>
      </w:r>
    </w:p>
    <w:p w14:paraId="7E4701B9" w14:textId="77777777" w:rsidR="00DE199E" w:rsidRPr="00BD6C0C" w:rsidRDefault="006C5015" w:rsidP="00BD6C0C">
      <w:pPr>
        <w:spacing w:line="360" w:lineRule="auto"/>
        <w:ind w:left="360"/>
        <w:rPr>
          <w:rFonts w:ascii="Arial" w:hAnsi="Arial" w:cs="Arial"/>
          <w:b/>
          <w:bCs/>
          <w:sz w:val="24"/>
          <w:szCs w:val="24"/>
        </w:rPr>
      </w:pPr>
      <w:r w:rsidRPr="00BD6C0C">
        <w:rPr>
          <w:rFonts w:ascii="Arial" w:hAnsi="Arial" w:cs="Arial"/>
          <w:b/>
          <w:bCs/>
          <w:sz w:val="24"/>
          <w:szCs w:val="24"/>
        </w:rPr>
        <w:t>Process and Procedure of Diagnosing the mental disorder</w:t>
      </w:r>
      <w:bookmarkEnd w:id="2"/>
      <w:r w:rsidRPr="00BD6C0C">
        <w:rPr>
          <w:rFonts w:ascii="Arial" w:hAnsi="Arial" w:cs="Arial"/>
          <w:b/>
          <w:bCs/>
          <w:sz w:val="24"/>
          <w:szCs w:val="24"/>
        </w:rPr>
        <w:t xml:space="preserve"> </w:t>
      </w:r>
      <w:bookmarkStart w:id="3" w:name="_Toc140776250"/>
    </w:p>
    <w:p w14:paraId="1EABCF14" w14:textId="77777777" w:rsidR="00DE199E" w:rsidRPr="00BD6C0C" w:rsidRDefault="003469FA" w:rsidP="00BD6C0C">
      <w:pPr>
        <w:spacing w:line="360" w:lineRule="auto"/>
        <w:ind w:left="360"/>
        <w:rPr>
          <w:rFonts w:ascii="Arial" w:hAnsi="Arial" w:cs="Arial"/>
          <w:sz w:val="24"/>
          <w:szCs w:val="24"/>
        </w:rPr>
      </w:pPr>
      <w:r w:rsidRPr="00BD6C0C">
        <w:rPr>
          <w:rFonts w:ascii="Arial" w:hAnsi="Arial" w:cs="Arial"/>
          <w:sz w:val="24"/>
          <w:szCs w:val="24"/>
        </w:rPr>
        <w:t>Determining whether someone has dementia involves a comprehensive assessment that considers multiple factors. These include medical history, symptoms, cognitive abilities, physical health, and lab tests, according to Porsteinsson et al. (2021). While the diagnostic process may vary depending on the healthcare situation and provider's approach, it typically involves several steps.</w:t>
      </w:r>
    </w:p>
    <w:p w14:paraId="0F1EA390" w14:textId="77777777" w:rsidR="00DE199E" w:rsidRPr="00BD6C0C" w:rsidRDefault="003469FA" w:rsidP="00BD6C0C">
      <w:pPr>
        <w:spacing w:line="360" w:lineRule="auto"/>
        <w:ind w:left="360"/>
        <w:rPr>
          <w:rFonts w:ascii="Arial" w:hAnsi="Arial" w:cs="Arial"/>
          <w:sz w:val="24"/>
          <w:szCs w:val="24"/>
        </w:rPr>
      </w:pPr>
      <w:r w:rsidRPr="00BD6C0C">
        <w:rPr>
          <w:rFonts w:ascii="Arial" w:hAnsi="Arial" w:cs="Arial"/>
          <w:sz w:val="24"/>
          <w:szCs w:val="24"/>
        </w:rPr>
        <w:t>To begin, healthcare providers gather complete medical information from the individual and their family to identify cognitive issues, underlying medical conditions, medications, and family history of dementia. They also conduct a clinical interview to identify symptoms, functional abilities, and impact on daily life.</w:t>
      </w:r>
    </w:p>
    <w:p w14:paraId="4C6865DB" w14:textId="77777777" w:rsidR="00AF6A2A" w:rsidRDefault="003469FA" w:rsidP="00AF6A2A">
      <w:pPr>
        <w:spacing w:line="360" w:lineRule="auto"/>
        <w:ind w:left="360"/>
        <w:rPr>
          <w:rFonts w:ascii="Arial" w:hAnsi="Arial" w:cs="Arial"/>
          <w:sz w:val="24"/>
          <w:szCs w:val="24"/>
        </w:rPr>
      </w:pPr>
      <w:r w:rsidRPr="00BD6C0C">
        <w:rPr>
          <w:rFonts w:ascii="Arial" w:hAnsi="Arial" w:cs="Arial"/>
          <w:sz w:val="24"/>
          <w:szCs w:val="24"/>
        </w:rPr>
        <w:t>A physical examination evaluates the person's general health and checks for any underlying medical conditions affecting cognitive function. A neurological assessment evaluates motor function, reflexes, coordination, and sensory abilities. It can also help detect specific types of dementia, such as Parkinsonism in Lewy body dementia and focal neurological abnormalities in vascular dementia (Iannaccone et al., 2023).</w:t>
      </w:r>
    </w:p>
    <w:p w14:paraId="56E41735" w14:textId="77777777" w:rsidR="001051D4" w:rsidRDefault="003469FA" w:rsidP="00AF6A2A">
      <w:pPr>
        <w:spacing w:line="360" w:lineRule="auto"/>
        <w:ind w:left="360"/>
        <w:rPr>
          <w:rFonts w:ascii="Arial" w:hAnsi="Arial" w:cs="Arial"/>
          <w:sz w:val="24"/>
          <w:szCs w:val="24"/>
        </w:rPr>
      </w:pPr>
      <w:r w:rsidRPr="00BD6C0C">
        <w:rPr>
          <w:rFonts w:ascii="Arial" w:hAnsi="Arial" w:cs="Arial"/>
          <w:sz w:val="24"/>
          <w:szCs w:val="24"/>
        </w:rPr>
        <w:t>A cognitive assessment is also critical to the diagnostic process. It uses standardized tests and methods to assess multiple cognitive domains, such as memory, attention, language, visual and spatial abilities, and executive functions. These tests provide objective measurements of cognitive performance and help identify tendencies of cognitive impairment associated with dementia.</w:t>
      </w:r>
    </w:p>
    <w:p w14:paraId="5A446A84" w14:textId="77777777" w:rsidR="001051D4" w:rsidRDefault="003469FA" w:rsidP="001051D4">
      <w:pPr>
        <w:spacing w:line="360" w:lineRule="auto"/>
        <w:ind w:left="360"/>
        <w:rPr>
          <w:rFonts w:ascii="Arial" w:hAnsi="Arial" w:cs="Arial"/>
          <w:sz w:val="24"/>
          <w:szCs w:val="24"/>
        </w:rPr>
      </w:pPr>
      <w:r w:rsidRPr="00BD6C0C">
        <w:rPr>
          <w:rFonts w:ascii="Arial" w:hAnsi="Arial" w:cs="Arial"/>
          <w:sz w:val="24"/>
          <w:szCs w:val="24"/>
        </w:rPr>
        <w:t>To determine if an individual meets the requirements for a dementia diagnosis, healthcare providers use guidelines such as the International Classification of Diseases version 10 (ICD-10) or the Diagnostic and Statistical Manual of Mental Disorders (DSM-5) (First et al., 2021). Standard criteria include evidence of cognitive loss from previous stages of functioning, impairment in many cognitive areas, severe functional interference, and the exclusion of other probable causes of cognitive impairment.</w:t>
      </w:r>
    </w:p>
    <w:p w14:paraId="29EC5A8D" w14:textId="77777777" w:rsidR="001051D4" w:rsidRDefault="003469FA" w:rsidP="001051D4">
      <w:pPr>
        <w:spacing w:line="360" w:lineRule="auto"/>
        <w:ind w:left="360"/>
        <w:rPr>
          <w:rFonts w:ascii="Arial" w:hAnsi="Arial" w:cs="Arial"/>
          <w:sz w:val="24"/>
          <w:szCs w:val="24"/>
        </w:rPr>
      </w:pPr>
      <w:r w:rsidRPr="00BD6C0C">
        <w:rPr>
          <w:rFonts w:ascii="Arial" w:hAnsi="Arial" w:cs="Arial"/>
          <w:sz w:val="24"/>
          <w:szCs w:val="24"/>
        </w:rPr>
        <w:t xml:space="preserve">Additional lab tests or imaging studies may be necessary to rule out or identify underlying medical conditions causing cognitive impairment. Examples include blood tests to examine thyroid function, vitamin levels, or infections and neuroimaging studies such as magnetic resonance imaging (MRI) or computed tomography (CT) scans to </w:t>
      </w:r>
      <w:r w:rsidRPr="001051D4">
        <w:rPr>
          <w:rFonts w:ascii="Arial" w:hAnsi="Arial" w:cs="Arial"/>
          <w:bCs/>
          <w:sz w:val="24"/>
          <w:szCs w:val="24"/>
        </w:rPr>
        <w:t>analyse</w:t>
      </w:r>
      <w:r w:rsidRPr="00BD6C0C">
        <w:rPr>
          <w:rFonts w:ascii="Arial" w:hAnsi="Arial" w:cs="Arial"/>
          <w:sz w:val="24"/>
          <w:szCs w:val="24"/>
        </w:rPr>
        <w:t xml:space="preserve"> brain anatomy and detect abnormalities (Hussain et al., 2022).</w:t>
      </w:r>
    </w:p>
    <w:p w14:paraId="20F50AAB" w14:textId="4D1496DC" w:rsidR="003469FA" w:rsidRPr="001051D4" w:rsidRDefault="003469FA" w:rsidP="001051D4">
      <w:pPr>
        <w:spacing w:line="360" w:lineRule="auto"/>
        <w:ind w:left="360"/>
        <w:rPr>
          <w:rFonts w:ascii="Arial" w:hAnsi="Arial" w:cs="Arial"/>
          <w:b/>
          <w:bCs/>
          <w:sz w:val="24"/>
          <w:szCs w:val="24"/>
        </w:rPr>
      </w:pPr>
      <w:r w:rsidRPr="00BD6C0C">
        <w:rPr>
          <w:rFonts w:ascii="Arial" w:hAnsi="Arial" w:cs="Arial"/>
          <w:sz w:val="24"/>
          <w:szCs w:val="24"/>
        </w:rPr>
        <w:t xml:space="preserve">It is also essential to rule out other illnesses with symptoms </w:t>
      </w:r>
      <w:r w:rsidRPr="001051D4">
        <w:rPr>
          <w:rFonts w:ascii="Arial" w:hAnsi="Arial" w:cs="Arial"/>
          <w:bCs/>
          <w:sz w:val="24"/>
          <w:szCs w:val="24"/>
        </w:rPr>
        <w:t>like</w:t>
      </w:r>
      <w:r w:rsidRPr="001051D4">
        <w:rPr>
          <w:rFonts w:ascii="Arial" w:hAnsi="Arial" w:cs="Arial"/>
          <w:bCs/>
          <w:sz w:val="24"/>
          <w:szCs w:val="24"/>
        </w:rPr>
        <w:t xml:space="preserve"> </w:t>
      </w:r>
      <w:r w:rsidRPr="00BD6C0C">
        <w:rPr>
          <w:rFonts w:ascii="Arial" w:hAnsi="Arial" w:cs="Arial"/>
          <w:sz w:val="24"/>
          <w:szCs w:val="24"/>
        </w:rPr>
        <w:t>dementia, including reversible causes of cognitive impairment, such as drug side effects, vitamin deficiencies, metabolic problems, infections, or depression.</w:t>
      </w:r>
    </w:p>
    <w:p w14:paraId="7486E87F" w14:textId="77777777" w:rsidR="003469FA" w:rsidRPr="00BD6C0C" w:rsidRDefault="003469FA" w:rsidP="00BD6C0C">
      <w:pPr>
        <w:pStyle w:val="Heading1"/>
        <w:spacing w:line="360" w:lineRule="auto"/>
        <w:rPr>
          <w:rFonts w:ascii="Arial" w:eastAsiaTheme="minorHAnsi" w:hAnsi="Arial" w:cs="Arial"/>
          <w:b w:val="0"/>
          <w:color w:val="auto"/>
          <w:szCs w:val="24"/>
        </w:rPr>
      </w:pPr>
      <w:r w:rsidRPr="00BD6C0C">
        <w:rPr>
          <w:rFonts w:ascii="Arial" w:eastAsiaTheme="minorHAnsi" w:hAnsi="Arial" w:cs="Arial"/>
          <w:b w:val="0"/>
          <w:color w:val="auto"/>
          <w:szCs w:val="24"/>
        </w:rPr>
        <w:t>In some cases, specialized examinations may be necessary to identify and categorize specific types of dementia. For example, neuropsychological testing can provide precise information about cognitive strengths and weaknesses that can help differentiate various forms of dementia. Biomarker testing, such as cerebrospinal fluid analysis or positron emission tomography (PET) imaging, can also identify some types of dementia, including Alzheimer's disease (Georgakas et al., 2023).</w:t>
      </w:r>
    </w:p>
    <w:p w14:paraId="7BBA54BF" w14:textId="6BECBFCC" w:rsidR="003469FA" w:rsidRPr="00BD6C0C" w:rsidRDefault="003469FA" w:rsidP="00BD6C0C">
      <w:pPr>
        <w:pStyle w:val="Heading1"/>
        <w:spacing w:line="360" w:lineRule="auto"/>
        <w:rPr>
          <w:rFonts w:ascii="Arial" w:eastAsiaTheme="minorHAnsi" w:hAnsi="Arial" w:cs="Arial"/>
          <w:b w:val="0"/>
          <w:color w:val="auto"/>
          <w:szCs w:val="24"/>
        </w:rPr>
      </w:pPr>
      <w:r w:rsidRPr="00BD6C0C">
        <w:rPr>
          <w:rFonts w:ascii="Arial" w:eastAsiaTheme="minorHAnsi" w:hAnsi="Arial" w:cs="Arial"/>
          <w:b w:val="0"/>
          <w:color w:val="auto"/>
          <w:szCs w:val="24"/>
        </w:rPr>
        <w:t>Dementia diagnosis often requires a multidisciplinary approach involving collaboration between healthcare professionals such as neurologists, geriatricians, psychiatrists, and neuropsychologists. This approach ensures a thorough examination, considers multiple perspectives, and draws on various areas of expertise.</w:t>
      </w:r>
    </w:p>
    <w:p w14:paraId="1BB32448" w14:textId="779EB241" w:rsidR="003469FA" w:rsidRPr="00BD6C0C" w:rsidRDefault="003469FA" w:rsidP="00BD6C0C">
      <w:pPr>
        <w:pStyle w:val="Heading1"/>
        <w:spacing w:line="360" w:lineRule="auto"/>
        <w:rPr>
          <w:rFonts w:ascii="Arial" w:eastAsiaTheme="minorHAnsi" w:hAnsi="Arial" w:cs="Arial"/>
          <w:b w:val="0"/>
          <w:color w:val="auto"/>
          <w:szCs w:val="24"/>
        </w:rPr>
      </w:pPr>
      <w:r w:rsidRPr="00BD6C0C">
        <w:rPr>
          <w:rFonts w:ascii="Arial" w:eastAsiaTheme="minorHAnsi" w:hAnsi="Arial" w:cs="Arial"/>
          <w:b w:val="0"/>
          <w:color w:val="auto"/>
          <w:szCs w:val="24"/>
        </w:rPr>
        <w:t xml:space="preserve">A reliable diagnosis of dementia is crucial for planning management and care. Early detection and diagnosis allow individuals with dementia and their families to receive timely interventions, treatment, and </w:t>
      </w:r>
      <w:r w:rsidRPr="00BD6C0C">
        <w:rPr>
          <w:rFonts w:ascii="Arial" w:eastAsiaTheme="minorHAnsi" w:hAnsi="Arial" w:cs="Arial"/>
          <w:b w:val="0"/>
          <w:color w:val="auto"/>
          <w:szCs w:val="24"/>
        </w:rPr>
        <w:t>counselling</w:t>
      </w:r>
      <w:r w:rsidRPr="00BD6C0C">
        <w:rPr>
          <w:rFonts w:ascii="Arial" w:eastAsiaTheme="minorHAnsi" w:hAnsi="Arial" w:cs="Arial"/>
          <w:b w:val="0"/>
          <w:color w:val="auto"/>
          <w:szCs w:val="24"/>
        </w:rPr>
        <w:t xml:space="preserve"> services. A good diagnosis also enables people to access appropriate resources, participate in clinical trials, and make informed decisions about their future care.</w:t>
      </w:r>
    </w:p>
    <w:p w14:paraId="2610B722" w14:textId="6DE8EC03" w:rsidR="00085C9D" w:rsidRPr="00BD6C0C" w:rsidRDefault="006C5015" w:rsidP="00BD6C0C">
      <w:pPr>
        <w:pStyle w:val="Heading1"/>
        <w:spacing w:line="360" w:lineRule="auto"/>
        <w:rPr>
          <w:rFonts w:ascii="Arial" w:hAnsi="Arial" w:cs="Arial"/>
          <w:szCs w:val="24"/>
        </w:rPr>
      </w:pPr>
      <w:r w:rsidRPr="00BD6C0C">
        <w:rPr>
          <w:rFonts w:ascii="Arial" w:hAnsi="Arial" w:cs="Arial"/>
          <w:szCs w:val="24"/>
        </w:rPr>
        <w:t>Current Treatment Provision</w:t>
      </w:r>
      <w:bookmarkEnd w:id="3"/>
      <w:r w:rsidR="136D640C" w:rsidRPr="00BD6C0C">
        <w:rPr>
          <w:rFonts w:ascii="Arial" w:hAnsi="Arial" w:cs="Arial"/>
          <w:szCs w:val="24"/>
        </w:rPr>
        <w:t xml:space="preserve"> </w:t>
      </w:r>
    </w:p>
    <w:p w14:paraId="6927C911" w14:textId="77777777" w:rsidR="00B36C8D" w:rsidRDefault="003469FA" w:rsidP="00B36C8D">
      <w:pPr>
        <w:spacing w:line="360" w:lineRule="auto"/>
        <w:rPr>
          <w:rFonts w:ascii="Arial" w:hAnsi="Arial" w:cs="Arial"/>
          <w:sz w:val="24"/>
          <w:szCs w:val="24"/>
        </w:rPr>
      </w:pPr>
      <w:bookmarkStart w:id="4" w:name="_Toc140776251"/>
      <w:r w:rsidRPr="00BD6C0C">
        <w:rPr>
          <w:rFonts w:ascii="Arial" w:hAnsi="Arial" w:cs="Arial"/>
          <w:sz w:val="24"/>
          <w:szCs w:val="24"/>
        </w:rPr>
        <w:t xml:space="preserve">          </w:t>
      </w:r>
      <w:r w:rsidR="00B36C8D" w:rsidRPr="00B36C8D">
        <w:rPr>
          <w:rFonts w:ascii="Arial" w:hAnsi="Arial" w:cs="Arial"/>
          <w:sz w:val="24"/>
          <w:szCs w:val="24"/>
        </w:rPr>
        <w:t>Over the years, the treatment of dementia has undergone significant progress, with a primary focus on managing symptoms, slowing down the progression of the disease, and improving the quality of life for individuals with dementia (Hui et al., 2021). While it is important to acknowledge that most types of dementia, including Alzheimer's disease, which is the most common cause of dementia, do not have a cure, it is important to note that available treatments and interventions are still beneficial for people with dementia and their caregivers. This response provides a comprehensive overview of past and present treatment options for dementia.</w:t>
      </w:r>
    </w:p>
    <w:p w14:paraId="7CA45403" w14:textId="03121E79" w:rsidR="00085C9D" w:rsidRPr="00B36C8D" w:rsidRDefault="006C5015" w:rsidP="00B36C8D">
      <w:pPr>
        <w:spacing w:line="360" w:lineRule="auto"/>
        <w:rPr>
          <w:rFonts w:ascii="Arial" w:hAnsi="Arial" w:cs="Arial"/>
          <w:b/>
          <w:bCs/>
          <w:sz w:val="24"/>
          <w:szCs w:val="24"/>
        </w:rPr>
      </w:pPr>
      <w:r w:rsidRPr="00B36C8D">
        <w:rPr>
          <w:rFonts w:ascii="Arial" w:hAnsi="Arial" w:cs="Arial"/>
          <w:b/>
          <w:bCs/>
          <w:sz w:val="24"/>
          <w:szCs w:val="24"/>
        </w:rPr>
        <w:t>Historical Treatment</w:t>
      </w:r>
      <w:bookmarkEnd w:id="4"/>
    </w:p>
    <w:p w14:paraId="5E859457" w14:textId="77777777" w:rsidR="00244798" w:rsidRDefault="003469FA" w:rsidP="00244798">
      <w:pPr>
        <w:spacing w:line="360" w:lineRule="auto"/>
        <w:rPr>
          <w:rFonts w:ascii="Arial" w:hAnsi="Arial" w:cs="Arial"/>
          <w:sz w:val="24"/>
          <w:szCs w:val="24"/>
        </w:rPr>
      </w:pPr>
      <w:bookmarkStart w:id="5" w:name="_Toc140776252"/>
      <w:r w:rsidRPr="00BD6C0C">
        <w:rPr>
          <w:rFonts w:ascii="Arial" w:hAnsi="Arial" w:cs="Arial"/>
          <w:sz w:val="24"/>
          <w:szCs w:val="24"/>
        </w:rPr>
        <w:t xml:space="preserve">           </w:t>
      </w:r>
      <w:r w:rsidR="00244798" w:rsidRPr="00244798">
        <w:rPr>
          <w:rFonts w:ascii="Arial" w:hAnsi="Arial" w:cs="Arial"/>
          <w:sz w:val="24"/>
          <w:szCs w:val="24"/>
        </w:rPr>
        <w:t xml:space="preserve">Historically, the treatment options for individuals with dementia were quite limited. The primary focus was on symptom management rather than addressing the condition's root causes. Medications were often prescribed to mitigate </w:t>
      </w:r>
      <w:proofErr w:type="spellStart"/>
      <w:r w:rsidR="00244798" w:rsidRPr="00244798">
        <w:rPr>
          <w:rFonts w:ascii="Arial" w:hAnsi="Arial" w:cs="Arial"/>
          <w:sz w:val="24"/>
          <w:szCs w:val="24"/>
        </w:rPr>
        <w:t>behavioral</w:t>
      </w:r>
      <w:proofErr w:type="spellEnd"/>
      <w:r w:rsidR="00244798" w:rsidRPr="00244798">
        <w:rPr>
          <w:rFonts w:ascii="Arial" w:hAnsi="Arial" w:cs="Arial"/>
          <w:sz w:val="24"/>
          <w:szCs w:val="24"/>
        </w:rPr>
        <w:t xml:space="preserve"> problems, with antipsychotic drugs being utilized to reduce agitation and aggression (Kim et al., 2021). However, it is important to note that these medications do not cure dementia and may have adverse side effects. Non-pharmacological interventions, such as cognitive stimulation therapy, were introduced as an alternative. This approach provides mental and social stimulation to individuals with dementia, without the potential harmful effects of medication.</w:t>
      </w:r>
    </w:p>
    <w:p w14:paraId="4AF6D478" w14:textId="7EE6277B" w:rsidR="00085C9D" w:rsidRPr="00244798" w:rsidRDefault="006C5015" w:rsidP="00244798">
      <w:pPr>
        <w:spacing w:line="360" w:lineRule="auto"/>
        <w:rPr>
          <w:rFonts w:ascii="Arial" w:hAnsi="Arial" w:cs="Arial"/>
          <w:b/>
          <w:bCs/>
          <w:color w:val="7030A0"/>
          <w:sz w:val="24"/>
          <w:szCs w:val="24"/>
        </w:rPr>
      </w:pPr>
      <w:r w:rsidRPr="00244798">
        <w:rPr>
          <w:rFonts w:ascii="Arial" w:hAnsi="Arial" w:cs="Arial"/>
          <w:b/>
          <w:bCs/>
          <w:sz w:val="24"/>
          <w:szCs w:val="24"/>
        </w:rPr>
        <w:t>Current Treatment Provision</w:t>
      </w:r>
      <w:bookmarkEnd w:id="5"/>
      <w:r w:rsidR="00E902A9" w:rsidRPr="00244798">
        <w:rPr>
          <w:rFonts w:ascii="Arial" w:hAnsi="Arial" w:cs="Arial"/>
          <w:b/>
          <w:bCs/>
          <w:sz w:val="24"/>
          <w:szCs w:val="24"/>
        </w:rPr>
        <w:t xml:space="preserve"> </w:t>
      </w:r>
    </w:p>
    <w:p w14:paraId="15ACD30C" w14:textId="77777777" w:rsidR="003469FA" w:rsidRPr="00BD6C0C" w:rsidRDefault="003469FA" w:rsidP="00BD6C0C">
      <w:pPr>
        <w:spacing w:line="360" w:lineRule="auto"/>
        <w:rPr>
          <w:rFonts w:ascii="Arial" w:hAnsi="Arial" w:cs="Arial"/>
          <w:sz w:val="24"/>
          <w:szCs w:val="24"/>
        </w:rPr>
      </w:pPr>
      <w:r w:rsidRPr="00BD6C0C">
        <w:rPr>
          <w:rFonts w:ascii="Arial" w:hAnsi="Arial" w:cs="Arial"/>
          <w:sz w:val="24"/>
          <w:szCs w:val="24"/>
        </w:rPr>
        <w:t xml:space="preserve">      </w:t>
      </w:r>
      <w:r w:rsidR="006C5015" w:rsidRPr="00BD6C0C">
        <w:rPr>
          <w:rFonts w:ascii="Arial" w:hAnsi="Arial" w:cs="Arial"/>
          <w:sz w:val="24"/>
          <w:szCs w:val="24"/>
        </w:rPr>
        <w:t xml:space="preserve">Medications- </w:t>
      </w:r>
      <w:r w:rsidRPr="00BD6C0C">
        <w:rPr>
          <w:rFonts w:ascii="Arial" w:hAnsi="Arial" w:cs="Arial"/>
          <w:sz w:val="24"/>
          <w:szCs w:val="24"/>
        </w:rPr>
        <w:t>Medication Several drugs have been authorized to treat Alzheimer's disease, including cholinesterase inhibitors (such as donepezil, rivastigmine, and galantamine) and the NMDA receptor antagonist memantine (Chin et al., 2022). These drugs help to reduce cognitive symptoms, slow disease development, and improve quality of life. However, it is essential to remember that these drugs do not stop or reverse the underlying neurodegenerative process.</w:t>
      </w:r>
    </w:p>
    <w:p w14:paraId="1B2E5BE1" w14:textId="182A265F" w:rsidR="003469FA" w:rsidRPr="00BD6C0C" w:rsidRDefault="003469FA" w:rsidP="00BD6C0C">
      <w:pPr>
        <w:spacing w:line="360" w:lineRule="auto"/>
        <w:rPr>
          <w:rFonts w:ascii="Arial" w:hAnsi="Arial" w:cs="Arial"/>
          <w:sz w:val="24"/>
          <w:szCs w:val="24"/>
        </w:rPr>
      </w:pPr>
      <w:r w:rsidRPr="00BD6C0C">
        <w:rPr>
          <w:rFonts w:ascii="Arial" w:hAnsi="Arial" w:cs="Arial"/>
          <w:sz w:val="24"/>
          <w:szCs w:val="24"/>
        </w:rPr>
        <w:t xml:space="preserve">Non-pharmacological Interventions: Regarding dementia treatment, non-pharmacological approaches are essential. These interventions boost general well-being, regulate </w:t>
      </w:r>
      <w:r w:rsidRPr="00BD6C0C">
        <w:rPr>
          <w:rFonts w:ascii="Arial" w:hAnsi="Arial" w:cs="Arial"/>
          <w:sz w:val="24"/>
          <w:szCs w:val="24"/>
        </w:rPr>
        <w:t>behavioural</w:t>
      </w:r>
      <w:r w:rsidRPr="00BD6C0C">
        <w:rPr>
          <w:rFonts w:ascii="Arial" w:hAnsi="Arial" w:cs="Arial"/>
          <w:sz w:val="24"/>
          <w:szCs w:val="24"/>
        </w:rPr>
        <w:t xml:space="preserve"> and psychological disorders, and improve cognitive performance. Cognitive stimulation treatment, reality orientation, recollection therapy, music therapy, art therapy, and physical activity are non-pharmacological approaches (Quail et al., 2020). These interventions foster independence, provide mental and social stimulation, and improve the person's overall quality of life.</w:t>
      </w:r>
    </w:p>
    <w:p w14:paraId="401A7B52" w14:textId="08D9A95A" w:rsidR="003469FA" w:rsidRPr="00BD6C0C" w:rsidRDefault="003469FA" w:rsidP="00BD6C0C">
      <w:pPr>
        <w:spacing w:line="360" w:lineRule="auto"/>
        <w:rPr>
          <w:rFonts w:ascii="Arial" w:hAnsi="Arial" w:cs="Arial"/>
          <w:sz w:val="24"/>
          <w:szCs w:val="24"/>
        </w:rPr>
      </w:pPr>
      <w:r w:rsidRPr="00BD6C0C">
        <w:rPr>
          <w:rStyle w:val="Strong"/>
          <w:rFonts w:ascii="Arial" w:hAnsi="Arial" w:cs="Arial"/>
          <w:b w:val="0"/>
          <w:bCs w:val="0"/>
          <w:color w:val="0E101A"/>
          <w:sz w:val="24"/>
          <w:szCs w:val="24"/>
        </w:rPr>
        <w:t>Psychological &amp; Behavioural Interventions</w:t>
      </w:r>
      <w:r w:rsidRPr="00BD6C0C">
        <w:rPr>
          <w:rStyle w:val="Strong"/>
          <w:rFonts w:ascii="Arial" w:hAnsi="Arial" w:cs="Arial"/>
          <w:color w:val="0E101A"/>
          <w:sz w:val="24"/>
          <w:szCs w:val="24"/>
        </w:rPr>
        <w:t>:</w:t>
      </w:r>
      <w:r w:rsidRPr="00BD6C0C">
        <w:rPr>
          <w:rFonts w:ascii="Arial" w:hAnsi="Arial" w:cs="Arial"/>
          <w:sz w:val="24"/>
          <w:szCs w:val="24"/>
        </w:rPr>
        <w:t xml:space="preserve"> Specific </w:t>
      </w:r>
      <w:r w:rsidRPr="00BD6C0C">
        <w:rPr>
          <w:rFonts w:ascii="Arial" w:hAnsi="Arial" w:cs="Arial"/>
          <w:sz w:val="24"/>
          <w:szCs w:val="24"/>
        </w:rPr>
        <w:t>behavioural</w:t>
      </w:r>
      <w:r w:rsidRPr="00BD6C0C">
        <w:rPr>
          <w:rFonts w:ascii="Arial" w:hAnsi="Arial" w:cs="Arial"/>
          <w:sz w:val="24"/>
          <w:szCs w:val="24"/>
        </w:rPr>
        <w:t xml:space="preserve"> and psychological symptoms of dementia (BPSD) work with psychological and </w:t>
      </w:r>
      <w:r w:rsidRPr="00BD6C0C">
        <w:rPr>
          <w:rFonts w:ascii="Arial" w:hAnsi="Arial" w:cs="Arial"/>
          <w:sz w:val="24"/>
          <w:szCs w:val="24"/>
        </w:rPr>
        <w:t>behavioural</w:t>
      </w:r>
      <w:r w:rsidRPr="00BD6C0C">
        <w:rPr>
          <w:rFonts w:ascii="Arial" w:hAnsi="Arial" w:cs="Arial"/>
          <w:sz w:val="24"/>
          <w:szCs w:val="24"/>
        </w:rPr>
        <w:t xml:space="preserve"> therapies, such as cognitive </w:t>
      </w:r>
      <w:r w:rsidRPr="00BD6C0C">
        <w:rPr>
          <w:rFonts w:ascii="Arial" w:hAnsi="Arial" w:cs="Arial"/>
          <w:sz w:val="24"/>
          <w:szCs w:val="24"/>
        </w:rPr>
        <w:t>behavioural</w:t>
      </w:r>
      <w:r w:rsidRPr="00BD6C0C">
        <w:rPr>
          <w:rFonts w:ascii="Arial" w:hAnsi="Arial" w:cs="Arial"/>
          <w:sz w:val="24"/>
          <w:szCs w:val="24"/>
        </w:rPr>
        <w:t xml:space="preserve"> therapy (CBT) and </w:t>
      </w:r>
      <w:r w:rsidRPr="00BD6C0C">
        <w:rPr>
          <w:rFonts w:ascii="Arial" w:hAnsi="Arial" w:cs="Arial"/>
          <w:sz w:val="24"/>
          <w:szCs w:val="24"/>
        </w:rPr>
        <w:t>behaviour</w:t>
      </w:r>
      <w:r w:rsidRPr="00BD6C0C">
        <w:rPr>
          <w:rFonts w:ascii="Arial" w:hAnsi="Arial" w:cs="Arial"/>
          <w:sz w:val="24"/>
          <w:szCs w:val="24"/>
        </w:rPr>
        <w:t xml:space="preserve"> management techniques. Agitation, anger, anxiety, depression, sleep difficulties, and hallucinations are all possible symptoms of BPSD. These interventions support developing coping mechanisms, stress management, and </w:t>
      </w:r>
      <w:r w:rsidRPr="00BD6C0C">
        <w:rPr>
          <w:rFonts w:ascii="Arial" w:hAnsi="Arial" w:cs="Arial"/>
          <w:sz w:val="24"/>
          <w:szCs w:val="24"/>
        </w:rPr>
        <w:t>behaviour</w:t>
      </w:r>
      <w:r w:rsidRPr="00BD6C0C">
        <w:rPr>
          <w:rFonts w:ascii="Arial" w:hAnsi="Arial" w:cs="Arial"/>
          <w:sz w:val="24"/>
          <w:szCs w:val="24"/>
        </w:rPr>
        <w:t xml:space="preserve"> modification in dementia patients and their carers.</w:t>
      </w:r>
    </w:p>
    <w:p w14:paraId="486CDD53" w14:textId="4AA2C778" w:rsidR="003469FA" w:rsidRPr="00BD6C0C" w:rsidRDefault="003469FA" w:rsidP="00BD6C0C">
      <w:pPr>
        <w:spacing w:line="360" w:lineRule="auto"/>
        <w:rPr>
          <w:rFonts w:ascii="Arial" w:hAnsi="Arial" w:cs="Arial"/>
          <w:sz w:val="24"/>
          <w:szCs w:val="24"/>
        </w:rPr>
      </w:pPr>
      <w:r w:rsidRPr="00BD6C0C">
        <w:rPr>
          <w:rStyle w:val="Strong"/>
          <w:rFonts w:ascii="Arial" w:hAnsi="Arial" w:cs="Arial"/>
          <w:b w:val="0"/>
          <w:bCs w:val="0"/>
          <w:color w:val="0E101A"/>
          <w:sz w:val="24"/>
          <w:szCs w:val="24"/>
        </w:rPr>
        <w:t>Support and education for carers</w:t>
      </w:r>
      <w:r w:rsidRPr="00BD6C0C">
        <w:rPr>
          <w:rStyle w:val="Strong"/>
          <w:rFonts w:ascii="Arial" w:hAnsi="Arial" w:cs="Arial"/>
          <w:b w:val="0"/>
          <w:bCs w:val="0"/>
          <w:color w:val="0E101A"/>
          <w:sz w:val="24"/>
          <w:szCs w:val="24"/>
        </w:rPr>
        <w:t xml:space="preserve">: </w:t>
      </w:r>
      <w:r w:rsidRPr="00BD6C0C">
        <w:rPr>
          <w:rFonts w:ascii="Arial" w:hAnsi="Arial" w:cs="Arial"/>
          <w:sz w:val="24"/>
          <w:szCs w:val="24"/>
        </w:rPr>
        <w:t>Since dementia has a considerable negative impact on carers, support and education programs are offered to help family members and carers cope with the difficulties of dementia care. These services provide direction, knowledge, and emotional support to help carers manage the demands of caregiving, lessen their workload, and improve their well-being</w:t>
      </w:r>
      <w:r w:rsidRPr="00BD6C0C">
        <w:rPr>
          <w:rFonts w:ascii="Arial" w:hAnsi="Arial" w:cs="Arial"/>
          <w:sz w:val="24"/>
          <w:szCs w:val="24"/>
        </w:rPr>
        <w:t>.</w:t>
      </w:r>
    </w:p>
    <w:p w14:paraId="53851CD0" w14:textId="0E6E7607" w:rsidR="003469FA" w:rsidRPr="00BD6C0C" w:rsidRDefault="003469FA" w:rsidP="00BD6C0C">
      <w:pPr>
        <w:spacing w:line="360" w:lineRule="auto"/>
        <w:rPr>
          <w:rFonts w:ascii="Arial" w:hAnsi="Arial" w:cs="Arial"/>
          <w:sz w:val="24"/>
          <w:szCs w:val="24"/>
        </w:rPr>
      </w:pPr>
      <w:r w:rsidRPr="00BD6C0C">
        <w:rPr>
          <w:rFonts w:ascii="Arial" w:hAnsi="Arial" w:cs="Arial"/>
          <w:sz w:val="24"/>
          <w:szCs w:val="24"/>
        </w:rPr>
        <w:t>Palliative Care and Supportive Interventions: As dementia worsens, people may need supportive treatments and palliative care to meet their end-of-life needs. The primary objectives of palliative care are to provide comfort, manage symptoms, and improve quality of life (Hickman et al., 2020). It entails a holistic strategy that covers the care's psychological, social, spiritual, and physical elements</w:t>
      </w:r>
      <w:r w:rsidRPr="00BD6C0C">
        <w:rPr>
          <w:rFonts w:ascii="Arial" w:hAnsi="Arial" w:cs="Arial"/>
          <w:sz w:val="24"/>
          <w:szCs w:val="24"/>
        </w:rPr>
        <w:t>.</w:t>
      </w:r>
    </w:p>
    <w:p w14:paraId="66C8B7BD" w14:textId="38F96D74" w:rsidR="003469FA" w:rsidRPr="00BD6C0C" w:rsidRDefault="003469FA" w:rsidP="00BD6C0C">
      <w:pPr>
        <w:spacing w:line="360" w:lineRule="auto"/>
        <w:rPr>
          <w:rFonts w:ascii="Arial" w:hAnsi="Arial" w:cs="Arial"/>
          <w:sz w:val="24"/>
          <w:szCs w:val="24"/>
        </w:rPr>
      </w:pPr>
      <w:r w:rsidRPr="00BD6C0C">
        <w:rPr>
          <w:rFonts w:ascii="Arial" w:hAnsi="Arial" w:cs="Arial"/>
          <w:sz w:val="24"/>
          <w:szCs w:val="24"/>
        </w:rPr>
        <w:t>Lifestyle Modifications: Eating a balanced diet, exercising frequently, and managing chronic conditions are just a few lifestyle modifications that can enhance general health and well-being. (</w:t>
      </w:r>
      <w:r w:rsidR="00F82C8B" w:rsidRPr="00BD6C0C">
        <w:rPr>
          <w:rFonts w:ascii="Arial" w:hAnsi="Arial" w:cs="Arial"/>
          <w:sz w:val="24"/>
          <w:szCs w:val="24"/>
        </w:rPr>
        <w:t>Including</w:t>
      </w:r>
      <w:r w:rsidRPr="00BD6C0C">
        <w:rPr>
          <w:rFonts w:ascii="Arial" w:hAnsi="Arial" w:cs="Arial"/>
          <w:sz w:val="24"/>
          <w:szCs w:val="24"/>
        </w:rPr>
        <w:t xml:space="preserve"> diabetes and hypertension), Furthermore, encouraging social and cognitive engagement. Although these changes might not be able to treat dementia directly, they can maintain brain health and possibly lower the chance of cognitive decline.</w:t>
      </w:r>
    </w:p>
    <w:p w14:paraId="6F659F92" w14:textId="77777777" w:rsidR="003469FA" w:rsidRPr="00BD6C0C" w:rsidRDefault="003469FA" w:rsidP="00BD6C0C">
      <w:pPr>
        <w:spacing w:line="360" w:lineRule="auto"/>
        <w:ind w:firstLine="360"/>
        <w:rPr>
          <w:rFonts w:ascii="Arial" w:hAnsi="Arial" w:cs="Arial"/>
          <w:sz w:val="24"/>
          <w:szCs w:val="24"/>
        </w:rPr>
      </w:pPr>
      <w:r w:rsidRPr="00BD6C0C">
        <w:rPr>
          <w:rFonts w:ascii="Arial" w:hAnsi="Arial" w:cs="Arial"/>
          <w:sz w:val="24"/>
          <w:szCs w:val="24"/>
        </w:rPr>
        <w:t>Research and Clinical Trials: New dementia treatment modalities and strategies are complete due to ongoing research and clinical trials. This research investigates novel drugs, immunotherapies, and other cutting-edge techniques that can treat diseases. Dementia patients participating in clinical trials can receive potentially game-changing therapies and enhance the science surrounding the condition (Blackburn, 2019).</w:t>
      </w:r>
    </w:p>
    <w:p w14:paraId="13158D67" w14:textId="3A97A4EE" w:rsidR="003469FA" w:rsidRPr="00BD6C0C" w:rsidRDefault="003469FA" w:rsidP="00BD6C0C">
      <w:pPr>
        <w:pStyle w:val="Heading1"/>
        <w:spacing w:line="360" w:lineRule="auto"/>
        <w:rPr>
          <w:rFonts w:ascii="Arial" w:eastAsiaTheme="minorHAnsi" w:hAnsi="Arial" w:cs="Arial"/>
          <w:b w:val="0"/>
          <w:color w:val="auto"/>
          <w:szCs w:val="24"/>
        </w:rPr>
      </w:pPr>
      <w:bookmarkStart w:id="6" w:name="_Toc140776253"/>
      <w:r w:rsidRPr="00BD6C0C">
        <w:rPr>
          <w:rFonts w:ascii="Arial" w:eastAsiaTheme="minorHAnsi" w:hAnsi="Arial" w:cs="Arial"/>
          <w:b w:val="0"/>
          <w:color w:val="auto"/>
          <w:szCs w:val="24"/>
        </w:rPr>
        <w:t xml:space="preserve">When delivering dementia treatment, it is essential to remember that </w:t>
      </w:r>
      <w:r w:rsidRPr="00BD6C0C">
        <w:rPr>
          <w:rFonts w:ascii="Arial" w:eastAsiaTheme="minorHAnsi" w:hAnsi="Arial" w:cs="Arial"/>
          <w:b w:val="0"/>
          <w:color w:val="auto"/>
          <w:szCs w:val="24"/>
        </w:rPr>
        <w:t>everyone</w:t>
      </w:r>
      <w:r w:rsidRPr="00BD6C0C">
        <w:rPr>
          <w:rFonts w:ascii="Arial" w:eastAsiaTheme="minorHAnsi" w:hAnsi="Arial" w:cs="Arial"/>
          <w:b w:val="0"/>
          <w:color w:val="auto"/>
          <w:szCs w:val="24"/>
        </w:rPr>
        <w:t xml:space="preserve"> with dementia has specific needs and preferences. To create a personalized care plan that addresses each person's specific needs and goals, healthcare professionals engage closely with patients and their carers.</w:t>
      </w:r>
      <w:r w:rsidRPr="00BD6C0C">
        <w:rPr>
          <w:rFonts w:ascii="Arial" w:eastAsiaTheme="minorHAnsi" w:hAnsi="Arial" w:cs="Arial"/>
          <w:b w:val="0"/>
          <w:color w:val="auto"/>
          <w:szCs w:val="24"/>
        </w:rPr>
        <w:t xml:space="preserve"> </w:t>
      </w:r>
    </w:p>
    <w:p w14:paraId="792752BA" w14:textId="4642FDF5" w:rsidR="00085C9D" w:rsidRPr="00BD6C0C" w:rsidRDefault="006C5015" w:rsidP="00BD6C0C">
      <w:pPr>
        <w:pStyle w:val="Heading1"/>
        <w:spacing w:line="360" w:lineRule="auto"/>
        <w:rPr>
          <w:rFonts w:ascii="Arial" w:eastAsiaTheme="minorHAnsi" w:hAnsi="Arial" w:cs="Arial"/>
          <w:b w:val="0"/>
          <w:color w:val="auto"/>
          <w:szCs w:val="24"/>
        </w:rPr>
      </w:pPr>
      <w:r w:rsidRPr="00BD6C0C">
        <w:rPr>
          <w:rFonts w:ascii="Arial" w:hAnsi="Arial" w:cs="Arial"/>
          <w:szCs w:val="24"/>
        </w:rPr>
        <w:t>Measuring disorder in relation to the means of rehabilitation</w:t>
      </w:r>
      <w:bookmarkEnd w:id="6"/>
    </w:p>
    <w:p w14:paraId="1EED8A72" w14:textId="77777777" w:rsidR="003469FA" w:rsidRPr="00BD6C0C" w:rsidRDefault="003469FA" w:rsidP="00BD6C0C">
      <w:pPr>
        <w:spacing w:line="360" w:lineRule="auto"/>
        <w:ind w:firstLine="720"/>
        <w:rPr>
          <w:rFonts w:ascii="Arial" w:hAnsi="Arial" w:cs="Arial"/>
          <w:sz w:val="24"/>
          <w:szCs w:val="24"/>
        </w:rPr>
      </w:pPr>
      <w:r w:rsidRPr="00BD6C0C">
        <w:rPr>
          <w:rFonts w:ascii="Arial" w:hAnsi="Arial" w:cs="Arial"/>
          <w:sz w:val="24"/>
          <w:szCs w:val="24"/>
        </w:rPr>
        <w:t>Multiple cognitive domains and functioning capacities are affected by the complicated condition known as dementia (Cipriani et al., 2020). As a result, determining the effects of dementia and evaluating the success of rehabilitation demands an all-encompassing strategy that considers different functional domains. Although dementia cannot be treated or reversed, rehabilitation programs aim to maximize functional capacities, increase independence, and enhance the general standard of life for those with dementia. Cognitive functioning, functional capacities, psychological state, and quality of life are measured as they pertain to the dementia disorder's rehabilitation.</w:t>
      </w:r>
    </w:p>
    <w:p w14:paraId="3ED4C838" w14:textId="77777777" w:rsidR="003469FA" w:rsidRPr="00BD6C0C" w:rsidRDefault="003469FA" w:rsidP="00BD6C0C">
      <w:pPr>
        <w:spacing w:line="360" w:lineRule="auto"/>
        <w:ind w:firstLine="720"/>
        <w:rPr>
          <w:rFonts w:ascii="Arial" w:hAnsi="Arial" w:cs="Arial"/>
          <w:sz w:val="24"/>
          <w:szCs w:val="24"/>
        </w:rPr>
      </w:pPr>
      <w:r w:rsidRPr="00BD6C0C">
        <w:rPr>
          <w:rFonts w:ascii="Arial" w:hAnsi="Arial" w:cs="Arial"/>
          <w:sz w:val="24"/>
          <w:szCs w:val="24"/>
        </w:rPr>
        <w:t>Cognitive evaluation techniques assess the severity of cognitive impairment and track improvements over time. These tests evaluate multiple areas, including memory, attention, language, executive functions, and visual and spatial abilities. The Mini-Mental State Examination (MMSE), as well as the Montreal Cognitive Assessment (MoCA), are two frequently utilized assessments (Engedal et al., 2021). These evaluations offer a baseline indicator of cognitive functioning and can be performed on an ongoing basis to track the development of dementia and the success of rehabilitation measures.</w:t>
      </w:r>
    </w:p>
    <w:p w14:paraId="651EFF62" w14:textId="5D4825DD" w:rsidR="003469FA" w:rsidRPr="00BD6C0C" w:rsidRDefault="003469FA" w:rsidP="00BD6C0C">
      <w:pPr>
        <w:spacing w:line="360" w:lineRule="auto"/>
        <w:ind w:firstLine="720"/>
        <w:rPr>
          <w:rFonts w:ascii="Arial" w:hAnsi="Arial" w:cs="Arial"/>
          <w:sz w:val="24"/>
          <w:szCs w:val="24"/>
        </w:rPr>
      </w:pPr>
      <w:r w:rsidRPr="00BD6C0C">
        <w:rPr>
          <w:rFonts w:ascii="Arial" w:hAnsi="Arial" w:cs="Arial"/>
          <w:sz w:val="24"/>
          <w:szCs w:val="24"/>
        </w:rPr>
        <w:t xml:space="preserve">To evaluate the impact of dementia on daily activities and the effectiveness of treatment. It is necessary to assess functional abilities. Functional evaluations look at a person's capacity to carry out activities of daily living (ADLs) and instrumental activities of daily living (IADLs), like getting dressed, taking a bath, cooking, handling money, and operating a vehicle (Kato et al., 2021). Standardized assessment tools, like the Functional Activities Questionnaire, measure functional impairment and monitor changes over time. </w:t>
      </w:r>
      <w:r w:rsidRPr="00BD6C0C">
        <w:rPr>
          <w:rFonts w:ascii="Arial" w:hAnsi="Arial" w:cs="Arial"/>
          <w:sz w:val="24"/>
          <w:szCs w:val="24"/>
        </w:rPr>
        <w:t>To</w:t>
      </w:r>
      <w:r w:rsidRPr="00BD6C0C">
        <w:rPr>
          <w:rFonts w:ascii="Arial" w:hAnsi="Arial" w:cs="Arial"/>
          <w:sz w:val="24"/>
          <w:szCs w:val="24"/>
        </w:rPr>
        <w:t xml:space="preserve"> assess the level of functional impairment and monitor any changes that may occur over time, standardized assessment tools like the Functional Activities Questionnaire operate. (FAQ) or the Alzheimer's Disease Cooperative Study-Activities of Daily Living (ADCS-ADL) scale.</w:t>
      </w:r>
    </w:p>
    <w:p w14:paraId="611113FA" w14:textId="597A455A" w:rsidR="003469FA" w:rsidRPr="00BD6C0C" w:rsidRDefault="003469FA" w:rsidP="00BD6C0C">
      <w:pPr>
        <w:spacing w:line="360" w:lineRule="auto"/>
        <w:ind w:firstLine="720"/>
        <w:rPr>
          <w:rFonts w:ascii="Arial" w:hAnsi="Arial" w:cs="Arial"/>
          <w:sz w:val="24"/>
          <w:szCs w:val="24"/>
        </w:rPr>
      </w:pPr>
      <w:r w:rsidRPr="00BD6C0C">
        <w:rPr>
          <w:rFonts w:ascii="Arial" w:hAnsi="Arial" w:cs="Arial"/>
          <w:sz w:val="24"/>
          <w:szCs w:val="24"/>
        </w:rPr>
        <w:t xml:space="preserve">Dementia can significantly impact mental health, leading to symptoms such as anxiety, depression, and </w:t>
      </w:r>
      <w:r w:rsidRPr="00BD6C0C">
        <w:rPr>
          <w:rFonts w:ascii="Arial" w:hAnsi="Arial" w:cs="Arial"/>
          <w:sz w:val="24"/>
          <w:szCs w:val="24"/>
        </w:rPr>
        <w:t>behavioural</w:t>
      </w:r>
      <w:r w:rsidRPr="00BD6C0C">
        <w:rPr>
          <w:rFonts w:ascii="Arial" w:hAnsi="Arial" w:cs="Arial"/>
          <w:sz w:val="24"/>
          <w:szCs w:val="24"/>
        </w:rPr>
        <w:t xml:space="preserve"> issues. The Neuropsychiatric Inventory (NPI) and the Geriatric Depression Scale (GDS) are two assessment tools that are utilized to measure psychological symptoms and monitor changes throughout rehabilitation (Sánchez-Nieto et al., 2023). Monitoring psychological health provides information to make treatment strategy adjustments and determine the efficacy of therapies to treat </w:t>
      </w:r>
      <w:r w:rsidRPr="00BD6C0C">
        <w:rPr>
          <w:rFonts w:ascii="Arial" w:hAnsi="Arial" w:cs="Arial"/>
          <w:sz w:val="24"/>
          <w:szCs w:val="24"/>
        </w:rPr>
        <w:t>behavioural</w:t>
      </w:r>
      <w:r w:rsidRPr="00BD6C0C">
        <w:rPr>
          <w:rFonts w:ascii="Arial" w:hAnsi="Arial" w:cs="Arial"/>
          <w:sz w:val="24"/>
          <w:szCs w:val="24"/>
        </w:rPr>
        <w:t xml:space="preserve"> and emotional symptoms.</w:t>
      </w:r>
    </w:p>
    <w:p w14:paraId="4AAA9A08" w14:textId="77777777" w:rsidR="003469FA" w:rsidRPr="00BD6C0C" w:rsidRDefault="003469FA" w:rsidP="00BD6C0C">
      <w:pPr>
        <w:spacing w:line="360" w:lineRule="auto"/>
        <w:ind w:firstLine="720"/>
        <w:rPr>
          <w:rFonts w:ascii="Arial" w:hAnsi="Arial" w:cs="Arial"/>
          <w:sz w:val="24"/>
          <w:szCs w:val="24"/>
        </w:rPr>
      </w:pPr>
      <w:r w:rsidRPr="00BD6C0C">
        <w:rPr>
          <w:rFonts w:ascii="Arial" w:hAnsi="Arial" w:cs="Arial"/>
          <w:sz w:val="24"/>
          <w:szCs w:val="24"/>
        </w:rPr>
        <w:t>Assessing the quality of life is crucial in determining the efficacy of dementia and rehabilitation treatments. The subjective well-being, social involvement, and contentment with many life domains are all captured through quality-of-life assessments. Tools such as the Dementia Quality of Life (DEMQOL) measure and the Quality of Life in Alzheimer's Disease (QoL-AD) scale offer a thorough assessment of the person's subjective quality of life (Burks et al., 2021). These evaluations consider cognitive functioning, practical skills, social support, emotional stability, and physical health.</w:t>
      </w:r>
    </w:p>
    <w:p w14:paraId="610A358D" w14:textId="77777777" w:rsidR="0070643F" w:rsidRDefault="003469FA" w:rsidP="003379A4">
      <w:pPr>
        <w:spacing w:line="360" w:lineRule="auto"/>
        <w:ind w:firstLine="720"/>
        <w:rPr>
          <w:rFonts w:ascii="Arial" w:hAnsi="Arial" w:cs="Arial"/>
          <w:sz w:val="24"/>
          <w:szCs w:val="24"/>
        </w:rPr>
      </w:pPr>
      <w:r w:rsidRPr="00BD6C0C">
        <w:rPr>
          <w:rFonts w:ascii="Arial" w:hAnsi="Arial" w:cs="Arial"/>
          <w:sz w:val="24"/>
          <w:szCs w:val="24"/>
        </w:rPr>
        <w:t xml:space="preserve">The health and contentment of carers, in addition to those of the dementia patient, are critical factors in rehabilitation. One way to evaluate the caregiver's workload, stress levels, and emotional well-being is through assessments like the Zarit Burden </w:t>
      </w:r>
      <w:r w:rsidRPr="00BD6C0C">
        <w:rPr>
          <w:rFonts w:ascii="Arial" w:hAnsi="Arial" w:cs="Arial"/>
          <w:sz w:val="24"/>
          <w:szCs w:val="24"/>
        </w:rPr>
        <w:t>Interview. (</w:t>
      </w:r>
      <w:r w:rsidRPr="00BD6C0C">
        <w:rPr>
          <w:rFonts w:ascii="Arial" w:hAnsi="Arial" w:cs="Arial"/>
          <w:sz w:val="24"/>
          <w:szCs w:val="24"/>
        </w:rPr>
        <w:t>Geerlings et al., 2023). These evaluations aid in determining how rehabilitation interventions affect carer outcomes and direct the distribution of resources and assistance to carers.</w:t>
      </w:r>
      <w:bookmarkStart w:id="7" w:name="_Toc140776254"/>
    </w:p>
    <w:p w14:paraId="7C42BA59" w14:textId="77777777" w:rsidR="0070643F" w:rsidRDefault="003469FA" w:rsidP="0070643F">
      <w:pPr>
        <w:spacing w:line="360" w:lineRule="auto"/>
        <w:ind w:firstLine="720"/>
        <w:rPr>
          <w:rFonts w:ascii="Arial" w:hAnsi="Arial" w:cs="Arial"/>
          <w:sz w:val="24"/>
          <w:szCs w:val="24"/>
        </w:rPr>
      </w:pPr>
      <w:r w:rsidRPr="00BD6C0C">
        <w:rPr>
          <w:rFonts w:ascii="Arial" w:hAnsi="Arial" w:cs="Arial"/>
          <w:sz w:val="24"/>
          <w:szCs w:val="24"/>
        </w:rPr>
        <w:t>A person-centered methodology called Goal Attainment Scaling (GAS) accesses to evaluate the accomplishment of unique rehabilitation goals (Roberts &amp; Abery, 2023). With the person and their caretakers, precise and measurable goals emerge. Using a scale with multiple levels signifying various levels of goal achievement, progress towards these goals seems tracked. GAS enables evaluating rehabilitation results specific to the person's individual demands and functional capabilities.</w:t>
      </w:r>
    </w:p>
    <w:p w14:paraId="54F178B0" w14:textId="77777777" w:rsidR="0070643F" w:rsidRDefault="006C5015" w:rsidP="0070643F">
      <w:pPr>
        <w:spacing w:line="360" w:lineRule="auto"/>
        <w:rPr>
          <w:rFonts w:ascii="Arial" w:hAnsi="Arial" w:cs="Arial"/>
          <w:b/>
          <w:bCs/>
          <w:sz w:val="24"/>
          <w:szCs w:val="24"/>
        </w:rPr>
      </w:pPr>
      <w:r w:rsidRPr="0070643F">
        <w:rPr>
          <w:rFonts w:ascii="Arial" w:hAnsi="Arial" w:cs="Arial"/>
          <w:b/>
          <w:bCs/>
          <w:sz w:val="24"/>
          <w:szCs w:val="24"/>
        </w:rPr>
        <w:t>Conclusio</w:t>
      </w:r>
      <w:r w:rsidR="0C428E6D" w:rsidRPr="0070643F">
        <w:rPr>
          <w:rFonts w:ascii="Arial" w:hAnsi="Arial" w:cs="Arial"/>
          <w:b/>
          <w:bCs/>
          <w:sz w:val="24"/>
          <w:szCs w:val="24"/>
        </w:rPr>
        <w:t>n</w:t>
      </w:r>
      <w:bookmarkEnd w:id="7"/>
      <w:r w:rsidR="0C428E6D" w:rsidRPr="0070643F">
        <w:rPr>
          <w:rFonts w:ascii="Arial" w:hAnsi="Arial" w:cs="Arial"/>
          <w:b/>
          <w:bCs/>
          <w:sz w:val="24"/>
          <w:szCs w:val="24"/>
        </w:rPr>
        <w:t xml:space="preserve"> </w:t>
      </w:r>
      <w:bookmarkStart w:id="8" w:name="_Toc140776255"/>
    </w:p>
    <w:p w14:paraId="32263573" w14:textId="77777777" w:rsidR="0070643F" w:rsidRDefault="003469FA" w:rsidP="0070643F">
      <w:pPr>
        <w:spacing w:line="360" w:lineRule="auto"/>
        <w:ind w:firstLine="720"/>
        <w:rPr>
          <w:rFonts w:ascii="Arial" w:hAnsi="Arial" w:cs="Arial"/>
          <w:sz w:val="24"/>
          <w:szCs w:val="24"/>
        </w:rPr>
      </w:pPr>
      <w:r w:rsidRPr="00BD6C0C">
        <w:rPr>
          <w:rFonts w:ascii="Arial" w:hAnsi="Arial" w:cs="Arial"/>
          <w:sz w:val="24"/>
          <w:szCs w:val="24"/>
        </w:rPr>
        <w:t xml:space="preserve">In conclusion, it is imperative to understand that dementia is a highly intricate mental disorder that significantly affecting multiple facets of cognitive functioning. The International Classification of Diseases Version 11 (ICD-11) offers a thorough framework for categorizing various dementia forms and phases. When the precise cause or kind of dementia is unknown, the ICD-11's principal dementia code, F03, is utilized. ICD-11 also provides </w:t>
      </w:r>
      <w:r w:rsidR="00F82C8B" w:rsidRPr="00BD6C0C">
        <w:rPr>
          <w:rFonts w:ascii="Arial" w:hAnsi="Arial" w:cs="Arial"/>
          <w:b/>
          <w:sz w:val="24"/>
          <w:szCs w:val="24"/>
        </w:rPr>
        <w:t>codes</w:t>
      </w:r>
      <w:r w:rsidRPr="00BD6C0C">
        <w:rPr>
          <w:rFonts w:ascii="Arial" w:hAnsi="Arial" w:cs="Arial"/>
          <w:sz w:val="24"/>
          <w:szCs w:val="24"/>
        </w:rPr>
        <w:t xml:space="preserve"> for many forms of dementia, including Alzheimer's disease (F02.0) and vascular dementia (F01.0). Dealing with dementia is a thorough review that includes the medical history, cognitive tests, physical examination, and more. For people with dementia and the caregivers who care for them, current treatment choices concentrate on symptom management and improving quality of life. While there has been significant advancement in the measurement of dementia in connection to rehabilitation, there is still a need for development to support service users and their carers better. Here are some recommendations for enhancements:</w:t>
      </w:r>
    </w:p>
    <w:p w14:paraId="69DBFD60" w14:textId="60EB1D66" w:rsidR="009426FC" w:rsidRDefault="009426FC" w:rsidP="00952AFF">
      <w:pPr>
        <w:pStyle w:val="Heading1"/>
        <w:numPr>
          <w:ilvl w:val="0"/>
          <w:numId w:val="8"/>
        </w:numPr>
        <w:spacing w:line="360" w:lineRule="auto"/>
        <w:rPr>
          <w:rFonts w:ascii="Arial" w:eastAsiaTheme="minorHAnsi" w:hAnsi="Arial" w:cs="Arial"/>
          <w:b w:val="0"/>
          <w:color w:val="auto"/>
          <w:szCs w:val="24"/>
        </w:rPr>
      </w:pPr>
      <w:r w:rsidRPr="009426FC">
        <w:rPr>
          <w:rFonts w:ascii="Arial" w:eastAsiaTheme="minorHAnsi" w:hAnsi="Arial" w:cs="Arial"/>
          <w:b w:val="0"/>
          <w:color w:val="auto"/>
          <w:szCs w:val="24"/>
        </w:rPr>
        <w:t xml:space="preserve">•When dealing with dementia and rehabilitation, it is crucial to employ assessment tools that are both reliable and uniform </w:t>
      </w:r>
      <w:r w:rsidRPr="009426FC">
        <w:rPr>
          <w:rFonts w:ascii="Arial" w:eastAsiaTheme="minorHAnsi" w:hAnsi="Arial" w:cs="Arial"/>
          <w:b w:val="0"/>
          <w:color w:val="auto"/>
          <w:szCs w:val="24"/>
        </w:rPr>
        <w:t>to</w:t>
      </w:r>
      <w:r w:rsidRPr="009426FC">
        <w:rPr>
          <w:rFonts w:ascii="Arial" w:eastAsiaTheme="minorHAnsi" w:hAnsi="Arial" w:cs="Arial"/>
          <w:b w:val="0"/>
          <w:color w:val="auto"/>
          <w:szCs w:val="24"/>
        </w:rPr>
        <w:t xml:space="preserve"> accurately gauge the impact of the condition and monitor progress over time (Dawes et al., 2022). These tools should encompass a wide range of cognitive abilities, functional skills, mental state, and overall quality of life to </w:t>
      </w:r>
      <w:r w:rsidRPr="009426FC">
        <w:rPr>
          <w:rFonts w:ascii="Arial" w:eastAsiaTheme="minorHAnsi" w:hAnsi="Arial" w:cs="Arial"/>
          <w:b w:val="0"/>
          <w:color w:val="auto"/>
          <w:szCs w:val="24"/>
        </w:rPr>
        <w:t>evaluate outcomes accurately and consistently</w:t>
      </w:r>
      <w:r w:rsidRPr="009426FC">
        <w:rPr>
          <w:rFonts w:ascii="Arial" w:eastAsiaTheme="minorHAnsi" w:hAnsi="Arial" w:cs="Arial"/>
          <w:b w:val="0"/>
          <w:color w:val="auto"/>
          <w:szCs w:val="24"/>
        </w:rPr>
        <w:t xml:space="preserve"> across various healthcare settings. By utilizing such measures, healthcare professionals can ensure that they are providing the best possible care and support for individuals with dementia and can make informed decisions about their ongoing treatment and rehabilitation plans.</w:t>
      </w:r>
    </w:p>
    <w:p w14:paraId="1B893C40" w14:textId="38929146" w:rsidR="003469FA" w:rsidRPr="00952AFF" w:rsidRDefault="003469FA" w:rsidP="00952AFF">
      <w:pPr>
        <w:pStyle w:val="Heading1"/>
        <w:numPr>
          <w:ilvl w:val="0"/>
          <w:numId w:val="8"/>
        </w:numPr>
        <w:spacing w:line="360" w:lineRule="auto"/>
        <w:rPr>
          <w:rFonts w:ascii="Arial" w:eastAsiaTheme="minorHAnsi" w:hAnsi="Arial" w:cs="Arial"/>
          <w:b w:val="0"/>
          <w:color w:val="auto"/>
          <w:szCs w:val="24"/>
        </w:rPr>
      </w:pPr>
      <w:r w:rsidRPr="00BD6C0C">
        <w:rPr>
          <w:rFonts w:ascii="Arial" w:eastAsiaTheme="minorHAnsi" w:hAnsi="Arial" w:cs="Arial"/>
          <w:b w:val="0"/>
          <w:color w:val="auto"/>
          <w:szCs w:val="24"/>
        </w:rPr>
        <w:t xml:space="preserve">It is essential to emphasize person-centered approaches when evaluating the success of dementia rehabilitation programs. It is essential to involve individuals who have dementia and their caregivers in the process of setting goals, making decisions, and evaluating </w:t>
      </w:r>
      <w:r w:rsidR="00952AFF" w:rsidRPr="00BD6C0C">
        <w:rPr>
          <w:rFonts w:ascii="Arial" w:eastAsiaTheme="minorHAnsi" w:hAnsi="Arial" w:cs="Arial"/>
          <w:b w:val="0"/>
          <w:color w:val="auto"/>
          <w:szCs w:val="24"/>
        </w:rPr>
        <w:t>progress.</w:t>
      </w:r>
      <w:r w:rsidR="00952AFF" w:rsidRPr="00952AFF">
        <w:rPr>
          <w:rFonts w:ascii="Arial" w:eastAsiaTheme="minorHAnsi" w:hAnsi="Arial" w:cs="Arial"/>
          <w:b w:val="0"/>
          <w:color w:val="auto"/>
          <w:szCs w:val="24"/>
        </w:rPr>
        <w:t xml:space="preserve"> Customizing</w:t>
      </w:r>
      <w:r w:rsidRPr="00952AFF">
        <w:rPr>
          <w:rFonts w:ascii="Arial" w:eastAsiaTheme="minorHAnsi" w:hAnsi="Arial" w:cs="Arial"/>
          <w:b w:val="0"/>
          <w:color w:val="auto"/>
          <w:szCs w:val="24"/>
        </w:rPr>
        <w:t xml:space="preserve"> care plans according to individuals' specific needs and preferences is essential. Collaborating is the sole way to achieve more </w:t>
      </w:r>
      <w:r w:rsidR="00B01015" w:rsidRPr="00952AFF">
        <w:rPr>
          <w:rFonts w:ascii="Arial" w:eastAsiaTheme="minorHAnsi" w:hAnsi="Arial" w:cs="Arial"/>
          <w:b w:val="0"/>
          <w:color w:val="auto"/>
          <w:szCs w:val="24"/>
        </w:rPr>
        <w:t>favourable</w:t>
      </w:r>
      <w:r w:rsidRPr="00952AFF">
        <w:rPr>
          <w:rFonts w:ascii="Arial" w:eastAsiaTheme="minorHAnsi" w:hAnsi="Arial" w:cs="Arial"/>
          <w:b w:val="0"/>
          <w:color w:val="auto"/>
          <w:szCs w:val="24"/>
        </w:rPr>
        <w:t xml:space="preserve"> outcomes and enhance their overall quality of life. Prioritizing their input and involving them in every process stage is crucial. Measurement methods can better capture service users' distinctive experiences and requirements by considering their choices, values, and personal situations. As a result, the interventions for rehabilitation become more personalized and fitting to the individual's needs.</w:t>
      </w:r>
    </w:p>
    <w:p w14:paraId="7AD927BB" w14:textId="77777777" w:rsidR="003469FA" w:rsidRPr="00BD6C0C" w:rsidRDefault="003469FA" w:rsidP="00952AFF">
      <w:pPr>
        <w:pStyle w:val="Heading1"/>
        <w:numPr>
          <w:ilvl w:val="0"/>
          <w:numId w:val="9"/>
        </w:numPr>
        <w:spacing w:line="360" w:lineRule="auto"/>
        <w:rPr>
          <w:rFonts w:ascii="Arial" w:eastAsiaTheme="minorHAnsi" w:hAnsi="Arial" w:cs="Arial"/>
          <w:b w:val="0"/>
          <w:color w:val="auto"/>
          <w:szCs w:val="24"/>
        </w:rPr>
      </w:pPr>
      <w:r w:rsidRPr="00BD6C0C">
        <w:rPr>
          <w:rFonts w:ascii="Arial" w:eastAsiaTheme="minorHAnsi" w:hAnsi="Arial" w:cs="Arial"/>
          <w:b w:val="0"/>
          <w:color w:val="auto"/>
          <w:szCs w:val="24"/>
        </w:rPr>
        <w:t>Because dementia is an illness that worsens over time, measuring should take place over a while. Employing longitudinal monitoring through routine evaluations enables monitoring alterations in cognitive functioning, practical skills, mental health, and overall standard of life across time (Piau et al., 2019). With the help of this longitudinal method, healthcare providers can spot patterns, assess the success of therapies, and promptly modify the care plan.</w:t>
      </w:r>
    </w:p>
    <w:p w14:paraId="77D631E2" w14:textId="77777777" w:rsidR="003469FA" w:rsidRPr="003469FA" w:rsidRDefault="003469FA" w:rsidP="003469FA">
      <w:pPr>
        <w:pStyle w:val="Heading1"/>
        <w:spacing w:line="360" w:lineRule="auto"/>
        <w:rPr>
          <w:rFonts w:ascii="Arial" w:eastAsiaTheme="minorHAnsi" w:hAnsi="Arial" w:cs="Arial"/>
          <w:b w:val="0"/>
          <w:color w:val="auto"/>
          <w:szCs w:val="24"/>
        </w:rPr>
      </w:pPr>
    </w:p>
    <w:p w14:paraId="3CEC4C98" w14:textId="3627FB35" w:rsidR="00085C9D" w:rsidRPr="003469FA" w:rsidRDefault="003469FA" w:rsidP="7C9D01EA">
      <w:pPr>
        <w:pStyle w:val="Heading1"/>
        <w:spacing w:line="360" w:lineRule="auto"/>
        <w:rPr>
          <w:rFonts w:ascii="Arial" w:eastAsiaTheme="minorHAnsi" w:hAnsi="Arial" w:cs="Arial"/>
          <w:b w:val="0"/>
          <w:color w:val="auto"/>
          <w:szCs w:val="24"/>
        </w:rPr>
      </w:pPr>
      <w:r w:rsidRPr="003469FA">
        <w:rPr>
          <w:rFonts w:ascii="Arial" w:eastAsiaTheme="minorHAnsi" w:hAnsi="Arial" w:cs="Arial"/>
          <w:b w:val="0"/>
          <w:color w:val="auto"/>
          <w:szCs w:val="24"/>
        </w:rPr>
        <w:t xml:space="preserve"> </w:t>
      </w:r>
      <w:r w:rsidR="006C5015" w:rsidRPr="7C9D01EA">
        <w:rPr>
          <w:rFonts w:ascii="Arial" w:hAnsi="Arial" w:cs="Arial"/>
        </w:rPr>
        <w:t>References</w:t>
      </w:r>
      <w:bookmarkEnd w:id="8"/>
    </w:p>
    <w:p w14:paraId="2C0C647A" w14:textId="77777777" w:rsidR="0051601C" w:rsidRPr="0051601C" w:rsidRDefault="0051601C">
      <w:pPr>
        <w:spacing w:line="360" w:lineRule="auto"/>
        <w:rPr>
          <w:rFonts w:ascii="Arial" w:hAnsi="Arial" w:cs="Arial"/>
          <w:sz w:val="24"/>
          <w:szCs w:val="24"/>
        </w:rPr>
      </w:pPr>
      <w:r w:rsidRPr="0051601C">
        <w:rPr>
          <w:rFonts w:ascii="Arial" w:hAnsi="Arial" w:cs="Arial"/>
          <w:color w:val="222222"/>
          <w:sz w:val="24"/>
          <w:szCs w:val="24"/>
          <w:shd w:val="clear" w:color="auto" w:fill="FFFFFF"/>
        </w:rPr>
        <w:t>Almeda, N., García-Alonso, C.R., Salinas-Pérez, J.A., Gutiérrez-Colosía, M.R. and Salvador-Carulla, L. 2019. Causal modelling for supporting planning and management of mental health services and systems: a systematic review. </w:t>
      </w:r>
      <w:r w:rsidRPr="0051601C">
        <w:rPr>
          <w:rFonts w:ascii="Arial" w:hAnsi="Arial" w:cs="Arial"/>
          <w:i/>
          <w:iCs/>
          <w:color w:val="222222"/>
          <w:sz w:val="24"/>
          <w:szCs w:val="24"/>
          <w:shd w:val="clear" w:color="auto" w:fill="FFFFFF"/>
        </w:rPr>
        <w:t>International journal of environmental research and public health</w:t>
      </w:r>
      <w:r w:rsidRPr="0051601C">
        <w:rPr>
          <w:rFonts w:ascii="Arial" w:hAnsi="Arial" w:cs="Arial"/>
          <w:color w:val="222222"/>
          <w:sz w:val="24"/>
          <w:szCs w:val="24"/>
          <w:shd w:val="clear" w:color="auto" w:fill="FFFFFF"/>
        </w:rPr>
        <w:t xml:space="preserve"> 16(3), p. 332.</w:t>
      </w:r>
    </w:p>
    <w:p w14:paraId="72776AB1" w14:textId="77777777" w:rsidR="0051601C" w:rsidRPr="0051601C" w:rsidRDefault="0051601C">
      <w:pPr>
        <w:spacing w:line="360" w:lineRule="auto"/>
        <w:rPr>
          <w:rFonts w:ascii="Arial" w:hAnsi="Arial" w:cs="Arial"/>
          <w:sz w:val="24"/>
          <w:szCs w:val="24"/>
        </w:rPr>
      </w:pPr>
      <w:r w:rsidRPr="0051601C">
        <w:rPr>
          <w:rFonts w:ascii="Arial" w:hAnsi="Arial" w:cs="Arial"/>
          <w:color w:val="222222"/>
          <w:sz w:val="24"/>
          <w:szCs w:val="24"/>
          <w:shd w:val="clear" w:color="auto" w:fill="FFFFFF"/>
        </w:rPr>
        <w:t>Bai, R. and Dong, W. 2021. Trends in mortality rates for Alzheimer’s disease and other dementias over 30 years in china. </w:t>
      </w:r>
      <w:r w:rsidRPr="0051601C">
        <w:rPr>
          <w:rFonts w:ascii="Arial" w:hAnsi="Arial" w:cs="Arial"/>
          <w:i/>
          <w:iCs/>
          <w:color w:val="222222"/>
          <w:sz w:val="24"/>
          <w:szCs w:val="24"/>
          <w:shd w:val="clear" w:color="auto" w:fill="FFFFFF"/>
        </w:rPr>
        <w:t>American Journal of Alzheimer's Disease &amp; Other Dementias®</w:t>
      </w:r>
      <w:r w:rsidRPr="0051601C">
        <w:rPr>
          <w:rFonts w:ascii="Arial" w:hAnsi="Arial" w:cs="Arial"/>
          <w:color w:val="222222"/>
          <w:sz w:val="24"/>
          <w:szCs w:val="24"/>
          <w:shd w:val="clear" w:color="auto" w:fill="FFFFFF"/>
        </w:rPr>
        <w:t xml:space="preserve"> 36, p. 15333175211044884.</w:t>
      </w:r>
    </w:p>
    <w:p w14:paraId="6A45085A" w14:textId="77777777" w:rsidR="0051601C" w:rsidRPr="0051601C" w:rsidRDefault="0051601C">
      <w:pPr>
        <w:spacing w:line="360" w:lineRule="auto"/>
        <w:rPr>
          <w:rFonts w:ascii="Arial" w:hAnsi="Arial" w:cs="Arial"/>
          <w:color w:val="222222"/>
          <w:sz w:val="32"/>
          <w:szCs w:val="32"/>
          <w:shd w:val="clear" w:color="auto" w:fill="FFFFFF"/>
        </w:rPr>
      </w:pPr>
      <w:r w:rsidRPr="0051601C">
        <w:rPr>
          <w:rFonts w:ascii="Arial" w:hAnsi="Arial" w:cs="Arial"/>
          <w:color w:val="222222"/>
          <w:sz w:val="24"/>
          <w:szCs w:val="24"/>
          <w:shd w:val="clear" w:color="auto" w:fill="FFFFFF"/>
        </w:rPr>
        <w:t>Blackburn, T.P. 2019. Depressive disorders: Treatment failures and poor prognosis over the last 50 years. </w:t>
      </w:r>
      <w:r w:rsidRPr="0051601C">
        <w:rPr>
          <w:rFonts w:ascii="Arial" w:hAnsi="Arial" w:cs="Arial"/>
          <w:i/>
          <w:iCs/>
          <w:color w:val="222222"/>
          <w:sz w:val="24"/>
          <w:szCs w:val="24"/>
          <w:shd w:val="clear" w:color="auto" w:fill="FFFFFF"/>
        </w:rPr>
        <w:t>Pharmacology research &amp; perspectives</w:t>
      </w:r>
      <w:r w:rsidRPr="0051601C">
        <w:rPr>
          <w:rFonts w:ascii="Arial" w:hAnsi="Arial" w:cs="Arial"/>
          <w:color w:val="222222"/>
          <w:sz w:val="24"/>
          <w:szCs w:val="24"/>
          <w:shd w:val="clear" w:color="auto" w:fill="FFFFFF"/>
        </w:rPr>
        <w:t xml:space="preserve"> 7(3), p. e00472.</w:t>
      </w:r>
      <w:r w:rsidRPr="0051601C">
        <w:rPr>
          <w:rFonts w:ascii="Arial" w:hAnsi="Arial" w:cs="Arial"/>
          <w:color w:val="222222"/>
          <w:sz w:val="32"/>
          <w:szCs w:val="32"/>
          <w:shd w:val="clear" w:color="auto" w:fill="FFFFFF"/>
        </w:rPr>
        <w:t xml:space="preserve"> </w:t>
      </w:r>
    </w:p>
    <w:p w14:paraId="755E4EDE" w14:textId="77777777" w:rsidR="0051601C" w:rsidRPr="0051601C" w:rsidRDefault="0051601C">
      <w:pPr>
        <w:spacing w:line="360" w:lineRule="auto"/>
        <w:rPr>
          <w:rFonts w:ascii="Arial" w:hAnsi="Arial" w:cs="Arial"/>
          <w:color w:val="222222"/>
          <w:sz w:val="24"/>
          <w:szCs w:val="24"/>
          <w:shd w:val="clear" w:color="auto" w:fill="FFFFFF"/>
        </w:rPr>
      </w:pPr>
      <w:r w:rsidRPr="0051601C">
        <w:rPr>
          <w:rFonts w:ascii="Arial" w:hAnsi="Arial" w:cs="Arial"/>
          <w:color w:val="222222"/>
          <w:sz w:val="24"/>
          <w:szCs w:val="24"/>
          <w:shd w:val="clear" w:color="auto" w:fill="FFFFFF"/>
        </w:rPr>
        <w:t>Burks, H.B., des Bordes, J.K., Chadha, R., Holmes, H.M. and Rianon, N.J. 2021. Quality of life assessment in older adults with dementia: A systematic review. </w:t>
      </w:r>
      <w:r w:rsidRPr="0051601C">
        <w:rPr>
          <w:rFonts w:ascii="Arial" w:hAnsi="Arial" w:cs="Arial"/>
          <w:i/>
          <w:iCs/>
          <w:color w:val="222222"/>
          <w:sz w:val="24"/>
          <w:szCs w:val="24"/>
          <w:shd w:val="clear" w:color="auto" w:fill="FFFFFF"/>
        </w:rPr>
        <w:t>Dementia and geriatric cognitive disorders</w:t>
      </w:r>
      <w:r w:rsidRPr="0051601C">
        <w:rPr>
          <w:rFonts w:ascii="Arial" w:hAnsi="Arial" w:cs="Arial"/>
          <w:color w:val="222222"/>
          <w:sz w:val="24"/>
          <w:szCs w:val="24"/>
          <w:shd w:val="clear" w:color="auto" w:fill="FFFFFF"/>
        </w:rPr>
        <w:t xml:space="preserve"> 50(2), pp. 103-110.</w:t>
      </w:r>
    </w:p>
    <w:p w14:paraId="3E048340" w14:textId="31E832EC" w:rsidR="0051601C" w:rsidRPr="0051601C" w:rsidRDefault="0051601C">
      <w:pPr>
        <w:spacing w:line="360" w:lineRule="auto"/>
        <w:rPr>
          <w:rFonts w:ascii="Arial" w:hAnsi="Arial" w:cs="Arial"/>
          <w:color w:val="222222"/>
          <w:sz w:val="24"/>
          <w:szCs w:val="24"/>
          <w:shd w:val="clear" w:color="auto" w:fill="FFFFFF"/>
        </w:rPr>
      </w:pPr>
      <w:r w:rsidRPr="0051601C">
        <w:rPr>
          <w:rFonts w:ascii="Arial" w:hAnsi="Arial" w:cs="Arial"/>
          <w:color w:val="222222"/>
          <w:sz w:val="24"/>
          <w:szCs w:val="24"/>
          <w:shd w:val="clear" w:color="auto" w:fill="FFFFFF"/>
        </w:rPr>
        <w:t xml:space="preserve">Chin, E., Jaqua, E., Safaeipour, M., Ladue, T. and Ladue, T.L. 2022. Conventional Versus New Treatment: Comparing the Effects of Acetylcholinesterase Inhibitors and N-Methyl-D-Aspartate Receptor Antagonist </w:t>
      </w:r>
      <w:r w:rsidR="00B01015" w:rsidRPr="0051601C">
        <w:rPr>
          <w:rFonts w:ascii="Arial" w:hAnsi="Arial" w:cs="Arial"/>
          <w:color w:val="222222"/>
          <w:sz w:val="24"/>
          <w:szCs w:val="24"/>
          <w:shd w:val="clear" w:color="auto" w:fill="FFFFFF"/>
        </w:rPr>
        <w:t>with</w:t>
      </w:r>
      <w:r w:rsidRPr="0051601C">
        <w:rPr>
          <w:rFonts w:ascii="Arial" w:hAnsi="Arial" w:cs="Arial"/>
          <w:color w:val="222222"/>
          <w:sz w:val="24"/>
          <w:szCs w:val="24"/>
          <w:shd w:val="clear" w:color="auto" w:fill="FFFFFF"/>
        </w:rPr>
        <w:t xml:space="preserve"> Aducanumab. </w:t>
      </w:r>
      <w:r w:rsidRPr="0051601C">
        <w:rPr>
          <w:rFonts w:ascii="Arial" w:hAnsi="Arial" w:cs="Arial"/>
          <w:i/>
          <w:iCs/>
          <w:color w:val="222222"/>
          <w:sz w:val="24"/>
          <w:szCs w:val="24"/>
          <w:shd w:val="clear" w:color="auto" w:fill="FFFFFF"/>
        </w:rPr>
        <w:t>Cureus</w:t>
      </w:r>
      <w:r w:rsidRPr="0051601C">
        <w:rPr>
          <w:rFonts w:ascii="Arial" w:hAnsi="Arial" w:cs="Arial"/>
          <w:color w:val="222222"/>
          <w:sz w:val="24"/>
          <w:szCs w:val="24"/>
          <w:shd w:val="clear" w:color="auto" w:fill="FFFFFF"/>
        </w:rPr>
        <w:t xml:space="preserve"> 14(11).</w:t>
      </w:r>
    </w:p>
    <w:p w14:paraId="4E2BF79B" w14:textId="77777777" w:rsidR="0051601C" w:rsidRPr="0051601C" w:rsidRDefault="0051601C">
      <w:pPr>
        <w:spacing w:line="360" w:lineRule="auto"/>
        <w:rPr>
          <w:rFonts w:ascii="Arial" w:hAnsi="Arial" w:cs="Arial"/>
          <w:color w:val="222222"/>
          <w:sz w:val="24"/>
          <w:szCs w:val="24"/>
          <w:shd w:val="clear" w:color="auto" w:fill="FFFFFF"/>
        </w:rPr>
      </w:pPr>
      <w:bookmarkStart w:id="9" w:name="_Int_VJwXdlZS"/>
      <w:r w:rsidRPr="0051601C">
        <w:rPr>
          <w:rFonts w:ascii="Arial" w:hAnsi="Arial" w:cs="Arial"/>
          <w:color w:val="222222"/>
          <w:sz w:val="24"/>
          <w:szCs w:val="24"/>
          <w:shd w:val="clear" w:color="auto" w:fill="FFFFFF"/>
        </w:rPr>
        <w:t>Cipriani, G., Danti, S., Picchi, L., Nuti, A. and Fiorino, M.D. 2020.</w:t>
      </w:r>
      <w:bookmarkEnd w:id="9"/>
      <w:r w:rsidRPr="0051601C">
        <w:rPr>
          <w:rFonts w:ascii="Arial" w:hAnsi="Arial" w:cs="Arial"/>
          <w:color w:val="222222"/>
          <w:sz w:val="24"/>
          <w:szCs w:val="24"/>
          <w:shd w:val="clear" w:color="auto" w:fill="FFFFFF"/>
        </w:rPr>
        <w:t xml:space="preserve"> Daily functioning and dementia. </w:t>
      </w:r>
      <w:r w:rsidRPr="0051601C">
        <w:rPr>
          <w:rFonts w:ascii="Arial" w:hAnsi="Arial" w:cs="Arial"/>
          <w:i/>
          <w:iCs/>
          <w:color w:val="222222"/>
          <w:sz w:val="24"/>
          <w:szCs w:val="24"/>
          <w:shd w:val="clear" w:color="auto" w:fill="FFFFFF"/>
        </w:rPr>
        <w:t>Dementia &amp; neuropsychologia</w:t>
      </w:r>
      <w:r w:rsidRPr="0051601C">
        <w:rPr>
          <w:rFonts w:ascii="Arial" w:hAnsi="Arial" w:cs="Arial"/>
          <w:color w:val="222222"/>
          <w:sz w:val="24"/>
          <w:szCs w:val="24"/>
          <w:shd w:val="clear" w:color="auto" w:fill="FFFFFF"/>
        </w:rPr>
        <w:t xml:space="preserve"> 14, pp. 93-102.</w:t>
      </w:r>
    </w:p>
    <w:p w14:paraId="07C6C87C" w14:textId="77777777" w:rsidR="0051601C" w:rsidRPr="0051601C" w:rsidRDefault="0051601C">
      <w:pPr>
        <w:spacing w:line="360" w:lineRule="auto"/>
        <w:rPr>
          <w:rFonts w:ascii="Arial" w:hAnsi="Arial" w:cs="Arial"/>
          <w:sz w:val="24"/>
          <w:szCs w:val="24"/>
        </w:rPr>
      </w:pPr>
      <w:r w:rsidRPr="0051601C">
        <w:rPr>
          <w:rFonts w:ascii="Arial" w:hAnsi="Arial" w:cs="Arial"/>
          <w:color w:val="222222"/>
          <w:sz w:val="24"/>
          <w:szCs w:val="24"/>
          <w:shd w:val="clear" w:color="auto" w:fill="FFFFFF"/>
        </w:rPr>
        <w:t>Dawes, P., Littlejohn, J., Bott, A., Brennan, S., Burrow, S., Hopper, T. and Scanlan, E. 2022. Hearing assessment and rehabilitation for people living with dementia. </w:t>
      </w:r>
      <w:r w:rsidRPr="0051601C">
        <w:rPr>
          <w:rFonts w:ascii="Arial" w:hAnsi="Arial" w:cs="Arial"/>
          <w:i/>
          <w:iCs/>
          <w:color w:val="222222"/>
          <w:sz w:val="24"/>
          <w:szCs w:val="24"/>
          <w:shd w:val="clear" w:color="auto" w:fill="FFFFFF"/>
        </w:rPr>
        <w:t>Ear and hearing</w:t>
      </w:r>
      <w:r w:rsidRPr="0051601C">
        <w:rPr>
          <w:rFonts w:ascii="Arial" w:hAnsi="Arial" w:cs="Arial"/>
          <w:color w:val="222222"/>
          <w:sz w:val="24"/>
          <w:szCs w:val="24"/>
          <w:shd w:val="clear" w:color="auto" w:fill="FFFFFF"/>
        </w:rPr>
        <w:t xml:space="preserve"> 43(4), p. 1089.</w:t>
      </w:r>
    </w:p>
    <w:p w14:paraId="7005E1FC" w14:textId="77777777" w:rsidR="0051601C" w:rsidRPr="0051601C" w:rsidRDefault="0051601C">
      <w:pPr>
        <w:spacing w:line="360" w:lineRule="auto"/>
        <w:rPr>
          <w:rFonts w:ascii="Arial" w:hAnsi="Arial" w:cs="Arial"/>
          <w:sz w:val="32"/>
          <w:szCs w:val="32"/>
        </w:rPr>
      </w:pPr>
      <w:r w:rsidRPr="0051601C">
        <w:rPr>
          <w:rFonts w:ascii="Arial" w:hAnsi="Arial" w:cs="Arial"/>
          <w:color w:val="222222"/>
          <w:sz w:val="24"/>
          <w:szCs w:val="24"/>
          <w:shd w:val="clear" w:color="auto" w:fill="FFFFFF"/>
        </w:rPr>
        <w:t xml:space="preserve">Edge, </w:t>
      </w:r>
      <w:r w:rsidRPr="0051601C">
        <w:rPr>
          <w:rFonts w:ascii="Arial" w:hAnsi="Arial" w:cs="Arial"/>
          <w:i/>
          <w:iCs/>
          <w:color w:val="222222"/>
          <w:sz w:val="24"/>
          <w:szCs w:val="24"/>
          <w:shd w:val="clear" w:color="auto" w:fill="FFFFFF"/>
        </w:rPr>
        <w:t>et al</w:t>
      </w:r>
      <w:r w:rsidRPr="0051601C">
        <w:rPr>
          <w:rFonts w:ascii="Arial" w:hAnsi="Arial" w:cs="Arial"/>
          <w:color w:val="222222"/>
          <w:sz w:val="24"/>
          <w:szCs w:val="24"/>
          <w:shd w:val="clear" w:color="auto" w:fill="FFFFFF"/>
        </w:rPr>
        <w:t>. 2021. Cancer care disruption and reorganisation during the COVID-19 pandemic in Australia: A patient, carer and healthcare worker perspective. </w:t>
      </w:r>
      <w:r w:rsidRPr="0051601C">
        <w:rPr>
          <w:rFonts w:ascii="Arial" w:hAnsi="Arial" w:cs="Arial"/>
          <w:i/>
          <w:iCs/>
          <w:color w:val="222222"/>
          <w:sz w:val="24"/>
          <w:szCs w:val="24"/>
          <w:shd w:val="clear" w:color="auto" w:fill="FFFFFF"/>
        </w:rPr>
        <w:t>PLoS One</w:t>
      </w:r>
      <w:r w:rsidRPr="0051601C">
        <w:rPr>
          <w:rFonts w:ascii="Arial" w:hAnsi="Arial" w:cs="Arial"/>
          <w:color w:val="222222"/>
          <w:sz w:val="24"/>
          <w:szCs w:val="24"/>
          <w:shd w:val="clear" w:color="auto" w:fill="FFFFFF"/>
        </w:rPr>
        <w:t xml:space="preserve"> 16(9), p. e0257420.</w:t>
      </w:r>
    </w:p>
    <w:p w14:paraId="2CBB6F71" w14:textId="77777777" w:rsidR="0051601C" w:rsidRPr="0051601C" w:rsidRDefault="0051601C">
      <w:pPr>
        <w:spacing w:line="360" w:lineRule="auto"/>
        <w:rPr>
          <w:rFonts w:ascii="Arial" w:hAnsi="Arial" w:cs="Arial"/>
          <w:sz w:val="24"/>
          <w:szCs w:val="24"/>
        </w:rPr>
      </w:pPr>
      <w:bookmarkStart w:id="10" w:name="_Int_1TmOkI6r"/>
      <w:r w:rsidRPr="0051601C">
        <w:rPr>
          <w:rFonts w:ascii="Arial" w:hAnsi="Arial" w:cs="Arial"/>
          <w:color w:val="222222"/>
          <w:sz w:val="24"/>
          <w:szCs w:val="24"/>
          <w:shd w:val="clear" w:color="auto" w:fill="FFFFFF"/>
        </w:rPr>
        <w:t>Engedal, K., Gjøra, L., Bredholt, T., Thingstad, P., Tangen, G.G., Ernstsen, L. and Selbæk, G. 2021.</w:t>
      </w:r>
      <w:bookmarkEnd w:id="10"/>
      <w:r w:rsidRPr="0051601C">
        <w:rPr>
          <w:rFonts w:ascii="Arial" w:hAnsi="Arial" w:cs="Arial"/>
          <w:color w:val="222222"/>
          <w:sz w:val="24"/>
          <w:szCs w:val="24"/>
          <w:shd w:val="clear" w:color="auto" w:fill="FFFFFF"/>
        </w:rPr>
        <w:t xml:space="preserve"> Sex differences on Montreal cognitive assessment and mini-mental state examination scores and the value of self-report of memory problems among community dwelling people 70 years and above: The HUNT Study. </w:t>
      </w:r>
      <w:r w:rsidRPr="0051601C">
        <w:rPr>
          <w:rFonts w:ascii="Arial" w:hAnsi="Arial" w:cs="Arial"/>
          <w:i/>
          <w:iCs/>
          <w:color w:val="222222"/>
          <w:sz w:val="24"/>
          <w:szCs w:val="24"/>
          <w:shd w:val="clear" w:color="auto" w:fill="FFFFFF"/>
        </w:rPr>
        <w:t>Dementia and Geriatric Cognitive Disorders</w:t>
      </w:r>
      <w:r w:rsidRPr="0051601C">
        <w:rPr>
          <w:rFonts w:ascii="Arial" w:hAnsi="Arial" w:cs="Arial"/>
          <w:color w:val="222222"/>
          <w:sz w:val="24"/>
          <w:szCs w:val="24"/>
          <w:shd w:val="clear" w:color="auto" w:fill="FFFFFF"/>
        </w:rPr>
        <w:t xml:space="preserve"> 50(1), pp. 74-84.</w:t>
      </w:r>
    </w:p>
    <w:p w14:paraId="2DAF154C" w14:textId="77777777" w:rsidR="0051601C" w:rsidRPr="0051601C" w:rsidRDefault="0051601C">
      <w:pPr>
        <w:spacing w:line="360" w:lineRule="auto"/>
        <w:rPr>
          <w:rFonts w:ascii="Arial" w:hAnsi="Arial" w:cs="Arial"/>
          <w:sz w:val="24"/>
          <w:szCs w:val="24"/>
        </w:rPr>
      </w:pPr>
      <w:r w:rsidRPr="0051601C">
        <w:rPr>
          <w:rFonts w:ascii="Arial" w:hAnsi="Arial" w:cs="Arial"/>
          <w:color w:val="222222"/>
          <w:sz w:val="24"/>
          <w:szCs w:val="24"/>
          <w:shd w:val="clear" w:color="auto" w:fill="FFFFFF"/>
        </w:rPr>
        <w:t xml:space="preserve">First, M.B., </w:t>
      </w:r>
      <w:r w:rsidRPr="0051601C">
        <w:rPr>
          <w:rFonts w:ascii="Arial" w:hAnsi="Arial" w:cs="Arial"/>
          <w:i/>
          <w:iCs/>
          <w:color w:val="222222"/>
          <w:sz w:val="24"/>
          <w:szCs w:val="24"/>
          <w:shd w:val="clear" w:color="auto" w:fill="FFFFFF"/>
        </w:rPr>
        <w:t>et al</w:t>
      </w:r>
      <w:r w:rsidRPr="0051601C">
        <w:rPr>
          <w:rFonts w:ascii="Arial" w:hAnsi="Arial" w:cs="Arial"/>
          <w:color w:val="222222"/>
          <w:sz w:val="24"/>
          <w:szCs w:val="24"/>
          <w:shd w:val="clear" w:color="auto" w:fill="FFFFFF"/>
        </w:rPr>
        <w:t>. 2021. An organization</w:t>
      </w:r>
      <w:r w:rsidRPr="0051601C">
        <w:rPr>
          <w:rFonts w:ascii="Cambria Math" w:hAnsi="Cambria Math" w:cs="Cambria Math"/>
          <w:color w:val="222222"/>
          <w:sz w:val="24"/>
          <w:szCs w:val="24"/>
          <w:shd w:val="clear" w:color="auto" w:fill="FFFFFF"/>
        </w:rPr>
        <w:t>‐</w:t>
      </w:r>
      <w:r w:rsidRPr="0051601C">
        <w:rPr>
          <w:rFonts w:ascii="Arial" w:hAnsi="Arial" w:cs="Arial"/>
          <w:color w:val="222222"/>
          <w:sz w:val="24"/>
          <w:szCs w:val="24"/>
          <w:shd w:val="clear" w:color="auto" w:fill="FFFFFF"/>
        </w:rPr>
        <w:t>and category</w:t>
      </w:r>
      <w:r w:rsidRPr="0051601C">
        <w:rPr>
          <w:rFonts w:ascii="Cambria Math" w:hAnsi="Cambria Math" w:cs="Cambria Math"/>
          <w:color w:val="222222"/>
          <w:sz w:val="24"/>
          <w:szCs w:val="24"/>
          <w:shd w:val="clear" w:color="auto" w:fill="FFFFFF"/>
        </w:rPr>
        <w:t>‐</w:t>
      </w:r>
      <w:r w:rsidRPr="0051601C">
        <w:rPr>
          <w:rFonts w:ascii="Arial" w:hAnsi="Arial" w:cs="Arial"/>
          <w:color w:val="222222"/>
          <w:sz w:val="24"/>
          <w:szCs w:val="24"/>
          <w:shd w:val="clear" w:color="auto" w:fill="FFFFFF"/>
        </w:rPr>
        <w:t>level comparison of diagnostic requirements for mental disorders in ICD</w:t>
      </w:r>
      <w:r w:rsidRPr="0051601C">
        <w:rPr>
          <w:rFonts w:ascii="Cambria Math" w:hAnsi="Cambria Math" w:cs="Cambria Math"/>
          <w:color w:val="222222"/>
          <w:sz w:val="24"/>
          <w:szCs w:val="24"/>
          <w:shd w:val="clear" w:color="auto" w:fill="FFFFFF"/>
        </w:rPr>
        <w:t>‐</w:t>
      </w:r>
      <w:r w:rsidRPr="0051601C">
        <w:rPr>
          <w:rFonts w:ascii="Arial" w:hAnsi="Arial" w:cs="Arial"/>
          <w:color w:val="222222"/>
          <w:sz w:val="24"/>
          <w:szCs w:val="24"/>
          <w:shd w:val="clear" w:color="auto" w:fill="FFFFFF"/>
        </w:rPr>
        <w:t>11 and DSM</w:t>
      </w:r>
      <w:r w:rsidRPr="0051601C">
        <w:rPr>
          <w:rFonts w:ascii="Cambria Math" w:hAnsi="Cambria Math" w:cs="Cambria Math"/>
          <w:color w:val="222222"/>
          <w:sz w:val="24"/>
          <w:szCs w:val="24"/>
          <w:shd w:val="clear" w:color="auto" w:fill="FFFFFF"/>
        </w:rPr>
        <w:t>‐</w:t>
      </w:r>
      <w:r w:rsidRPr="0051601C">
        <w:rPr>
          <w:rFonts w:ascii="Arial" w:hAnsi="Arial" w:cs="Arial"/>
          <w:color w:val="222222"/>
          <w:sz w:val="24"/>
          <w:szCs w:val="24"/>
          <w:shd w:val="clear" w:color="auto" w:fill="FFFFFF"/>
        </w:rPr>
        <w:t>5. </w:t>
      </w:r>
      <w:r w:rsidRPr="0051601C">
        <w:rPr>
          <w:rFonts w:ascii="Arial" w:hAnsi="Arial" w:cs="Arial"/>
          <w:i/>
          <w:iCs/>
          <w:color w:val="222222"/>
          <w:sz w:val="24"/>
          <w:szCs w:val="24"/>
          <w:shd w:val="clear" w:color="auto" w:fill="FFFFFF"/>
        </w:rPr>
        <w:t>World Psychiatry</w:t>
      </w:r>
      <w:r w:rsidRPr="0051601C">
        <w:rPr>
          <w:rFonts w:ascii="Arial" w:hAnsi="Arial" w:cs="Arial"/>
          <w:color w:val="222222"/>
          <w:sz w:val="24"/>
          <w:szCs w:val="24"/>
          <w:shd w:val="clear" w:color="auto" w:fill="FFFFFF"/>
        </w:rPr>
        <w:t>, </w:t>
      </w:r>
      <w:r w:rsidRPr="0051601C">
        <w:rPr>
          <w:rFonts w:ascii="Arial" w:hAnsi="Arial" w:cs="Arial"/>
          <w:i/>
          <w:iCs/>
          <w:color w:val="222222"/>
          <w:sz w:val="24"/>
          <w:szCs w:val="24"/>
          <w:shd w:val="clear" w:color="auto" w:fill="FFFFFF"/>
        </w:rPr>
        <w:t>20</w:t>
      </w:r>
      <w:r w:rsidRPr="0051601C">
        <w:rPr>
          <w:rFonts w:ascii="Arial" w:hAnsi="Arial" w:cs="Arial"/>
          <w:color w:val="222222"/>
          <w:sz w:val="24"/>
          <w:szCs w:val="24"/>
          <w:shd w:val="clear" w:color="auto" w:fill="FFFFFF"/>
        </w:rPr>
        <w:t>(1), pp.34-51.</w:t>
      </w:r>
    </w:p>
    <w:p w14:paraId="30D0D6E2" w14:textId="77777777" w:rsidR="0051601C" w:rsidRPr="0051601C" w:rsidRDefault="0051601C" w:rsidP="001C27DD">
      <w:pPr>
        <w:spacing w:line="360" w:lineRule="auto"/>
        <w:rPr>
          <w:rFonts w:ascii="Arial" w:hAnsi="Arial" w:cs="Arial"/>
          <w:sz w:val="32"/>
          <w:szCs w:val="32"/>
        </w:rPr>
      </w:pPr>
      <w:r w:rsidRPr="0051601C">
        <w:rPr>
          <w:rFonts w:ascii="Arial" w:hAnsi="Arial" w:cs="Arial"/>
          <w:color w:val="222222"/>
          <w:sz w:val="24"/>
          <w:szCs w:val="24"/>
          <w:shd w:val="clear" w:color="auto" w:fill="FFFFFF"/>
        </w:rPr>
        <w:t xml:space="preserve">Geerlings, A.D., </w:t>
      </w:r>
      <w:r w:rsidRPr="0051601C">
        <w:rPr>
          <w:rFonts w:ascii="Arial" w:hAnsi="Arial" w:cs="Arial"/>
          <w:i/>
          <w:iCs/>
          <w:color w:val="222222"/>
          <w:sz w:val="24"/>
          <w:szCs w:val="24"/>
          <w:shd w:val="clear" w:color="auto" w:fill="FFFFFF"/>
        </w:rPr>
        <w:t>et al.</w:t>
      </w:r>
      <w:r w:rsidRPr="0051601C">
        <w:rPr>
          <w:rFonts w:ascii="Arial" w:hAnsi="Arial" w:cs="Arial"/>
          <w:color w:val="222222"/>
          <w:sz w:val="24"/>
          <w:szCs w:val="24"/>
          <w:shd w:val="clear" w:color="auto" w:fill="FFFFFF"/>
        </w:rPr>
        <w:t xml:space="preserve"> 2023. Caregiver burden in Parkinson’s disease: a mixed-methods study. </w:t>
      </w:r>
      <w:r w:rsidRPr="0051601C">
        <w:rPr>
          <w:rFonts w:ascii="Arial" w:hAnsi="Arial" w:cs="Arial"/>
          <w:i/>
          <w:iCs/>
          <w:color w:val="222222"/>
          <w:sz w:val="24"/>
          <w:szCs w:val="24"/>
          <w:shd w:val="clear" w:color="auto" w:fill="FFFFFF"/>
        </w:rPr>
        <w:t>BMC medicine</w:t>
      </w:r>
      <w:r w:rsidRPr="0051601C">
        <w:rPr>
          <w:rFonts w:ascii="Arial" w:hAnsi="Arial" w:cs="Arial"/>
          <w:color w:val="222222"/>
          <w:sz w:val="24"/>
          <w:szCs w:val="24"/>
          <w:shd w:val="clear" w:color="auto" w:fill="FFFFFF"/>
        </w:rPr>
        <w:t> 21(1), pp. 1-22.</w:t>
      </w:r>
    </w:p>
    <w:p w14:paraId="56D06083" w14:textId="77777777" w:rsidR="0051601C" w:rsidRPr="0051601C" w:rsidRDefault="0051601C">
      <w:pPr>
        <w:spacing w:line="360" w:lineRule="auto"/>
        <w:rPr>
          <w:rFonts w:ascii="Arial" w:hAnsi="Arial" w:cs="Arial"/>
          <w:sz w:val="24"/>
          <w:szCs w:val="24"/>
        </w:rPr>
      </w:pPr>
      <w:r w:rsidRPr="0051601C">
        <w:rPr>
          <w:rFonts w:ascii="Arial" w:hAnsi="Arial" w:cs="Arial"/>
          <w:color w:val="222222"/>
          <w:sz w:val="24"/>
          <w:szCs w:val="24"/>
          <w:shd w:val="clear" w:color="auto" w:fill="FFFFFF"/>
        </w:rPr>
        <w:t xml:space="preserve">Georgakas, J.E., Howe, M.D., Thompson, L.I., Riera, N.M. and Riddle, M.C. 2023. </w:t>
      </w:r>
      <w:bookmarkStart w:id="11" w:name="_Int_iQl6uqHr"/>
      <w:r w:rsidRPr="0051601C">
        <w:rPr>
          <w:rFonts w:ascii="Arial" w:hAnsi="Arial" w:cs="Arial"/>
          <w:color w:val="222222"/>
          <w:sz w:val="24"/>
          <w:szCs w:val="24"/>
          <w:shd w:val="clear" w:color="auto" w:fill="FFFFFF"/>
        </w:rPr>
        <w:t>Biomarkers of Alzheimer’s Disease: Past, Present and Future Clinical Use.</w:t>
      </w:r>
      <w:bookmarkEnd w:id="11"/>
      <w:r w:rsidRPr="0051601C">
        <w:rPr>
          <w:rFonts w:ascii="Arial" w:hAnsi="Arial" w:cs="Arial"/>
          <w:color w:val="222222"/>
          <w:sz w:val="24"/>
          <w:szCs w:val="24"/>
          <w:shd w:val="clear" w:color="auto" w:fill="FFFFFF"/>
        </w:rPr>
        <w:t> </w:t>
      </w:r>
      <w:r w:rsidRPr="0051601C">
        <w:rPr>
          <w:rFonts w:ascii="Arial" w:hAnsi="Arial" w:cs="Arial"/>
          <w:i/>
          <w:iCs/>
          <w:color w:val="222222"/>
          <w:sz w:val="24"/>
          <w:szCs w:val="24"/>
          <w:shd w:val="clear" w:color="auto" w:fill="FFFFFF"/>
        </w:rPr>
        <w:t>Biomarkers in Neuropsychiatry</w:t>
      </w:r>
      <w:r w:rsidRPr="0051601C">
        <w:rPr>
          <w:rFonts w:ascii="Arial" w:hAnsi="Arial" w:cs="Arial"/>
          <w:color w:val="222222"/>
          <w:sz w:val="24"/>
          <w:szCs w:val="24"/>
          <w:shd w:val="clear" w:color="auto" w:fill="FFFFFF"/>
        </w:rPr>
        <w:t>, p. 100063.</w:t>
      </w:r>
    </w:p>
    <w:p w14:paraId="13135536" w14:textId="77777777" w:rsidR="0051601C" w:rsidRPr="0051601C" w:rsidRDefault="0051601C">
      <w:pPr>
        <w:spacing w:line="360" w:lineRule="auto"/>
        <w:rPr>
          <w:rFonts w:ascii="Arial" w:hAnsi="Arial" w:cs="Arial"/>
          <w:sz w:val="24"/>
          <w:szCs w:val="24"/>
        </w:rPr>
      </w:pPr>
      <w:r w:rsidRPr="0051601C">
        <w:rPr>
          <w:rFonts w:ascii="Arial" w:hAnsi="Arial" w:cs="Arial"/>
          <w:color w:val="222222"/>
          <w:sz w:val="24"/>
          <w:szCs w:val="24"/>
          <w:shd w:val="clear" w:color="auto" w:fill="FFFFFF"/>
        </w:rPr>
        <w:t>Grueso, S. and Viejo-Sobera, R. 2021. Machine learning methods for predicting progression from mild cognitive impairment to Alzheimer’s disease dementia: a systematic review. </w:t>
      </w:r>
      <w:r w:rsidRPr="0051601C">
        <w:rPr>
          <w:rFonts w:ascii="Arial" w:hAnsi="Arial" w:cs="Arial"/>
          <w:i/>
          <w:iCs/>
          <w:color w:val="222222"/>
          <w:sz w:val="24"/>
          <w:szCs w:val="24"/>
          <w:shd w:val="clear" w:color="auto" w:fill="FFFFFF"/>
        </w:rPr>
        <w:t>Alzheimer's research &amp; therapy</w:t>
      </w:r>
      <w:r w:rsidRPr="0051601C">
        <w:rPr>
          <w:rFonts w:ascii="Arial" w:hAnsi="Arial" w:cs="Arial"/>
          <w:color w:val="222222"/>
          <w:sz w:val="24"/>
          <w:szCs w:val="24"/>
          <w:shd w:val="clear" w:color="auto" w:fill="FFFFFF"/>
        </w:rPr>
        <w:t xml:space="preserve"> 13, pp. 1-29.</w:t>
      </w:r>
    </w:p>
    <w:p w14:paraId="67B8C75D" w14:textId="77777777" w:rsidR="0051601C" w:rsidRPr="0051601C" w:rsidRDefault="0051601C">
      <w:pPr>
        <w:spacing w:line="360" w:lineRule="auto"/>
        <w:rPr>
          <w:rFonts w:ascii="Arial" w:hAnsi="Arial" w:cs="Arial"/>
          <w:color w:val="222222"/>
          <w:sz w:val="32"/>
          <w:szCs w:val="32"/>
          <w:shd w:val="clear" w:color="auto" w:fill="FFFFFF"/>
        </w:rPr>
      </w:pPr>
      <w:r w:rsidRPr="0051601C">
        <w:rPr>
          <w:rFonts w:ascii="Arial" w:hAnsi="Arial" w:cs="Arial"/>
          <w:color w:val="222222"/>
          <w:sz w:val="24"/>
          <w:szCs w:val="24"/>
          <w:shd w:val="clear" w:color="auto" w:fill="FFFFFF"/>
        </w:rPr>
        <w:t>Hickman, S.E., Parks, M., Unroe, K.T., Ott, M. and Ersek, M. 2020. The role of the palliative care registered nurse in the nursing facility setting. </w:t>
      </w:r>
      <w:r w:rsidRPr="0051601C">
        <w:rPr>
          <w:rFonts w:ascii="Arial" w:hAnsi="Arial" w:cs="Arial"/>
          <w:i/>
          <w:iCs/>
          <w:color w:val="222222"/>
          <w:sz w:val="24"/>
          <w:szCs w:val="24"/>
          <w:shd w:val="clear" w:color="auto" w:fill="FFFFFF"/>
        </w:rPr>
        <w:t>Journal of Hospice &amp; Palliative Nursing</w:t>
      </w:r>
      <w:r w:rsidRPr="0051601C">
        <w:rPr>
          <w:rFonts w:ascii="Arial" w:hAnsi="Arial" w:cs="Arial"/>
          <w:color w:val="222222"/>
          <w:sz w:val="24"/>
          <w:szCs w:val="24"/>
          <w:shd w:val="clear" w:color="auto" w:fill="FFFFFF"/>
        </w:rPr>
        <w:t xml:space="preserve"> 22(2), pp. 152-158.</w:t>
      </w:r>
      <w:r w:rsidRPr="0051601C">
        <w:rPr>
          <w:rFonts w:ascii="Arial" w:hAnsi="Arial" w:cs="Arial"/>
          <w:color w:val="222222"/>
          <w:sz w:val="32"/>
          <w:szCs w:val="32"/>
          <w:shd w:val="clear" w:color="auto" w:fill="FFFFFF"/>
        </w:rPr>
        <w:t xml:space="preserve"> </w:t>
      </w:r>
    </w:p>
    <w:p w14:paraId="36C53751" w14:textId="77777777" w:rsidR="0051601C" w:rsidRPr="0051601C" w:rsidRDefault="0051601C">
      <w:pPr>
        <w:spacing w:line="360" w:lineRule="auto"/>
        <w:rPr>
          <w:rFonts w:ascii="Arial" w:hAnsi="Arial" w:cs="Arial"/>
          <w:color w:val="222222"/>
          <w:sz w:val="24"/>
          <w:szCs w:val="24"/>
          <w:shd w:val="clear" w:color="auto" w:fill="FFFFFF"/>
        </w:rPr>
      </w:pPr>
      <w:r w:rsidRPr="0051601C">
        <w:rPr>
          <w:rFonts w:ascii="Arial" w:hAnsi="Arial" w:cs="Arial"/>
          <w:color w:val="222222"/>
          <w:sz w:val="24"/>
          <w:szCs w:val="24"/>
          <w:shd w:val="clear" w:color="auto" w:fill="FFFFFF"/>
        </w:rPr>
        <w:t>Hui, E.K., Tischler, V., Wong, G.H., Lau, W.T. and Spector, A. 2021. Systematic review of the current psychosocial interventions for people with moderate to severe dementia. </w:t>
      </w:r>
      <w:r w:rsidRPr="0051601C">
        <w:rPr>
          <w:rFonts w:ascii="Arial" w:hAnsi="Arial" w:cs="Arial"/>
          <w:i/>
          <w:iCs/>
          <w:color w:val="222222"/>
          <w:sz w:val="24"/>
          <w:szCs w:val="24"/>
          <w:shd w:val="clear" w:color="auto" w:fill="FFFFFF"/>
        </w:rPr>
        <w:t>International Journal of Geriatric Psychiatry</w:t>
      </w:r>
      <w:r w:rsidRPr="0051601C">
        <w:rPr>
          <w:rFonts w:ascii="Arial" w:hAnsi="Arial" w:cs="Arial"/>
          <w:color w:val="222222"/>
          <w:sz w:val="24"/>
          <w:szCs w:val="24"/>
          <w:shd w:val="clear" w:color="auto" w:fill="FFFFFF"/>
        </w:rPr>
        <w:t xml:space="preserve"> 36(9), pp. 1313-1329.</w:t>
      </w:r>
    </w:p>
    <w:p w14:paraId="46E7F3EB" w14:textId="77777777" w:rsidR="0051601C" w:rsidRPr="0051601C" w:rsidRDefault="0051601C">
      <w:pPr>
        <w:spacing w:line="360" w:lineRule="auto"/>
        <w:rPr>
          <w:rFonts w:ascii="Arial" w:hAnsi="Arial" w:cs="Arial"/>
          <w:color w:val="222222"/>
          <w:sz w:val="24"/>
          <w:szCs w:val="24"/>
          <w:shd w:val="clear" w:color="auto" w:fill="FFFFFF"/>
        </w:rPr>
      </w:pPr>
      <w:r w:rsidRPr="0051601C">
        <w:rPr>
          <w:rFonts w:ascii="Arial" w:hAnsi="Arial" w:cs="Arial"/>
          <w:color w:val="222222"/>
          <w:sz w:val="24"/>
          <w:szCs w:val="24"/>
          <w:shd w:val="clear" w:color="auto" w:fill="FFFFFF"/>
        </w:rPr>
        <w:t>Hussain, S., Mubeen, I., Ullah, N., Shah, S.S.U.D., Khan, B.A., Zahoor, M., Ullah, R., Khan, F.A. and Sultan, M.A. 2022. Modern diagnostic imaging technique applications and risk factors in the medical field: A review. </w:t>
      </w:r>
      <w:r w:rsidRPr="0051601C">
        <w:rPr>
          <w:rFonts w:ascii="Arial" w:hAnsi="Arial" w:cs="Arial"/>
          <w:i/>
          <w:iCs/>
          <w:color w:val="222222"/>
          <w:sz w:val="24"/>
          <w:szCs w:val="24"/>
          <w:shd w:val="clear" w:color="auto" w:fill="FFFFFF"/>
        </w:rPr>
        <w:t>BioMed Research International</w:t>
      </w:r>
      <w:r w:rsidRPr="0051601C">
        <w:rPr>
          <w:rFonts w:ascii="Arial" w:hAnsi="Arial" w:cs="Arial"/>
          <w:color w:val="222222"/>
          <w:sz w:val="24"/>
          <w:szCs w:val="24"/>
          <w:shd w:val="clear" w:color="auto" w:fill="FFFFFF"/>
        </w:rPr>
        <w:t> 2022.</w:t>
      </w:r>
    </w:p>
    <w:p w14:paraId="4B8561E0" w14:textId="77777777" w:rsidR="0051601C" w:rsidRPr="0051601C" w:rsidRDefault="0051601C">
      <w:pPr>
        <w:spacing w:line="360" w:lineRule="auto"/>
        <w:rPr>
          <w:rFonts w:ascii="Arial" w:hAnsi="Arial" w:cs="Arial"/>
          <w:sz w:val="24"/>
          <w:szCs w:val="24"/>
        </w:rPr>
      </w:pPr>
      <w:r w:rsidRPr="0051601C">
        <w:rPr>
          <w:rFonts w:ascii="Arial" w:hAnsi="Arial" w:cs="Arial"/>
          <w:color w:val="222222"/>
          <w:sz w:val="24"/>
          <w:szCs w:val="24"/>
          <w:shd w:val="clear" w:color="auto" w:fill="FFFFFF"/>
        </w:rPr>
        <w:t>Iadecola, C., Duering, M., Hachinski, V., Joutel, A., Pendlebury, S.T., Schneider, J.A. and Dichgans, M. 2019. Vascular cognitive impairment and dementia: JACC scientific expert panel. </w:t>
      </w:r>
      <w:r w:rsidRPr="0051601C">
        <w:rPr>
          <w:rFonts w:ascii="Arial" w:hAnsi="Arial" w:cs="Arial"/>
          <w:i/>
          <w:iCs/>
          <w:color w:val="222222"/>
          <w:sz w:val="24"/>
          <w:szCs w:val="24"/>
          <w:shd w:val="clear" w:color="auto" w:fill="FFFFFF"/>
        </w:rPr>
        <w:t>Journal of the American College of Cardiology</w:t>
      </w:r>
      <w:r w:rsidRPr="0051601C">
        <w:rPr>
          <w:rFonts w:ascii="Arial" w:hAnsi="Arial" w:cs="Arial"/>
          <w:color w:val="222222"/>
          <w:sz w:val="24"/>
          <w:szCs w:val="24"/>
          <w:shd w:val="clear" w:color="auto" w:fill="FFFFFF"/>
        </w:rPr>
        <w:t xml:space="preserve"> 73(25), pp. 3326-3344.</w:t>
      </w:r>
    </w:p>
    <w:p w14:paraId="5708B09B" w14:textId="77777777" w:rsidR="0051601C" w:rsidRPr="0051601C" w:rsidRDefault="0051601C">
      <w:pPr>
        <w:spacing w:line="360" w:lineRule="auto"/>
        <w:rPr>
          <w:rFonts w:ascii="Arial" w:hAnsi="Arial" w:cs="Arial"/>
          <w:sz w:val="24"/>
          <w:szCs w:val="24"/>
        </w:rPr>
      </w:pPr>
      <w:r w:rsidRPr="0051601C">
        <w:rPr>
          <w:rFonts w:ascii="Arial" w:hAnsi="Arial" w:cs="Arial"/>
          <w:color w:val="222222"/>
          <w:sz w:val="24"/>
          <w:szCs w:val="24"/>
          <w:shd w:val="clear" w:color="auto" w:fill="FFFFFF"/>
        </w:rPr>
        <w:t>Iannaccone, S., Houdayer, E., Spina, A., Nocera, G. and Alemanno, F. 2023. Quantitative EEG for early differential diagnosis of dementia with Lewy bodies. </w:t>
      </w:r>
      <w:r w:rsidRPr="0051601C">
        <w:rPr>
          <w:rFonts w:ascii="Arial" w:hAnsi="Arial" w:cs="Arial"/>
          <w:i/>
          <w:iCs/>
          <w:color w:val="222222"/>
          <w:sz w:val="24"/>
          <w:szCs w:val="24"/>
          <w:shd w:val="clear" w:color="auto" w:fill="FFFFFF"/>
        </w:rPr>
        <w:t>Frontiers in Psychology</w:t>
      </w:r>
      <w:r w:rsidRPr="0051601C">
        <w:rPr>
          <w:rFonts w:ascii="Arial" w:hAnsi="Arial" w:cs="Arial"/>
          <w:color w:val="222222"/>
          <w:sz w:val="24"/>
          <w:szCs w:val="24"/>
          <w:shd w:val="clear" w:color="auto" w:fill="FFFFFF"/>
        </w:rPr>
        <w:t xml:space="preserve"> 14.</w:t>
      </w:r>
    </w:p>
    <w:p w14:paraId="036C092C" w14:textId="77777777" w:rsidR="0051601C" w:rsidRPr="0051601C" w:rsidRDefault="0051601C">
      <w:pPr>
        <w:spacing w:line="360" w:lineRule="auto"/>
        <w:rPr>
          <w:rFonts w:ascii="Arial" w:hAnsi="Arial" w:cs="Arial"/>
          <w:sz w:val="24"/>
          <w:szCs w:val="24"/>
        </w:rPr>
      </w:pPr>
      <w:bookmarkStart w:id="12" w:name="_Int_0lLa9CtH"/>
      <w:r w:rsidRPr="0051601C">
        <w:rPr>
          <w:rFonts w:ascii="Arial" w:hAnsi="Arial" w:cs="Arial"/>
          <w:color w:val="222222"/>
          <w:sz w:val="24"/>
          <w:szCs w:val="24"/>
          <w:shd w:val="clear" w:color="auto" w:fill="FFFFFF"/>
        </w:rPr>
        <w:t>Kato, M., Mori, Y., Watanabe, D., Onoda, H., Fujiyama, K., Toda, M. and Kito, K. 2021. Relationship between average daily rehabilitation time and decline in instrumental activity of daily living among older patients with heart failure: A preliminary analysis of a multicenter cohort study, SURUGA-CARE.</w:t>
      </w:r>
      <w:bookmarkEnd w:id="12"/>
      <w:r w:rsidRPr="0051601C">
        <w:rPr>
          <w:rFonts w:ascii="Arial" w:hAnsi="Arial" w:cs="Arial"/>
          <w:color w:val="222222"/>
          <w:sz w:val="24"/>
          <w:szCs w:val="24"/>
          <w:shd w:val="clear" w:color="auto" w:fill="FFFFFF"/>
        </w:rPr>
        <w:t> </w:t>
      </w:r>
      <w:r w:rsidRPr="0051601C">
        <w:rPr>
          <w:rFonts w:ascii="Arial" w:hAnsi="Arial" w:cs="Arial"/>
          <w:i/>
          <w:iCs/>
          <w:color w:val="222222"/>
          <w:sz w:val="24"/>
          <w:szCs w:val="24"/>
          <w:shd w:val="clear" w:color="auto" w:fill="FFFFFF"/>
        </w:rPr>
        <w:t>PloS one</w:t>
      </w:r>
      <w:r w:rsidRPr="0051601C">
        <w:rPr>
          <w:rFonts w:ascii="Arial" w:hAnsi="Arial" w:cs="Arial"/>
          <w:color w:val="222222"/>
          <w:sz w:val="24"/>
          <w:szCs w:val="24"/>
          <w:shd w:val="clear" w:color="auto" w:fill="FFFFFF"/>
        </w:rPr>
        <w:t xml:space="preserve"> 16(7), p. e0254128.</w:t>
      </w:r>
    </w:p>
    <w:p w14:paraId="62A88ECF" w14:textId="77777777" w:rsidR="0051601C" w:rsidRPr="0051601C" w:rsidRDefault="0051601C" w:rsidP="001C27DD">
      <w:pPr>
        <w:spacing w:line="360" w:lineRule="auto"/>
        <w:rPr>
          <w:rFonts w:ascii="Arial" w:hAnsi="Arial" w:cs="Arial"/>
          <w:sz w:val="24"/>
          <w:szCs w:val="24"/>
        </w:rPr>
      </w:pPr>
      <w:r w:rsidRPr="0051601C">
        <w:rPr>
          <w:rFonts w:ascii="Arial" w:hAnsi="Arial" w:cs="Arial"/>
          <w:color w:val="222222"/>
          <w:sz w:val="24"/>
          <w:szCs w:val="24"/>
          <w:shd w:val="clear" w:color="auto" w:fill="FFFFFF"/>
        </w:rPr>
        <w:t>Kim, H.K., Leonard, J.B., Corwell, B.N. and Connors, N.J. 2021. Safety and efficacy of pharmacologic agents used for rapid tranquilization of emergency department patients with acute agitation or excited delirium. </w:t>
      </w:r>
      <w:r w:rsidRPr="0051601C">
        <w:rPr>
          <w:rFonts w:ascii="Arial" w:hAnsi="Arial" w:cs="Arial"/>
          <w:i/>
          <w:iCs/>
          <w:color w:val="222222"/>
          <w:sz w:val="24"/>
          <w:szCs w:val="24"/>
          <w:shd w:val="clear" w:color="auto" w:fill="FFFFFF"/>
        </w:rPr>
        <w:t>Expert Opinion on Drug Safety</w:t>
      </w:r>
      <w:r w:rsidRPr="0051601C">
        <w:rPr>
          <w:rFonts w:ascii="Arial" w:hAnsi="Arial" w:cs="Arial"/>
          <w:color w:val="222222"/>
          <w:sz w:val="24"/>
          <w:szCs w:val="24"/>
          <w:shd w:val="clear" w:color="auto" w:fill="FFFFFF"/>
        </w:rPr>
        <w:t> 20(2), pp. 123-138.</w:t>
      </w:r>
    </w:p>
    <w:p w14:paraId="777B9362" w14:textId="77777777" w:rsidR="0051601C" w:rsidRPr="0051601C" w:rsidRDefault="0051601C">
      <w:pPr>
        <w:spacing w:line="360" w:lineRule="auto"/>
        <w:rPr>
          <w:rFonts w:ascii="Arial" w:hAnsi="Arial" w:cs="Arial"/>
          <w:color w:val="222222"/>
          <w:sz w:val="24"/>
          <w:szCs w:val="24"/>
          <w:shd w:val="clear" w:color="auto" w:fill="FFFFFF"/>
        </w:rPr>
      </w:pPr>
      <w:r w:rsidRPr="0051601C">
        <w:rPr>
          <w:rFonts w:ascii="Arial" w:hAnsi="Arial" w:cs="Arial"/>
          <w:color w:val="222222"/>
          <w:sz w:val="24"/>
          <w:szCs w:val="24"/>
          <w:shd w:val="clear" w:color="auto" w:fill="FFFFFF"/>
        </w:rPr>
        <w:t>Layous, K., Chancellor, J. and Lyubomirsky, S. 2014. Positive activities as protective factors against mental health conditions. </w:t>
      </w:r>
      <w:r w:rsidRPr="0051601C">
        <w:rPr>
          <w:rFonts w:ascii="Arial" w:hAnsi="Arial" w:cs="Arial"/>
          <w:i/>
          <w:iCs/>
          <w:color w:val="222222"/>
          <w:sz w:val="24"/>
          <w:szCs w:val="24"/>
          <w:shd w:val="clear" w:color="auto" w:fill="FFFFFF"/>
        </w:rPr>
        <w:t>Journal of abnormal psychology</w:t>
      </w:r>
      <w:r w:rsidRPr="0051601C">
        <w:rPr>
          <w:rFonts w:ascii="Arial" w:hAnsi="Arial" w:cs="Arial"/>
          <w:color w:val="222222"/>
          <w:sz w:val="24"/>
          <w:szCs w:val="24"/>
          <w:shd w:val="clear" w:color="auto" w:fill="FFFFFF"/>
        </w:rPr>
        <w:t xml:space="preserve"> 123(1), p. 3.</w:t>
      </w:r>
    </w:p>
    <w:p w14:paraId="5AD1FDED" w14:textId="77777777" w:rsidR="0051601C" w:rsidRPr="0051601C" w:rsidRDefault="0051601C">
      <w:pPr>
        <w:spacing w:line="360" w:lineRule="auto"/>
        <w:rPr>
          <w:rFonts w:ascii="Arial" w:hAnsi="Arial" w:cs="Arial"/>
          <w:sz w:val="24"/>
          <w:szCs w:val="24"/>
        </w:rPr>
      </w:pPr>
      <w:r w:rsidRPr="0051601C">
        <w:rPr>
          <w:rFonts w:ascii="Arial" w:hAnsi="Arial" w:cs="Arial"/>
          <w:color w:val="222222"/>
          <w:sz w:val="24"/>
          <w:szCs w:val="24"/>
          <w:shd w:val="clear" w:color="auto" w:fill="FFFFFF"/>
        </w:rPr>
        <w:t xml:space="preserve">Piau, A., Wild, K., Mattek, N. and Kaye, J. 2019. </w:t>
      </w:r>
      <w:bookmarkStart w:id="13" w:name="_Int_EMNWD4kW"/>
      <w:r w:rsidRPr="0051601C">
        <w:rPr>
          <w:rFonts w:ascii="Arial" w:hAnsi="Arial" w:cs="Arial"/>
          <w:color w:val="222222"/>
          <w:sz w:val="24"/>
          <w:szCs w:val="24"/>
          <w:shd w:val="clear" w:color="auto" w:fill="FFFFFF"/>
        </w:rPr>
        <w:t>Current state of digital biomarker technologies for real-life, home-based monitoring of cognitive function for mild cognitive impairment to mild Alzheimer disease and implications for clinical care: systematic review.</w:t>
      </w:r>
      <w:bookmarkEnd w:id="13"/>
      <w:r w:rsidRPr="0051601C">
        <w:rPr>
          <w:rFonts w:ascii="Arial" w:hAnsi="Arial" w:cs="Arial"/>
          <w:color w:val="222222"/>
          <w:sz w:val="24"/>
          <w:szCs w:val="24"/>
          <w:shd w:val="clear" w:color="auto" w:fill="FFFFFF"/>
        </w:rPr>
        <w:t> </w:t>
      </w:r>
      <w:r w:rsidRPr="0051601C">
        <w:rPr>
          <w:rFonts w:ascii="Arial" w:hAnsi="Arial" w:cs="Arial"/>
          <w:i/>
          <w:iCs/>
          <w:color w:val="222222"/>
          <w:sz w:val="24"/>
          <w:szCs w:val="24"/>
          <w:shd w:val="clear" w:color="auto" w:fill="FFFFFF"/>
        </w:rPr>
        <w:t>Journal of medical Internet research</w:t>
      </w:r>
      <w:r w:rsidRPr="0051601C">
        <w:rPr>
          <w:rFonts w:ascii="Arial" w:hAnsi="Arial" w:cs="Arial"/>
          <w:color w:val="222222"/>
          <w:sz w:val="24"/>
          <w:szCs w:val="24"/>
          <w:shd w:val="clear" w:color="auto" w:fill="FFFFFF"/>
        </w:rPr>
        <w:t xml:space="preserve"> 21(8), p. e12785.</w:t>
      </w:r>
    </w:p>
    <w:p w14:paraId="45075985" w14:textId="055F65E8" w:rsidR="0051601C" w:rsidRPr="0051601C" w:rsidRDefault="0051601C">
      <w:pPr>
        <w:spacing w:line="360" w:lineRule="auto"/>
        <w:rPr>
          <w:rFonts w:ascii="Arial" w:hAnsi="Arial" w:cs="Arial"/>
          <w:sz w:val="24"/>
          <w:szCs w:val="24"/>
        </w:rPr>
      </w:pPr>
      <w:r w:rsidRPr="0051601C">
        <w:rPr>
          <w:rFonts w:ascii="Arial" w:hAnsi="Arial" w:cs="Arial"/>
          <w:color w:val="222222"/>
          <w:sz w:val="24"/>
          <w:szCs w:val="24"/>
          <w:shd w:val="clear" w:color="auto" w:fill="FFFFFF"/>
        </w:rPr>
        <w:t>Pieruccini</w:t>
      </w:r>
      <w:r w:rsidRPr="0051601C">
        <w:rPr>
          <w:rFonts w:ascii="Cambria Math" w:hAnsi="Cambria Math" w:cs="Cambria Math"/>
          <w:color w:val="222222"/>
          <w:sz w:val="24"/>
          <w:szCs w:val="24"/>
          <w:shd w:val="clear" w:color="auto" w:fill="FFFFFF"/>
        </w:rPr>
        <w:t>‐</w:t>
      </w:r>
      <w:r w:rsidRPr="0051601C">
        <w:rPr>
          <w:rFonts w:ascii="Arial" w:hAnsi="Arial" w:cs="Arial"/>
          <w:color w:val="222222"/>
          <w:sz w:val="24"/>
          <w:szCs w:val="24"/>
          <w:shd w:val="clear" w:color="auto" w:fill="FFFFFF"/>
        </w:rPr>
        <w:t>Faria, F.</w:t>
      </w:r>
      <w:r w:rsidR="00B01015" w:rsidRPr="0051601C">
        <w:rPr>
          <w:rFonts w:ascii="Arial" w:hAnsi="Arial" w:cs="Arial"/>
          <w:color w:val="222222"/>
          <w:sz w:val="24"/>
          <w:szCs w:val="24"/>
          <w:shd w:val="clear" w:color="auto" w:fill="FFFFFF"/>
        </w:rPr>
        <w:t>, et al.</w:t>
      </w:r>
      <w:r w:rsidRPr="0051601C">
        <w:rPr>
          <w:rFonts w:ascii="Arial" w:hAnsi="Arial" w:cs="Arial"/>
          <w:color w:val="222222"/>
          <w:sz w:val="24"/>
          <w:szCs w:val="24"/>
          <w:shd w:val="clear" w:color="auto" w:fill="FFFFFF"/>
        </w:rPr>
        <w:t xml:space="preserve"> 2021. </w:t>
      </w:r>
      <w:bookmarkStart w:id="14" w:name="_Int_LoKLmz1u"/>
      <w:r w:rsidRPr="0051601C">
        <w:rPr>
          <w:rFonts w:ascii="Arial" w:hAnsi="Arial" w:cs="Arial"/>
          <w:color w:val="222222"/>
          <w:sz w:val="24"/>
          <w:szCs w:val="24"/>
          <w:shd w:val="clear" w:color="auto" w:fill="FFFFFF"/>
        </w:rPr>
        <w:t>Gait variability across neurodegenerative and cognitive disorders: Results from the Canadian Consortium of Neurodegeneration in Aging (CCNA) and the Gait and Brain Study.</w:t>
      </w:r>
      <w:bookmarkEnd w:id="14"/>
      <w:r w:rsidRPr="0051601C">
        <w:rPr>
          <w:rFonts w:ascii="Arial" w:hAnsi="Arial" w:cs="Arial"/>
          <w:color w:val="222222"/>
          <w:sz w:val="24"/>
          <w:szCs w:val="24"/>
          <w:shd w:val="clear" w:color="auto" w:fill="FFFFFF"/>
        </w:rPr>
        <w:t> </w:t>
      </w:r>
      <w:r w:rsidRPr="0051601C">
        <w:rPr>
          <w:rFonts w:ascii="Arial" w:hAnsi="Arial" w:cs="Arial"/>
          <w:i/>
          <w:iCs/>
          <w:color w:val="222222"/>
          <w:sz w:val="24"/>
          <w:szCs w:val="24"/>
          <w:shd w:val="clear" w:color="auto" w:fill="FFFFFF"/>
        </w:rPr>
        <w:t>Alzheimer's &amp; Dementia</w:t>
      </w:r>
      <w:r w:rsidRPr="0051601C">
        <w:rPr>
          <w:rFonts w:ascii="Arial" w:hAnsi="Arial" w:cs="Arial"/>
          <w:color w:val="222222"/>
          <w:sz w:val="24"/>
          <w:szCs w:val="24"/>
          <w:shd w:val="clear" w:color="auto" w:fill="FFFFFF"/>
        </w:rPr>
        <w:t xml:space="preserve"> 17(8), pp. 1317-1328.</w:t>
      </w:r>
    </w:p>
    <w:p w14:paraId="460216C9" w14:textId="77777777" w:rsidR="0051601C" w:rsidRPr="0051601C" w:rsidRDefault="0051601C">
      <w:pPr>
        <w:spacing w:line="360" w:lineRule="auto"/>
        <w:rPr>
          <w:rFonts w:ascii="Arial" w:hAnsi="Arial" w:cs="Arial"/>
          <w:color w:val="222222"/>
          <w:sz w:val="24"/>
          <w:szCs w:val="24"/>
          <w:shd w:val="clear" w:color="auto" w:fill="FFFFFF"/>
        </w:rPr>
      </w:pPr>
      <w:r w:rsidRPr="0051601C">
        <w:rPr>
          <w:rFonts w:ascii="Arial" w:hAnsi="Arial" w:cs="Arial"/>
          <w:color w:val="222222"/>
          <w:sz w:val="24"/>
          <w:szCs w:val="24"/>
          <w:shd w:val="clear" w:color="auto" w:fill="FFFFFF"/>
        </w:rPr>
        <w:t>Porsteinsson, A.P., Isaacson, R.S., Knox, S., Sabbagh, M.N. and Rubino, I. 2021. Diagnosis of early Alzheimer’s disease: clinical practice in 2021. </w:t>
      </w:r>
      <w:r w:rsidRPr="0051601C">
        <w:rPr>
          <w:rFonts w:ascii="Arial" w:hAnsi="Arial" w:cs="Arial"/>
          <w:i/>
          <w:iCs/>
          <w:color w:val="222222"/>
          <w:sz w:val="24"/>
          <w:szCs w:val="24"/>
          <w:shd w:val="clear" w:color="auto" w:fill="FFFFFF"/>
        </w:rPr>
        <w:t>The journal of prevention of Alzheimer's disease</w:t>
      </w:r>
      <w:r w:rsidRPr="0051601C">
        <w:rPr>
          <w:rFonts w:ascii="Arial" w:hAnsi="Arial" w:cs="Arial"/>
          <w:color w:val="222222"/>
          <w:sz w:val="24"/>
          <w:szCs w:val="24"/>
          <w:shd w:val="clear" w:color="auto" w:fill="FFFFFF"/>
        </w:rPr>
        <w:t xml:space="preserve"> 8, pp. 371-386.</w:t>
      </w:r>
    </w:p>
    <w:p w14:paraId="59310432" w14:textId="77777777" w:rsidR="0051601C" w:rsidRPr="0051601C" w:rsidRDefault="0051601C">
      <w:pPr>
        <w:spacing w:line="360" w:lineRule="auto"/>
        <w:rPr>
          <w:rFonts w:ascii="Arial" w:hAnsi="Arial" w:cs="Arial"/>
          <w:sz w:val="24"/>
          <w:szCs w:val="24"/>
        </w:rPr>
      </w:pPr>
      <w:r w:rsidRPr="0051601C">
        <w:rPr>
          <w:rFonts w:ascii="Arial" w:hAnsi="Arial" w:cs="Arial"/>
          <w:color w:val="222222"/>
          <w:sz w:val="24"/>
          <w:szCs w:val="24"/>
          <w:shd w:val="clear" w:color="auto" w:fill="FFFFFF"/>
        </w:rPr>
        <w:t>Quail, Z., Carter, M.M., Wei, A. and Li, X. 2020. Management of cognitive decline in Alzheimer's disease using a non-pharmacological intervention program: a case report. </w:t>
      </w:r>
      <w:r w:rsidRPr="0051601C">
        <w:rPr>
          <w:rFonts w:ascii="Arial" w:hAnsi="Arial" w:cs="Arial"/>
          <w:i/>
          <w:iCs/>
          <w:color w:val="222222"/>
          <w:sz w:val="24"/>
          <w:szCs w:val="24"/>
          <w:shd w:val="clear" w:color="auto" w:fill="FFFFFF"/>
        </w:rPr>
        <w:t>Medicine</w:t>
      </w:r>
      <w:r w:rsidRPr="0051601C">
        <w:rPr>
          <w:rFonts w:ascii="Arial" w:hAnsi="Arial" w:cs="Arial"/>
          <w:color w:val="222222"/>
          <w:sz w:val="24"/>
          <w:szCs w:val="24"/>
          <w:shd w:val="clear" w:color="auto" w:fill="FFFFFF"/>
        </w:rPr>
        <w:t xml:space="preserve"> 99(21).</w:t>
      </w:r>
    </w:p>
    <w:p w14:paraId="487AD093" w14:textId="77777777" w:rsidR="0051601C" w:rsidRPr="0051601C" w:rsidRDefault="0051601C">
      <w:pPr>
        <w:spacing w:line="360" w:lineRule="auto"/>
        <w:rPr>
          <w:rFonts w:ascii="Arial" w:hAnsi="Arial" w:cs="Arial"/>
          <w:sz w:val="24"/>
          <w:szCs w:val="24"/>
        </w:rPr>
      </w:pPr>
      <w:r w:rsidRPr="0051601C">
        <w:rPr>
          <w:rFonts w:ascii="Arial" w:hAnsi="Arial" w:cs="Arial"/>
          <w:color w:val="222222"/>
          <w:sz w:val="24"/>
          <w:szCs w:val="24"/>
          <w:shd w:val="clear" w:color="auto" w:fill="FFFFFF"/>
        </w:rPr>
        <w:t xml:space="preserve">Reed, G.M., </w:t>
      </w:r>
      <w:r w:rsidRPr="0051601C">
        <w:rPr>
          <w:rFonts w:ascii="Arial" w:hAnsi="Arial" w:cs="Arial"/>
          <w:i/>
          <w:iCs/>
          <w:color w:val="222222"/>
          <w:sz w:val="24"/>
          <w:szCs w:val="24"/>
          <w:shd w:val="clear" w:color="auto" w:fill="FFFFFF"/>
        </w:rPr>
        <w:t>et al</w:t>
      </w:r>
      <w:r w:rsidRPr="0051601C">
        <w:rPr>
          <w:rFonts w:ascii="Arial" w:hAnsi="Arial" w:cs="Arial"/>
          <w:color w:val="222222"/>
          <w:sz w:val="24"/>
          <w:szCs w:val="24"/>
          <w:shd w:val="clear" w:color="auto" w:fill="FFFFFF"/>
        </w:rPr>
        <w:t>. 2019. Innovations and changes in the ICD</w:t>
      </w:r>
      <w:r w:rsidRPr="0051601C">
        <w:rPr>
          <w:rFonts w:ascii="Cambria Math" w:hAnsi="Cambria Math" w:cs="Cambria Math"/>
          <w:color w:val="222222"/>
          <w:sz w:val="24"/>
          <w:szCs w:val="24"/>
          <w:shd w:val="clear" w:color="auto" w:fill="FFFFFF"/>
        </w:rPr>
        <w:t>‐</w:t>
      </w:r>
      <w:r w:rsidRPr="0051601C">
        <w:rPr>
          <w:rFonts w:ascii="Arial" w:hAnsi="Arial" w:cs="Arial"/>
          <w:color w:val="222222"/>
          <w:sz w:val="24"/>
          <w:szCs w:val="24"/>
          <w:shd w:val="clear" w:color="auto" w:fill="FFFFFF"/>
        </w:rPr>
        <w:t>11 classification of mental, behavioural and neurodevelopmental disorders. </w:t>
      </w:r>
      <w:r w:rsidRPr="0051601C">
        <w:rPr>
          <w:rFonts w:ascii="Arial" w:hAnsi="Arial" w:cs="Arial"/>
          <w:i/>
          <w:iCs/>
          <w:color w:val="222222"/>
          <w:sz w:val="24"/>
          <w:szCs w:val="24"/>
          <w:shd w:val="clear" w:color="auto" w:fill="FFFFFF"/>
        </w:rPr>
        <w:t>World Psychiatry</w:t>
      </w:r>
      <w:r w:rsidRPr="0051601C">
        <w:rPr>
          <w:rFonts w:ascii="Arial" w:hAnsi="Arial" w:cs="Arial"/>
          <w:color w:val="222222"/>
          <w:sz w:val="24"/>
          <w:szCs w:val="24"/>
          <w:shd w:val="clear" w:color="auto" w:fill="FFFFFF"/>
        </w:rPr>
        <w:t xml:space="preserve"> 18(1), pp. 3-19.</w:t>
      </w:r>
    </w:p>
    <w:p w14:paraId="2AA06C26" w14:textId="77777777" w:rsidR="0051601C" w:rsidRPr="0051601C" w:rsidRDefault="0051601C">
      <w:pPr>
        <w:spacing w:line="360" w:lineRule="auto"/>
        <w:rPr>
          <w:rFonts w:ascii="Arial" w:hAnsi="Arial" w:cs="Arial"/>
          <w:color w:val="222222"/>
          <w:sz w:val="24"/>
          <w:szCs w:val="24"/>
          <w:shd w:val="clear" w:color="auto" w:fill="FFFFFF"/>
        </w:rPr>
      </w:pPr>
      <w:r w:rsidRPr="0051601C">
        <w:rPr>
          <w:rFonts w:ascii="Arial" w:hAnsi="Arial" w:cs="Arial"/>
          <w:color w:val="222222"/>
          <w:sz w:val="24"/>
          <w:szCs w:val="24"/>
          <w:shd w:val="clear" w:color="auto" w:fill="FFFFFF"/>
        </w:rPr>
        <w:t xml:space="preserve">Roberts, M.A. and Abery, B.H. 2023. </w:t>
      </w:r>
      <w:bookmarkStart w:id="15" w:name="_Int_vxf9j7Rm"/>
      <w:r w:rsidRPr="0051601C">
        <w:rPr>
          <w:rFonts w:ascii="Arial" w:hAnsi="Arial" w:cs="Arial"/>
          <w:color w:val="222222"/>
          <w:sz w:val="24"/>
          <w:szCs w:val="24"/>
          <w:shd w:val="clear" w:color="auto" w:fill="FFFFFF"/>
        </w:rPr>
        <w:t>A person-centered approach to home and community-based services outcome measurement.</w:t>
      </w:r>
      <w:bookmarkEnd w:id="15"/>
      <w:r w:rsidRPr="0051601C">
        <w:rPr>
          <w:rFonts w:ascii="Arial" w:hAnsi="Arial" w:cs="Arial"/>
          <w:color w:val="222222"/>
          <w:sz w:val="24"/>
          <w:szCs w:val="24"/>
          <w:shd w:val="clear" w:color="auto" w:fill="FFFFFF"/>
        </w:rPr>
        <w:t> </w:t>
      </w:r>
      <w:r w:rsidRPr="0051601C">
        <w:rPr>
          <w:rFonts w:ascii="Arial" w:hAnsi="Arial" w:cs="Arial"/>
          <w:i/>
          <w:iCs/>
          <w:color w:val="222222"/>
          <w:sz w:val="24"/>
          <w:szCs w:val="24"/>
          <w:shd w:val="clear" w:color="auto" w:fill="FFFFFF"/>
        </w:rPr>
        <w:t>Frontiers in rehabilitation Sciences</w:t>
      </w:r>
      <w:r w:rsidRPr="0051601C">
        <w:rPr>
          <w:rFonts w:ascii="Arial" w:hAnsi="Arial" w:cs="Arial"/>
          <w:color w:val="222222"/>
          <w:sz w:val="24"/>
          <w:szCs w:val="24"/>
          <w:shd w:val="clear" w:color="auto" w:fill="FFFFFF"/>
        </w:rPr>
        <w:t xml:space="preserve"> 4.</w:t>
      </w:r>
    </w:p>
    <w:p w14:paraId="6761B1FD" w14:textId="77777777" w:rsidR="0051601C" w:rsidRPr="0051601C" w:rsidRDefault="0051601C">
      <w:pPr>
        <w:spacing w:line="360" w:lineRule="auto"/>
        <w:rPr>
          <w:rFonts w:ascii="Arial" w:hAnsi="Arial" w:cs="Arial"/>
          <w:color w:val="222222"/>
          <w:sz w:val="24"/>
          <w:szCs w:val="24"/>
          <w:shd w:val="clear" w:color="auto" w:fill="FFFFFF"/>
        </w:rPr>
      </w:pPr>
      <w:r w:rsidRPr="0051601C">
        <w:rPr>
          <w:rFonts w:ascii="Arial" w:hAnsi="Arial" w:cs="Arial"/>
          <w:color w:val="222222"/>
          <w:sz w:val="24"/>
          <w:szCs w:val="24"/>
          <w:shd w:val="clear" w:color="auto" w:fill="FFFFFF"/>
        </w:rPr>
        <w:t xml:space="preserve">Sánchez-Nieto, D., </w:t>
      </w:r>
      <w:r w:rsidRPr="0051601C">
        <w:rPr>
          <w:rFonts w:ascii="Arial" w:hAnsi="Arial" w:cs="Arial"/>
          <w:i/>
          <w:iCs/>
          <w:color w:val="222222"/>
          <w:sz w:val="24"/>
          <w:szCs w:val="24"/>
          <w:shd w:val="clear" w:color="auto" w:fill="FFFFFF"/>
        </w:rPr>
        <w:t>et al.</w:t>
      </w:r>
      <w:r w:rsidRPr="0051601C">
        <w:rPr>
          <w:rFonts w:ascii="Arial" w:hAnsi="Arial" w:cs="Arial"/>
          <w:color w:val="222222"/>
          <w:sz w:val="24"/>
          <w:szCs w:val="24"/>
          <w:shd w:val="clear" w:color="auto" w:fill="FFFFFF"/>
        </w:rPr>
        <w:t xml:space="preserve"> 2023. </w:t>
      </w:r>
      <w:bookmarkStart w:id="16" w:name="_Int_vMPkAmWY"/>
      <w:r w:rsidRPr="0051601C">
        <w:rPr>
          <w:rFonts w:ascii="Arial" w:hAnsi="Arial" w:cs="Arial"/>
          <w:color w:val="222222"/>
          <w:sz w:val="24"/>
          <w:szCs w:val="24"/>
          <w:shd w:val="clear" w:color="auto" w:fill="FFFFFF"/>
        </w:rPr>
        <w:t>An Intervention on Anxiety Symptoms in Moderate Alzheimer’s Disease through Virtual Reality: A Feasibility Study and Lessons Learned.</w:t>
      </w:r>
      <w:bookmarkEnd w:id="16"/>
      <w:r w:rsidRPr="0051601C">
        <w:rPr>
          <w:rFonts w:ascii="Arial" w:hAnsi="Arial" w:cs="Arial"/>
          <w:color w:val="222222"/>
          <w:sz w:val="24"/>
          <w:szCs w:val="24"/>
          <w:shd w:val="clear" w:color="auto" w:fill="FFFFFF"/>
        </w:rPr>
        <w:t> </w:t>
      </w:r>
      <w:r w:rsidRPr="0051601C">
        <w:rPr>
          <w:rFonts w:ascii="Arial" w:hAnsi="Arial" w:cs="Arial"/>
          <w:i/>
          <w:iCs/>
          <w:color w:val="222222"/>
          <w:sz w:val="24"/>
          <w:szCs w:val="24"/>
          <w:shd w:val="clear" w:color="auto" w:fill="FFFFFF"/>
        </w:rPr>
        <w:t>International Journal of Environmental Research and Public Health</w:t>
      </w:r>
      <w:r w:rsidRPr="0051601C">
        <w:rPr>
          <w:rFonts w:ascii="Arial" w:hAnsi="Arial" w:cs="Arial"/>
          <w:color w:val="222222"/>
          <w:sz w:val="24"/>
          <w:szCs w:val="24"/>
          <w:shd w:val="clear" w:color="auto" w:fill="FFFFFF"/>
        </w:rPr>
        <w:t xml:space="preserve"> 20(3), p. 2727.</w:t>
      </w:r>
    </w:p>
    <w:p w14:paraId="79487DB3" w14:textId="77777777" w:rsidR="00085C9D" w:rsidRDefault="00085C9D">
      <w:pPr>
        <w:spacing w:line="360" w:lineRule="auto"/>
        <w:rPr>
          <w:rFonts w:ascii="Arial" w:hAnsi="Arial" w:cs="Arial"/>
          <w:sz w:val="24"/>
          <w:szCs w:val="24"/>
        </w:rPr>
      </w:pPr>
    </w:p>
    <w:sectPr w:rsidR="00085C9D">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AB326" w14:textId="77777777" w:rsidR="00857A78" w:rsidRDefault="00857A78">
      <w:pPr>
        <w:spacing w:line="240" w:lineRule="auto"/>
      </w:pPr>
      <w:r>
        <w:separator/>
      </w:r>
    </w:p>
  </w:endnote>
  <w:endnote w:type="continuationSeparator" w:id="0">
    <w:p w14:paraId="70E0E352" w14:textId="77777777" w:rsidR="00857A78" w:rsidRDefault="00857A78">
      <w:pPr>
        <w:spacing w:line="240" w:lineRule="auto"/>
      </w:pPr>
      <w:r>
        <w:continuationSeparator/>
      </w:r>
    </w:p>
  </w:endnote>
  <w:endnote w:type="continuationNotice" w:id="1">
    <w:p w14:paraId="35C9CB68" w14:textId="77777777" w:rsidR="00857A78" w:rsidRDefault="00857A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Light">
    <w:altName w:val="Segoe Prin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787568"/>
      <w:docPartObj>
        <w:docPartGallery w:val="AutoText"/>
      </w:docPartObj>
    </w:sdtPr>
    <w:sdtEndPr/>
    <w:sdtContent>
      <w:p w14:paraId="1C294A5C" w14:textId="77777777" w:rsidR="00085C9D" w:rsidRDefault="006C5015">
        <w:pPr>
          <w:pStyle w:val="Footer"/>
          <w:jc w:val="center"/>
        </w:pPr>
        <w:r>
          <w:fldChar w:fldCharType="begin"/>
        </w:r>
        <w:r>
          <w:instrText xml:space="preserve"> PAGE   \* MERGEFORMAT </w:instrText>
        </w:r>
        <w:r>
          <w:fldChar w:fldCharType="separate"/>
        </w:r>
        <w:r w:rsidR="000261A5">
          <w:rPr>
            <w:noProof/>
          </w:rPr>
          <w:t>3</w:t>
        </w:r>
        <w:r>
          <w:fldChar w:fldCharType="end"/>
        </w:r>
      </w:p>
    </w:sdtContent>
  </w:sdt>
  <w:p w14:paraId="77167E37" w14:textId="77777777" w:rsidR="00085C9D" w:rsidRDefault="00085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7536B" w14:textId="77777777" w:rsidR="00857A78" w:rsidRDefault="00857A78">
      <w:pPr>
        <w:spacing w:after="0"/>
      </w:pPr>
      <w:r>
        <w:separator/>
      </w:r>
    </w:p>
  </w:footnote>
  <w:footnote w:type="continuationSeparator" w:id="0">
    <w:p w14:paraId="30B2A00A" w14:textId="77777777" w:rsidR="00857A78" w:rsidRDefault="00857A78">
      <w:pPr>
        <w:spacing w:after="0"/>
      </w:pPr>
      <w:r>
        <w:continuationSeparator/>
      </w:r>
    </w:p>
  </w:footnote>
  <w:footnote w:type="continuationNotice" w:id="1">
    <w:p w14:paraId="0C0AB2B8" w14:textId="77777777" w:rsidR="00857A78" w:rsidRDefault="00857A7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LoKLmz1u" int2:invalidationBookmarkName="" int2:hashCode="NPbaGLrCb/NxIB" int2:id="3Af1oxoN">
      <int2:extLst>
        <oel:ext uri="426473B9-03D8-482F-96C9-C2C85392BACA">
          <int2:similarityCritique int2:version="1" int2:context="Gait variability across neurodegenerative and cognitive disorders: Results from the Canadian Consortium of Neurodegeneration in Aging (CCNA) and the Gait and Brain Study.">
            <int2:source int2:sourceType="Online" int2:sourceTitle="Gait variability across neurodegenerative and cognitive disorders ..." int2:sourceUrl="https://www.ncbi.nlm.nih.gov/pmc/articles/PMC8451764/" int2:sourceSnippet="Pieruccini‐Faria F, Black SE, Masellis M, et al. Gait variability across neurodegenerative and cognitive disorders: Results from the Canadian Consortium of Neurodegeneration in Aging (CCNA) and the Gait and Brain Study. Alzheimer's Dement. 2021; 17:1317–1328. 10.1002/alz.12298 [PMC free article] [Google Scholar]">
              <int2:suggestions int2:citationType="Inline">
                <int2:suggestion int2:citationStyle="Mla" int2:isIdentical="1">
                  <int2:citationText>(“Gait variability across neurodegenerative and cognitive disorders ...”)</int2:citationText>
                </int2:suggestion>
                <int2:suggestion int2:citationStyle="Apa" int2:isIdentical="1">
                  <int2:citationText>(“Gait variability across neurodegenerative and cognitive disorders ...”)</int2:citationText>
                </int2:suggestion>
                <int2:suggestion int2:citationStyle="Chicago" int2:isIdentical="1">
                  <int2:citationText>(“Gait variability across neurodegenerative and cognitive disorders ...”)</int2:citationText>
                </int2:suggestion>
              </int2:suggestions>
              <int2:suggestions int2:citationType="Full">
                <int2:suggestion int2:citationStyle="Mla" int2:isIdentical="1">
                  <int2:citationText>&lt;i&gt;Gait variability across neurodegenerative and cognitive disorders ...&lt;/i&gt;, https://www.ncbi.nlm.nih.gov/pmc/articles/PMC8451764/.</int2:citationText>
                </int2:suggestion>
                <int2:suggestion int2:citationStyle="Apa" int2:isIdentical="1">
                  <int2:citationText>&lt;i&gt;Gait variability across neurodegenerative and cognitive disorders ...&lt;/i&gt;. (n.d.). Retrieved from https://www.ncbi.nlm.nih.gov/pmc/articles/PMC8451764/</int2:citationText>
                </int2:suggestion>
                <int2:suggestion int2:citationStyle="Chicago" int2:isIdentical="1">
                  <int2:citationText>“Gait variability across neurodegenerative and cognitive disorders ...” n.d., https://www.ncbi.nlm.nih.gov/pmc/articles/PMC8451764/.</int2:citationText>
                </int2:suggestion>
              </int2:suggestions>
            </int2:source>
            <int2:source int2:sourceType="Online" int2:sourceTitle="Gait variability across neurodegenerative and cognitive disorders ..." int2:sourceUrl="https://alz-journals.onlinelibrary.wiley.com/doi/abs/10.1002/alz.12298" int2:sourceSnippet="Gait variability across neurodegenerative and cognitive disorders: Results from the Canadian Consortium of Neurodegeneration in Aging (CCNA) and the Gait and Brain Study. Frederico Pieruccini-Faria, Frederico Pieruccini-Faria. Gait and Brain Lab, Parkwood Institute, Lawson Health Research Institute, London, Ontario, Canada.">
              <int2:suggestions int2:citationType="Inline">
                <int2:suggestion int2:citationStyle="Mla" int2:isIdentical="1">
                  <int2:citationText>(“Gait variability across neurodegenerative and cognitive disorders ...”)</int2:citationText>
                </int2:suggestion>
                <int2:suggestion int2:citationStyle="Apa" int2:isIdentical="1">
                  <int2:citationText>(“Gait variability across neurodegenerative and cognitive disorders ...”)</int2:citationText>
                </int2:suggestion>
                <int2:suggestion int2:citationStyle="Chicago" int2:isIdentical="1">
                  <int2:citationText>(“Gait variability across neurodegenerative and cognitive disorders ...”)</int2:citationText>
                </int2:suggestion>
              </int2:suggestions>
              <int2:suggestions int2:citationType="Full">
                <int2:suggestion int2:citationStyle="Mla" int2:isIdentical="1">
                  <int2:citationText>&lt;i&gt;Gait variability across neurodegenerative and cognitive disorders ...&lt;/i&gt;, https://alz-journals.onlinelibrary.wiley.com/doi/abs/10.1002/alz.12298.</int2:citationText>
                </int2:suggestion>
                <int2:suggestion int2:citationStyle="Apa" int2:isIdentical="1">
                  <int2:citationText>&lt;i&gt;Gait variability across neurodegenerative and cognitive disorders ...&lt;/i&gt;. (n.d.). Retrieved from https://alz-journals.onlinelibrary.wiley.com/doi/abs/10.1002/alz.12298</int2:citationText>
                </int2:suggestion>
                <int2:suggestion int2:citationStyle="Chicago" int2:isIdentical="1">
                  <int2:citationText>“Gait variability across neurodegenerative and cognitive disorders ...” n.d., https://alz-journals.onlinelibrary.wiley.com/doi/abs/10.1002/alz.12298.</int2:citationText>
                </int2:suggestion>
              </int2:suggestions>
            </int2:source>
            <int2:source int2:sourceType="Online" int2:sourceTitle="Gait variability across neurodegenerative and cognitive disorders ..." int2:sourceUrl="https://europepmc.org/article/MED/33590967" int2:sourceSnippet="Gait variability across neurodegenerative and cognitive disorders: Results from the Canadian Consortium of Neurodegeneration in Aging (CCNA) and the Gait and Brain Study. Pieruccini-Faria F 1, Black SE 2, Masellis M 2, Smith EE 3, Almeida QJ 4, Li KZH 5, Bherer L 6, Camicioli R 7, Montero-Odasso M 1. Author information ...">
              <int2:suggestions int2:citationType="Inline">
                <int2:suggestion int2:citationStyle="Mla" int2:isIdentical="1">
                  <int2:citationText>(“Gait variability across neurodegenerative and cognitive disorders ...”)</int2:citationText>
                </int2:suggestion>
                <int2:suggestion int2:citationStyle="Apa" int2:isIdentical="1">
                  <int2:citationText>(“Gait variability across neurodegenerative and cognitive disorders ...”)</int2:citationText>
                </int2:suggestion>
                <int2:suggestion int2:citationStyle="Chicago" int2:isIdentical="1">
                  <int2:citationText>(“Gait variability across neurodegenerative and cognitive disorders ...”)</int2:citationText>
                </int2:suggestion>
              </int2:suggestions>
              <int2:suggestions int2:citationType="Full">
                <int2:suggestion int2:citationStyle="Mla" int2:isIdentical="1">
                  <int2:citationText>&lt;i&gt;Gait variability across neurodegenerative and cognitive disorders ...&lt;/i&gt;, https://europepmc.org/article/MED/33590967.</int2:citationText>
                </int2:suggestion>
                <int2:suggestion int2:citationStyle="Apa" int2:isIdentical="1">
                  <int2:citationText>&lt;i&gt;Gait variability across neurodegenerative and cognitive disorders ...&lt;/i&gt;. (n.d.). Retrieved from https://europepmc.org/article/MED/33590967</int2:citationText>
                </int2:suggestion>
                <int2:suggestion int2:citationStyle="Chicago" int2:isIdentical="1">
                  <int2:citationText>“Gait variability across neurodegenerative and cognitive disorders ...” n.d., https://europepmc.org/article/MED/33590967.</int2:citationText>
                </int2:suggestion>
              </int2:suggestions>
            </int2:source>
          </int2:similarityCritique>
        </oel:ext>
      </int2:extLst>
    </int2:bookmark>
    <int2:bookmark int2:bookmarkName="_Int_VJwXdlZS" int2:invalidationBookmarkName="" int2:hashCode="wfnDK0hL92e0qF" int2:id="3DW4dY6B">
      <int2:extLst>
        <oel:ext uri="426473B9-03D8-482F-96C9-C2C85392BACA">
          <int2:similarityCritique int2:version="1" int2:context="Cipriani, G., Danti, S., Picchi, L., Nuti, A. and Fiorino, M.D. 2020.">
            <int2:source int2:sourceType="Online" int2:sourceTitle="Practice effect and test–retest reliability of the Wechsler Memory ..." int2:sourceUrl="https://bmcgeriatr.biomedcentral.com/articles/10.1186/s12877-023-03913-2" int2:sourceSnippet="Cipriani G, Danti S, Picchi L, Nuti A, Fiorino MD. Daily functioning and dementia. Dement Neuropsychol. 2020;14(2):93–102. Article PubMed PubMed Central Google Scholar Tsai CF, Hwang WS, Lee JJ, Wang WF, Huang LC, Huang LK, et al. Predictors of caregiver burden in aged caregivers of demented older patients.">
              <int2:suggestions int2:citationType="Inline">
                <int2:suggestion int2:citationStyle="Mla" int2:isIdentical="0">
                  <int2:citationText>(“Practice effect and test–retest reliability of the Wechsler Memory ...”)</int2:citationText>
                </int2:suggestion>
                <int2:suggestion int2:citationStyle="Apa" int2:isIdentical="0">
                  <int2:citationText>(“Practice effect and test–retest reliability of the Wechsler Memory ...”)</int2:citationText>
                </int2:suggestion>
                <int2:suggestion int2:citationStyle="Chicago" int2:isIdentical="0">
                  <int2:citationText>(“Practice effect and test–retest reliability of the Wechsler Memory ...”)</int2:citationText>
                </int2:suggestion>
              </int2:suggestions>
              <int2:suggestions int2:citationType="Full">
                <int2:suggestion int2:citationStyle="Mla" int2:isIdentical="0">
                  <int2:citationText>&lt;i&gt;Practice effect and test–retest reliability of the Wechsler Memory ...&lt;/i&gt;, https://bmcgeriatr.biomedcentral.com/articles/10.1186/s12877-023-03913-2.</int2:citationText>
                </int2:suggestion>
                <int2:suggestion int2:citationStyle="Apa" int2:isIdentical="0">
                  <int2:citationText>&lt;i&gt;Practice effect and test–retest reliability of the Wechsler Memory ...&lt;/i&gt;. (n.d.). Retrieved from https://bmcgeriatr.biomedcentral.com/articles/10.1186/s12877-023-03913-2</int2:citationText>
                </int2:suggestion>
                <int2:suggestion int2:citationStyle="Chicago" int2:isIdentical="0">
                  <int2:citationText>“Practice effect and test–retest reliability of the Wechsler Memory ...” n.d., https://bmcgeriatr.biomedcentral.com/articles/10.1186/s12877-023-03913-2.</int2:citationText>
                </int2:suggestion>
              </int2:suggestions>
            </int2:source>
            <int2:source int2:sourceType="Online" int2:sourceTitle="An exploratory, open-label, randomized, multicenter trial of ..." int2:sourceUrl="https://www.ncbi.nlm.nih.gov/pmc/articles/PMC9616163/" int2:sourceSnippet="Cipriani G., Danti S., Picchi L., Nuti A., Fiorino M. D. (2020). Daily functioning and dementia. Dement. Neuropsychol. 14, 93–102. 10.1590/1980-57642020dn14-020001 [PMC free article] [Google Scholar] Department of Health and Human Services Public Health Service Food and Drug Administration US Food and Drug Administration (1989). ...">
              <int2:suggestions int2:citationType="Inline">
                <int2:suggestion int2:citationStyle="Mla" int2:isIdentical="0">
                  <int2:citationText>(“An exploratory, open-label, randomized, multicenter trial of ...”)</int2:citationText>
                </int2:suggestion>
                <int2:suggestion int2:citationStyle="Apa" int2:isIdentical="0">
                  <int2:citationText>(“An exploratory, open-label, randomized, multicenter trial of ...”)</int2:citationText>
                </int2:suggestion>
                <int2:suggestion int2:citationStyle="Chicago" int2:isIdentical="0">
                  <int2:citationText>(“An exploratory, open-label, randomized, multicenter trial of ...”)</int2:citationText>
                </int2:suggestion>
              </int2:suggestions>
              <int2:suggestions int2:citationType="Full">
                <int2:suggestion int2:citationStyle="Mla" int2:isIdentical="0">
                  <int2:citationText>&lt;i&gt;An exploratory, open-label, randomized, multicenter trial of ...&lt;/i&gt;, https://www.ncbi.nlm.nih.gov/pmc/articles/PMC9616163/.</int2:citationText>
                </int2:suggestion>
                <int2:suggestion int2:citationStyle="Apa" int2:isIdentical="0">
                  <int2:citationText>&lt;i&gt;An exploratory, open-label, randomized, multicenter trial of ...&lt;/i&gt;. (n.d.). Retrieved from https://www.ncbi.nlm.nih.gov/pmc/articles/PMC9616163/</int2:citationText>
                </int2:suggestion>
                <int2:suggestion int2:citationStyle="Chicago" int2:isIdentical="0">
                  <int2:citationText>“An exploratory, open-label, randomized, multicenter trial of ...” n.d., https://www.ncbi.nlm.nih.gov/pmc/articles/PMC9616163/.</int2:citationText>
                </int2:suggestion>
              </int2:suggestions>
            </int2:source>
            <int2:source int2:sourceType="Online" int2:sourceTitle="Sexual disinhibition and dementia. - Abstract - Europe PMC" int2:sourceUrl="https://europepmc.org/abstract/MED/26215977" int2:sourceSnippet="Cipriani G, Danti S, Picchi L, Nuti A, Fiorino MD. Dement Neuropsychol, 14(2):93-102, 01 Apr 2020 Cited by: 3 articles | PMID: 32595877 | PMCID: PMC7304278. Free to read &amp; use. Frontal Pole Hypometabolism Linked to Reduced Prosocial Sexual Behaviors in Frontotemporal Dementia and Corticobasal Syndrome. Silverman HE, ...">
              <int2:suggestions int2:citationType="Inline">
                <int2:suggestion int2:citationStyle="Mla" int2:isIdentical="0">
                  <int2:citationText>(“Sexual disinhibition and dementia. - Abstract - Europe PMC”)</int2:citationText>
                </int2:suggestion>
                <int2:suggestion int2:citationStyle="Apa" int2:isIdentical="0">
                  <int2:citationText>(“Sexual disinhibition and dementia. - Abstract - Europe PMC”)</int2:citationText>
                </int2:suggestion>
                <int2:suggestion int2:citationStyle="Chicago" int2:isIdentical="0">
                  <int2:citationText>(“Sexual disinhibition and dementia. - Abstract - Europe PMC”)</int2:citationText>
                </int2:suggestion>
              </int2:suggestions>
              <int2:suggestions int2:citationType="Full">
                <int2:suggestion int2:citationStyle="Mla" int2:isIdentical="0">
                  <int2:citationText>&lt;i&gt;Sexual disinhibition and dementia. - Abstract - Europe PMC&lt;/i&gt;, https://europepmc.org/abstract/MED/26215977.</int2:citationText>
                </int2:suggestion>
                <int2:suggestion int2:citationStyle="Apa" int2:isIdentical="0">
                  <int2:citationText>&lt;i&gt;Sexual disinhibition and dementia. - Abstract - Europe PMC&lt;/i&gt;. (n.d.). Retrieved from https://europepmc.org/abstract/MED/26215977</int2:citationText>
                </int2:suggestion>
                <int2:suggestion int2:citationStyle="Chicago" int2:isIdentical="0">
                  <int2:citationText>“Sexual disinhibition and dementia. - Abstract - Europe PMC” n.d., https://europepmc.org/abstract/MED/26215977.</int2:citationText>
                </int2:suggestion>
              </int2:suggestions>
            </int2:source>
          </int2:similarityCritique>
        </oel:ext>
      </int2:extLst>
    </int2:bookmark>
    <int2:bookmark int2:bookmarkName="_Int_uqAvLkSH" int2:invalidationBookmarkName="" int2:hashCode="Ery03y6LsDlY2k" int2:id="65FVtf7t">
      <int2:extLst>
        <oel:ext uri="426473B9-03D8-482F-96C9-C2C85392BACA">
          <int2:similarityCritique int2:version="1" int2:context="Treatment of Acute Agitation Associated With Excited Catatonia Using Dexmedetomidine: Case Series and Literature Review.">
            <int2:source int2:sourceType="Online" int2:sourceTitle="Treatment of Acute Agitation Associated With Excited Catatonia Using ..." int2:sourceUrl="https://www.psychiatrist.com/pcc/neurologic/treatment-acute-agitation-associated-excited-catatonia-using-dexmedetomidine-case-series-literature-review/" int2:sourceSnippet="To cite: Almeida M, Cicolello K, Hanson A, et al. Treatment of acute agitation associated with excited catatonia using dexmedetomidine: case series and literature review. Prim Care Companion CNS Disord . 2021;23(5):20cr02899.">
              <int2:suggestions int2:citationType="Inline">
                <int2:suggestion int2:citationStyle="Mla" int2:isIdentical="1">
                  <int2:citationText>(“Treatment of Acute Agitation Associated With Excited Catatonia Using ...”)</int2:citationText>
                </int2:suggestion>
                <int2:suggestion int2:citationStyle="Apa" int2:isIdentical="1">
                  <int2:citationText>(“Treatment of Acute Agitation Associated With Excited Catatonia Using ...”)</int2:citationText>
                </int2:suggestion>
                <int2:suggestion int2:citationStyle="Chicago" int2:isIdentical="1">
                  <int2:citationText>(“Treatment of Acute Agitation Associated With Excited Catatonia Using ...”)</int2:citationText>
                </int2:suggestion>
              </int2:suggestions>
              <int2:suggestions int2:citationType="Full">
                <int2:suggestion int2:citationStyle="Mla" int2:isIdentical="1">
                  <int2:citationText>&lt;i&gt;Treatment of Acute Agitation Associated With Excited Catatonia Using ...&lt;/i&gt;, https://www.psychiatrist.com/pcc/neurologic/treatment-acute-agitation-associated-excited-catatonia-using-dexmedetomidine-case-series-literature-review/.</int2:citationText>
                </int2:suggestion>
                <int2:suggestion int2:citationStyle="Apa" int2:isIdentical="1">
                  <int2:citationText>&lt;i&gt;Treatment of Acute Agitation Associated With Excited Catatonia Using ...&lt;/i&gt;. (n.d.). Retrieved from https://www.psychiatrist.com/pcc/neurologic/treatment-acute-agitation-associated-excited-catatonia-using-dexmedetomidine-case-series-literature-review/</int2:citationText>
                </int2:suggestion>
                <int2:suggestion int2:citationStyle="Chicago" int2:isIdentical="1">
                  <int2:citationText>“Treatment of Acute Agitation Associated With Excited Catatonia Using ...” n.d., https://www.psychiatrist.com/pcc/neurologic/treatment-acute-agitation-associated-excited-catatonia-using-dexmedetomidine-case-series-literature-review/.</int2:citationText>
                </int2:suggestion>
              </int2:suggestions>
            </int2:source>
            <int2:source int2:sourceType="Online" int2:sourceTitle="Catatonia - EMCrit Project" int2:sourceUrl="https://emcrit.org/ibcc/catatonia/" int2:sourceSnippet="Treatment of Acute Agitation Associated With Excited Catatonia Using Dexmedetomidine: Case Series and Literature Review. Prim Care Companion CNS Disord. 2021 Oct 7;23(5):20cr02899. doi: 10.4088/PCC.20cr02899 ; 34842777 Edinoff AN, Kaufman SE, Hollier JW, Virgen CG, Karam CA, Malone GW, Cornett EM, Kaye AM, Kaye AD. Catatonia: Clinical Overview ...">
              <int2:suggestions int2:citationType="Inline">
                <int2:suggestion int2:citationStyle="Mla" int2:isIdentical="1">
                  <int2:citationText>(“Catatonia - EMCrit Project”)</int2:citationText>
                </int2:suggestion>
                <int2:suggestion int2:citationStyle="Apa" int2:isIdentical="1">
                  <int2:citationText>(“Catatonia - EMCrit Project”)</int2:citationText>
                </int2:suggestion>
                <int2:suggestion int2:citationStyle="Chicago" int2:isIdentical="1">
                  <int2:citationText>(“Catatonia - EMCrit Project”)</int2:citationText>
                </int2:suggestion>
              </int2:suggestions>
              <int2:suggestions int2:citationType="Full">
                <int2:suggestion int2:citationStyle="Mla" int2:isIdentical="1">
                  <int2:citationText>&lt;i&gt;Catatonia - EMCrit Project&lt;/i&gt;, https://emcrit.org/ibcc/catatonia/.</int2:citationText>
                </int2:suggestion>
                <int2:suggestion int2:citationStyle="Apa" int2:isIdentical="1">
                  <int2:citationText>&lt;i&gt;Catatonia - EMCrit Project&lt;/i&gt;. (n.d.). Retrieved from https://emcrit.org/ibcc/catatonia/</int2:citationText>
                </int2:suggestion>
                <int2:suggestion int2:citationStyle="Chicago" int2:isIdentical="1">
                  <int2:citationText>“Catatonia - EMCrit Project” n.d., https://emcrit.org/ibcc/catatonia/.</int2:citationText>
                </int2:suggestion>
              </int2:suggestions>
            </int2:source>
            <int2:source int2:sourceType="Online" int2:sourceTitle="Treatment of Acute Agitation Associated With Excited Catatonia Using ..." int2:sourceUrl="https://www.semanticscholar.org/paper/Treatment-of-Acute-Agitation-Associated-With-Using-Almeida-Cicolello/753cdaa10d6f178357f527f314468a4a7323f659" int2:sourceSnippet="@article{Almeida2021TreatmentOA, title={Treatment of Acute Agitation Associated With Excited Catatonia Using Dexmedetomidine: Case Series and Literature Review.}, author={Marcela Almeida and Katherine Cicolello and Alicia Hanso and Gilson DeCavalcante and Gildasio S DeOliveira}, journal={The primary care companion for CNS disorders}, year={2021 ...">
              <int2:suggestions int2:citationType="Inline">
                <int2:suggestion int2:citationStyle="Mla" int2:isIdentical="1">
                  <int2:citationText>(“Treatment of Acute Agitation Associated With Excited Catatonia Using ...”)</int2:citationText>
                </int2:suggestion>
                <int2:suggestion int2:citationStyle="Apa" int2:isIdentical="1">
                  <int2:citationText>(“Treatment of Acute Agitation Associated With Excited Catatonia Using ...”)</int2:citationText>
                </int2:suggestion>
                <int2:suggestion int2:citationStyle="Chicago" int2:isIdentical="1">
                  <int2:citationText>(“Treatment of Acute Agitation Associated With Excited Catatonia Using ...”)</int2:citationText>
                </int2:suggestion>
              </int2:suggestions>
              <int2:suggestions int2:citationType="Full">
                <int2:suggestion int2:citationStyle="Mla" int2:isIdentical="1">
                  <int2:citationText>&lt;i&gt;Treatment of Acute Agitation Associated With Excited Catatonia Using ...&lt;/i&gt;, https://www.semanticscholar.org/paper/Treatment-of-Acute-Agitation-Associated-With-Using-Almeida-Cicolello/753cdaa10d6f178357f527f314468a4a7323f659.</int2:citationText>
                </int2:suggestion>
                <int2:suggestion int2:citationStyle="Apa" int2:isIdentical="1">
                  <int2:citationText>&lt;i&gt;Treatment of Acute Agitation Associated With Excited Catatonia Using ...&lt;/i&gt;. (n.d.). Retrieved from https://www.semanticscholar.org/paper/Treatment-of-Acute-Agitation-Associated-With-Using-Almeida-Cicolello/753cdaa10d6f178357f527f314468a4a7323f659</int2:citationText>
                </int2:suggestion>
                <int2:suggestion int2:citationStyle="Chicago" int2:isIdentical="1">
                  <int2:citationText>“Treatment of Acute Agitation Associated With Excited Catatonia Using ...” n.d., https://www.semanticscholar.org/paper/Treatment-of-Acute-Agitation-Associated-With-Using-Almeida-Cicolello/753cdaa10d6f178357f527f314468a4a7323f659.</int2:citationText>
                </int2:suggestion>
              </int2:suggestions>
            </int2:source>
          </int2:similarityCritique>
        </oel:ext>
      </int2:extLst>
    </int2:bookmark>
    <int2:bookmark int2:bookmarkName="_Int_0lLa9CtH" int2:invalidationBookmarkName="" int2:hashCode="xmutiqysLTcY4c" int2:id="AqiHo08F">
      <int2:extLst>
        <oel:ext uri="426473B9-03D8-482F-96C9-C2C85392BACA">
          <int2:similarityCritique int2:version="1" int2:context="Kato, M., Mori, Y., Watanabe, D., Onoda, H., Fujiyama, K., Toda, M. and Kito, K. 2021. Relationship between average daily rehabilitation time and decline in instrumental activity of daily living among older patients with heart failure: A preliminary analysis of a multicenter cohort study, SURUGA-CARE.">
            <int2:source int2:sourceType="Online" int2:sourceTitle="Relationship between average daily rehabilitation time and ... - PLOS" int2:sourceUrl="https://journals.plos.org/plosone/article?id=10.1371/journal.pone.0254128" int2:sourceSnippet="Citation: Kato M, Mori Y, Watanabe D, Onoda H, Fujiyama K, Toda M, et al. (2021) Relationship between average daily rehabilitation time and decline in instrumental activity of daily living among older patients with heart failure: A preliminary analysis of a multicenter cohort study, SURUGA-CARE. PLoS ONE 16(7): e0254128.">
              <int2:suggestions int2:citationType="Inline">
                <int2:suggestion int2:citationStyle="Mla" int2:isIdentical="0">
                  <int2:citationText>(“Relationship between average daily rehabilitation time and ... - PLOS”)</int2:citationText>
                </int2:suggestion>
                <int2:suggestion int2:citationStyle="Apa" int2:isIdentical="0">
                  <int2:citationText>(“Relationship between average daily rehabilitation time and ... - PLOS”)</int2:citationText>
                </int2:suggestion>
                <int2:suggestion int2:citationStyle="Chicago" int2:isIdentical="0">
                  <int2:citationText>(“Relationship between average daily rehabilitation time and ... - PLOS”)</int2:citationText>
                </int2:suggestion>
              </int2:suggestions>
              <int2:suggestions int2:citationType="Full">
                <int2:suggestion int2:citationStyle="Mla" int2:isIdentical="0">
                  <int2:citationText>&lt;i&gt;Relationship between average daily rehabilitation time and ... - PLOS&lt;/i&gt;, https://journals.plos.org/plosone/article?id=10.1371/journal.pone.0254128.</int2:citationText>
                </int2:suggestion>
                <int2:suggestion int2:citationStyle="Apa" int2:isIdentical="0">
                  <int2:citationText>&lt;i&gt;Relationship between average daily rehabilitation time and ... - PLOS&lt;/i&gt;. (n.d.). Retrieved from https://journals.plos.org/plosone/article?id=10.1371/journal.pone.0254128</int2:citationText>
                </int2:suggestion>
                <int2:suggestion int2:citationStyle="Chicago" int2:isIdentical="0">
                  <int2:citationText>“Relationship between average daily rehabilitation time and ... - PLOS” n.d., https://journals.plos.org/plosone/article?id=10.1371/journal.pone.0254128.</int2:citationText>
                </int2:suggestion>
              </int2:suggestions>
            </int2:source>
            <int2:source int2:sourceType="Online" int2:sourceTitle="加藤 倫卓 | 静岡理学療法学科 | 健康科学部 | 教員情報 | 常葉大学：10学部19学科の総合大学（静岡県）" int2:sourceUrl="https://www.tokoha-u.ac.jp/teachers/health-science/shizuoka-physiotherapy/kato_m/" int2:sourceSnippet="Kato M, Mori Y, Watanabe D, Onoda H, Fujiyama K, Toda M, Kito K. Discharge disposition and 1‑year readmission in acute‑phase hospitalized patients with heart failure: a retrospective observational multi‑center study. Heart Vessels. 2022.">
              <int2:suggestions int2:citationType="Inline">
                <int2:suggestion int2:citationStyle="Mla" int2:isIdentical="0">
                  <int2:citationText>(“加藤 倫卓 | 静岡理学療法学科 | 健康科学部 | 教員情報 | 常葉大学：10学部19学科の総合大学（静岡県）”)</int2:citationText>
                </int2:suggestion>
                <int2:suggestion int2:citationStyle="Apa" int2:isIdentical="0">
                  <int2:citationText>(“加藤 倫卓 | 静岡理学療法学科 | 健康科学部 | 教員情報 | 常葉大学：10学部19学科の総合大学（静岡県）”)</int2:citationText>
                </int2:suggestion>
                <int2:suggestion int2:citationStyle="Chicago" int2:isIdentical="0">
                  <int2:citationText>(“加藤 倫卓 | 静岡理学療法学科 | 健康科学部 | 教員情報 | 常葉大学：10学部19学科の総合大学（静岡県）”)</int2:citationText>
                </int2:suggestion>
              </int2:suggestions>
              <int2:suggestions int2:citationType="Full">
                <int2:suggestion int2:citationStyle="Mla" int2:isIdentical="0">
                  <int2:citationText>&lt;i&gt;加藤 倫卓 | 静岡理学療法学科 | 健康科学部 | 教員情報 | 常葉大学：10学部19学科の総合大学（静岡県）&lt;/i&gt;, https://www.tokoha-u.ac.jp/teachers/health-science/shizuoka-physiotherapy/kato_m/.</int2:citationText>
                </int2:suggestion>
                <int2:suggestion int2:citationStyle="Apa" int2:isIdentical="0">
                  <int2:citationText>&lt;i&gt;加藤 倫卓 | 静岡理学療法学科 | 健康科学部 | 教員情報 | 常葉大学：10学部19学科の総合大学（静岡県）&lt;/i&gt;. (n.d.). Retrieved from https://www.tokoha-u.ac.jp/teachers/health-science/shizuoka-physiotherapy/kato_m/</int2:citationText>
                </int2:suggestion>
                <int2:suggestion int2:citationStyle="Chicago" int2:isIdentical="0">
                  <int2:citationText>“加藤 倫卓 | 静岡理学療法学科 | 健康科学部 | 教員情報 | 常葉大学：10学部19学科の総合大学（静岡県）” n.d., https://www.tokoha-u.ac.jp/teachers/health-science/shizuoka-physiotherapy/kato_m/.</int2:citationText>
                </int2:suggestion>
              </int2:suggestions>
            </int2:source>
          </int2:similarityCritique>
        </oel:ext>
      </int2:extLst>
    </int2:bookmark>
    <int2:bookmark int2:bookmarkName="_Int_918ZTfdx" int2:invalidationBookmarkName="" int2:hashCode="mILq2SJhufFKaj" int2:id="DGkXk6Nl">
      <int2:extLst>
        <oel:ext uri="426473B9-03D8-482F-96C9-C2C85392BACA">
          <int2:similarityCritique int2:version="1" int2:context="Kobayashi, S., Sugama, N., Nagano, H., Miyamori, A., Takahashi, M. and Kushiyama, A. 2023.">
            <int2:source int2:sourceType="Online" int2:sourceTitle="Donepezil | ALZFORUM" int2:sourceUrl="https://www.alzforum.org/therapeutics/donepezil" int2:sourceSnippet="Kobayashi S, Sugama N, Nagano H, Miyamori A, Takahashi M, Kushiyama A. Analysis of Adverse Events of Cholinesterase Inhibitors and NMDA Receptor Antagonists on Arrhythmias Using the Japanese Adverse Drug Event Report Database. Drugs Real World Outcomes. 2023 Jun;10(2):321-329. Epub 2023 Apr 22 PubMed. External Citations. NICE guidance">
              <int2:suggestions int2:citationType="Inline">
                <int2:suggestion int2:citationStyle="Mla" int2:isIdentical="0">
                  <int2:citationText>(“Donepezil | ALZFORUM”)</int2:citationText>
                </int2:suggestion>
                <int2:suggestion int2:citationStyle="Apa" int2:isIdentical="0">
                  <int2:citationText>(“Donepezil | ALZFORUM”)</int2:citationText>
                </int2:suggestion>
                <int2:suggestion int2:citationStyle="Chicago" int2:isIdentical="0">
                  <int2:citationText>(“Donepezil | ALZFORUM”)</int2:citationText>
                </int2:suggestion>
              </int2:suggestions>
              <int2:suggestions int2:citationType="Full">
                <int2:suggestion int2:citationStyle="Mla" int2:isIdentical="0">
                  <int2:citationText>&lt;i&gt;Donepezil | ALZFORUM&lt;/i&gt;, https://www.alzforum.org/therapeutics/donepezil.</int2:citationText>
                </int2:suggestion>
                <int2:suggestion int2:citationStyle="Apa" int2:isIdentical="0">
                  <int2:citationText>&lt;i&gt;Donepezil | ALZFORUM&lt;/i&gt;. (n.d.). Retrieved from https://www.alzforum.org/therapeutics/donepezil</int2:citationText>
                </int2:suggestion>
                <int2:suggestion int2:citationStyle="Chicago" int2:isIdentical="0">
                  <int2:citationText>“Donepezil | ALZFORUM” n.d., https://www.alzforum.org/therapeutics/donepezil.</int2:citationText>
                </int2:suggestion>
              </int2:suggestions>
            </int2:source>
          </int2:similarityCritique>
        </oel:ext>
      </int2:extLst>
    </int2:bookmark>
    <int2:bookmark int2:bookmarkName="_Int_vMPkAmWY" int2:invalidationBookmarkName="" int2:hashCode="XElcRjmamyZyBc" int2:id="FQ3ZDDNT">
      <int2:extLst>
        <oel:ext uri="426473B9-03D8-482F-96C9-C2C85392BACA">
          <int2:similarityCritique int2:version="1" int2:context="An Intervention on Anxiety Symptoms in Moderate Alzheimer’s Disease through Virtual Reality: A Feasibility Study and Lessons Learned.">
            <int2:source int2:sourceType="Online" int2:sourceTitle="An Intervention on Anxiety Symptoms in Moderate ... - ResearchGate" int2:sourceUrl="https://www.researchgate.net/publication/368242145_An_Intervention_on_Anxiety_Symptoms_in_Moderate_Alzheimer's_Disease_through_Virtual_Reality_A_Feasibility_Study_and_Lessons_Learned" int2:sourceSnippet="1) Background: Although cognitive impairment is considered the core deficit of dementia, anxiety disorders also have a negative influence on the social and daily life of the affected population.">
              <int2:suggestions int2:citationType="Inline">
                <int2:suggestion int2:citationStyle="Mla" int2:isIdentical="0">
                  <int2:citationText>(“An Intervention on Anxiety Symptoms in Moderate ... - ResearchGate”)</int2:citationText>
                </int2:suggestion>
                <int2:suggestion int2:citationStyle="Apa" int2:isIdentical="0">
                  <int2:citationText>(“An Intervention on Anxiety Symptoms in Moderate ... - ResearchGate”)</int2:citationText>
                </int2:suggestion>
                <int2:suggestion int2:citationStyle="Chicago" int2:isIdentical="0">
                  <int2:citationText>(“An Intervention on Anxiety Symptoms in Moderate ... - ResearchGate”)</int2:citationText>
                </int2:suggestion>
              </int2:suggestions>
              <int2:suggestions int2:citationType="Full">
                <int2:suggestion int2:citationStyle="Mla" int2:isIdentical="0">
                  <int2:citationText>&lt;i&gt;An Intervention on Anxiety Symptoms in Moderate ... - ResearchGate&lt;/i&gt;, https://www.researchgate.net/publication/368242145_An_Intervention_on_Anxiety_Symptoms_in_Moderate_Alzheimer's_Disease_through_Virtual_Reality_A_Feasibility_Study_and_Lessons_Learned.</int2:citationText>
                </int2:suggestion>
                <int2:suggestion int2:citationStyle="Apa" int2:isIdentical="0">
                  <int2:citationText>&lt;i&gt;An Intervention on Anxiety Symptoms in Moderate ... - ResearchGate&lt;/i&gt;. (n.d.). Retrieved from https://www.researchgate.net/publication/368242145_An_Intervention_on_Anxiety_Symptoms_in_Moderate_Alzheimer's_Disease_through_Virtual_Reality_A_Feasibility_Study_and_Lessons_Learned</int2:citationText>
                </int2:suggestion>
                <int2:suggestion int2:citationStyle="Chicago" int2:isIdentical="0">
                  <int2:citationText>“An Intervention on Anxiety Symptoms in Moderate ... - ResearchGate” n.d., https://www.researchgate.net/publication/368242145_An_Intervention_on_Anxiety_Symptoms_in_Moderate_Alzheimer's_Disease_through_Virtual_Reality_A_Feasibility_Study_and_Lessons_Learned.</int2:citationText>
                </int2:suggestion>
              </int2:suggestions>
            </int2:source>
          </int2:similarityCritique>
        </oel:ext>
      </int2:extLst>
    </int2:bookmark>
    <int2:bookmark int2:bookmarkName="_Int_YlkDsvgS" int2:invalidationBookmarkName="" int2:hashCode="QhTfY+ZrCwvP5k" int2:id="KcOnCMP5">
      <int2:extLst>
        <oel:ext uri="426473B9-03D8-482F-96C9-C2C85392BACA">
          <int2:similarityCritique int2:version="1" int2:context="Polevaya, S.A., Eremin, E.V., Bulanov, N.A., Bakhchina, А.V., Kovalchuk, A.V. and Parin, S.B. 2019.">
            <int2:source int2:sourceType="Online" int2:sourceTitle="Cognitive Rehabilitation of Patients with Acute Cerebrovascular ..." int2:sourceUrl="https://cyberleninka.ru/article/n/cognitive-rehabilitation-of-patients-with-acute-cerebrovascular-accident-using-eeg-guided-adaptive-neurostimulation" int2:sourceSnippet="POLEVAYA S.A., EREMIN E.V., BULANOV N.A., BAKHCHINA A.V., KOVALCHUK A.V. &amp; PARIN S.B. (2019): Event-Related Telemetry of Heart Rate for Personalized Remote Monitoring of Cognitive Functions and Stress under Conditions of Everyday Activity. ... Cognitive Rehabilitation of Patients with Acute Cerebrovascular Accident Using EEG-Guided Adaptive ...">
              <int2:suggestions int2:citationType="Inline">
                <int2:suggestion int2:citationStyle="Mla" int2:isIdentical="0">
                  <int2:citationText>(“Cognitive Rehabilitation of Patients with Acute Cerebrovascular ...”)</int2:citationText>
                </int2:suggestion>
                <int2:suggestion int2:citationStyle="Apa" int2:isIdentical="0">
                  <int2:citationText>(“Cognitive Rehabilitation of Patients with Acute Cerebrovascular ...”)</int2:citationText>
                </int2:suggestion>
                <int2:suggestion int2:citationStyle="Chicago" int2:isIdentical="0">
                  <int2:citationText>(“Cognitive Rehabilitation of Patients with Acute Cerebrovascular ...”)</int2:citationText>
                </int2:suggestion>
              </int2:suggestions>
              <int2:suggestions int2:citationType="Full">
                <int2:suggestion int2:citationStyle="Mla" int2:isIdentical="0">
                  <int2:citationText>&lt;i&gt;Cognitive Rehabilitation of Patients with Acute Cerebrovascular ...&lt;/i&gt;, https://cyberleninka.ru/article/n/cognitive-rehabilitation-of-patients-with-acute-cerebrovascular-accident-using-eeg-guided-adaptive-neurostimulation.</int2:citationText>
                </int2:suggestion>
                <int2:suggestion int2:citationStyle="Apa" int2:isIdentical="0">
                  <int2:citationText>&lt;i&gt;Cognitive Rehabilitation of Patients with Acute Cerebrovascular ...&lt;/i&gt;. (n.d.). Retrieved from https://cyberleninka.ru/article/n/cognitive-rehabilitation-of-patients-with-acute-cerebrovascular-accident-using-eeg-guided-adaptive-neurostimulation</int2:citationText>
                </int2:suggestion>
                <int2:suggestion int2:citationStyle="Chicago" int2:isIdentical="0">
                  <int2:citationText>“Cognitive Rehabilitation of Patients with Acute Cerebrovascular ...” n.d., https://cyberleninka.ru/article/n/cognitive-rehabilitation-of-patients-with-acute-cerebrovascular-accident-using-eeg-guided-adaptive-neurostimulation.</int2:citationText>
                </int2:suggestion>
              </int2:suggestions>
            </int2:source>
          </int2:similarityCritique>
        </oel:ext>
      </int2:extLst>
    </int2:bookmark>
    <int2:bookmark int2:bookmarkName="_Int_1TmOkI6r" int2:invalidationBookmarkName="" int2:hashCode="9JBoeH4+uUaSvk" int2:id="Ke4LjWGW">
      <int2:extLst>
        <oel:ext uri="426473B9-03D8-482F-96C9-C2C85392BACA">
          <int2:similarityCritique int2:version="1" int2:context="Engedal, K., Gjøra, L., Bredholt, T., Thingstad, P., Tangen, G.G., Ernstsen, L. and Selbæk, G. 2021.">
            <int2:source int2:sourceType="Online" int2:sourceTitle="The Geras Solutions Cognitive Test for Assessing Cognitive ... - Springer" int2:sourceUrl="https://link.springer.com/article/10.14283/jpad.2023.9" int2:sourceSnippet="Engedal K, Gjøra L, Bredholt T, Thingstad P, Tangen GG, Ernstsen L, Selbæk G (2021) Sex differences on montreal cognitive assessment and mini-mental state examination scores and the value of self-report of memory problems among community dwelling people 70 years and above: The HUNT study.">
              <int2:suggestions int2:citationType="Inline">
                <int2:suggestion int2:citationStyle="Mla" int2:isIdentical="0">
                  <int2:citationText>(“The Geras Solutions Cognitive Test for Assessing Cognitive ... - Springer”)</int2:citationText>
                </int2:suggestion>
                <int2:suggestion int2:citationStyle="Apa" int2:isIdentical="0">
                  <int2:citationText>(“The Geras Solutions Cognitive Test for Assessing Cognitive ... - Springer”)</int2:citationText>
                </int2:suggestion>
                <int2:suggestion int2:citationStyle="Chicago" int2:isIdentical="0">
                  <int2:citationText>(“The Geras Solutions Cognitive Test for Assessing Cognitive ... - Springer”)</int2:citationText>
                </int2:suggestion>
              </int2:suggestions>
              <int2:suggestions int2:citationType="Full">
                <int2:suggestion int2:citationStyle="Mla" int2:isIdentical="0">
                  <int2:citationText>&lt;i&gt;The Geras Solutions Cognitive Test for Assessing Cognitive ... - Springer&lt;/i&gt;, https://link.springer.com/article/10.14283/jpad.2023.9.</int2:citationText>
                </int2:suggestion>
                <int2:suggestion int2:citationStyle="Apa" int2:isIdentical="0">
                  <int2:citationText>&lt;i&gt;The Geras Solutions Cognitive Test for Assessing Cognitive ... - Springer&lt;/i&gt;. (n.d.). Retrieved from https://link.springer.com/article/10.14283/jpad.2023.9</int2:citationText>
                </int2:suggestion>
                <int2:suggestion int2:citationStyle="Chicago" int2:isIdentical="0">
                  <int2:citationText>“The Geras Solutions Cognitive Test for Assessing Cognitive ... - Springer” n.d., https://link.springer.com/article/10.14283/jpad.2023.9.</int2:citationText>
                </int2:suggestion>
              </int2:suggestions>
            </int2:source>
            <int2:source int2:sourceType="Online" int2:sourceTitle="OUH - Dept of Geriatric Medicine" int2:sourceUrl="https://www.ous-research.no/home/dgm/Group+members/12919" int2:sourceSnippet="Engedal K, Gjøra L, Bredholt T, Thingstad P, Tangen GG, Ernstsen L, Selbæk G (2021) Sex Differences on Montreal Cognitive Assessment and Mini-Mental State Examination Scores and the Value of Self-Report of Memory Problems among Community Dwelling People 70 Years and above: The HUNT Study Dement Geriatr Cogn Disord, 50 (1), 74-84 DOI 10.1159 ...">
              <int2:suggestions int2:citationType="Inline">
                <int2:suggestion int2:citationStyle="Mla" int2:isIdentical="0">
                  <int2:citationText>(“OUH - Dept of Geriatric Medicine”)</int2:citationText>
                </int2:suggestion>
                <int2:suggestion int2:citationStyle="Apa" int2:isIdentical="0">
                  <int2:citationText>(“OUH - Dept of Geriatric Medicine”)</int2:citationText>
                </int2:suggestion>
                <int2:suggestion int2:citationStyle="Chicago" int2:isIdentical="0">
                  <int2:citationText>(“OUH - Dept of Geriatric Medicine”)</int2:citationText>
                </int2:suggestion>
              </int2:suggestions>
              <int2:suggestions int2:citationType="Full">
                <int2:suggestion int2:citationStyle="Mla" int2:isIdentical="0">
                  <int2:citationText>&lt;i&gt;OUH - Dept of Geriatric Medicine&lt;/i&gt;, https://www.ous-research.no/home/dgm/Group+members/12919.</int2:citationText>
                </int2:suggestion>
                <int2:suggestion int2:citationStyle="Apa" int2:isIdentical="0">
                  <int2:citationText>&lt;i&gt;OUH - Dept of Geriatric Medicine&lt;/i&gt;. (n.d.). Retrieved from https://www.ous-research.no/home/dgm/Group+members/12919</int2:citationText>
                </int2:suggestion>
                <int2:suggestion int2:citationStyle="Chicago" int2:isIdentical="0">
                  <int2:citationText>“OUH - Dept of Geriatric Medicine” n.d., https://www.ous-research.no/home/dgm/Group+members/12919.</int2:citationText>
                </int2:suggestion>
              </int2:suggestions>
            </int2:source>
            <int2:source int2:sourceType="Online" int2:sourceTitle="(PDF) The Geras Solutions Cognitive Test for Assessing Cognitive ..." int2:sourceUrl="https://www.researchgate.net/publication/367105862_The_Geras_Solutions_Cognitive_Test_for_Assessing_Cognitive_Impairment_Normative_Data_from_a_Population-Based_Cohort" int2:sourceSnippet="Engedal K, Gjøra L, Bredholt T, Thingstad P, Tangen GG, Ernstsen L, Selbæk G (2021) Sex differences on montreal cognitive assessment and mini-mental state examination scores and the value of ...">
              <int2:suggestions int2:citationType="Inline">
                <int2:suggestion int2:citationStyle="Mla" int2:isIdentical="0">
                  <int2:citationText>(“(PDF) The Geras Solutions Cognitive Test for Assessing Cognitive ...”)</int2:citationText>
                </int2:suggestion>
                <int2:suggestion int2:citationStyle="Apa" int2:isIdentical="0">
                  <int2:citationText>(“(PDF) The Geras Solutions Cognitive Test for Assessing Cognitive ...”)</int2:citationText>
                </int2:suggestion>
                <int2:suggestion int2:citationStyle="Chicago" int2:isIdentical="0">
                  <int2:citationText>(“(PDF) The Geras Solutions Cognitive Test for Assessing Cognitive ...”)</int2:citationText>
                </int2:suggestion>
              </int2:suggestions>
              <int2:suggestions int2:citationType="Full">
                <int2:suggestion int2:citationStyle="Mla" int2:isIdentical="0">
                  <int2:citationText>&lt;i&gt;(PDF) The Geras Solutions Cognitive Test for Assessing Cognitive ...&lt;/i&gt;, https://www.researchgate.net/publication/367105862_The_Geras_Solutions_Cognitive_Test_for_Assessing_Cognitive_Impairment_Normative_Data_from_a_Population-Based_Cohort.</int2:citationText>
                </int2:suggestion>
                <int2:suggestion int2:citationStyle="Apa" int2:isIdentical="0">
                  <int2:citationText>&lt;i&gt;(PDF) The Geras Solutions Cognitive Test for Assessing Cognitive ...&lt;/i&gt;. (n.d.). Retrieved from https://www.researchgate.net/publication/367105862_The_Geras_Solutions_Cognitive_Test_for_Assessing_Cognitive_Impairment_Normative_Data_from_a_Population-Based_Cohort</int2:citationText>
                </int2:suggestion>
                <int2:suggestion int2:citationStyle="Chicago" int2:isIdentical="0">
                  <int2:citationText>“(PDF) The Geras Solutions Cognitive Test for Assessing Cognitive ...” n.d., https://www.researchgate.net/publication/367105862_The_Geras_Solutions_Cognitive_Test_for_Assessing_Cognitive_Impairment_Normative_Data_from_a_Population-Based_Cohort.</int2:citationText>
                </int2:suggestion>
              </int2:suggestions>
            </int2:source>
          </int2:similarityCritique>
        </oel:ext>
      </int2:extLst>
    </int2:bookmark>
    <int2:bookmark int2:bookmarkName="_Int_vxf9j7Rm" int2:invalidationBookmarkName="" int2:hashCode="TkFa0++nOkBgwY" int2:id="KoGeK0sl">
      <int2:extLst>
        <oel:ext uri="426473B9-03D8-482F-96C9-C2C85392BACA">
          <int2:similarityCritique int2:version="1" int2:context="A person-centered approach to home and community-based services outcome measurement.">
            <int2:source int2:sourceType="Online" int2:sourceTitle="Corrigendum: A person-centered approach to home and community-based ..." int2:sourceUrl="https://www.researchgate.net/publication/370426728_Corrigendum_A_person-centered_approach_to_home_and_community-based_services_outcome_measurement/fulltext/645feedbfbaf5b27a4c50047/Corrigendum-A-person-centered-approach-to-home-and-community-based-services-outcome-measurement.pdf" int2:sourceSnippet="Roberts MA and Abery BH (2023) Corrigendum: A person-centered approach to home and community-based services outcome measurement. Front. Rehabil. Sci. 4:1192058. doi: 10.3389/fresc.2023.1192058">
              <int2:suggestions int2:citationType="Inline">
                <int2:suggestion int2:citationStyle="Mla" int2:isIdentical="1">
                  <int2:citationText>(“Corrigendum: A person-centered approach to home and community-based ...”)</int2:citationText>
                </int2:suggestion>
                <int2:suggestion int2:citationStyle="Apa" int2:isIdentical="1">
                  <int2:citationText>(“Corrigendum: A person-centered approach to home and community-based ...”)</int2:citationText>
                </int2:suggestion>
                <int2:suggestion int2:citationStyle="Chicago" int2:isIdentical="1">
                  <int2:citationText>(“Corrigendum: A person-centered approach to home and community-based ...”)</int2:citationText>
                </int2:suggestion>
              </int2:suggestions>
              <int2:suggestions int2:citationType="Full">
                <int2:suggestion int2:citationStyle="Mla" int2:isIdentical="1">
                  <int2:citationText>&lt;i&gt;Corrigendum: A person-centered approach to home and community-based ...&lt;/i&gt;, https://www.researchgate.net/publication/370426728_Corrigendum_A_person-centered_approach_to_home_and_community-based_services_outcome_measurement/fulltext/645feedbfbaf5b27a4c50047/Corrigendum-A-person-centered-approach-to-home-and-community-based-services-outcome-measurement.pdf.</int2:citationText>
                </int2:suggestion>
                <int2:suggestion int2:citationStyle="Apa" int2:isIdentical="1">
                  <int2:citationText>&lt;i&gt;Corrigendum: A person-centered approach to home and community-based ...&lt;/i&gt;. (n.d.). Retrieved from https://www.researchgate.net/publication/370426728_Corrigendum_A_person-centered_approach_to_home_and_community-based_services_outcome_measurement/fulltext/645feedbfbaf5b27a4c50047/Corrigendum-A-person-centered-approach-to-home-and-community-based-services-outcome-measurement.pdf</int2:citationText>
                </int2:suggestion>
                <int2:suggestion int2:citationStyle="Chicago" int2:isIdentical="1">
                  <int2:citationText>“Corrigendum: A person-centered approach to home and community-based ...” n.d., https://www.researchgate.net/publication/370426728_Corrigendum_A_person-centered_approach_to_home_and_community-based_services_outcome_measurement/fulltext/645feedbfbaf5b27a4c50047/Corrigendum-A-person-centered-approach-to-home-and-community-based-services-outcome-measurement.pdf.</int2:citationText>
                </int2:suggestion>
              </int2:suggestions>
            </int2:source>
            <int2:source int2:sourceType="Online" int2:sourceTitle="Corrigendum: A person-centered approach to home and community-based ..." int2:sourceUrl="https://pubmed.ncbi.nlm.nih.gov/37124674/" int2:sourceSnippet="Corrigendum: A person-centered approach to home and community-based services outcome measurement Front Rehabil Sci. 2023 Apr 12;4:1192058. doi: 10.3389/fresc.2023.1192058. eCollection 2023. Authors Matthew A Roberts 1 , Brian H Abery 1 Affiliation 1 ...">
              <int2:suggestions int2:citationType="Inline">
                <int2:suggestion int2:citationStyle="Mla" int2:isIdentical="0">
                  <int2:citationText>(“Corrigendum: A person-centered approach to home and community-based ...”)</int2:citationText>
                </int2:suggestion>
                <int2:suggestion int2:citationStyle="Apa" int2:isIdentical="0">
                  <int2:citationText>(“Corrigendum: A person-centered approach to home and community-based ...”)</int2:citationText>
                </int2:suggestion>
                <int2:suggestion int2:citationStyle="Chicago" int2:isIdentical="0">
                  <int2:citationText>(“Corrigendum: A person-centered approach to home and community-based ...”)</int2:citationText>
                </int2:suggestion>
              </int2:suggestions>
              <int2:suggestions int2:citationType="Full">
                <int2:suggestion int2:citationStyle="Mla" int2:isIdentical="0">
                  <int2:citationText>&lt;i&gt;Corrigendum: A person-centered approach to home and community-based ...&lt;/i&gt;, https://pubmed.ncbi.nlm.nih.gov/37124674/.</int2:citationText>
                </int2:suggestion>
                <int2:suggestion int2:citationStyle="Apa" int2:isIdentical="0">
                  <int2:citationText>&lt;i&gt;Corrigendum: A person-centered approach to home and community-based ...&lt;/i&gt;. (n.d.). Retrieved from https://pubmed.ncbi.nlm.nih.gov/37124674/</int2:citationText>
                </int2:suggestion>
                <int2:suggestion int2:citationStyle="Chicago" int2:isIdentical="0">
                  <int2:citationText>“Corrigendum: A person-centered approach to home and community-based ...” n.d., https://pubmed.ncbi.nlm.nih.gov/37124674/.</int2:citationText>
                </int2:suggestion>
              </int2:suggestions>
            </int2:source>
            <int2:source int2:sourceType="Online" int2:sourceTitle="Corrigendum: A person-centered approach to home and community-based ..." int2:sourceUrl="https://www.researchgate.net/publication/370426728_Corrigendum_A_person-centered_approach_to_home_and_community-based_services_outcome_measurement" int2:sourceSnippet="PDF | [This corrects the article DOI: 10.3389/fresc.2023.1056530.]. | Find, read and cite all the research you need on ResearchGate">
              <int2:suggestions int2:citationType="Inline">
                <int2:suggestion int2:citationStyle="Mla" int2:isIdentical="0">
                  <int2:citationText>(“Corrigendum: A person-centered approach to home and community-based ...”)</int2:citationText>
                </int2:suggestion>
                <int2:suggestion int2:citationStyle="Apa" int2:isIdentical="0">
                  <int2:citationText>(“Corrigendum: A person-centered approach to home and community-based ...”)</int2:citationText>
                </int2:suggestion>
                <int2:suggestion int2:citationStyle="Chicago" int2:isIdentical="0">
                  <int2:citationText>(“Corrigendum: A person-centered approach to home and community-based ...”)</int2:citationText>
                </int2:suggestion>
              </int2:suggestions>
              <int2:suggestions int2:citationType="Full">
                <int2:suggestion int2:citationStyle="Mla" int2:isIdentical="0">
                  <int2:citationText>&lt;i&gt;Corrigendum: A person-centered approach to home and community-based ...&lt;/i&gt;, https://www.researchgate.net/publication/370426728_Corrigendum_A_person-centered_approach_to_home_and_community-based_services_outcome_measurement.</int2:citationText>
                </int2:suggestion>
                <int2:suggestion int2:citationStyle="Apa" int2:isIdentical="0">
                  <int2:citationText>&lt;i&gt;Corrigendum: A person-centered approach to home and community-based ...&lt;/i&gt;. (n.d.). Retrieved from https://www.researchgate.net/publication/370426728_Corrigendum_A_person-centered_approach_to_home_and_community-based_services_outcome_measurement</int2:citationText>
                </int2:suggestion>
                <int2:suggestion int2:citationStyle="Chicago" int2:isIdentical="0">
                  <int2:citationText>“Corrigendum: A person-centered approach to home and community-based ...” n.d., https://www.researchgate.net/publication/370426728_Corrigendum_A_person-centered_approach_to_home_and_community-based_services_outcome_measurement.</int2:citationText>
                </int2:suggestion>
              </int2:suggestions>
            </int2:source>
          </int2:similarityCritique>
        </oel:ext>
      </int2:extLst>
    </int2:bookmark>
    <int2:bookmark int2:bookmarkName="_Int_iQl6uqHr" int2:invalidationBookmarkName="" int2:hashCode="HYxQ77aW7CD/Sz" int2:id="Og5PazzE">
      <int2:extLst>
        <oel:ext uri="426473B9-03D8-482F-96C9-C2C85392BACA">
          <int2:similarityCritique int2:version="1" int2:context="Biomarkers of Alzheimer’s Disease: Past, Present and Future Clinical Use.">
            <int2:source int2:sourceType="Online" int2:sourceTitle="Blood-based biomarkers for Alzheimer's disease: towards clinical ..." int2:sourceUrl="https://www.sciencedirect.com/science/article/abs/pii/S1474442221003616" int2:sourceSnippet="Biomarkers of Alzheimer's disease: Past, present and future clinical use. 2023, Biomarkers in Neuropsychiatry. Show abstract. Alzheimer’s disease (AD) is an age-related neurodegenerative disease and the leading cause of dementia worldwide. AD is associated with several neuropathologic changes including the progressive accumulation of ...">
              <int2:suggestions int2:citationType="Inline">
                <int2:suggestion int2:citationStyle="Mla" int2:isIdentical="1">
                  <int2:citationText>(“Blood-based biomarkers for Alzheimer's disease: towards clinical ...”)</int2:citationText>
                </int2:suggestion>
                <int2:suggestion int2:citationStyle="Apa" int2:isIdentical="1">
                  <int2:citationText>(“Blood-based biomarkers for Alzheimer's disease: towards clinical ...”)</int2:citationText>
                </int2:suggestion>
                <int2:suggestion int2:citationStyle="Chicago" int2:isIdentical="1">
                  <int2:citationText>(“Blood-based biomarkers for Alzheimer's disease: towards clinical ...”)</int2:citationText>
                </int2:suggestion>
              </int2:suggestions>
              <int2:suggestions int2:citationType="Full">
                <int2:suggestion int2:citationStyle="Mla" int2:isIdentical="1">
                  <int2:citationText>&lt;i&gt;Blood-based biomarkers for Alzheimer's disease: towards clinical ...&lt;/i&gt;, https://www.sciencedirect.com/science/article/abs/pii/S1474442221003616.</int2:citationText>
                </int2:suggestion>
                <int2:suggestion int2:citationStyle="Apa" int2:isIdentical="1">
                  <int2:citationText>&lt;i&gt;Blood-based biomarkers for Alzheimer's disease: towards clinical ...&lt;/i&gt;. (n.d.). Retrieved from https://www.sciencedirect.com/science/article/abs/pii/S1474442221003616</int2:citationText>
                </int2:suggestion>
                <int2:suggestion int2:citationStyle="Chicago" int2:isIdentical="1">
                  <int2:citationText>“Blood-based biomarkers for Alzheimer's disease: towards clinical ...” n.d., https://www.sciencedirect.com/science/article/abs/pii/S1474442221003616.</int2:citationText>
                </int2:suggestion>
              </int2:suggestions>
            </int2:source>
            <int2:source int2:sourceType="Online" int2:sourceTitle="Biomarkers of Alzheimer’s Disease: Past, Present and ... - ResearchGate" int2:sourceUrl="https://www.researchgate.net/publication/370113304_Biomarkers_of_Alzheimer's_Disease_Past_Present_and_Future_Clinical_Use" int2:sourceSnippet="Download Citation | On Apr 1, 2023, Joanna E. Georgakas and others published Biomarkers of Alzheimer’s Disease: Past, Present and Future Clinical Use | Find, read and cite all the research you ...">
              <int2:suggestions int2:citationType="Inline">
                <int2:suggestion int2:citationStyle="Mla" int2:isIdentical="0">
                  <int2:citationText>(“Biomarkers of Alzheimer’s Disease: Past, Present and ... - ResearchGate”)</int2:citationText>
                </int2:suggestion>
                <int2:suggestion int2:citationStyle="Apa" int2:isIdentical="0">
                  <int2:citationText>(“Biomarkers of Alzheimer’s Disease: Past, Present and ... - ResearchGate”)</int2:citationText>
                </int2:suggestion>
                <int2:suggestion int2:citationStyle="Chicago" int2:isIdentical="0">
                  <int2:citationText>(“Biomarkers of Alzheimer’s Disease: Past, Present and ... - ResearchGate”)</int2:citationText>
                </int2:suggestion>
              </int2:suggestions>
              <int2:suggestions int2:citationType="Full">
                <int2:suggestion int2:citationStyle="Mla" int2:isIdentical="0">
                  <int2:citationText>&lt;i&gt;Biomarkers of Alzheimer’s Disease: Past, Present and ... - ResearchGate&lt;/i&gt;, https://www.researchgate.net/publication/370113304_Biomarkers_of_Alzheimer's_Disease_Past_Present_and_Future_Clinical_Use.</int2:citationText>
                </int2:suggestion>
                <int2:suggestion int2:citationStyle="Apa" int2:isIdentical="0">
                  <int2:citationText>&lt;i&gt;Biomarkers of Alzheimer’s Disease: Past, Present and ... - ResearchGate&lt;/i&gt;. (n.d.). Retrieved from https://www.researchgate.net/publication/370113304_Biomarkers_of_Alzheimer's_Disease_Past_Present_and_Future_Clinical_Use</int2:citationText>
                </int2:suggestion>
                <int2:suggestion int2:citationStyle="Chicago" int2:isIdentical="0">
                  <int2:citationText>“Biomarkers of Alzheimer’s Disease: Past, Present and ... - ResearchGate” n.d., https://www.researchgate.net/publication/370113304_Biomarkers_of_Alzheimer's_Disease_Past_Present_and_Future_Clinical_Use.</int2:citationText>
                </int2:suggestion>
              </int2:suggestions>
            </int2:source>
          </int2:similarityCritique>
        </oel:ext>
      </int2:extLst>
    </int2:bookmark>
    <int2:bookmark int2:bookmarkName="_Int_EMNWD4kW" int2:invalidationBookmarkName="" int2:hashCode="0LKEUoYbxSlnIH" int2:id="W6tiL6Si">
      <int2:extLst>
        <oel:ext uri="426473B9-03D8-482F-96C9-C2C85392BACA">
          <int2:similarityCritique int2:version="1" int2:context="Current state of digital biomarker technologies for real-life, home-based monitoring of cognitive function for mild cognitive impairment to mild Alzheimer disease and implications for clinical care: systematic review.">
            <int2:source int2:sourceType="Online" int2:sourceTitle="Current State of Digital Biomarker Technologies for Real-Life, Home ..." int2:sourceUrl="https://europepmc.org/article/MED/31471958" int2:sourceSnippet="Current State of Digital Biomarker Technologies for Real-Life, Home-Based Monitoring of Cognitive Function for Mild Cognitive Impairment to Mild Alzheimer Disease and Implications for Clinical Care: Systematic Review.">
              <int2:suggestions int2:citationType="Inline">
                <int2:suggestion int2:citationStyle="Mla" int2:isIdentical="1">
                  <int2:citationText>(“Current State of Digital Biomarker Technologies for Real-Life, Home ...”)</int2:citationText>
                </int2:suggestion>
                <int2:suggestion int2:citationStyle="Apa" int2:isIdentical="1">
                  <int2:citationText>(“Current State of Digital Biomarker Technologies for Real-Life, Home ...”)</int2:citationText>
                </int2:suggestion>
                <int2:suggestion int2:citationStyle="Chicago" int2:isIdentical="1">
                  <int2:citationText>(“Current State of Digital Biomarker Technologies for Real-Life, Home ...”)</int2:citationText>
                </int2:suggestion>
              </int2:suggestions>
              <int2:suggestions int2:citationType="Full">
                <int2:suggestion int2:citationStyle="Mla" int2:isIdentical="1">
                  <int2:citationText>&lt;i&gt;Current State of Digital Biomarker Technologies for Real-Life, Home ...&lt;/i&gt;, https://europepmc.org/article/MED/31471958.</int2:citationText>
                </int2:suggestion>
                <int2:suggestion int2:citationStyle="Apa" int2:isIdentical="1">
                  <int2:citationText>&lt;i&gt;Current State of Digital Biomarker Technologies for Real-Life, Home ...&lt;/i&gt;. (n.d.). Retrieved from https://europepmc.org/article/MED/31471958</int2:citationText>
                </int2:suggestion>
                <int2:suggestion int2:citationStyle="Chicago" int2:isIdentical="1">
                  <int2:citationText>“Current State of Digital Biomarker Technologies for Real-Life, Home ...” n.d., https://europepmc.org/article/MED/31471958.</int2:citationText>
                </int2:suggestion>
              </int2:suggestions>
            </int2:source>
            <int2:source int2:sourceType="Online" int2:sourceTitle="Current state of digital biomarker technologies for real-life, home ..." int2:sourceUrl="https://ohsu.elsevierpure.com/en/publications/current-state-of-digital-biomarker-technologies-for-real-life-hom" int2:sourceSnippet="Current state of digital biomarker technologies for real-life, home-based monitoring of cognitive function for mild cognitive impairment to mild Alzheimer disease and implications for clinical care: Systematic review. / Piau, Antoine; Wild, Katherine; Mattek, Nora et al. In: Journal of medical Internet research, Vol. 21, No. 8, e12785, 01.08.2019.">
              <int2:suggestions int2:citationType="Inline">
                <int2:suggestion int2:citationStyle="Mla" int2:isIdentical="1">
                  <int2:citationText>(“Current state of digital biomarker technologies for real-life, home ...”)</int2:citationText>
                </int2:suggestion>
                <int2:suggestion int2:citationStyle="Apa" int2:isIdentical="1">
                  <int2:citationText>(“Current state of digital biomarker technologies for real-life, home ...”)</int2:citationText>
                </int2:suggestion>
                <int2:suggestion int2:citationStyle="Chicago" int2:isIdentical="1">
                  <int2:citationText>(“Current state of digital biomarker technologies for real-life, home ...”)</int2:citationText>
                </int2:suggestion>
              </int2:suggestions>
              <int2:suggestions int2:citationType="Full">
                <int2:suggestion int2:citationStyle="Mla" int2:isIdentical="1">
                  <int2:citationText>&lt;i&gt;Current state of digital biomarker technologies for real-life, home ...&lt;/i&gt;, https://ohsu.elsevierpure.com/en/publications/current-state-of-digital-biomarker-technologies-for-real-life-hom.</int2:citationText>
                </int2:suggestion>
                <int2:suggestion int2:citationStyle="Apa" int2:isIdentical="1">
                  <int2:citationText>&lt;i&gt;Current state of digital biomarker technologies for real-life, home ...&lt;/i&gt;. (n.d.). Retrieved from https://ohsu.elsevierpure.com/en/publications/current-state-of-digital-biomarker-technologies-for-real-life-hom</int2:citationText>
                </int2:suggestion>
                <int2:suggestion int2:citationStyle="Chicago" int2:isIdentical="1">
                  <int2:citationText>“Current state of digital biomarker technologies for real-life, home ...” n.d., https://ohsu.elsevierpure.com/en/publications/current-state-of-digital-biomarker-technologies-for-real-life-hom.</int2:citationText>
                </int2:suggestion>
              </int2:suggestions>
            </int2:source>
            <int2:source int2:sourceType="Online" int2:sourceTitle="Smart home applications for cognitive health of older adults" int2:sourceUrl="https://www.sciencedirect.com/science/article/pii/B9780323851732000072" int2:sourceSnippet="To define evidence-based recommendations for designing smart home applications for cognitive health of older adults. 6.1. ... Current state of digital biomarker technologies for real-life, home-based monitoring of cognitive function for mild cognitive impairment to mild Alzheimer disease and implications for clinical care: systematic review.">
              <int2:suggestions int2:citationType="Inline">
                <int2:suggestion int2:citationStyle="Mla" int2:isIdentical="1">
                  <int2:citationText>(“Smart home applications for cognitive health of older adults”)</int2:citationText>
                </int2:suggestion>
                <int2:suggestion int2:citationStyle="Apa" int2:isIdentical="1">
                  <int2:citationText>(“Smart home applications for cognitive health of older adults”)</int2:citationText>
                </int2:suggestion>
                <int2:suggestion int2:citationStyle="Chicago" int2:isIdentical="1">
                  <int2:citationText>(“Smart home applications for cognitive health of older adults”)</int2:citationText>
                </int2:suggestion>
              </int2:suggestions>
              <int2:suggestions int2:citationType="Full">
                <int2:suggestion int2:citationStyle="Mla" int2:isIdentical="1">
                  <int2:citationText>&lt;i&gt;Smart home applications for cognitive health of older adults&lt;/i&gt;, https://www.sciencedirect.com/science/article/pii/B9780323851732000072.</int2:citationText>
                </int2:suggestion>
                <int2:suggestion int2:citationStyle="Apa" int2:isIdentical="1">
                  <int2:citationText>&lt;i&gt;Smart home applications for cognitive health of older adults&lt;/i&gt;. (n.d.). Retrieved from https://www.sciencedirect.com/science/article/pii/B9780323851732000072</int2:citationText>
                </int2:suggestion>
                <int2:suggestion int2:citationStyle="Chicago" int2:isIdentical="1">
                  <int2:citationText>“Smart home applications for cognitive health of older adults” n.d., https://www.sciencedirect.com/science/article/pii/B9780323851732000072.</int2:citationText>
                </int2:suggestion>
              </int2:suggestions>
            </int2:source>
          </int2:similarityCritique>
        </oel:ext>
      </int2:extLst>
    </int2:bookmark>
    <int2:bookmark int2:bookmarkName="_Int_3tFcnbUZ" int2:invalidationBookmarkName="" int2:hashCode="J8uf7GeNQvKRIZ" int2:id="bzrx45gH">
      <int2:extLst>
        <oel:ext uri="426473B9-03D8-482F-96C9-C2C85392BACA">
          <int2:similarityCritique int2:version="1" int2:context="Caregiver burden among informal caregivers in the largest specialized palliative care unit in Malaysia: a cross sectional study.">
            <int2:source int2:sourceType="Online" int2:sourceTitle="Caregiver burden among family caregivers of incurable cancer patients ..." int2:sourceUrl="https://www.ncbi.nlm.nih.gov/pmc/articles/PMC8522156/" int2:sourceSnippet="Ahmad Zubaidi ZS, Ariffin F, Oun CTC, Katiman D. Caregiver burden among informal caregivers in the largest specialized palliative care unit in Malaysia: a cross sectional study. BMC Palliat Care. 2020; 19 (1):186. doi: 10.1186/s12904-020-00691-1. [PMC free article] [Google Scholar]">
              <int2:suggestions int2:citationType="Inline">
                <int2:suggestion int2:citationStyle="Mla" int2:isIdentical="1">
                  <int2:citationText>(“Caregiver burden among family caregivers of incurable cancer patients ...”)</int2:citationText>
                </int2:suggestion>
                <int2:suggestion int2:citationStyle="Apa" int2:isIdentical="1">
                  <int2:citationText>(“Caregiver burden among family caregivers of incurable cancer patients ...”)</int2:citationText>
                </int2:suggestion>
                <int2:suggestion int2:citationStyle="Chicago" int2:isIdentical="1">
                  <int2:citationText>(“Caregiver burden among family caregivers of incurable cancer patients ...”)</int2:citationText>
                </int2:suggestion>
              </int2:suggestions>
              <int2:suggestions int2:citationType="Full">
                <int2:suggestion int2:citationStyle="Mla" int2:isIdentical="1">
                  <int2:citationText>&lt;i&gt;Caregiver burden among family caregivers of incurable cancer patients ...&lt;/i&gt;, https://www.ncbi.nlm.nih.gov/pmc/articles/PMC8522156/.</int2:citationText>
                </int2:suggestion>
                <int2:suggestion int2:citationStyle="Apa" int2:isIdentical="1">
                  <int2:citationText>&lt;i&gt;Caregiver burden among family caregivers of incurable cancer patients ...&lt;/i&gt;. (n.d.). Retrieved from https://www.ncbi.nlm.nih.gov/pmc/articles/PMC8522156/</int2:citationText>
                </int2:suggestion>
                <int2:suggestion int2:citationStyle="Chicago" int2:isIdentical="1">
                  <int2:citationText>“Caregiver burden among family caregivers of incurable cancer patients ...” n.d., https://www.ncbi.nlm.nih.gov/pmc/articles/PMC8522156/.</int2:citationText>
                </int2:suggestion>
              </int2:suggestions>
            </int2:source>
            <int2:source int2:sourceType="Online" int2:sourceTitle="Caregiver burden among informal caregivers in the largest specialized ..." int2:sourceUrl="https://ichgcp.net/clinical-trials-registry/publications/16013-caregiver-burden-among-informal-caregivers-in-the-largest-specialized-palliative-care-unit-in" int2:sourceSnippet="Ahmad Zubaidi ZS, Ariffin F, Oun CTC, Katiman D. Caregiver burden among informal caregivers in the largest specialized palliative care unit in Malaysia: a cross sectional study. BMC Palliat Care. 2020 Dec 8;19(1):186. doi: 10.1186/s12904-020-00691-1.">
              <int2:suggestions int2:citationType="Inline">
                <int2:suggestion int2:citationStyle="Mla" int2:isIdentical="1">
                  <int2:citationText>(“Caregiver burden among informal caregivers in the largest specialized ...”)</int2:citationText>
                </int2:suggestion>
                <int2:suggestion int2:citationStyle="Apa" int2:isIdentical="1">
                  <int2:citationText>(“Caregiver burden among informal caregivers in the largest specialized ...”)</int2:citationText>
                </int2:suggestion>
                <int2:suggestion int2:citationStyle="Chicago" int2:isIdentical="1">
                  <int2:citationText>(“Caregiver burden among informal caregivers in the largest specialized ...”)</int2:citationText>
                </int2:suggestion>
              </int2:suggestions>
              <int2:suggestions int2:citationType="Full">
                <int2:suggestion int2:citationStyle="Mla" int2:isIdentical="1">
                  <int2:citationText>&lt;i&gt;Caregiver burden among informal caregivers in the largest specialized ...&lt;/i&gt;, https://ichgcp.net/clinical-trials-registry/publications/16013-caregiver-burden-among-informal-caregivers-in-the-largest-specialized-palliative-care-unit-in.</int2:citationText>
                </int2:suggestion>
                <int2:suggestion int2:citationStyle="Apa" int2:isIdentical="1">
                  <int2:citationText>&lt;i&gt;Caregiver burden among informal caregivers in the largest specialized ...&lt;/i&gt;. (n.d.). Retrieved from https://ichgcp.net/clinical-trials-registry/publications/16013-caregiver-burden-among-informal-caregivers-in-the-largest-specialized-palliative-care-unit-in</int2:citationText>
                </int2:suggestion>
                <int2:suggestion int2:citationStyle="Chicago" int2:isIdentical="1">
                  <int2:citationText>“Caregiver burden among informal caregivers in the largest specialized ...” n.d., https://ichgcp.net/clinical-trials-registry/publications/16013-caregiver-burden-among-informal-caregivers-in-the-largest-specialized-palliative-care-unit-in.</int2:citationText>
                </int2:suggestion>
              </int2:suggestions>
            </int2:source>
            <int2:source int2:sourceType="Online" int2:sourceTitle="Caregiver burden among informal caregivers in the largest specialized ..." int2:sourceUrl="https://pubmed.ncbi.nlm.nih.gov/33292214/" int2:sourceSnippet="Background: Informal caregivers (IC) are often overshadowed by the attention required by the terminally ill. This study aims to reveal the estimated proportion of caregiver burden, psychological manifestations and factors associated with caregiver burden among IC in the largest specialized Palliative Care Unit (PCU) in Malaysia.">
              <int2:suggestions int2:citationType="Inline">
                <int2:suggestion int2:citationStyle="Mla" int2:isIdentical="0">
                  <int2:citationText>(“Caregiver burden among informal caregivers in the largest specialized ...”)</int2:citationText>
                </int2:suggestion>
                <int2:suggestion int2:citationStyle="Apa" int2:isIdentical="0">
                  <int2:citationText>(“Caregiver burden among informal caregivers in the largest specialized ...”)</int2:citationText>
                </int2:suggestion>
                <int2:suggestion int2:citationStyle="Chicago" int2:isIdentical="0">
                  <int2:citationText>(“Caregiver burden among informal caregivers in the largest specialized ...”)</int2:citationText>
                </int2:suggestion>
              </int2:suggestions>
              <int2:suggestions int2:citationType="Full">
                <int2:suggestion int2:citationStyle="Mla" int2:isIdentical="0">
                  <int2:citationText>&lt;i&gt;Caregiver burden among informal caregivers in the largest specialized ...&lt;/i&gt;, https://pubmed.ncbi.nlm.nih.gov/33292214/.</int2:citationText>
                </int2:suggestion>
                <int2:suggestion int2:citationStyle="Apa" int2:isIdentical="0">
                  <int2:citationText>&lt;i&gt;Caregiver burden among informal caregivers in the largest specialized ...&lt;/i&gt;. (n.d.). Retrieved from https://pubmed.ncbi.nlm.nih.gov/33292214/</int2:citationText>
                </int2:suggestion>
                <int2:suggestion int2:citationStyle="Chicago" int2:isIdentical="0">
                  <int2:citationText>“Caregiver burden among informal caregivers in the largest specialized ...” n.d., https://pubmed.ncbi.nlm.nih.gov/33292214/.</int2:citationText>
                </int2:suggestion>
              </int2:suggestions>
            </int2:source>
          </int2:similarityCritique>
        </oel:ext>
      </int2:extLst>
    </int2:bookmark>
    <int2:bookmark int2:bookmarkName="_Int_4xHpglR4" int2:invalidationBookmarkName="" int2:hashCode="JVnDg9KIEJk2S7" int2:id="fWbY5btC">
      <int2:extLst>
        <oel:ext uri="426473B9-03D8-482F-96C9-C2C85392BACA">
          <int2:similarityCritique int2:version="1" int2:context="When Brain Biopsy Solves the Dilemma of Diagnosing Atypical Cerebral Amyoild Angiopathy: A Case Report.">
            <int2:source int2:sourceType="Online" int2:sourceTitle="When Brain Biopsy Solves the Dilemma of Diagnosing Atypical Cerebral ..." int2:sourceUrl="https://amjcaserep.com/abstract/full/idArt/933869" int2:sourceSnippet="When Brain Biopsy Solves the Dilemma of Diagnosing Atypical Cerebral Amyoild Angiopathy: A Case Report. Challenging differential diagnosis, Rare disease. Alia Ali Alokley 12AE*, Foziah J. Alshamrani 3DE, Faisal Mishaal Alabbas 4BE, Saima Nazish 3BE. DOI: 10.12659/AJCR.933869. Am J Case Rep 2021; 22:e933869">
              <int2:suggestions int2:citationType="Inline">
                <int2:suggestion int2:citationStyle="Mla" int2:isIdentical="1">
                  <int2:citationText>(“When Brain Biopsy Solves the Dilemma of Diagnosing Atypical Cerebral ...”)</int2:citationText>
                </int2:suggestion>
                <int2:suggestion int2:citationStyle="Apa" int2:isIdentical="1">
                  <int2:citationText>(“When Brain Biopsy Solves the Dilemma of Diagnosing Atypical Cerebral ...”)</int2:citationText>
                </int2:suggestion>
                <int2:suggestion int2:citationStyle="Chicago" int2:isIdentical="1">
                  <int2:citationText>(“When Brain Biopsy Solves the Dilemma of Diagnosing Atypical Cerebral ...”)</int2:citationText>
                </int2:suggestion>
              </int2:suggestions>
              <int2:suggestions int2:citationType="Full">
                <int2:suggestion int2:citationStyle="Mla" int2:isIdentical="1">
                  <int2:citationText>&lt;i&gt;When Brain Biopsy Solves the Dilemma of Diagnosing Atypical Cerebral ...&lt;/i&gt;, https://amjcaserep.com/abstract/full/idArt/933869.</int2:citationText>
                </int2:suggestion>
                <int2:suggestion int2:citationStyle="Apa" int2:isIdentical="1">
                  <int2:citationText>&lt;i&gt;When Brain Biopsy Solves the Dilemma of Diagnosing Atypical Cerebral ...&lt;/i&gt;. (n.d.). Retrieved from https://amjcaserep.com/abstract/full/idArt/933869</int2:citationText>
                </int2:suggestion>
                <int2:suggestion int2:citationStyle="Chicago" int2:isIdentical="1">
                  <int2:citationText>“When Brain Biopsy Solves the Dilemma of Diagnosing Atypical Cerebral ...” n.d., https://amjcaserep.com/abstract/full/idArt/933869.</int2:citationText>
                </int2:suggestion>
              </int2:suggestions>
            </int2:source>
            <int2:source int2:sourceType="Online" int2:sourceTitle="When Brain Biopsy Solves the Dilemma of Diagnosing Atypical Cerebral ..." int2:sourceUrl="https://europepmc.org/article/PMC/PMC8579063" int2:sourceSnippet="When Brain Biopsy Solves the Dilemma of Diagnosing Atypical Cerebral Amyoild Angiopathy: A Case Report. Alokley AA 1, Alshamrani FJ 2, Alabbas FM 3, Nazish S 2. Author information. Affiliations. 1 author. 1. Department of Neurology, College of Medicine, King Faisal University, Al-Ahsa, Saudi Arabia. ...">
              <int2:suggestions int2:citationType="Inline">
                <int2:suggestion int2:citationStyle="Mla" int2:isIdentical="1">
                  <int2:citationText>(“When Brain Biopsy Solves the Dilemma of Diagnosing Atypical Cerebral ...”)</int2:citationText>
                </int2:suggestion>
                <int2:suggestion int2:citationStyle="Apa" int2:isIdentical="1">
                  <int2:citationText>(“When Brain Biopsy Solves the Dilemma of Diagnosing Atypical Cerebral ...”)</int2:citationText>
                </int2:suggestion>
                <int2:suggestion int2:citationStyle="Chicago" int2:isIdentical="1">
                  <int2:citationText>(“When Brain Biopsy Solves the Dilemma of Diagnosing Atypical Cerebral ...”)</int2:citationText>
                </int2:suggestion>
              </int2:suggestions>
              <int2:suggestions int2:citationType="Full">
                <int2:suggestion int2:citationStyle="Mla" int2:isIdentical="1">
                  <int2:citationText>&lt;i&gt;When Brain Biopsy Solves the Dilemma of Diagnosing Atypical Cerebral ...&lt;/i&gt;, https://europepmc.org/article/PMC/PMC8579063.</int2:citationText>
                </int2:suggestion>
                <int2:suggestion int2:citationStyle="Apa" int2:isIdentical="1">
                  <int2:citationText>&lt;i&gt;When Brain Biopsy Solves the Dilemma of Diagnosing Atypical Cerebral ...&lt;/i&gt;. (n.d.). Retrieved from https://europepmc.org/article/PMC/PMC8579063</int2:citationText>
                </int2:suggestion>
                <int2:suggestion int2:citationStyle="Chicago" int2:isIdentical="1">
                  <int2:citationText>“When Brain Biopsy Solves the Dilemma of Diagnosing Atypical Cerebral ...” n.d., https://europepmc.org/article/PMC/PMC8579063.</int2:citationText>
                </int2:suggestion>
              </int2:suggestions>
            </int2:source>
            <int2:source int2:sourceType="Online" int2:sourceTitle="When brain biopsy solves the dilemma of diagnosing atypical cerebral ..." int2:sourceUrl="https://ksascholar.dri.sa/en/publications/when-brain-biopsy-solves-the-dilemma-of-diagnosing-atypical-cereb" int2:sourceSnippet="When brain biopsy solves the dilemma of diagnosing atypical cerebral amyoild angiopathy: A case report. Alia Ali Alokley, Foziah J. Alshamrani, Saima Nazish. College of Medicine; Imam Abdulrahman Bin Faisal university. Research output: Contribution to journal › Journal article › peer-review.">
              <int2:suggestions int2:citationType="Inline">
                <int2:suggestion int2:citationStyle="Mla" int2:isIdentical="1">
                  <int2:citationText>(“When brain biopsy solves the dilemma of diagnosing atypical cerebral ...”)</int2:citationText>
                </int2:suggestion>
                <int2:suggestion int2:citationStyle="Apa" int2:isIdentical="1">
                  <int2:citationText>(“When brain biopsy solves the dilemma of diagnosing atypical cerebral ...”)</int2:citationText>
                </int2:suggestion>
                <int2:suggestion int2:citationStyle="Chicago" int2:isIdentical="1">
                  <int2:citationText>(“When brain biopsy solves the dilemma of diagnosing atypical cerebral ...”)</int2:citationText>
                </int2:suggestion>
              </int2:suggestions>
              <int2:suggestions int2:citationType="Full">
                <int2:suggestion int2:citationStyle="Mla" int2:isIdentical="1">
                  <int2:citationText>&lt;i&gt;When brain biopsy solves the dilemma of diagnosing atypical cerebral ...&lt;/i&gt;, https://ksascholar.dri.sa/en/publications/when-brain-biopsy-solves-the-dilemma-of-diagnosing-atypical-cereb.</int2:citationText>
                </int2:suggestion>
                <int2:suggestion int2:citationStyle="Apa" int2:isIdentical="1">
                  <int2:citationText>&lt;i&gt;When brain biopsy solves the dilemma of diagnosing atypical cerebral ...&lt;/i&gt;. (n.d.). Retrieved from https://ksascholar.dri.sa/en/publications/when-brain-biopsy-solves-the-dilemma-of-diagnosing-atypical-cereb</int2:citationText>
                </int2:suggestion>
                <int2:suggestion int2:citationStyle="Chicago" int2:isIdentical="1">
                  <int2:citationText>“When brain biopsy solves the dilemma of diagnosing atypical cerebral ...” n.d., https://ksascholar.dri.sa/en/publications/when-brain-biopsy-solves-the-dilemma-of-diagnosing-atypical-cereb.</int2:citationText>
                </int2:suggestion>
              </int2:suggestions>
            </int2:source>
          </int2:similarityCritique>
        </oel:ext>
      </int2:extLst>
    </int2:bookmark>
    <int2:bookmark int2:bookmarkName="_Int_qns3kqUF" int2:invalidationBookmarkName="" int2:hashCode="5gp6ej2W5XP7Et" int2:id="j9GnDP9m">
      <int2:extLst>
        <oel:ext uri="426473B9-03D8-482F-96C9-C2C85392BACA">
          <int2:similarityCritique int2:version="1" int2:context="Piau, A., Wild, K., Mattek, N. and Kaye, J. 2019.">
            <int2:source int2:sourceType="Online" int2:sourceTitle="Intercepting Dementia: Awareness and Innovation as Key Tools" int2:sourceUrl="https://www.frontiersin.org/articles/10.3389/fnagi.2021.730727/full" int2:sourceSnippet="Piau, A., Wild, K., Mattek, N., and Kaye, J. (2019). Current state of digital biomarker technologies for real-life, home-based monitoring of cognitive function for mild cognitive impairment to mild Alzheimer disease and implications for clinical care: systematic review. J. Med.">
              <int2:suggestions int2:citationType="Inline">
                <int2:suggestion int2:citationStyle="Mla" int2:isIdentical="0">
                  <int2:citationText>(“Intercepting Dementia: Awareness and Innovation as Key Tools”)</int2:citationText>
                </int2:suggestion>
                <int2:suggestion int2:citationStyle="Apa" int2:isIdentical="0">
                  <int2:citationText>(“Intercepting Dementia: Awareness and Innovation as Key Tools”)</int2:citationText>
                </int2:suggestion>
                <int2:suggestion int2:citationStyle="Chicago" int2:isIdentical="0">
                  <int2:citationText>(“Intercepting Dementia: Awareness and Innovation as Key Tools”)</int2:citationText>
                </int2:suggestion>
              </int2:suggestions>
              <int2:suggestions int2:citationType="Full">
                <int2:suggestion int2:citationStyle="Mla" int2:isIdentical="0">
                  <int2:citationText>&lt;i&gt;Intercepting Dementia: Awareness and Innovation as Key Tools&lt;/i&gt;, https://www.frontiersin.org/articles/10.3389/fnagi.2021.730727/full.</int2:citationText>
                </int2:suggestion>
                <int2:suggestion int2:citationStyle="Apa" int2:isIdentical="0">
                  <int2:citationText>&lt;i&gt;Intercepting Dementia: Awareness and Innovation as Key Tools&lt;/i&gt;. (n.d.). Retrieved from https://www.frontiersin.org/articles/10.3389/fnagi.2021.730727/full</int2:citationText>
                </int2:suggestion>
                <int2:suggestion int2:citationStyle="Chicago" int2:isIdentical="0">
                  <int2:citationText>“Intercepting Dementia: Awareness and Innovation as Key Tools” n.d., https://www.frontiersin.org/articles/10.3389/fnagi.2021.730727/full.</int2:citationText>
                </int2:suggestion>
              </int2:suggestions>
            </int2:source>
          </int2:similarityCritique>
        </oel:ext>
      </int2:extLst>
    </int2:bookmark>
    <int2:bookmark int2:bookmarkName="_Int_CtPH0zcQ" int2:invalidationBookmarkName="" int2:hashCode="u3TQ1hgPRNzR7O" int2:id="n2yxoxnC">
      <int2:extLst>
        <oel:ext uri="426473B9-03D8-482F-96C9-C2C85392BACA">
          <int2:similarityCritique int2:version="1" int2:context="Event-related telemetry of heart rate for personalized remote monitoring of cognitive functions and stress under conditions of everyday activity.">
            <int2:source int2:sourceType="Online" int2:sourceTitle="A new cognitive clock matching phenotypic and epigenetic ages - Nature" int2:sourceUrl="https://www.nature.com/articles/s41398-022-02123-5" int2:sourceSnippet="Event-related telemetry of heart rate for personalized remote monitoring of cognitive functions and stress under conditions of everyday activity. Sovrem Tehnol V Med. 2019;11:109.">
              <int2:suggestions int2:citationType="Inline">
                <int2:suggestion int2:citationStyle="Mla" int2:isIdentical="1">
                  <int2:citationText>(“A new cognitive clock matching phenotypic and epigenetic ages - Nature”)</int2:citationText>
                </int2:suggestion>
                <int2:suggestion int2:citationStyle="Apa" int2:isIdentical="1">
                  <int2:citationText>(“A new cognitive clock matching phenotypic and epigenetic ages - Nature”)</int2:citationText>
                </int2:suggestion>
                <int2:suggestion int2:citationStyle="Chicago" int2:isIdentical="1">
                  <int2:citationText>(“A new cognitive clock matching phenotypic and epigenetic ages - Nature”)</int2:citationText>
                </int2:suggestion>
              </int2:suggestions>
              <int2:suggestions int2:citationType="Full">
                <int2:suggestion int2:citationStyle="Mla" int2:isIdentical="1">
                  <int2:citationText>&lt;i&gt;A new cognitive clock matching phenotypic and epigenetic ages - Nature&lt;/i&gt;, https://www.nature.com/articles/s41398-022-02123-5.</int2:citationText>
                </int2:suggestion>
                <int2:suggestion int2:citationStyle="Apa" int2:isIdentical="1">
                  <int2:citationText>&lt;i&gt;A new cognitive clock matching phenotypic and epigenetic ages - Nature&lt;/i&gt;. (n.d.). Retrieved from https://www.nature.com/articles/s41398-022-02123-5</int2:citationText>
                </int2:suggestion>
                <int2:suggestion int2:citationStyle="Chicago" int2:isIdentical="1">
                  <int2:citationText>“A new cognitive clock matching phenotypic and epigenetic ages - Nature” n.d., https://www.nature.com/articles/s41398-022-02123-5.</int2:citationText>
                </int2:suggestion>
              </int2:suggestions>
            </int2:source>
            <int2:source int2:sourceType="Online" int2:sourceTitle="Event-Related Telemetry of Heart Rate for Personalized Remote ..." int2:sourceUrl="https://www.semanticscholar.org/paper/Event-Related-Telemetry-of-Heart-Rate-for-Remote-of-Polevaya-Eremin/843567c69937668dd4f0480adbcf66375fdc5cf9" int2:sourceSnippet="@article{Polevaya2019EventRelatedTO, title={Event-Related Telemetry of Heart Rate for Personalized Remote Monitoring of Cognitive Functions and Stress under Conditions of Everyday Activity}, author={S. A. Polevaya and Eugene V. Eremin and Nikita Bulanov and Anastasya V. Bakhchina and Alexander V. Kovalchuk and Sergey Borisovich Parin}, journal ...">
              <int2:suggestions int2:citationType="Inline">
                <int2:suggestion int2:citationStyle="Mla" int2:isIdentical="0">
                  <int2:citationText>(“Event-Related Telemetry of Heart Rate for Personalized Remote ...”)</int2:citationText>
                </int2:suggestion>
                <int2:suggestion int2:citationStyle="Apa" int2:isIdentical="0">
                  <int2:citationText>(“Event-Related Telemetry of Heart Rate for Personalized Remote ...”)</int2:citationText>
                </int2:suggestion>
                <int2:suggestion int2:citationStyle="Chicago" int2:isIdentical="0">
                  <int2:citationText>(“Event-Related Telemetry of Heart Rate for Personalized Remote ...”)</int2:citationText>
                </int2:suggestion>
              </int2:suggestions>
              <int2:suggestions int2:citationType="Full">
                <int2:suggestion int2:citationStyle="Mla" int2:isIdentical="0">
                  <int2:citationText>&lt;i&gt;Event-Related Telemetry of Heart Rate for Personalized Remote ...&lt;/i&gt;, https://www.semanticscholar.org/paper/Event-Related-Telemetry-of-Heart-Rate-for-Remote-of-Polevaya-Eremin/843567c69937668dd4f0480adbcf66375fdc5cf9.</int2:citationText>
                </int2:suggestion>
                <int2:suggestion int2:citationStyle="Apa" int2:isIdentical="0">
                  <int2:citationText>&lt;i&gt;Event-Related Telemetry of Heart Rate for Personalized Remote ...&lt;/i&gt;. (n.d.). Retrieved from https://www.semanticscholar.org/paper/Event-Related-Telemetry-of-Heart-Rate-for-Remote-of-Polevaya-Eremin/843567c69937668dd4f0480adbcf66375fdc5cf9</int2:citationText>
                </int2:suggestion>
                <int2:suggestion int2:citationStyle="Chicago" int2:isIdentical="0">
                  <int2:citationText>“Event-Related Telemetry of Heart Rate for Personalized Remote ...” n.d., https://www.semanticscholar.org/paper/Event-Related-Telemetry-of-Heart-Rate-for-Remote-of-Polevaya-Eremin/843567c69937668dd4f0480adbcf66375fdc5cf9.</int2:citationText>
                </int2:suggestion>
              </int2:suggestions>
            </int2:source>
            <int2:source int2:sourceType="Online" int2:sourceTitle="Event-Related Telemetry of Heart Rate for Personalized Remote ..." int2:sourceUrl="https://www.researchgate.net/publication/332039294_Event-Related_Telemetry_of_Heart_Rate_for_Personalized_Remote_Monitoring_of_Cognitive_Functions_and_Stress_under_Conditions_of_Everyday_Activity" int2:sourceSnippet="Event-Related Telemetry of Heart Rate for Personalized Remote Monitoring of Cognitive Functions and Stress under Conditions of Everyday Activity">
              <int2:suggestions int2:citationType="Inline">
                <int2:suggestion int2:citationStyle="Mla" int2:isIdentical="0">
                  <int2:citationText>(“Event-Related Telemetry of Heart Rate for Personalized Remote ...”)</int2:citationText>
                </int2:suggestion>
                <int2:suggestion int2:citationStyle="Apa" int2:isIdentical="0">
                  <int2:citationText>(“Event-Related Telemetry of Heart Rate for Personalized Remote ...”)</int2:citationText>
                </int2:suggestion>
                <int2:suggestion int2:citationStyle="Chicago" int2:isIdentical="0">
                  <int2:citationText>(“Event-Related Telemetry of Heart Rate for Personalized Remote ...”)</int2:citationText>
                </int2:suggestion>
              </int2:suggestions>
              <int2:suggestions int2:citationType="Full">
                <int2:suggestion int2:citationStyle="Mla" int2:isIdentical="0">
                  <int2:citationText>&lt;i&gt;Event-Related Telemetry of Heart Rate for Personalized Remote ...&lt;/i&gt;, https://www.researchgate.net/publication/332039294_Event-Related_Telemetry_of_Heart_Rate_for_Personalized_Remote_Monitoring_of_Cognitive_Functions_and_Stress_under_Conditions_of_Everyday_Activity.</int2:citationText>
                </int2:suggestion>
                <int2:suggestion int2:citationStyle="Apa" int2:isIdentical="0">
                  <int2:citationText>&lt;i&gt;Event-Related Telemetry of Heart Rate for Personalized Remote ...&lt;/i&gt;. (n.d.). Retrieved from https://www.researchgate.net/publication/332039294_Event-Related_Telemetry_of_Heart_Rate_for_Personalized_Remote_Monitoring_of_Cognitive_Functions_and_Stress_under_Conditions_of_Everyday_Activity</int2:citationText>
                </int2:suggestion>
                <int2:suggestion int2:citationStyle="Chicago" int2:isIdentical="0">
                  <int2:citationText>“Event-Related Telemetry of Heart Rate for Personalized Remote ...” n.d., https://www.researchgate.net/publication/332039294_Event-Related_Telemetry_of_Heart_Rate_for_Personalized_Remote_Monitoring_of_Cognitive_Functions_and_Stress_under_Conditions_of_Everyday_Activity.</int2:citationText>
                </int2:suggestion>
              </int2:suggestions>
            </int2:source>
          </int2:similarityCritique>
        </oel:ext>
      </int2:extLst>
    </int2:bookmark>
    <int2:bookmark int2:bookmarkName="_Int_qsq1zhp7" int2:invalidationBookmarkName="" int2:hashCode="PxUEc52VnZmvR0" int2:id="trUv9oOY">
      <int2:extLst>
        <oel:ext uri="426473B9-03D8-482F-96C9-C2C85392BACA">
          <int2:similarityCritique int2:version="1" int2:context="Incorporating palliative care principles to improve patient care and quality of life in urologic oncology.">
            <int2:source int2:sourceType="Online" int2:sourceTitle="Incorporating palliative care principles to improve patient ... - Nature" int2:sourceUrl="https://www.nature.com/articles/s41585-021-00491-z" int2:sourceSnippet="Nature Reviews Urology thanks J. Bergman, ... Wulff-Burchfield, E.M., Winzelberg, G.S. et al. Incorporating palliative care principles to improve patient care and quality of life in urologic oncology.">
              <int2:suggestions int2:citationType="Inline">
                <int2:suggestion int2:citationStyle="Mla" int2:isIdentical="1">
                  <int2:citationText>(“Incorporating palliative care principles to improve patient ... - Nature”)</int2:citationText>
                </int2:suggestion>
                <int2:suggestion int2:citationStyle="Apa" int2:isIdentical="1">
                  <int2:citationText>(“Incorporating palliative care principles to improve patient ... - Nature”)</int2:citationText>
                </int2:suggestion>
                <int2:suggestion int2:citationStyle="Chicago" int2:isIdentical="1">
                  <int2:citationText>(“Incorporating palliative care principles to improve patient ... - Nature”)</int2:citationText>
                </int2:suggestion>
              </int2:suggestions>
              <int2:suggestions int2:citationType="Full">
                <int2:suggestion int2:citationStyle="Mla" int2:isIdentical="1">
                  <int2:citationText>&lt;i&gt;Incorporating palliative care principles to improve patient ... - Nature&lt;/i&gt;, https://www.nature.com/articles/s41585-021-00491-z.</int2:citationText>
                </int2:suggestion>
                <int2:suggestion int2:citationStyle="Apa" int2:isIdentical="1">
                  <int2:citationText>&lt;i&gt;Incorporating palliative care principles to improve patient ... - Nature&lt;/i&gt;. (n.d.). Retrieved from https://www.nature.com/articles/s41585-021-00491-z</int2:citationText>
                </int2:suggestion>
                <int2:suggestion int2:citationStyle="Chicago" int2:isIdentical="1">
                  <int2:citationText>“Incorporating palliative care principles to improve patient ... - Nature” n.d., https://www.nature.com/articles/s41585-021-00491-z.</int2:citationText>
                </int2:suggestion>
              </int2:suggestions>
            </int2:source>
            <int2:source int2:sourceType="Online" int2:sourceTitle="Public Perceptions of Advance Care Planning, Palliative Care, and ..." int2:sourceUrl="https://www.liebertpub.com/doi/abs/10.1089/jpm.2020.0111" int2:sourceSnippet="Incorporating palliative care principles to improve patient care and quality of life in urologic oncology. 26 July 2021 | Nature Reviews Urology, Vol. 18, No. 10 ... Konrad Fassbender; 13 August 2021 | Journal of Palliative Medicine, Vol. 24, No. 9. A Stakeholder-Driven Qualitative Study to Define High Quality End-of-Life Care for Children With ...">
              <int2:suggestions int2:citationType="Inline">
                <int2:suggestion int2:citationStyle="Mla" int2:isIdentical="1">
                  <int2:citationText>(“Public Perceptions of Advance Care Planning, Palliative Care, and ...”)</int2:citationText>
                </int2:suggestion>
                <int2:suggestion int2:citationStyle="Apa" int2:isIdentical="1">
                  <int2:citationText>(“Public Perceptions of Advance Care Planning, Palliative Care, and ...”)</int2:citationText>
                </int2:suggestion>
                <int2:suggestion int2:citationStyle="Chicago" int2:isIdentical="1">
                  <int2:citationText>(“Public Perceptions of Advance Care Planning, Palliative Care, and ...”)</int2:citationText>
                </int2:suggestion>
              </int2:suggestions>
              <int2:suggestions int2:citationType="Full">
                <int2:suggestion int2:citationStyle="Mla" int2:isIdentical="1">
                  <int2:citationText>&lt;i&gt;Public Perceptions of Advance Care Planning, Palliative Care, and ...&lt;/i&gt;, https://www.liebertpub.com/doi/abs/10.1089/jpm.2020.0111.</int2:citationText>
                </int2:suggestion>
                <int2:suggestion int2:citationStyle="Apa" int2:isIdentical="1">
                  <int2:citationText>&lt;i&gt;Public Perceptions of Advance Care Planning, Palliative Care, and ...&lt;/i&gt;. (n.d.). Retrieved from https://www.liebertpub.com/doi/abs/10.1089/jpm.2020.0111</int2:citationText>
                </int2:suggestion>
                <int2:suggestion int2:citationStyle="Chicago" int2:isIdentical="1">
                  <int2:citationText>“Public Perceptions of Advance Care Planning, Palliative Care, and ...” n.d., https://www.liebertpub.com/doi/abs/10.1089/jpm.2020.0111.</int2:citationText>
                </int2:suggestion>
              </int2:suggestions>
            </int2:source>
            <int2:source int2:sourceType="Online" int2:sourceTitle="Incorporating palliative care principles to improve patient care and quality of life in urologic oncology " int2:sourceUrl="https://pubmed.ncbi.nlm.nih.gov/34312530/" int2:sourceSnippet="Incorporating palliative care principles to improve patient care and quality of life in urologic oncology Nat Rev Urol . 2021 Oct;18(10):623-635. doi: 10.1038/s41585-021-00491-z.">
              <int2:suggestions int2:citationType="Inline">
                <int2:suggestion int2:citationStyle="Mla" int2:isIdentical="0">
                  <int2:citationText>(“Incorporating palliative care principles to improve patient care and quality of life in urologic oncology ”)</int2:citationText>
                </int2:suggestion>
                <int2:suggestion int2:citationStyle="Apa" int2:isIdentical="0">
                  <int2:citationText>(“Incorporating palliative care principles to improve patient care and quality of life in urologic oncology ”)</int2:citationText>
                </int2:suggestion>
                <int2:suggestion int2:citationStyle="Chicago" int2:isIdentical="0">
                  <int2:citationText>(“Incorporating palliative care principles to improve patient care and quality of life in urologic oncology ”)</int2:citationText>
                </int2:suggestion>
              </int2:suggestions>
              <int2:suggestions int2:citationType="Full">
                <int2:suggestion int2:citationStyle="Mla" int2:isIdentical="0">
                  <int2:citationText>&lt;i&gt;Incorporating palliative care principles to improve patient care and quality of life in urologic oncology &lt;/i&gt;, https://pubmed.ncbi.nlm.nih.gov/34312530/.</int2:citationText>
                </int2:suggestion>
                <int2:suggestion int2:citationStyle="Apa" int2:isIdentical="0">
                  <int2:citationText>&lt;i&gt;Incorporating palliative care principles to improve patient care and quality of life in urologic oncology &lt;/i&gt;. (n.d.). Retrieved from https://pubmed.ncbi.nlm.nih.gov/34312530/</int2:citationText>
                </int2:suggestion>
                <int2:suggestion int2:citationStyle="Chicago" int2:isIdentical="0">
                  <int2:citationText>“Incorporating palliative care principles to improve patient care and quality of life in urologic oncology ” n.d., https://pubmed.ncbi.nlm.nih.gov/34312530/.</int2:citationText>
                </int2:suggestion>
              </int2:suggestions>
            </int2:source>
          </int2:similarityCritique>
        </oel:ext>
      </int2:extLst>
    </int2:bookmark>
    <int2:entireDocument int2:id="YkioiFqH">
      <int2:extLst>
        <oel:ext uri="E302BA01-7950-474C-9AD3-286E660C40A8">
          <int2:similaritySummary int2:version="1" int2:runId="1689740831730" int2:tilesCheckedInThisRun="99" int2:totalNumOfTiles="99" int2:similarityAnnotationCount="16" int2:numWords="4077" int2:numFlaggedWords="282"/>
        </oel:ext>
      </int2:extLst>
    </int2:entireDocument>
  </int2:observations>
  <int2:intelligenceSettings/>
  <int2:onDemandWorkflows>
    <int2:onDemandWorkflow int2:type="SimilarityCheck" int2:paragraphVersions="2A171430-289D5292 526E4443-77777777 6B3D9B79-77777777 358268B2-77777777 66F73254-77777777 3452AD2A-77777777 62C9E645-77777777 7693BFE0-6EDB5A1F 1D34FA46-3E9994FD 147219B0-77777777 785028A3-77777777 3633DBCB-77777777 7E83C7D8-77777777 2096A627-77777777 4E70E33C-77777777 5BCA500F-77777777 7B6E326D-77777777 4D917DC7-77777777 619310A2-77777777 61F212C8-77777777 1EC76D22-77777777 63B26919-77777777 4E76C351-77777777 3D2FCF18-77777777 6E28AF4C-77777777 29D9DFCF-77777777 266BE2F0-77777777 13EDE9C1-77777777 292D5F6A-77777777 4CB2383A-77777777 6C23F74A-77777777 3AD2B324-77777777 402F3D3A-77777777 6F4CA90B-77777777 6AFDF611-77777777 2BD5D9BF-77777777 460F39B2-77777777 51253C2D-77777777 1C827460-77777777 53B73B2D-77777777 3765FEF2-77777777 5EF25C55-77777777 7B86E647-24D77198 628E693B-2EE50A10 0C67F24D-77777777 0AC71CBD-77777777 13A62AF2-77777777 68CA46CD-77777777 330B0BDA-77777777 49D27AD1-77777777 2ABE8EDA-77777777 6B7AFC63-77777777 68314ED5-77777777 2610B722-16B046B6 0C3587B8-5457FD99 7CA45403-77777777 473803CE-77777777 4AF6D478-77777777 7A41E93D-77777777 4D9DCDB5-77777777 39E97F08-77777777 4DBB2D6C-77777777 20CA6812-77777777 10073A3B-77777777 0051AC0D-77777777 58420E31-77777777 792752BA-77777777 749DAB7E-77777777 5FC8FFC6-77777777 3D094AA3-77777777 288124C9-77777777 7D6CF720-77777777 58518B19-77777777 4B521D51-77777777 2B6328A9-3F3FCAC3 0DD4594D-75C50E6F 2672A1D0-77777777 16B65CF1-77777777 6D183BC0-77777777 55B9296A-1F9BEEF3 3CEC4C98-6CF0D6D8 500A7129-3C011372 3BA40F08-77777777 1FE17748-77777777 27A9C2AD-77777777 369E1F32-77777777 6B1F8B6A-77777777 343461F0-77777777 589DF48D-77777777 3EBBA030-77777777 3EFD188B-77777777 0EA374CD-77777777 2FC489F5-77777777 21ED394C-77777777 24BBE26A-77777777 56E9D320-77777777 63554B90-77777777 5A40C474-77777777 01BD7AA0-77777777 5D15EF7D-77777777 2D91846D-77777777 4292174C-77777777 7994A64F-77777777 56BD0D86-77777777 2DBCAC04-77777777 3A1FE33B-77777777 745D16BD-77777777 323E355D-77777777 17920F6C-77777777 59666585-77777777 48517D80-77777777 79487DB3-77777777 1C294A5C-77777777 77167E37-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22533"/>
    <w:multiLevelType w:val="hybridMultilevel"/>
    <w:tmpl w:val="A1ACDAEE"/>
    <w:lvl w:ilvl="0" w:tplc="4DE84AA2">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F42DDC"/>
    <w:multiLevelType w:val="hybridMultilevel"/>
    <w:tmpl w:val="3CF03B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665843"/>
    <w:multiLevelType w:val="hybridMultilevel"/>
    <w:tmpl w:val="99920FF4"/>
    <w:lvl w:ilvl="0" w:tplc="4DE84AA2">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F01875"/>
    <w:multiLevelType w:val="multilevel"/>
    <w:tmpl w:val="43F0187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5C5A4045"/>
    <w:multiLevelType w:val="hybridMultilevel"/>
    <w:tmpl w:val="B134BC12"/>
    <w:lvl w:ilvl="0" w:tplc="4DE84AA2">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645BEB"/>
    <w:multiLevelType w:val="hybridMultilevel"/>
    <w:tmpl w:val="0400E048"/>
    <w:lvl w:ilvl="0" w:tplc="4DE84AA2">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E6531C"/>
    <w:multiLevelType w:val="multilevel"/>
    <w:tmpl w:val="62E6531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65D0EA6"/>
    <w:multiLevelType w:val="hybridMultilevel"/>
    <w:tmpl w:val="6DDAC05E"/>
    <w:lvl w:ilvl="0" w:tplc="4DE84AA2">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D81302"/>
    <w:multiLevelType w:val="multilevel"/>
    <w:tmpl w:val="76D81302"/>
    <w:lvl w:ilvl="0">
      <w:start w:val="1"/>
      <w:numFmt w:val="decimal"/>
      <w:lvlText w:val="%1."/>
      <w:lvlJc w:val="left"/>
      <w:pPr>
        <w:ind w:left="36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4035162">
    <w:abstractNumId w:val="3"/>
  </w:num>
  <w:num w:numId="2" w16cid:durableId="654186684">
    <w:abstractNumId w:val="8"/>
  </w:num>
  <w:num w:numId="3" w16cid:durableId="410784532">
    <w:abstractNumId w:val="6"/>
  </w:num>
  <w:num w:numId="4" w16cid:durableId="287779082">
    <w:abstractNumId w:val="1"/>
  </w:num>
  <w:num w:numId="5" w16cid:durableId="2050304244">
    <w:abstractNumId w:val="5"/>
  </w:num>
  <w:num w:numId="6" w16cid:durableId="1893346817">
    <w:abstractNumId w:val="0"/>
  </w:num>
  <w:num w:numId="7" w16cid:durableId="1174344794">
    <w:abstractNumId w:val="7"/>
  </w:num>
  <w:num w:numId="8" w16cid:durableId="1522204933">
    <w:abstractNumId w:val="2"/>
  </w:num>
  <w:num w:numId="9" w16cid:durableId="14298090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C3NDUzNTexNABxlHSUglOLizPz80AKjGsBCM6I8iwAAAA="/>
  </w:docVars>
  <w:rsids>
    <w:rsidRoot w:val="00F407FB"/>
    <w:rsid w:val="0001591A"/>
    <w:rsid w:val="00024321"/>
    <w:rsid w:val="000261A5"/>
    <w:rsid w:val="00042C3A"/>
    <w:rsid w:val="0005432D"/>
    <w:rsid w:val="00070A87"/>
    <w:rsid w:val="00076708"/>
    <w:rsid w:val="000819F7"/>
    <w:rsid w:val="00083FE7"/>
    <w:rsid w:val="00085C9D"/>
    <w:rsid w:val="00091069"/>
    <w:rsid w:val="000941B9"/>
    <w:rsid w:val="000A2B62"/>
    <w:rsid w:val="000A514A"/>
    <w:rsid w:val="000F6536"/>
    <w:rsid w:val="001051D4"/>
    <w:rsid w:val="001220B2"/>
    <w:rsid w:val="001A0F78"/>
    <w:rsid w:val="001C27DD"/>
    <w:rsid w:val="001C2813"/>
    <w:rsid w:val="001D36FA"/>
    <w:rsid w:val="001E0750"/>
    <w:rsid w:val="001F796B"/>
    <w:rsid w:val="001F7F02"/>
    <w:rsid w:val="002327F4"/>
    <w:rsid w:val="00241C42"/>
    <w:rsid w:val="00244798"/>
    <w:rsid w:val="00252A48"/>
    <w:rsid w:val="002572EB"/>
    <w:rsid w:val="00265DB1"/>
    <w:rsid w:val="002B4390"/>
    <w:rsid w:val="002C48DD"/>
    <w:rsid w:val="002C4B2B"/>
    <w:rsid w:val="002F766E"/>
    <w:rsid w:val="003257D4"/>
    <w:rsid w:val="00331B51"/>
    <w:rsid w:val="00336CDD"/>
    <w:rsid w:val="003379A4"/>
    <w:rsid w:val="003469FA"/>
    <w:rsid w:val="003727C4"/>
    <w:rsid w:val="003B651C"/>
    <w:rsid w:val="003D7460"/>
    <w:rsid w:val="003E2500"/>
    <w:rsid w:val="003F2E74"/>
    <w:rsid w:val="004115D3"/>
    <w:rsid w:val="00441094"/>
    <w:rsid w:val="00473B44"/>
    <w:rsid w:val="0047598B"/>
    <w:rsid w:val="004921C2"/>
    <w:rsid w:val="004929E3"/>
    <w:rsid w:val="00494502"/>
    <w:rsid w:val="004D08E6"/>
    <w:rsid w:val="004E3CBB"/>
    <w:rsid w:val="004E5A5B"/>
    <w:rsid w:val="004F3ABC"/>
    <w:rsid w:val="004F6366"/>
    <w:rsid w:val="0051601C"/>
    <w:rsid w:val="00543B80"/>
    <w:rsid w:val="005565C5"/>
    <w:rsid w:val="00591E2E"/>
    <w:rsid w:val="005B06DE"/>
    <w:rsid w:val="005D75D5"/>
    <w:rsid w:val="005E012C"/>
    <w:rsid w:val="005F7A87"/>
    <w:rsid w:val="00615F61"/>
    <w:rsid w:val="00633D5E"/>
    <w:rsid w:val="00641F8E"/>
    <w:rsid w:val="00642066"/>
    <w:rsid w:val="0068366D"/>
    <w:rsid w:val="006C5015"/>
    <w:rsid w:val="0070643F"/>
    <w:rsid w:val="007315B4"/>
    <w:rsid w:val="00773C99"/>
    <w:rsid w:val="00783223"/>
    <w:rsid w:val="0078505E"/>
    <w:rsid w:val="00794399"/>
    <w:rsid w:val="00795764"/>
    <w:rsid w:val="007B4339"/>
    <w:rsid w:val="007B6E5E"/>
    <w:rsid w:val="007E7ED9"/>
    <w:rsid w:val="00817970"/>
    <w:rsid w:val="00825DBA"/>
    <w:rsid w:val="00832392"/>
    <w:rsid w:val="00857A78"/>
    <w:rsid w:val="008A1FD2"/>
    <w:rsid w:val="008B65BB"/>
    <w:rsid w:val="00905130"/>
    <w:rsid w:val="009426FC"/>
    <w:rsid w:val="00952AFF"/>
    <w:rsid w:val="009616ED"/>
    <w:rsid w:val="009631E5"/>
    <w:rsid w:val="00963EE5"/>
    <w:rsid w:val="00996AB7"/>
    <w:rsid w:val="009A20EA"/>
    <w:rsid w:val="009A4C31"/>
    <w:rsid w:val="009B3977"/>
    <w:rsid w:val="00A03003"/>
    <w:rsid w:val="00A1574D"/>
    <w:rsid w:val="00A43DAE"/>
    <w:rsid w:val="00A62DD5"/>
    <w:rsid w:val="00A64BE2"/>
    <w:rsid w:val="00A65A79"/>
    <w:rsid w:val="00A81310"/>
    <w:rsid w:val="00AA2E41"/>
    <w:rsid w:val="00AA3661"/>
    <w:rsid w:val="00AB508B"/>
    <w:rsid w:val="00AF6A2A"/>
    <w:rsid w:val="00B01015"/>
    <w:rsid w:val="00B0276F"/>
    <w:rsid w:val="00B15C96"/>
    <w:rsid w:val="00B23B34"/>
    <w:rsid w:val="00B36C8D"/>
    <w:rsid w:val="00B825E9"/>
    <w:rsid w:val="00B834F7"/>
    <w:rsid w:val="00B96809"/>
    <w:rsid w:val="00BA14AA"/>
    <w:rsid w:val="00BA1C9E"/>
    <w:rsid w:val="00BD6C0C"/>
    <w:rsid w:val="00BE60C8"/>
    <w:rsid w:val="00C014D5"/>
    <w:rsid w:val="00C037DB"/>
    <w:rsid w:val="00C15C30"/>
    <w:rsid w:val="00C42E09"/>
    <w:rsid w:val="00C42E74"/>
    <w:rsid w:val="00C45AB1"/>
    <w:rsid w:val="00C62B94"/>
    <w:rsid w:val="00C642E4"/>
    <w:rsid w:val="00C90090"/>
    <w:rsid w:val="00C92960"/>
    <w:rsid w:val="00CA0314"/>
    <w:rsid w:val="00CA7E9F"/>
    <w:rsid w:val="00CB63FF"/>
    <w:rsid w:val="00D15AE7"/>
    <w:rsid w:val="00D404E1"/>
    <w:rsid w:val="00D76850"/>
    <w:rsid w:val="00D77BB0"/>
    <w:rsid w:val="00D95A4E"/>
    <w:rsid w:val="00DB4136"/>
    <w:rsid w:val="00DB66C2"/>
    <w:rsid w:val="00DD615C"/>
    <w:rsid w:val="00DE0227"/>
    <w:rsid w:val="00DE199E"/>
    <w:rsid w:val="00DF0179"/>
    <w:rsid w:val="00E03D19"/>
    <w:rsid w:val="00E07E0E"/>
    <w:rsid w:val="00E2203E"/>
    <w:rsid w:val="00E32282"/>
    <w:rsid w:val="00E55EB8"/>
    <w:rsid w:val="00E61263"/>
    <w:rsid w:val="00E72397"/>
    <w:rsid w:val="00E86C62"/>
    <w:rsid w:val="00E902A9"/>
    <w:rsid w:val="00EA78DF"/>
    <w:rsid w:val="00ED3C6A"/>
    <w:rsid w:val="00ED70FD"/>
    <w:rsid w:val="00F407FB"/>
    <w:rsid w:val="00F54613"/>
    <w:rsid w:val="00F65467"/>
    <w:rsid w:val="00F7680F"/>
    <w:rsid w:val="00F8015F"/>
    <w:rsid w:val="00F82C8B"/>
    <w:rsid w:val="00F835E7"/>
    <w:rsid w:val="00FA00C5"/>
    <w:rsid w:val="00FD2A60"/>
    <w:rsid w:val="00FE1B16"/>
    <w:rsid w:val="00FE7830"/>
    <w:rsid w:val="01786094"/>
    <w:rsid w:val="064BD1B7"/>
    <w:rsid w:val="06D62333"/>
    <w:rsid w:val="08A34DFE"/>
    <w:rsid w:val="0B1F42DA"/>
    <w:rsid w:val="0C428E6D"/>
    <w:rsid w:val="0CBB133B"/>
    <w:rsid w:val="0F67B456"/>
    <w:rsid w:val="0FF2B3FD"/>
    <w:rsid w:val="121DE9F3"/>
    <w:rsid w:val="136D640C"/>
    <w:rsid w:val="1DABD19B"/>
    <w:rsid w:val="227F42BE"/>
    <w:rsid w:val="24CD7AFD"/>
    <w:rsid w:val="3581ACF7"/>
    <w:rsid w:val="3A82EFF1"/>
    <w:rsid w:val="3E9E78F8"/>
    <w:rsid w:val="3F147200"/>
    <w:rsid w:val="401A2693"/>
    <w:rsid w:val="4AE1E48B"/>
    <w:rsid w:val="4B7FFBF6"/>
    <w:rsid w:val="4E0C9987"/>
    <w:rsid w:val="51D6151D"/>
    <w:rsid w:val="5B73490F"/>
    <w:rsid w:val="5D0BC9CA"/>
    <w:rsid w:val="606990E3"/>
    <w:rsid w:val="61442B79"/>
    <w:rsid w:val="6E22AE81"/>
    <w:rsid w:val="72F61FA4"/>
    <w:rsid w:val="76DCC7C5"/>
    <w:rsid w:val="77D17E4D"/>
    <w:rsid w:val="7B091F0F"/>
    <w:rsid w:val="7C9D01EA"/>
    <w:rsid w:val="7CA4EF70"/>
    <w:rsid w:val="7E40BFD1"/>
    <w:rsid w:val="7FDC90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5FAB7"/>
  <w15:docId w15:val="{07A2AFD8-F5CF-4F42-BC85-75E9583C5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jc w:val="both"/>
    </w:pPr>
    <w:rPr>
      <w:sz w:val="22"/>
      <w:szCs w:val="22"/>
      <w:lang w:val="en-GB" w:eastAsia="en-US"/>
    </w:rPr>
  </w:style>
  <w:style w:type="paragraph" w:styleId="Heading1">
    <w:name w:val="heading 1"/>
    <w:basedOn w:val="Normal"/>
    <w:next w:val="Normal"/>
    <w:link w:val="Heading1Char"/>
    <w:uiPriority w:val="9"/>
    <w:qFormat/>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next w:val="Normal"/>
    <w:link w:val="Heading2Char"/>
    <w:uiPriority w:val="9"/>
    <w:unhideWhenUsed/>
    <w:qFormat/>
    <w:pPr>
      <w:keepNext/>
      <w:keepLines/>
      <w:spacing w:before="40" w:line="259" w:lineRule="auto"/>
      <w:jc w:val="both"/>
      <w:outlineLvl w:val="1"/>
    </w:pPr>
    <w:rPr>
      <w:rFonts w:ascii="Times New Roman" w:eastAsiaTheme="majorEastAsia" w:hAnsi="Times New Roman" w:cstheme="majorBidi"/>
      <w:b/>
      <w:color w:val="000000" w:themeColor="text1"/>
      <w:sz w:val="24"/>
      <w:szCs w:val="26"/>
      <w:lang w:val="en-GB" w:eastAsia="en-US"/>
    </w:rPr>
  </w:style>
  <w:style w:type="paragraph" w:styleId="Heading3">
    <w:name w:val="heading 3"/>
    <w:next w:val="Normal"/>
    <w:link w:val="Heading3Char"/>
    <w:uiPriority w:val="9"/>
    <w:unhideWhenUsed/>
    <w:qFormat/>
    <w:pPr>
      <w:keepNext/>
      <w:keepLines/>
      <w:spacing w:before="40" w:line="259" w:lineRule="auto"/>
      <w:jc w:val="both"/>
      <w:outlineLvl w:val="2"/>
    </w:pPr>
    <w:rPr>
      <w:rFonts w:ascii="Times New Roman" w:eastAsiaTheme="majorEastAsia" w:hAnsi="Times New Roman" w:cstheme="majorBidi"/>
      <w:b/>
      <w:color w:val="000000" w:themeColor="text1"/>
      <w:sz w:val="24"/>
      <w:szCs w:val="24"/>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character" w:customStyle="1" w:styleId="Heading3Char">
    <w:name w:val="Heading 3 Char"/>
    <w:basedOn w:val="DefaultParagraphFont"/>
    <w:link w:val="Heading3"/>
    <w:uiPriority w:val="9"/>
    <w:rPr>
      <w:rFonts w:ascii="Times New Roman" w:eastAsiaTheme="majorEastAsia" w:hAnsi="Times New Roman" w:cstheme="majorBidi"/>
      <w:b/>
      <w:color w:val="000000" w:themeColor="text1"/>
      <w:sz w:val="24"/>
      <w:szCs w:val="24"/>
      <w:lang w:val="en-GB"/>
    </w:rPr>
  </w:style>
  <w:style w:type="character" w:customStyle="1" w:styleId="Heading2Char">
    <w:name w:val="Heading 2 Char"/>
    <w:basedOn w:val="DefaultParagraphFont"/>
    <w:link w:val="Heading2"/>
    <w:uiPriority w:val="9"/>
    <w:rPr>
      <w:rFonts w:ascii="Times New Roman" w:eastAsiaTheme="majorEastAsia" w:hAnsi="Times New Roman" w:cstheme="majorBidi"/>
      <w:b/>
      <w:color w:val="000000" w:themeColor="text1"/>
      <w:sz w:val="24"/>
      <w:szCs w:val="26"/>
      <w:lang w:val="en-GB"/>
    </w:r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000000" w:themeColor="text1"/>
      <w:sz w:val="24"/>
      <w:szCs w:val="32"/>
      <w:lang w:val="en-GB"/>
    </w:rPr>
  </w:style>
  <w:style w:type="paragraph" w:styleId="ListParagraph">
    <w:name w:val="List Paragraph"/>
    <w:basedOn w:val="Normal"/>
    <w:uiPriority w:val="34"/>
    <w:qFormat/>
    <w:pPr>
      <w:ind w:left="720"/>
      <w:contextualSpacing/>
    </w:p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lang w:val="en-GB"/>
    </w:rPr>
  </w:style>
  <w:style w:type="paragraph" w:customStyle="1" w:styleId="TOCHeading1">
    <w:name w:val="TOC Heading1"/>
    <w:basedOn w:val="Heading1"/>
    <w:next w:val="Normal"/>
    <w:uiPriority w:val="39"/>
    <w:unhideWhenUsed/>
    <w:qFormat/>
    <w:pPr>
      <w:jc w:val="left"/>
      <w:outlineLvl w:val="9"/>
    </w:pPr>
    <w:rPr>
      <w:rFonts w:asciiTheme="majorHAnsi" w:hAnsiTheme="majorHAnsi"/>
      <w:b w:val="0"/>
      <w:color w:val="2F5496" w:themeColor="accent1" w:themeShade="BF"/>
      <w:sz w:val="32"/>
      <w:lang w:val="en-US"/>
    </w:rPr>
  </w:style>
  <w:style w:type="character" w:customStyle="1" w:styleId="HeaderChar">
    <w:name w:val="Header Char"/>
    <w:basedOn w:val="DefaultParagraphFont"/>
    <w:link w:val="Header"/>
    <w:uiPriority w:val="99"/>
    <w:rPr>
      <w:lang w:val="en-GB"/>
    </w:rPr>
  </w:style>
  <w:style w:type="character" w:customStyle="1" w:styleId="FooterChar">
    <w:name w:val="Footer Char"/>
    <w:basedOn w:val="DefaultParagraphFont"/>
    <w:link w:val="Footer"/>
    <w:uiPriority w:val="99"/>
    <w:rPr>
      <w:lang w:val="en-GB"/>
    </w:rPr>
  </w:style>
  <w:style w:type="paragraph" w:styleId="BalloonText">
    <w:name w:val="Balloon Text"/>
    <w:basedOn w:val="Normal"/>
    <w:link w:val="BalloonTextChar"/>
    <w:uiPriority w:val="99"/>
    <w:semiHidden/>
    <w:unhideWhenUsed/>
    <w:rsid w:val="00DE02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0227"/>
    <w:rPr>
      <w:rFonts w:ascii="Tahoma" w:hAnsi="Tahoma" w:cs="Tahoma"/>
      <w:sz w:val="16"/>
      <w:szCs w:val="16"/>
      <w:lang w:val="en-GB" w:eastAsia="en-US"/>
    </w:rPr>
  </w:style>
  <w:style w:type="character" w:styleId="Strong">
    <w:name w:val="Strong"/>
    <w:basedOn w:val="DefaultParagraphFont"/>
    <w:uiPriority w:val="22"/>
    <w:qFormat/>
    <w:rsid w:val="003469F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8782">
      <w:bodyDiv w:val="1"/>
      <w:marLeft w:val="0"/>
      <w:marRight w:val="0"/>
      <w:marTop w:val="0"/>
      <w:marBottom w:val="0"/>
      <w:divBdr>
        <w:top w:val="none" w:sz="0" w:space="0" w:color="auto"/>
        <w:left w:val="none" w:sz="0" w:space="0" w:color="auto"/>
        <w:bottom w:val="none" w:sz="0" w:space="0" w:color="auto"/>
        <w:right w:val="none" w:sz="0" w:space="0" w:color="auto"/>
      </w:divBdr>
    </w:div>
    <w:div w:id="2081831411">
      <w:bodyDiv w:val="1"/>
      <w:marLeft w:val="0"/>
      <w:marRight w:val="0"/>
      <w:marTop w:val="0"/>
      <w:marBottom w:val="0"/>
      <w:divBdr>
        <w:top w:val="none" w:sz="0" w:space="0" w:color="auto"/>
        <w:left w:val="none" w:sz="0" w:space="0" w:color="auto"/>
        <w:bottom w:val="none" w:sz="0" w:space="0" w:color="auto"/>
        <w:right w:val="none" w:sz="0" w:space="0" w:color="auto"/>
      </w:divBdr>
    </w:div>
    <w:div w:id="2092434336">
      <w:bodyDiv w:val="1"/>
      <w:marLeft w:val="0"/>
      <w:marRight w:val="0"/>
      <w:marTop w:val="0"/>
      <w:marBottom w:val="0"/>
      <w:divBdr>
        <w:top w:val="none" w:sz="0" w:space="0" w:color="auto"/>
        <w:left w:val="none" w:sz="0" w:space="0" w:color="auto"/>
        <w:bottom w:val="none" w:sz="0" w:space="0" w:color="auto"/>
        <w:right w:val="none" w:sz="0" w:space="0" w:color="auto"/>
      </w:divBdr>
    </w:div>
    <w:div w:id="21174835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9" ma:contentTypeDescription="Create a new document." ma:contentTypeScope="" ma:versionID="65e4bf5bba90c29185418d5df7b53db1">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79695d17bd4017741e5c82523260e2c5"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9B2656-44A2-4748-A385-69415DE604F8}">
  <ds:schemaRefs>
    <ds:schemaRef ds:uri="http://schemas.microsoft.com/sharepoint/v3/contenttype/forms"/>
  </ds:schemaRefs>
</ds:datastoreItem>
</file>

<file path=customXml/itemProps2.xml><?xml version="1.0" encoding="utf-8"?>
<ds:datastoreItem xmlns:ds="http://schemas.openxmlformats.org/officeDocument/2006/customXml" ds:itemID="{16714B75-3462-4520-A976-208135ED77D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CBEE66F-DCD1-416A-ABC4-65A3861512BC}">
  <ds:schemaRefs>
    <ds:schemaRef ds:uri="http://schemas.openxmlformats.org/officeDocument/2006/bibliography"/>
  </ds:schemaRefs>
</ds:datastoreItem>
</file>

<file path=customXml/itemProps4.xml><?xml version="1.0" encoding="utf-8"?>
<ds:datastoreItem xmlns:ds="http://schemas.openxmlformats.org/officeDocument/2006/customXml" ds:itemID="{6B617CA3-7656-47E7-846B-17112759B5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Pages>
  <Words>4358</Words>
  <Characters>24845</Characters>
  <Application>Microsoft Office Word</Application>
  <DocSecurity>0</DocSecurity>
  <Lines>207</Lines>
  <Paragraphs>58</Paragraphs>
  <ScaleCrop>false</ScaleCrop>
  <Company/>
  <LinksUpToDate>false</LinksUpToDate>
  <CharactersWithSpaces>29145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kaltabu tabitha</cp:lastModifiedBy>
  <cp:revision>28</cp:revision>
  <dcterms:created xsi:type="dcterms:W3CDTF">2023-07-21T07:15:00Z</dcterms:created>
  <dcterms:modified xsi:type="dcterms:W3CDTF">2023-07-21T08:00:00Z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882d14b1bf7063524ba8b1e51ab48d47e3b6fb7208bd545299e7a8ed859b02d5</vt:lpwstr>
  </property>
  <property fmtid="{D5CDD505-2E9C-101B-9397-08002B2CF9AE}" pid="3" name="KSOProductBuildVer">
    <vt:lpwstr>1033-11.2.0.11537</vt:lpwstr>
  </property>
  <property fmtid="{D5CDD505-2E9C-101B-9397-08002B2CF9AE}" pid="4" name="ICV">
    <vt:lpwstr>81D2B47FBD074B52AD828B2BAF2F237C</vt:lpwstr>
  </property>
  <property fmtid="{D5CDD505-2E9C-101B-9397-08002B2CF9AE}" pid="5" name="ContentTypeId">
    <vt:lpwstr>0x010100F79CC29ABECA4240AC0B18D52B09841D</vt:lpwstr>
  </property>
</Properties>
</file>